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4B27">
      <w:pPr>
        <w:keepNext w:val="0"/>
        <w:keepLines/>
        <w:pageBreakBefore w:val="0"/>
        <w:widowControl w:val="0"/>
        <w:kinsoku/>
        <w:wordWrap/>
        <w:overflowPunct/>
        <w:topLinePunct w:val="0"/>
        <w:autoSpaceDE/>
        <w:autoSpaceDN/>
        <w:bidi w:val="0"/>
        <w:adjustRightInd/>
        <w:snapToGrid/>
        <w:spacing w:after="0" w:line="720" w:lineRule="auto"/>
        <w:jc w:val="right"/>
        <w:textAlignment w:val="auto"/>
        <w:rPr>
          <w:rFonts w:hint="eastAsia" w:ascii="宋体" w:hAnsi="宋体" w:eastAsia="宋体" w:cs="宋体"/>
          <w:b/>
          <w:color w:val="auto"/>
          <w:sz w:val="44"/>
          <w:szCs w:val="44"/>
          <w:highlight w:val="none"/>
          <w:lang w:eastAsia="zh-CN"/>
        </w:rPr>
      </w:pPr>
    </w:p>
    <w:p w14:paraId="7DD72293">
      <w:pPr>
        <w:keepNext w:val="0"/>
        <w:keepLines/>
        <w:pageBreakBefore w:val="0"/>
        <w:widowControl w:val="0"/>
        <w:kinsoku/>
        <w:wordWrap/>
        <w:overflowPunct/>
        <w:topLinePunct w:val="0"/>
        <w:autoSpaceDE/>
        <w:autoSpaceDN/>
        <w:bidi w:val="0"/>
        <w:adjustRightInd/>
        <w:snapToGrid/>
        <w:spacing w:after="0" w:line="720" w:lineRule="auto"/>
        <w:jc w:val="center"/>
        <w:textAlignment w:val="auto"/>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 xml:space="preserve">安阳高新技术产业开发区智慧城市运营中心洪河（铁路桥—长江大道桥）河道保洁服务项目  </w:t>
      </w:r>
    </w:p>
    <w:p w14:paraId="40C8A858">
      <w:pPr>
        <w:keepLines/>
        <w:rPr>
          <w:rFonts w:ascii="宋体" w:hAnsi="宋体" w:eastAsia="宋体" w:cs="宋体"/>
          <w:color w:val="auto"/>
          <w:highlight w:val="none"/>
        </w:rPr>
      </w:pPr>
    </w:p>
    <w:p w14:paraId="3B58E9A3">
      <w:pPr>
        <w:pStyle w:val="35"/>
        <w:rPr>
          <w:color w:val="auto"/>
          <w:highlight w:val="none"/>
        </w:rPr>
      </w:pPr>
    </w:p>
    <w:p w14:paraId="6C7B03D2">
      <w:pPr>
        <w:keepLines/>
        <w:jc w:val="center"/>
        <w:rPr>
          <w:rFonts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476A28F6">
      <w:pPr>
        <w:pStyle w:val="15"/>
        <w:keepLines/>
        <w:ind w:left="720" w:hanging="36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采购编号：安开财磋商采购-2026-9</w:t>
      </w:r>
    </w:p>
    <w:p w14:paraId="517EAA73">
      <w:pPr>
        <w:keepLines/>
        <w:wordWrap w:val="0"/>
        <w:snapToGrid w:val="0"/>
        <w:spacing w:after="0" w:line="240" w:lineRule="auto"/>
        <w:jc w:val="center"/>
        <w:rPr>
          <w:rFonts w:ascii="宋体" w:hAnsi="宋体" w:eastAsia="宋体" w:cs="宋体"/>
          <w:color w:val="auto"/>
          <w:w w:val="90"/>
          <w:sz w:val="32"/>
          <w:szCs w:val="32"/>
          <w:highlight w:val="none"/>
        </w:rPr>
      </w:pPr>
    </w:p>
    <w:p w14:paraId="41FF4627">
      <w:pPr>
        <w:pStyle w:val="4"/>
        <w:rPr>
          <w:rFonts w:ascii="宋体" w:hAnsi="宋体" w:eastAsia="宋体" w:cs="宋体"/>
          <w:color w:val="auto"/>
          <w:w w:val="90"/>
          <w:sz w:val="32"/>
          <w:szCs w:val="32"/>
          <w:highlight w:val="none"/>
        </w:rPr>
      </w:pPr>
    </w:p>
    <w:p w14:paraId="3132BDC5">
      <w:pPr>
        <w:pStyle w:val="4"/>
        <w:rPr>
          <w:rFonts w:ascii="宋体" w:hAnsi="宋体" w:eastAsia="宋体" w:cs="宋体"/>
          <w:color w:val="auto"/>
          <w:w w:val="90"/>
          <w:sz w:val="32"/>
          <w:szCs w:val="32"/>
          <w:highlight w:val="none"/>
        </w:rPr>
      </w:pPr>
    </w:p>
    <w:p w14:paraId="148DAC55">
      <w:pPr>
        <w:pStyle w:val="4"/>
        <w:rPr>
          <w:rFonts w:ascii="宋体" w:hAnsi="宋体" w:eastAsia="宋体" w:cs="宋体"/>
          <w:color w:val="auto"/>
          <w:w w:val="90"/>
          <w:sz w:val="32"/>
          <w:szCs w:val="32"/>
          <w:highlight w:val="none"/>
        </w:rPr>
      </w:pPr>
    </w:p>
    <w:p w14:paraId="6DA4892F">
      <w:pPr>
        <w:pStyle w:val="4"/>
        <w:rPr>
          <w:rFonts w:ascii="宋体" w:hAnsi="宋体" w:eastAsia="宋体" w:cs="宋体"/>
          <w:color w:val="auto"/>
          <w:w w:val="90"/>
          <w:sz w:val="32"/>
          <w:szCs w:val="32"/>
          <w:highlight w:val="none"/>
        </w:rPr>
      </w:pPr>
    </w:p>
    <w:p w14:paraId="5550EB52">
      <w:pPr>
        <w:pStyle w:val="4"/>
        <w:rPr>
          <w:rFonts w:ascii="宋体" w:hAnsi="宋体" w:eastAsia="宋体" w:cs="宋体"/>
          <w:color w:val="auto"/>
          <w:w w:val="90"/>
          <w:sz w:val="32"/>
          <w:szCs w:val="32"/>
          <w:highlight w:val="none"/>
        </w:rPr>
      </w:pPr>
    </w:p>
    <w:p w14:paraId="5933FB41">
      <w:pPr>
        <w:keepNext w:val="0"/>
        <w:keepLines/>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采 购 人：</w:t>
      </w:r>
      <w:r>
        <w:rPr>
          <w:rFonts w:hint="eastAsia" w:ascii="宋体" w:hAnsi="宋体" w:eastAsia="宋体" w:cs="宋体"/>
          <w:b w:val="0"/>
          <w:bCs w:val="0"/>
          <w:color w:val="auto"/>
          <w:sz w:val="32"/>
          <w:szCs w:val="32"/>
          <w:highlight w:val="none"/>
          <w:lang w:eastAsia="zh-CN"/>
        </w:rPr>
        <w:t>安阳高新技术产业开发区智慧城市运营中</w:t>
      </w:r>
      <w:r>
        <w:rPr>
          <w:rFonts w:hint="eastAsia" w:ascii="宋体" w:hAnsi="宋体" w:eastAsia="宋体" w:cs="宋体"/>
          <w:b w:val="0"/>
          <w:bCs w:val="0"/>
          <w:color w:val="auto"/>
          <w:sz w:val="32"/>
          <w:szCs w:val="32"/>
          <w:highlight w:val="none"/>
          <w:lang w:val="en-US" w:eastAsia="zh-CN"/>
        </w:rPr>
        <w:t>心</w:t>
      </w:r>
    </w:p>
    <w:p w14:paraId="7D0EA3A8">
      <w:pPr>
        <w:keepNext w:val="0"/>
        <w:keepLines/>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代理机构：</w:t>
      </w:r>
      <w:r>
        <w:rPr>
          <w:rFonts w:hint="eastAsia" w:ascii="宋体" w:hAnsi="宋体" w:eastAsia="宋体" w:cs="宋体"/>
          <w:b w:val="0"/>
          <w:bCs w:val="0"/>
          <w:color w:val="auto"/>
          <w:sz w:val="32"/>
          <w:szCs w:val="32"/>
          <w:highlight w:val="none"/>
          <w:lang w:eastAsia="zh-CN"/>
        </w:rPr>
        <w:t>河南普米工程管理服务有限公司</w:t>
      </w:r>
    </w:p>
    <w:p w14:paraId="5CE0C98F">
      <w:pPr>
        <w:keepNext w:val="0"/>
        <w:keepLines/>
        <w:pageBreakBefore w:val="0"/>
        <w:widowControl w:val="0"/>
        <w:kinsoku/>
        <w:wordWrap/>
        <w:overflowPunct/>
        <w:topLinePunct w:val="0"/>
        <w:autoSpaceDE/>
        <w:autoSpaceDN/>
        <w:bidi w:val="0"/>
        <w:adjustRightInd/>
        <w:snapToGrid/>
        <w:ind w:left="1800" w:leftChars="1000"/>
        <w:jc w:val="left"/>
        <w:textAlignment w:val="auto"/>
        <w:rPr>
          <w:rFonts w:eastAsia="宋体" w:cs="宋体"/>
          <w:b/>
          <w:color w:val="auto"/>
          <w:sz w:val="40"/>
          <w:szCs w:val="20"/>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r>
        <w:rPr>
          <w:rFonts w:hint="eastAsia" w:ascii="宋体" w:hAnsi="宋体" w:eastAsia="宋体" w:cs="宋体"/>
          <w:b w:val="0"/>
          <w:bCs w:val="0"/>
          <w:color w:val="auto"/>
          <w:sz w:val="32"/>
          <w:szCs w:val="32"/>
          <w:highlight w:val="none"/>
          <w:lang w:val="en-US" w:eastAsia="zh-CN"/>
        </w:rPr>
        <w:t>日    期：二〇二六</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四</w:t>
      </w:r>
      <w:r>
        <w:rPr>
          <w:rFonts w:hint="eastAsia" w:ascii="宋体" w:hAnsi="宋体" w:eastAsia="宋体" w:cs="宋体"/>
          <w:b w:val="0"/>
          <w:bCs w:val="0"/>
          <w:color w:val="auto"/>
          <w:sz w:val="32"/>
          <w:szCs w:val="32"/>
          <w:highlight w:val="none"/>
        </w:rPr>
        <w:t>月</w:t>
      </w:r>
    </w:p>
    <w:p w14:paraId="2727B89E">
      <w:pPr>
        <w:pStyle w:val="19"/>
        <w:pageBreakBefore/>
        <w:tabs>
          <w:tab w:val="right" w:leader="dot" w:pos="8787"/>
        </w:tabs>
        <w:jc w:val="center"/>
        <w:rPr>
          <w:rFonts w:eastAsia="宋体" w:cs="宋体"/>
          <w:b/>
          <w:color w:val="auto"/>
          <w:sz w:val="40"/>
          <w:szCs w:val="20"/>
          <w:highlight w:val="none"/>
        </w:rPr>
      </w:pPr>
      <w:r>
        <w:rPr>
          <w:rFonts w:hint="eastAsia" w:eastAsia="宋体" w:cs="宋体"/>
          <w:b/>
          <w:color w:val="auto"/>
          <w:sz w:val="40"/>
          <w:szCs w:val="20"/>
          <w:highlight w:val="none"/>
        </w:rPr>
        <w:t>目 录</w:t>
      </w:r>
    </w:p>
    <w:p w14:paraId="4C7A615E">
      <w:pPr>
        <w:pStyle w:val="19"/>
        <w:tabs>
          <w:tab w:val="right" w:leader="dot" w:pos="8300"/>
        </w:tabs>
        <w:rPr>
          <w:color w:val="auto"/>
          <w:sz w:val="24"/>
          <w:szCs w:val="24"/>
          <w:highlight w:val="none"/>
        </w:rPr>
      </w:pP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TOC \o "1-1" \h \u </w:instrText>
      </w:r>
      <w:r>
        <w:rPr>
          <w:rFonts w:ascii="宋体" w:hAnsi="宋体" w:eastAsia="宋体" w:cs="宋体"/>
          <w:color w:val="auto"/>
          <w:sz w:val="24"/>
          <w:szCs w:val="24"/>
          <w:highlight w:val="none"/>
        </w:rPr>
        <w:fldChar w:fldCharType="separate"/>
      </w:r>
      <w:r>
        <w:rPr>
          <w:highlight w:val="none"/>
        </w:rPr>
        <w:fldChar w:fldCharType="begin"/>
      </w:r>
      <w:r>
        <w:rPr>
          <w:highlight w:val="none"/>
        </w:rPr>
        <w:instrText xml:space="preserve"> HYPERLINK \l "_Toc24282" </w:instrText>
      </w:r>
      <w:r>
        <w:rPr>
          <w:highlight w:val="none"/>
        </w:rPr>
        <w:fldChar w:fldCharType="separate"/>
      </w:r>
      <w:r>
        <w:rPr>
          <w:rFonts w:hint="eastAsia" w:ascii="宋体" w:hAnsi="宋体" w:eastAsia="宋体" w:cs="宋体"/>
          <w:bCs/>
          <w:color w:val="auto"/>
          <w:kern w:val="0"/>
          <w:sz w:val="24"/>
          <w:szCs w:val="24"/>
          <w:highlight w:val="none"/>
        </w:rPr>
        <w:t>第一章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_Toc24282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334B5DAF">
      <w:pPr>
        <w:pStyle w:val="19"/>
        <w:tabs>
          <w:tab w:val="right" w:leader="dot" w:pos="8300"/>
        </w:tabs>
        <w:rPr>
          <w:color w:val="auto"/>
          <w:sz w:val="24"/>
          <w:szCs w:val="24"/>
          <w:highlight w:val="none"/>
        </w:rPr>
      </w:pPr>
      <w:r>
        <w:rPr>
          <w:highlight w:val="none"/>
        </w:rPr>
        <w:fldChar w:fldCharType="begin"/>
      </w:r>
      <w:r>
        <w:rPr>
          <w:highlight w:val="none"/>
        </w:rPr>
        <w:instrText xml:space="preserve"> HYPERLINK \l "_Toc30393" </w:instrText>
      </w:r>
      <w:r>
        <w:rPr>
          <w:highlight w:val="none"/>
        </w:rPr>
        <w:fldChar w:fldCharType="separate"/>
      </w:r>
      <w:r>
        <w:rPr>
          <w:rFonts w:hint="eastAsia" w:ascii="宋体" w:hAnsi="宋体" w:eastAsia="宋体" w:cs="宋体"/>
          <w:color w:val="auto"/>
          <w:sz w:val="24"/>
          <w:szCs w:val="24"/>
          <w:highlight w:val="none"/>
        </w:rPr>
        <w:t xml:space="preserve">第二章 </w:t>
      </w:r>
      <w:r>
        <w:rPr>
          <w:rFonts w:hint="eastAsia" w:eastAsia="宋体" w:cs="宋体"/>
          <w:color w:val="auto"/>
          <w:sz w:val="24"/>
          <w:szCs w:val="24"/>
          <w:highlight w:val="none"/>
          <w:lang w:val="en-US" w:eastAsia="zh-CN"/>
        </w:rPr>
        <w:t xml:space="preserve"> </w:t>
      </w:r>
      <w:r>
        <w:rPr>
          <w:rFonts w:hint="eastAsia"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_Toc30393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199E5CB5">
      <w:pPr>
        <w:pStyle w:val="19"/>
        <w:tabs>
          <w:tab w:val="right" w:leader="dot" w:pos="8300"/>
        </w:tabs>
        <w:rPr>
          <w:color w:val="auto"/>
          <w:sz w:val="24"/>
          <w:szCs w:val="24"/>
          <w:highlight w:val="none"/>
        </w:rPr>
      </w:pPr>
      <w:r>
        <w:rPr>
          <w:highlight w:val="none"/>
        </w:rPr>
        <w:fldChar w:fldCharType="begin"/>
      </w:r>
      <w:r>
        <w:rPr>
          <w:highlight w:val="none"/>
        </w:rPr>
        <w:instrText xml:space="preserve"> HYPERLINK \l "_Toc20130" </w:instrText>
      </w:r>
      <w:r>
        <w:rPr>
          <w:highlight w:val="none"/>
        </w:rPr>
        <w:fldChar w:fldCharType="separate"/>
      </w:r>
      <w:r>
        <w:rPr>
          <w:rFonts w:hint="eastAsia" w:ascii="宋体" w:hAnsi="宋体" w:eastAsia="宋体" w:cs="宋体"/>
          <w:color w:val="auto"/>
          <w:sz w:val="24"/>
          <w:szCs w:val="24"/>
          <w:highlight w:val="none"/>
        </w:rPr>
        <w:t xml:space="preserve">第三章  </w:t>
      </w:r>
      <w:r>
        <w:rPr>
          <w:rFonts w:hint="eastAsia" w:eastAsia="宋体" w:cs="宋体"/>
          <w:color w:val="auto"/>
          <w:sz w:val="24"/>
          <w:szCs w:val="24"/>
          <w:highlight w:val="none"/>
          <w:lang w:eastAsia="zh-CN"/>
        </w:rPr>
        <w:t>采购内容及服务要求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_Toc20130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79A2FA1">
      <w:pPr>
        <w:pStyle w:val="19"/>
        <w:tabs>
          <w:tab w:val="right" w:leader="dot" w:pos="8300"/>
        </w:tabs>
        <w:rPr>
          <w:color w:val="auto"/>
          <w:sz w:val="24"/>
          <w:szCs w:val="24"/>
          <w:highlight w:val="none"/>
        </w:rPr>
      </w:pPr>
      <w:r>
        <w:rPr>
          <w:highlight w:val="none"/>
        </w:rPr>
        <w:fldChar w:fldCharType="begin"/>
      </w:r>
      <w:r>
        <w:rPr>
          <w:highlight w:val="none"/>
        </w:rPr>
        <w:instrText xml:space="preserve"> HYPERLINK \l "_Toc7481" </w:instrText>
      </w:r>
      <w:r>
        <w:rPr>
          <w:highlight w:val="none"/>
        </w:rPr>
        <w:fldChar w:fldCharType="separate"/>
      </w:r>
      <w:r>
        <w:rPr>
          <w:rFonts w:hint="eastAsia" w:ascii="宋体" w:hAnsi="宋体" w:eastAsia="宋体" w:cs="宋体"/>
          <w:color w:val="auto"/>
          <w:sz w:val="24"/>
          <w:szCs w:val="24"/>
          <w:highlight w:val="none"/>
        </w:rPr>
        <w:t xml:space="preserve">第四章 </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_Toc7481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14:paraId="27426724">
      <w:pPr>
        <w:pStyle w:val="19"/>
        <w:tabs>
          <w:tab w:val="right" w:leader="dot" w:pos="8300"/>
        </w:tabs>
        <w:rPr>
          <w:color w:val="auto"/>
          <w:sz w:val="24"/>
          <w:szCs w:val="24"/>
          <w:highlight w:val="none"/>
        </w:rPr>
      </w:pPr>
      <w:r>
        <w:rPr>
          <w:highlight w:val="none"/>
        </w:rPr>
        <w:fldChar w:fldCharType="begin"/>
      </w:r>
      <w:r>
        <w:rPr>
          <w:highlight w:val="none"/>
        </w:rPr>
        <w:instrText xml:space="preserve"> HYPERLINK \l "_Toc16509" </w:instrText>
      </w:r>
      <w:r>
        <w:rPr>
          <w:highlight w:val="none"/>
        </w:rPr>
        <w:fldChar w:fldCharType="separate"/>
      </w:r>
      <w:r>
        <w:rPr>
          <w:rFonts w:hint="eastAsia" w:ascii="宋体" w:hAnsi="宋体" w:eastAsia="宋体" w:cs="宋体"/>
          <w:color w:val="auto"/>
          <w:sz w:val="24"/>
          <w:szCs w:val="24"/>
          <w:highlight w:val="none"/>
        </w:rPr>
        <w:t xml:space="preserve">第五章 </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_Toc16509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color w:val="auto"/>
          <w:sz w:val="24"/>
          <w:szCs w:val="24"/>
          <w:highlight w:val="none"/>
        </w:rPr>
        <w:fldChar w:fldCharType="end"/>
      </w:r>
    </w:p>
    <w:p w14:paraId="6A12814F">
      <w:pPr>
        <w:pStyle w:val="19"/>
        <w:tabs>
          <w:tab w:val="right" w:leader="dot" w:pos="8300"/>
        </w:tabs>
        <w:rPr>
          <w:rFonts w:ascii="宋体" w:hAnsi="宋体" w:eastAsia="宋体" w:cs="宋体"/>
          <w:color w:val="auto"/>
          <w:sz w:val="24"/>
          <w:szCs w:val="24"/>
          <w:highlight w:val="none"/>
        </w:rPr>
      </w:pPr>
      <w:r>
        <w:rPr>
          <w:highlight w:val="none"/>
        </w:rPr>
        <w:fldChar w:fldCharType="begin"/>
      </w:r>
      <w:r>
        <w:rPr>
          <w:highlight w:val="none"/>
        </w:rPr>
        <w:instrText xml:space="preserve"> HYPERLINK \l "_Toc16840" </w:instrText>
      </w:r>
      <w:r>
        <w:rPr>
          <w:highlight w:val="none"/>
        </w:rPr>
        <w:fldChar w:fldCharType="separate"/>
      </w:r>
      <w:r>
        <w:rPr>
          <w:rFonts w:hint="eastAsia" w:ascii="宋体" w:hAnsi="宋体" w:eastAsia="宋体" w:cs="宋体"/>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_Toc16840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r>
        <w:rPr>
          <w:rFonts w:ascii="宋体" w:hAnsi="宋体" w:eastAsia="宋体" w:cs="宋体"/>
          <w:color w:val="auto"/>
          <w:sz w:val="24"/>
          <w:szCs w:val="24"/>
          <w:highlight w:val="none"/>
        </w:rPr>
        <w:fldChar w:fldCharType="end"/>
      </w:r>
    </w:p>
    <w:p w14:paraId="7EE37990">
      <w:pPr>
        <w:rPr>
          <w:rFonts w:ascii="宋体" w:hAnsi="宋体" w:eastAsia="宋体" w:cs="宋体"/>
          <w:color w:val="auto"/>
          <w:highlight w:val="none"/>
        </w:rPr>
      </w:pPr>
    </w:p>
    <w:p w14:paraId="3864335F">
      <w:pPr>
        <w:rPr>
          <w:rFonts w:ascii="宋体" w:hAnsi="宋体" w:eastAsia="宋体" w:cs="宋体"/>
          <w:color w:val="auto"/>
          <w:highlight w:val="none"/>
        </w:rPr>
      </w:pPr>
    </w:p>
    <w:p w14:paraId="13FCD817">
      <w:pPr>
        <w:rPr>
          <w:rFonts w:ascii="宋体" w:hAnsi="宋体" w:eastAsia="宋体" w:cs="宋体"/>
          <w:color w:val="auto"/>
          <w:highlight w:val="none"/>
        </w:rPr>
      </w:pPr>
    </w:p>
    <w:p w14:paraId="2F499688">
      <w:pPr>
        <w:rPr>
          <w:rFonts w:ascii="宋体" w:hAnsi="宋体" w:eastAsia="宋体" w:cs="宋体"/>
          <w:color w:val="auto"/>
          <w:highlight w:val="none"/>
        </w:rPr>
      </w:pPr>
    </w:p>
    <w:p w14:paraId="21550CD9">
      <w:pPr>
        <w:rPr>
          <w:rFonts w:ascii="宋体" w:hAnsi="宋体" w:eastAsia="宋体" w:cs="宋体"/>
          <w:color w:val="auto"/>
          <w:highlight w:val="none"/>
        </w:rPr>
      </w:pPr>
    </w:p>
    <w:p w14:paraId="584FC765">
      <w:pPr>
        <w:rPr>
          <w:rFonts w:ascii="宋体" w:hAnsi="宋体" w:eastAsia="宋体" w:cs="宋体"/>
          <w:color w:val="auto"/>
          <w:highlight w:val="none"/>
        </w:rPr>
      </w:pPr>
    </w:p>
    <w:p w14:paraId="2C3FECC1">
      <w:pPr>
        <w:pageBreakBefore/>
        <w:spacing w:after="0" w:line="360" w:lineRule="auto"/>
        <w:jc w:val="center"/>
        <w:outlineLvl w:val="0"/>
        <w:rPr>
          <w:rFonts w:ascii="宋体" w:hAnsi="宋体" w:eastAsia="宋体" w:cs="宋体"/>
          <w:b/>
          <w:bCs/>
          <w:color w:val="auto"/>
          <w:kern w:val="0"/>
          <w:sz w:val="36"/>
          <w:szCs w:val="44"/>
          <w:highlight w:val="none"/>
        </w:rPr>
      </w:pPr>
      <w:bookmarkStart w:id="0" w:name="_Toc1041"/>
      <w:bookmarkStart w:id="1" w:name="_Toc24282"/>
      <w:r>
        <w:rPr>
          <w:rFonts w:hint="eastAsia" w:ascii="宋体" w:hAnsi="宋体" w:eastAsia="宋体" w:cs="宋体"/>
          <w:b/>
          <w:bCs/>
          <w:color w:val="auto"/>
          <w:kern w:val="0"/>
          <w:sz w:val="36"/>
          <w:szCs w:val="44"/>
          <w:highlight w:val="none"/>
        </w:rPr>
        <w:t>第一章  竞争性磋商公告</w:t>
      </w:r>
      <w:bookmarkEnd w:id="0"/>
      <w:bookmarkEnd w:id="1"/>
    </w:p>
    <w:p w14:paraId="7568B32B">
      <w:pPr>
        <w:spacing w:line="360" w:lineRule="exact"/>
        <w:rPr>
          <w:rFonts w:hint="eastAsia" w:ascii="宋体" w:hAnsi="宋体" w:eastAsia="宋体" w:cs="宋体"/>
          <w:color w:val="auto"/>
          <w:sz w:val="21"/>
          <w:szCs w:val="21"/>
          <w:highlight w:val="none"/>
        </w:rPr>
      </w:pPr>
      <w:bookmarkStart w:id="2" w:name="_Toc30393"/>
      <w:bookmarkStart w:id="3" w:name="_Toc9661"/>
      <w:r>
        <w:rPr>
          <w:rFonts w:hint="eastAsia" w:ascii="宋体" w:hAnsi="宋体" w:eastAsia="宋体" w:cs="宋体"/>
          <w:color w:val="auto"/>
          <w:sz w:val="21"/>
          <w:szCs w:val="21"/>
          <w:highlight w:val="none"/>
        </w:rPr>
        <w:t>项目概况</w:t>
      </w:r>
    </w:p>
    <w:p w14:paraId="3ECEC9FC">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安阳高新技术产业开发区智慧城市运营中心洪河（铁路桥—长江大道桥）河道保洁服务项目的潜在供应商应在安阳市文昌大道与曙光路交叉口国控大厦22楼2205获取磋商文件及其它资料。并</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4月23日上午9点30分</w:t>
      </w:r>
      <w:r>
        <w:rPr>
          <w:rFonts w:hint="eastAsia" w:ascii="宋体" w:hAnsi="宋体" w:eastAsia="宋体" w:cs="宋体"/>
          <w:color w:val="auto"/>
          <w:sz w:val="21"/>
          <w:szCs w:val="21"/>
          <w:highlight w:val="none"/>
          <w:u w:val="single"/>
        </w:rPr>
        <w:t>（北京时间）</w:t>
      </w:r>
      <w:r>
        <w:rPr>
          <w:rFonts w:hint="eastAsia" w:ascii="宋体" w:hAnsi="宋体" w:eastAsia="宋体" w:cs="宋体"/>
          <w:color w:val="auto"/>
          <w:sz w:val="21"/>
          <w:szCs w:val="21"/>
          <w:highlight w:val="none"/>
        </w:rPr>
        <w:t>前递交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4913E928">
      <w:pPr>
        <w:keepNext w:val="0"/>
        <w:keepLines w:val="0"/>
        <w:pageBreakBefore w:val="0"/>
        <w:widowControl/>
        <w:kinsoku/>
        <w:wordWrap/>
        <w:overflowPunct/>
        <w:topLinePunct w:val="0"/>
        <w:autoSpaceDE/>
        <w:autoSpaceDN/>
        <w:bidi w:val="0"/>
        <w:adjustRightInd w:val="0"/>
        <w:snapToGrid w:val="0"/>
        <w:spacing w:after="0" w:line="360" w:lineRule="auto"/>
        <w:ind w:firstLine="207" w:firstLineChars="98"/>
        <w:textAlignment w:val="auto"/>
        <w:outlineLvl w:val="1"/>
        <w:rPr>
          <w:rFonts w:hint="eastAsia" w:ascii="宋体" w:hAnsi="宋体" w:eastAsia="宋体" w:cs="宋体"/>
          <w:b/>
          <w:bCs/>
          <w:kern w:val="0"/>
          <w:sz w:val="21"/>
          <w:szCs w:val="21"/>
          <w:highlight w:val="none"/>
          <w:lang w:eastAsia="zh-CN"/>
        </w:rPr>
      </w:pPr>
      <w:bookmarkStart w:id="4" w:name="_Toc25008"/>
      <w:bookmarkStart w:id="5" w:name="_Toc28359081"/>
      <w:bookmarkStart w:id="6" w:name="_Toc28359004"/>
      <w:bookmarkStart w:id="7" w:name="_Toc35393623"/>
      <w:bookmarkStart w:id="8" w:name="_Toc6210"/>
      <w:bookmarkStart w:id="9" w:name="_Toc2206"/>
      <w:bookmarkStart w:id="10" w:name="_Toc35393792"/>
      <w:r>
        <w:rPr>
          <w:rFonts w:hint="eastAsia" w:ascii="宋体" w:hAnsi="宋体" w:eastAsia="宋体" w:cs="宋体"/>
          <w:b/>
          <w:bCs/>
          <w:kern w:val="0"/>
          <w:sz w:val="21"/>
          <w:szCs w:val="21"/>
          <w:highlight w:val="none"/>
          <w:lang w:eastAsia="zh-CN"/>
        </w:rPr>
        <w:t>一、项目基本情况</w:t>
      </w:r>
    </w:p>
    <w:p w14:paraId="140919C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bookmarkStart w:id="11" w:name="_Toc22021"/>
      <w:r>
        <w:rPr>
          <w:rFonts w:hint="eastAsia" w:ascii="宋体" w:hAnsi="宋体" w:eastAsia="宋体" w:cs="宋体"/>
          <w:bCs/>
          <w:sz w:val="21"/>
          <w:szCs w:val="21"/>
          <w:highlight w:val="none"/>
          <w:lang w:val="en-US" w:eastAsia="zh-CN"/>
        </w:rPr>
        <w:t>1.采</w:t>
      </w:r>
      <w:r>
        <w:rPr>
          <w:rFonts w:hint="eastAsia" w:ascii="宋体" w:hAnsi="宋体" w:eastAsia="宋体" w:cs="宋体"/>
          <w:bCs/>
          <w:sz w:val="21"/>
          <w:szCs w:val="21"/>
          <w:highlight w:val="none"/>
          <w:lang w:eastAsia="zh-CN"/>
        </w:rPr>
        <w:t>购项目编号：</w:t>
      </w:r>
      <w:bookmarkEnd w:id="11"/>
      <w:r>
        <w:rPr>
          <w:rFonts w:hint="eastAsia" w:ascii="宋体" w:hAnsi="宋体" w:eastAsia="宋体" w:cs="宋体"/>
          <w:bCs/>
          <w:sz w:val="21"/>
          <w:szCs w:val="21"/>
          <w:highlight w:val="none"/>
          <w:lang w:eastAsia="zh-CN"/>
        </w:rPr>
        <w:t>安开财磋商采购-2026-9</w:t>
      </w:r>
    </w:p>
    <w:p w14:paraId="4CE7954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项目名称：</w:t>
      </w:r>
      <w:bookmarkEnd w:id="4"/>
      <w:bookmarkStart w:id="12" w:name="_Toc17533"/>
      <w:r>
        <w:rPr>
          <w:rFonts w:hint="eastAsia" w:ascii="宋体" w:hAnsi="宋体" w:eastAsia="宋体" w:cs="宋体"/>
          <w:bCs/>
          <w:sz w:val="21"/>
          <w:szCs w:val="21"/>
          <w:highlight w:val="none"/>
          <w:lang w:eastAsia="zh-CN"/>
        </w:rPr>
        <w:t>安阳高新技术产业开发区智慧城市运营中心洪河（铁路桥—长江大道桥）河道保洁服务项目</w:t>
      </w:r>
    </w:p>
    <w:p w14:paraId="4229020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3.采购方式：竞争性磋商</w:t>
      </w:r>
    </w:p>
    <w:bookmarkEnd w:id="12"/>
    <w:p w14:paraId="14FDCC0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4.项目预算金额：450000.00元</w:t>
      </w:r>
    </w:p>
    <w:p w14:paraId="332E0125">
      <w:pPr>
        <w:keepNext w:val="0"/>
        <w:keepLines w:val="0"/>
        <w:pageBreakBefore w:val="0"/>
        <w:widowControl/>
        <w:kinsoku/>
        <w:wordWrap/>
        <w:overflowPunct/>
        <w:topLinePunct w:val="0"/>
        <w:autoSpaceDE/>
        <w:autoSpaceDN/>
        <w:bidi w:val="0"/>
        <w:adjustRightInd w:val="0"/>
        <w:snapToGrid w:val="0"/>
        <w:spacing w:after="0" w:line="360" w:lineRule="auto"/>
        <w:ind w:firstLine="630" w:firstLineChars="3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最高限价：450000.00元</w:t>
      </w:r>
    </w:p>
    <w:tbl>
      <w:tblPr>
        <w:tblStyle w:val="27"/>
        <w:tblW w:w="4906"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1559"/>
        <w:gridCol w:w="2791"/>
        <w:gridCol w:w="1571"/>
        <w:gridCol w:w="1572"/>
      </w:tblGrid>
      <w:tr w14:paraId="62D93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blCellSpacing w:w="0" w:type="dxa"/>
          <w:jc w:val="center"/>
        </w:trPr>
        <w:tc>
          <w:tcPr>
            <w:tcW w:w="405" w:type="pct"/>
            <w:shd w:val="clear" w:color="auto" w:fill="auto"/>
            <w:vAlign w:val="center"/>
          </w:tcPr>
          <w:p w14:paraId="3D870036">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序号</w:t>
            </w:r>
          </w:p>
        </w:tc>
        <w:tc>
          <w:tcPr>
            <w:tcW w:w="956" w:type="pct"/>
            <w:shd w:val="clear" w:color="auto" w:fill="auto"/>
            <w:vAlign w:val="center"/>
          </w:tcPr>
          <w:p w14:paraId="5882CA39">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default"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
              </w:rPr>
              <w:t>包号</w:t>
            </w:r>
          </w:p>
        </w:tc>
        <w:tc>
          <w:tcPr>
            <w:tcW w:w="1711" w:type="pct"/>
            <w:shd w:val="clear" w:color="auto" w:fill="auto"/>
            <w:vAlign w:val="center"/>
          </w:tcPr>
          <w:p w14:paraId="11A476FC">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名称</w:t>
            </w:r>
          </w:p>
        </w:tc>
        <w:tc>
          <w:tcPr>
            <w:tcW w:w="963" w:type="pct"/>
            <w:shd w:val="clear" w:color="auto" w:fill="auto"/>
            <w:vAlign w:val="center"/>
          </w:tcPr>
          <w:p w14:paraId="18FFE22E">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包预算（元）</w:t>
            </w:r>
          </w:p>
        </w:tc>
        <w:tc>
          <w:tcPr>
            <w:tcW w:w="964" w:type="pct"/>
            <w:shd w:val="clear" w:color="auto" w:fill="auto"/>
            <w:vAlign w:val="center"/>
          </w:tcPr>
          <w:p w14:paraId="4841F711">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包最高限价（元）</w:t>
            </w:r>
          </w:p>
        </w:tc>
      </w:tr>
      <w:tr w14:paraId="4E620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1" w:hRule="atLeast"/>
          <w:tblCellSpacing w:w="0" w:type="dxa"/>
          <w:jc w:val="center"/>
        </w:trPr>
        <w:tc>
          <w:tcPr>
            <w:tcW w:w="405" w:type="pct"/>
            <w:shd w:val="clear" w:color="auto" w:fill="auto"/>
            <w:vAlign w:val="center"/>
          </w:tcPr>
          <w:p w14:paraId="10502F46">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p>
        </w:tc>
        <w:tc>
          <w:tcPr>
            <w:tcW w:w="956" w:type="pct"/>
            <w:shd w:val="clear" w:color="auto" w:fill="auto"/>
            <w:vAlign w:val="center"/>
          </w:tcPr>
          <w:p w14:paraId="66E87C63">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 xml:space="preserve">安开财磋商采购-2026-9 </w:t>
            </w:r>
          </w:p>
        </w:tc>
        <w:tc>
          <w:tcPr>
            <w:tcW w:w="1711" w:type="pct"/>
            <w:shd w:val="clear" w:color="auto" w:fill="auto"/>
            <w:vAlign w:val="center"/>
          </w:tcPr>
          <w:p w14:paraId="6CAFB3D9">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 xml:space="preserve"> 安阳高新技术产业开发区智慧城市运营中心洪河（铁路桥—长江大道桥）河道保洁服务项目</w:t>
            </w:r>
          </w:p>
        </w:tc>
        <w:tc>
          <w:tcPr>
            <w:tcW w:w="1752" w:type="dxa"/>
            <w:shd w:val="clear" w:color="auto" w:fill="auto"/>
            <w:vAlign w:val="center"/>
          </w:tcPr>
          <w:p w14:paraId="7BFD6D23">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450000.00</w:t>
            </w:r>
          </w:p>
        </w:tc>
        <w:tc>
          <w:tcPr>
            <w:tcW w:w="1754" w:type="dxa"/>
            <w:shd w:val="clear" w:color="auto" w:fill="auto"/>
            <w:vAlign w:val="center"/>
          </w:tcPr>
          <w:p w14:paraId="3469698C">
            <w:pPr>
              <w:keepNext w:val="0"/>
              <w:keepLines w:val="0"/>
              <w:pageBreakBefore w:val="0"/>
              <w:widowControl/>
              <w:suppressLineNumbers w:val="0"/>
              <w:kinsoku/>
              <w:wordWrap/>
              <w:overflowPunct/>
              <w:topLinePunct w:val="0"/>
              <w:autoSpaceDE/>
              <w:autoSpaceDN/>
              <w:bidi w:val="0"/>
              <w:adjustRightInd/>
              <w:snapToGrid/>
              <w:spacing w:line="401"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450000.00</w:t>
            </w:r>
          </w:p>
        </w:tc>
      </w:tr>
    </w:tbl>
    <w:p w14:paraId="209DA85D">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bookmarkStart w:id="13" w:name="_Toc7646"/>
      <w:r>
        <w:rPr>
          <w:rFonts w:hint="eastAsia" w:ascii="宋体" w:hAnsi="宋体" w:eastAsia="宋体" w:cs="宋体"/>
          <w:bCs/>
          <w:sz w:val="21"/>
          <w:szCs w:val="21"/>
          <w:highlight w:val="none"/>
          <w:lang w:val="en-US" w:eastAsia="zh-CN"/>
        </w:rPr>
        <w:t>5.采购需求：</w:t>
      </w:r>
      <w:r>
        <w:rPr>
          <w:rFonts w:hint="eastAsia" w:ascii="宋体" w:hAnsi="宋体" w:eastAsia="宋体" w:cs="宋体"/>
          <w:bCs/>
          <w:color w:val="000000"/>
          <w:spacing w:val="6"/>
          <w:sz w:val="21"/>
          <w:szCs w:val="21"/>
          <w:highlight w:val="none"/>
        </w:rPr>
        <w:t>（包括但不限于标的的名称、数量、简要技术需求或服务要求等）</w:t>
      </w:r>
      <w:r>
        <w:rPr>
          <w:rFonts w:hint="eastAsia" w:ascii="宋体" w:hAnsi="宋体" w:eastAsia="宋体" w:cs="宋体"/>
          <w:bCs/>
          <w:color w:val="000000"/>
          <w:spacing w:val="6"/>
          <w:sz w:val="21"/>
          <w:szCs w:val="21"/>
          <w:highlight w:val="none"/>
          <w:lang w:eastAsia="zh-CN"/>
        </w:rPr>
        <w:t>：</w:t>
      </w:r>
      <w:r>
        <w:rPr>
          <w:rFonts w:hint="eastAsia" w:ascii="宋体" w:hAnsi="宋体" w:eastAsia="宋体" w:cs="宋体"/>
          <w:bCs/>
          <w:sz w:val="21"/>
          <w:szCs w:val="21"/>
          <w:highlight w:val="none"/>
          <w:lang w:val="en-US" w:eastAsia="zh-CN"/>
        </w:rPr>
        <w:t>项目基本情况：</w:t>
      </w:r>
      <w:bookmarkEnd w:id="13"/>
    </w:p>
    <w:p w14:paraId="44E7B61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5.1 采购内容：洪河河道铁路桥-长江桥保洁服务（详见磋商文件）。</w:t>
      </w:r>
    </w:p>
    <w:p w14:paraId="172941E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5.2 质量要求：合格，满足采购人要求；</w:t>
      </w:r>
    </w:p>
    <w:p w14:paraId="271A5AF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5.3 服务地点：采购人指定地点； </w:t>
      </w:r>
    </w:p>
    <w:p w14:paraId="7B23BC21">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6、合同履行期限：合同签订之日起12个月 </w:t>
      </w:r>
    </w:p>
    <w:p w14:paraId="1E3DA26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7、本项目是否接受联合体投标：否 </w:t>
      </w:r>
    </w:p>
    <w:p w14:paraId="6CC1B1D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8、是否接受进口产品：否 </w:t>
      </w:r>
    </w:p>
    <w:p w14:paraId="7143A3A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9、是否专门面向中小企业：是 </w:t>
      </w:r>
    </w:p>
    <w:p w14:paraId="2D3B14A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11" w:firstLineChars="100"/>
        <w:textAlignment w:val="auto"/>
        <w:outlineLvl w:val="1"/>
        <w:rPr>
          <w:rFonts w:hint="eastAsia" w:ascii="宋体" w:hAnsi="宋体" w:eastAsia="宋体" w:cs="宋体"/>
          <w:b/>
          <w:bCs/>
          <w:kern w:val="0"/>
          <w:sz w:val="21"/>
          <w:szCs w:val="21"/>
          <w:highlight w:val="none"/>
        </w:rPr>
      </w:pPr>
      <w:bookmarkStart w:id="14" w:name="_Toc305067941"/>
      <w:bookmarkEnd w:id="14"/>
      <w:bookmarkStart w:id="15" w:name="_Toc19922"/>
      <w:r>
        <w:rPr>
          <w:rFonts w:hint="eastAsia" w:ascii="宋体" w:hAnsi="宋体" w:eastAsia="宋体" w:cs="宋体"/>
          <w:b/>
          <w:bCs/>
          <w:kern w:val="0"/>
          <w:sz w:val="21"/>
          <w:szCs w:val="21"/>
          <w:highlight w:val="none"/>
          <w:lang w:val="en-US" w:eastAsia="zh-CN"/>
        </w:rPr>
        <w:t>二、</w:t>
      </w:r>
      <w:r>
        <w:rPr>
          <w:rFonts w:hint="eastAsia" w:ascii="宋体" w:hAnsi="宋体" w:eastAsia="宋体" w:cs="宋体"/>
          <w:b/>
          <w:bCs/>
          <w:kern w:val="0"/>
          <w:sz w:val="21"/>
          <w:szCs w:val="21"/>
          <w:highlight w:val="none"/>
        </w:rPr>
        <w:t>供应商资格要求</w:t>
      </w:r>
      <w:bookmarkEnd w:id="15"/>
    </w:p>
    <w:p w14:paraId="402F41AB">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 xml:space="preserve">2.1 符合《中华人民共和国政府采购法》第二十二条的规定； </w:t>
      </w:r>
    </w:p>
    <w:p w14:paraId="2984D43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2.2落实政府采购政策需满足的资格要求：</w:t>
      </w:r>
      <w:r>
        <w:rPr>
          <w:rFonts w:hint="eastAsia" w:ascii="宋体" w:hAnsi="宋体" w:eastAsia="宋体" w:cs="宋体"/>
          <w:color w:val="auto"/>
          <w:sz w:val="21"/>
          <w:szCs w:val="21"/>
          <w:highlight w:val="none"/>
          <w:lang w:eastAsia="zh-CN"/>
        </w:rPr>
        <w:t>本项目专门面向中小企业，</w:t>
      </w:r>
      <w:r>
        <w:rPr>
          <w:rFonts w:hint="eastAsia" w:ascii="宋体" w:hAnsi="宋体" w:eastAsia="宋体" w:cs="宋体"/>
          <w:color w:val="auto"/>
          <w:sz w:val="21"/>
          <w:szCs w:val="21"/>
          <w:highlight w:val="none"/>
          <w:lang w:val="en-US" w:eastAsia="zh-CN"/>
        </w:rPr>
        <w:t>监狱企业、符合法定条件的残疾人福利性单位视同小型、微型企业</w:t>
      </w:r>
      <w:r>
        <w:rPr>
          <w:rFonts w:hint="eastAsia" w:ascii="宋体" w:hAnsi="宋体" w:eastAsia="宋体" w:cs="宋体"/>
          <w:bCs/>
          <w:kern w:val="0"/>
          <w:sz w:val="21"/>
          <w:szCs w:val="21"/>
          <w:highlight w:val="none"/>
          <w:lang w:val="en-US" w:eastAsia="zh-CN"/>
        </w:rPr>
        <w:t>。■提供中小企业声明函，监狱企业、残疾人福利性企业提供相关证明。</w:t>
      </w:r>
    </w:p>
    <w:p w14:paraId="6E64888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2.3本项目特定资格要求：</w:t>
      </w:r>
    </w:p>
    <w:p w14:paraId="253623A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2.3.1 供应商应符合下述《政府采购法》第二十二条第一款规定的法定基本资格条件、及项目资格要求且无不良信用记录，并提供相关资格证明材料（文件）：</w:t>
      </w:r>
    </w:p>
    <w:p w14:paraId="61F9C3A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（一）具有独立承担民事责任的能力。■提供营业执照或事业单位法人证书或其他相应业务或经营范围登记证照；■提供税务登记证（三证合一的只需提供三证合一的营业执照）</w:t>
      </w:r>
    </w:p>
    <w:p w14:paraId="3645ACB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（二）具有良好的商业信誉和健全的财务会计制度。■提供银行出具的近1年内资信证明（法人为基本开户行）或2022年度以来（任意一年）经审计的财务报告。</w:t>
      </w:r>
    </w:p>
    <w:p w14:paraId="2AAA0C6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（三）具有履行合同所必需的设备和专业技术能力。■提供相关设备或设施的购置发票或单据（任一）；■提供本单位人员的船员证（任一人）。</w:t>
      </w:r>
    </w:p>
    <w:p w14:paraId="43DB1FE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14:paraId="77FA5D3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（五）参加政府采购活动前三年内，在经营活动中没有重大违法记录。■提供供应商书面声明；供应商自行承诺并承担后果，声明函不实的，按《政府采购法》有关提供虚假材料的规定给予处罚。</w:t>
      </w:r>
    </w:p>
    <w:p w14:paraId="2AA8D22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 xml:space="preserve">（六）法律、行政法规规定的其他条件。■提供供应商书面声明；供应商自行承诺并承担后果，声明函不实的，按《政府采购法》有关提供虚假材料的规定给予处罚。 </w:t>
      </w:r>
    </w:p>
    <w:p w14:paraId="0E36372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2.4根据《关于在政府采购活动中查询及使用信用记录有关问题的通知》（财库【2016】125 号）的规定，对列入“失信被执行人（中国执行信息公开网）”、重大税收违法失信主体、政府采购严重违法失信行为记录名单 的响应人，拒绝参与本项目政府采购活动；【查询渠道 ： “ 信 用 中 国 ” 网 站 （ www.creditchina.gov.cn ） 、 中国政府采购网（www.ccgp.gov.cn）】。</w:t>
      </w:r>
    </w:p>
    <w:p w14:paraId="3B16F5D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2.5单位负责人为同一人或者存在直接控股、管理关系的不同供应商，不得参加本合同项下的政府采购活动。供应商自行承诺并承担后果，声明函不实的，按《政府采购法》有关提供虚假材料的有关规定给予处罚。■提供供应商书面声明。</w:t>
      </w:r>
    </w:p>
    <w:p w14:paraId="33A29A9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2.6为本招标项目提供整体设计、规范编制或者项目管理、监理、检测等服务的供应商，不得再参加本招标项目。供应商自行承诺并承担后果，声明函不实的，按《政府采购法》有关提供虚假材料的有关规定给予处罚。■提供供应商书面声明。</w:t>
      </w:r>
    </w:p>
    <w:p w14:paraId="293AB73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注：1. 所有证照均应在有效期内，证照如需年检的、应为经年检有效的证照；文中“近”、“前”指距投标截止时间。</w:t>
      </w:r>
    </w:p>
    <w:p w14:paraId="772D573B">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 资格证明材料（文件）应附于响应文件中并经供应商盖章。供应商对资格证明文件真实性有效合规承担责任，提供虚假材料的为无效投标并将进一步追究其责任。</w:t>
      </w:r>
    </w:p>
    <w:p w14:paraId="7A11AD2B">
      <w:pPr>
        <w:pStyle w:val="7"/>
        <w:tabs>
          <w:tab w:val="left" w:pos="0"/>
          <w:tab w:val="left" w:pos="3165"/>
          <w:tab w:val="center" w:pos="4153"/>
        </w:tabs>
        <w:autoSpaceDE w:val="0"/>
        <w:autoSpaceDN w:val="0"/>
        <w:adjustRightInd w:val="0"/>
        <w:spacing w:after="0" w:line="42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三、获取</w:t>
      </w:r>
      <w:bookmarkEnd w:id="5"/>
      <w:bookmarkEnd w:id="6"/>
      <w:bookmarkEnd w:id="7"/>
      <w:bookmarkEnd w:id="8"/>
      <w:bookmarkEnd w:id="9"/>
      <w:bookmarkEnd w:id="10"/>
      <w:r>
        <w:rPr>
          <w:rFonts w:hint="eastAsia" w:ascii="宋体" w:hAnsi="宋体" w:eastAsia="宋体" w:cs="宋体"/>
          <w:color w:val="auto"/>
          <w:sz w:val="21"/>
          <w:szCs w:val="21"/>
          <w:highlight w:val="none"/>
          <w:lang w:eastAsia="zh-CN"/>
        </w:rPr>
        <w:t>磋商文件</w:t>
      </w:r>
    </w:p>
    <w:p w14:paraId="2B9671F0">
      <w:pPr>
        <w:spacing w:line="3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4月13日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4月17日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single"/>
          <w:lang w:val="en-US" w:eastAsia="zh-CN"/>
        </w:rPr>
        <w:t>8:3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12：00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18：00</w:t>
      </w:r>
      <w:r>
        <w:rPr>
          <w:rFonts w:hint="eastAsia" w:ascii="宋体" w:hAnsi="宋体" w:eastAsia="宋体" w:cs="宋体"/>
          <w:color w:val="auto"/>
          <w:sz w:val="21"/>
          <w:szCs w:val="21"/>
          <w:highlight w:val="none"/>
        </w:rPr>
        <w:t>（北京时间，法定节假日除外）</w:t>
      </w:r>
      <w:bookmarkStart w:id="537" w:name="_GoBack"/>
      <w:bookmarkEnd w:id="537"/>
    </w:p>
    <w:p w14:paraId="70FCAB69">
      <w:pPr>
        <w:spacing w:line="360" w:lineRule="exact"/>
        <w:ind w:firstLine="53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安阳市文昌大道与曙光路交叉口国控大厦22楼2205</w:t>
      </w:r>
      <w:r>
        <w:rPr>
          <w:rFonts w:hint="eastAsia" w:ascii="宋体" w:hAnsi="宋体" w:eastAsia="宋体" w:cs="宋体"/>
          <w:color w:val="auto"/>
          <w:sz w:val="21"/>
          <w:szCs w:val="21"/>
          <w:highlight w:val="none"/>
        </w:rPr>
        <w:t>。</w:t>
      </w:r>
    </w:p>
    <w:p w14:paraId="6CF58287">
      <w:pPr>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网上报名：请将报名资料盖章扫描以邮件形式发送到pumi888@163.com。</w:t>
      </w:r>
    </w:p>
    <w:p w14:paraId="01178B25">
      <w:pPr>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现场报名：河南普米工程管理服务有限公司（安阳市文昌大道与曙光路交叉口国控大厦22楼2205）。</w:t>
      </w:r>
    </w:p>
    <w:p w14:paraId="3A1D76FF">
      <w:pPr>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购买磋商文件须提供以下资料：（1）单位负责人（证照列示的法定代表人或负责人）经办时需提供：有效营业执照（或相应证照）、本人身份证复印件。</w:t>
      </w:r>
    </w:p>
    <w:p w14:paraId="417424F2">
      <w:pPr>
        <w:spacing w:line="360" w:lineRule="exact"/>
        <w:ind w:firstLine="54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（2）非单位负责人（证照列示的法定代表人或负责人）经办时需提供：有效营业执照（或相应证照）、本人身份证、单位负责人授权委托书（附单位负责人身份证）复印件。</w:t>
      </w:r>
    </w:p>
    <w:p w14:paraId="71A33118">
      <w:pPr>
        <w:spacing w:line="360" w:lineRule="exact"/>
        <w:ind w:firstLine="5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/供应商</w:t>
      </w:r>
    </w:p>
    <w:p w14:paraId="3B1C22FD">
      <w:pPr>
        <w:pStyle w:val="7"/>
        <w:tabs>
          <w:tab w:val="left" w:pos="0"/>
          <w:tab w:val="left" w:pos="3165"/>
          <w:tab w:val="center" w:pos="4153"/>
        </w:tabs>
        <w:autoSpaceDE w:val="0"/>
        <w:autoSpaceDN w:val="0"/>
        <w:adjustRightInd w:val="0"/>
        <w:spacing w:after="0" w:line="420" w:lineRule="exact"/>
        <w:jc w:val="left"/>
        <w:rPr>
          <w:rFonts w:hint="eastAsia" w:ascii="宋体" w:hAnsi="宋体" w:eastAsia="宋体" w:cs="宋体"/>
          <w:color w:val="auto"/>
          <w:sz w:val="21"/>
          <w:szCs w:val="21"/>
          <w:highlight w:val="none"/>
        </w:rPr>
      </w:pPr>
      <w:bookmarkStart w:id="16" w:name="_Toc35393793"/>
      <w:bookmarkStart w:id="17" w:name="_Toc28359082"/>
      <w:bookmarkStart w:id="18" w:name="_Toc35393624"/>
      <w:bookmarkStart w:id="19" w:name="_Toc28359005"/>
      <w:bookmarkStart w:id="20" w:name="_Toc2595"/>
      <w:bookmarkStart w:id="21" w:name="_Toc22143"/>
      <w:r>
        <w:rPr>
          <w:rFonts w:hint="eastAsia" w:ascii="宋体" w:hAnsi="宋体" w:eastAsia="宋体" w:cs="宋体"/>
          <w:color w:val="auto"/>
          <w:sz w:val="21"/>
          <w:szCs w:val="21"/>
          <w:highlight w:val="none"/>
        </w:rPr>
        <w:t>四、</w:t>
      </w:r>
      <w:bookmarkEnd w:id="16"/>
      <w:bookmarkEnd w:id="17"/>
      <w:bookmarkEnd w:id="18"/>
      <w:bookmarkEnd w:id="19"/>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提交</w:t>
      </w:r>
      <w:bookmarkEnd w:id="20"/>
      <w:bookmarkEnd w:id="21"/>
    </w:p>
    <w:p w14:paraId="00044C28">
      <w:pPr>
        <w:spacing w:line="42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4月23日上午9点30分</w:t>
      </w:r>
      <w:r>
        <w:rPr>
          <w:rFonts w:hint="eastAsia" w:ascii="宋体" w:hAnsi="宋体" w:eastAsia="宋体" w:cs="宋体"/>
          <w:color w:val="auto"/>
          <w:sz w:val="21"/>
          <w:szCs w:val="21"/>
          <w:highlight w:val="none"/>
        </w:rPr>
        <w:t>（北京时间）</w:t>
      </w:r>
    </w:p>
    <w:p w14:paraId="49B8A19D">
      <w:pPr>
        <w:spacing w:line="42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地点：河南普米工程管理服务有限公司开标室（</w:t>
      </w:r>
      <w:r>
        <w:rPr>
          <w:rFonts w:hint="eastAsia" w:ascii="宋体" w:hAnsi="宋体" w:eastAsia="宋体" w:cs="宋体"/>
          <w:color w:val="auto"/>
          <w:sz w:val="21"/>
          <w:szCs w:val="21"/>
          <w:highlight w:val="none"/>
          <w:lang w:eastAsia="zh-CN"/>
        </w:rPr>
        <w:t>安阳市文昌大道与曙光路交叉口国控大厦22楼220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127886DA">
      <w:pPr>
        <w:pStyle w:val="7"/>
        <w:tabs>
          <w:tab w:val="left" w:pos="0"/>
          <w:tab w:val="left" w:pos="3165"/>
          <w:tab w:val="center" w:pos="4153"/>
        </w:tabs>
        <w:autoSpaceDE w:val="0"/>
        <w:autoSpaceDN w:val="0"/>
        <w:adjustRightInd w:val="0"/>
        <w:spacing w:after="0" w:line="420" w:lineRule="exact"/>
        <w:jc w:val="left"/>
        <w:rPr>
          <w:rFonts w:hint="eastAsia" w:ascii="宋体" w:hAnsi="宋体" w:eastAsia="宋体" w:cs="宋体"/>
          <w:color w:val="auto"/>
          <w:sz w:val="21"/>
          <w:szCs w:val="21"/>
          <w:highlight w:val="none"/>
        </w:rPr>
      </w:pPr>
      <w:bookmarkStart w:id="22" w:name="_Toc26521"/>
      <w:bookmarkStart w:id="23" w:name="_Toc29852"/>
      <w:r>
        <w:rPr>
          <w:rFonts w:hint="eastAsia" w:ascii="宋体" w:hAnsi="宋体" w:eastAsia="宋体" w:cs="宋体"/>
          <w:color w:val="auto"/>
          <w:sz w:val="21"/>
          <w:szCs w:val="21"/>
          <w:highlight w:val="none"/>
        </w:rPr>
        <w:t>五、开启（竞争性磋商方式必须填写）</w:t>
      </w:r>
      <w:bookmarkEnd w:id="22"/>
      <w:bookmarkEnd w:id="23"/>
    </w:p>
    <w:p w14:paraId="3A9487F4">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4月23日上午9点30分</w:t>
      </w:r>
      <w:r>
        <w:rPr>
          <w:rFonts w:hint="eastAsia" w:ascii="宋体" w:hAnsi="宋体" w:eastAsia="宋体" w:cs="宋体"/>
          <w:color w:val="auto"/>
          <w:sz w:val="21"/>
          <w:szCs w:val="21"/>
          <w:highlight w:val="none"/>
        </w:rPr>
        <w:t>（北京时间）</w:t>
      </w:r>
    </w:p>
    <w:p w14:paraId="4AD09678">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地点：河南普米工程管理服务有限公司开标室（</w:t>
      </w:r>
      <w:r>
        <w:rPr>
          <w:rFonts w:hint="eastAsia" w:ascii="宋体" w:hAnsi="宋体" w:eastAsia="宋体" w:cs="宋体"/>
          <w:color w:val="auto"/>
          <w:sz w:val="21"/>
          <w:szCs w:val="21"/>
          <w:highlight w:val="none"/>
          <w:lang w:eastAsia="zh-CN"/>
        </w:rPr>
        <w:t>安阳市文昌大道与曙光路交叉口国控大厦22楼220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0BF1C5C6">
      <w:pPr>
        <w:pStyle w:val="7"/>
        <w:tabs>
          <w:tab w:val="left" w:pos="0"/>
          <w:tab w:val="left" w:pos="3165"/>
          <w:tab w:val="center" w:pos="4153"/>
        </w:tabs>
        <w:autoSpaceDE w:val="0"/>
        <w:autoSpaceDN w:val="0"/>
        <w:adjustRightInd w:val="0"/>
        <w:spacing w:after="0" w:line="420" w:lineRule="exact"/>
        <w:jc w:val="left"/>
        <w:rPr>
          <w:rFonts w:hint="default" w:ascii="宋体" w:hAnsi="宋体" w:eastAsia="宋体" w:cs="宋体"/>
          <w:color w:val="auto"/>
          <w:sz w:val="21"/>
          <w:szCs w:val="21"/>
          <w:highlight w:val="none"/>
          <w:lang w:val="en-US" w:eastAsia="zh-CN"/>
        </w:rPr>
      </w:pPr>
      <w:bookmarkStart w:id="24" w:name="_Toc4746"/>
      <w:bookmarkStart w:id="25" w:name="_Toc35393625"/>
      <w:bookmarkStart w:id="26" w:name="_Toc5001"/>
      <w:bookmarkStart w:id="27" w:name="_Toc28359007"/>
      <w:bookmarkStart w:id="28" w:name="_Toc28359084"/>
      <w:bookmarkStart w:id="29" w:name="_Toc35393794"/>
      <w:r>
        <w:rPr>
          <w:rFonts w:hint="eastAsia" w:ascii="宋体" w:hAnsi="宋体" w:eastAsia="宋体" w:cs="宋体"/>
          <w:color w:val="auto"/>
          <w:sz w:val="21"/>
          <w:szCs w:val="21"/>
          <w:highlight w:val="none"/>
        </w:rPr>
        <w:t>六、</w:t>
      </w:r>
      <w:bookmarkEnd w:id="24"/>
      <w:bookmarkEnd w:id="25"/>
      <w:bookmarkEnd w:id="26"/>
      <w:bookmarkEnd w:id="27"/>
      <w:bookmarkEnd w:id="28"/>
      <w:bookmarkEnd w:id="29"/>
      <w:r>
        <w:rPr>
          <w:rFonts w:hint="eastAsia" w:ascii="宋体" w:hAnsi="宋体" w:eastAsia="宋体" w:cs="宋体"/>
          <w:color w:val="auto"/>
          <w:sz w:val="21"/>
          <w:szCs w:val="21"/>
          <w:highlight w:val="none"/>
          <w:lang w:val="en-US" w:eastAsia="zh-CN"/>
        </w:rPr>
        <w:t>发布公告的媒介及公告期限</w:t>
      </w:r>
    </w:p>
    <w:p w14:paraId="17A3166C">
      <w:pPr>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本次公告在《河南省政府采购网》、《安阳市政府采购网》发布</w:t>
      </w:r>
      <w:r>
        <w:rPr>
          <w:rFonts w:hint="eastAsia" w:ascii="宋体" w:hAnsi="宋体" w:eastAsia="宋体" w:cs="宋体"/>
          <w:color w:val="auto"/>
          <w:sz w:val="21"/>
          <w:szCs w:val="21"/>
          <w:highlight w:val="none"/>
          <w:lang w:eastAsia="zh-CN"/>
        </w:rPr>
        <w:t>。</w:t>
      </w:r>
    </w:p>
    <w:p w14:paraId="3C0E9626">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w:t>
      </w:r>
    </w:p>
    <w:p w14:paraId="36F36EC8">
      <w:pPr>
        <w:pStyle w:val="7"/>
        <w:tabs>
          <w:tab w:val="left" w:pos="0"/>
          <w:tab w:val="left" w:pos="3165"/>
          <w:tab w:val="center" w:pos="4153"/>
        </w:tabs>
        <w:autoSpaceDE w:val="0"/>
        <w:autoSpaceDN w:val="0"/>
        <w:adjustRightInd w:val="0"/>
        <w:spacing w:after="0" w:line="420" w:lineRule="exact"/>
        <w:jc w:val="left"/>
        <w:rPr>
          <w:rFonts w:hint="eastAsia" w:ascii="宋体" w:hAnsi="宋体" w:eastAsia="宋体" w:cs="宋体"/>
          <w:color w:val="auto"/>
          <w:sz w:val="21"/>
          <w:szCs w:val="21"/>
          <w:highlight w:val="none"/>
        </w:rPr>
      </w:pPr>
      <w:bookmarkStart w:id="30" w:name="_Toc27122"/>
      <w:bookmarkStart w:id="31" w:name="_Toc35393795"/>
      <w:bookmarkStart w:id="32" w:name="_Toc35393626"/>
      <w:bookmarkStart w:id="33" w:name="_Toc24934"/>
      <w:r>
        <w:rPr>
          <w:rFonts w:hint="eastAsia" w:ascii="宋体" w:hAnsi="宋体" w:eastAsia="宋体" w:cs="宋体"/>
          <w:color w:val="auto"/>
          <w:sz w:val="21"/>
          <w:szCs w:val="21"/>
          <w:highlight w:val="none"/>
        </w:rPr>
        <w:t>七、其他补充事宜</w:t>
      </w:r>
      <w:bookmarkEnd w:id="30"/>
      <w:bookmarkEnd w:id="31"/>
      <w:bookmarkEnd w:id="32"/>
      <w:bookmarkEnd w:id="33"/>
    </w:p>
    <w:p w14:paraId="6BE0BB40">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5DB95A77">
      <w:pPr>
        <w:spacing w:line="420" w:lineRule="exact"/>
        <w:ind w:firstLine="420" w:firstLineChars="200"/>
        <w:rPr>
          <w:rFonts w:hint="eastAsia" w:ascii="宋体" w:hAnsi="宋体" w:eastAsia="宋体" w:cs="宋体"/>
          <w:color w:val="auto"/>
          <w:sz w:val="21"/>
          <w:szCs w:val="21"/>
          <w:highlight w:val="none"/>
        </w:rPr>
      </w:pPr>
      <w:bookmarkStart w:id="34" w:name="_Toc28359008"/>
      <w:bookmarkStart w:id="35" w:name="_Toc35393796"/>
      <w:bookmarkStart w:id="36" w:name="_Toc28359085"/>
      <w:bookmarkStart w:id="37" w:name="_Toc35393627"/>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.政府采购合同融资 </w:t>
      </w:r>
    </w:p>
    <w:p w14:paraId="1E611773">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根据豫财购〔2017〕10号和安财购〔2017〕7号文要求，参加政府采购项目的中小微企业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，持中标（成交）通知书可向金融机构申请合同融资，详情请登录安阳市政府采购网（</w:t>
      </w:r>
      <w:r>
        <w:rPr>
          <w:rFonts w:hint="eastAsia" w:ascii="宋体" w:hAnsi="宋体" w:eastAsia="宋体" w:cs="宋体"/>
          <w:color w:val="auto"/>
          <w:sz w:val="21"/>
          <w:szCs w:val="21"/>
          <w:highlight w:val="none"/>
          <w:lang w:eastAsia="zh-CN"/>
        </w:rPr>
        <w:t>https://anyang.zfcg.henan.gov.cn/</w:t>
      </w:r>
      <w:r>
        <w:rPr>
          <w:rFonts w:hint="eastAsia" w:ascii="宋体" w:hAnsi="宋体" w:eastAsia="宋体" w:cs="宋体"/>
          <w:color w:val="auto"/>
          <w:sz w:val="21"/>
          <w:szCs w:val="21"/>
          <w:highlight w:val="none"/>
        </w:rPr>
        <w:t>），进入网站飘窗或业务指南窗口了解金融机构提供的融资服务内容。</w:t>
      </w:r>
    </w:p>
    <w:p w14:paraId="0F1CD10A">
      <w:pPr>
        <w:pStyle w:val="7"/>
        <w:tabs>
          <w:tab w:val="left" w:pos="0"/>
          <w:tab w:val="left" w:pos="3165"/>
          <w:tab w:val="center" w:pos="4153"/>
        </w:tabs>
        <w:autoSpaceDE w:val="0"/>
        <w:autoSpaceDN w:val="0"/>
        <w:adjustRightInd w:val="0"/>
        <w:spacing w:after="0" w:line="420" w:lineRule="exact"/>
        <w:jc w:val="left"/>
        <w:rPr>
          <w:rFonts w:hint="eastAsia" w:ascii="宋体" w:hAnsi="宋体" w:eastAsia="宋体" w:cs="宋体"/>
          <w:color w:val="auto"/>
          <w:sz w:val="21"/>
          <w:szCs w:val="21"/>
          <w:highlight w:val="none"/>
        </w:rPr>
      </w:pPr>
      <w:bookmarkStart w:id="38" w:name="_Toc12350"/>
      <w:bookmarkStart w:id="39" w:name="_Toc30925"/>
      <w:r>
        <w:rPr>
          <w:rFonts w:hint="eastAsia" w:ascii="宋体" w:hAnsi="宋体" w:eastAsia="宋体" w:cs="宋体"/>
          <w:color w:val="auto"/>
          <w:sz w:val="21"/>
          <w:szCs w:val="21"/>
          <w:highlight w:val="none"/>
        </w:rPr>
        <w:t>八、对本次招标提出询问，请按以下方式联系</w:t>
      </w:r>
      <w:bookmarkEnd w:id="34"/>
      <w:bookmarkEnd w:id="35"/>
      <w:bookmarkEnd w:id="36"/>
      <w:bookmarkEnd w:id="37"/>
      <w:bookmarkEnd w:id="38"/>
      <w:bookmarkEnd w:id="39"/>
    </w:p>
    <w:p w14:paraId="1541C3A0">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采购人信息 </w:t>
      </w:r>
    </w:p>
    <w:p w14:paraId="5298CD3F">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名称：安阳高新技术产业开发区智慧城市运营中心 </w:t>
      </w:r>
    </w:p>
    <w:p w14:paraId="2B1F8C9C">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地址：安阳高新技术产业开发区黄河大道中段 </w:t>
      </w:r>
    </w:p>
    <w:p w14:paraId="7D7C2B20">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联系人：王晓刚 </w:t>
      </w:r>
    </w:p>
    <w:p w14:paraId="634CEFA7">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联系方式：15090019225 </w:t>
      </w:r>
    </w:p>
    <w:p w14:paraId="549DF933">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2.采购代理机构信息（如有） </w:t>
      </w:r>
    </w:p>
    <w:p w14:paraId="5346EE7E">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名称：河南普米工程管理服务有限公司 </w:t>
      </w:r>
    </w:p>
    <w:p w14:paraId="28973E5D">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地址：安阳市文昌大道与曙光路交叉口国控大厦22楼2205 </w:t>
      </w:r>
    </w:p>
    <w:p w14:paraId="4665D39B">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李静</w:t>
      </w:r>
      <w:r>
        <w:rPr>
          <w:rFonts w:hint="eastAsia" w:ascii="宋体" w:hAnsi="宋体" w:eastAsia="宋体" w:cs="宋体"/>
          <w:color w:val="auto"/>
          <w:sz w:val="21"/>
          <w:szCs w:val="21"/>
          <w:highlight w:val="none"/>
          <w:lang w:eastAsia="zh-CN"/>
        </w:rPr>
        <w:t xml:space="preserve"> </w:t>
      </w:r>
    </w:p>
    <w:p w14:paraId="6D3EBF48">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联系方式：15637221992 0372-6867156</w:t>
      </w:r>
    </w:p>
    <w:p w14:paraId="61602B84">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3.项目联系方式 </w:t>
      </w:r>
    </w:p>
    <w:p w14:paraId="3B11C38E">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李静</w:t>
      </w:r>
      <w:r>
        <w:rPr>
          <w:rFonts w:hint="eastAsia" w:ascii="宋体" w:hAnsi="宋体" w:eastAsia="宋体" w:cs="宋体"/>
          <w:color w:val="auto"/>
          <w:sz w:val="21"/>
          <w:szCs w:val="21"/>
          <w:highlight w:val="none"/>
          <w:lang w:eastAsia="zh-CN"/>
        </w:rPr>
        <w:t xml:space="preserve"> </w:t>
      </w:r>
    </w:p>
    <w:p w14:paraId="44EB63B2">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联系方式：15637221992 0372-6867156</w:t>
      </w:r>
    </w:p>
    <w:p w14:paraId="725DDB42">
      <w:pPr>
        <w:pStyle w:val="25"/>
        <w:spacing w:after="0" w:line="408" w:lineRule="auto"/>
        <w:ind w:firstLine="420" w:firstLineChars="200"/>
        <w:rPr>
          <w:rFonts w:ascii="宋体" w:hAnsi="宋体" w:eastAsia="宋体" w:cs="宋体"/>
          <w:color w:val="auto"/>
          <w:sz w:val="21"/>
          <w:szCs w:val="21"/>
          <w:highlight w:val="none"/>
        </w:rPr>
      </w:pPr>
    </w:p>
    <w:p w14:paraId="4044EA36">
      <w:pPr>
        <w:keepNext w:val="0"/>
        <w:keepLines w:val="0"/>
        <w:pageBreakBefore/>
        <w:widowControl/>
        <w:kinsoku/>
        <w:wordWrap/>
        <w:overflowPunct/>
        <w:topLinePunct w:val="0"/>
        <w:autoSpaceDE/>
        <w:autoSpaceDN/>
        <w:bidi w:val="0"/>
        <w:adjustRightInd/>
        <w:snapToGrid/>
        <w:spacing w:after="0"/>
        <w:jc w:val="center"/>
        <w:textAlignment w:val="auto"/>
        <w:outlineLvl w:val="0"/>
        <w:rPr>
          <w:rFonts w:ascii="宋体" w:hAnsi="宋体" w:eastAsia="宋体" w:cs="宋体"/>
          <w:b/>
          <w:color w:val="auto"/>
          <w:sz w:val="44"/>
          <w:szCs w:val="22"/>
          <w:highlight w:val="none"/>
        </w:rPr>
      </w:pPr>
      <w:r>
        <w:rPr>
          <w:rFonts w:hint="eastAsia" w:ascii="宋体" w:hAnsi="宋体" w:eastAsia="宋体" w:cs="宋体"/>
          <w:b/>
          <w:color w:val="auto"/>
          <w:sz w:val="44"/>
          <w:szCs w:val="22"/>
          <w:highlight w:val="none"/>
        </w:rPr>
        <w:t>第二</w:t>
      </w:r>
      <w:bookmarkStart w:id="40" w:name="_Toc470076921"/>
      <w:bookmarkStart w:id="41" w:name="_Toc421694654"/>
      <w:r>
        <w:rPr>
          <w:rFonts w:hint="eastAsia" w:ascii="宋体" w:hAnsi="宋体" w:eastAsia="宋体" w:cs="宋体"/>
          <w:b/>
          <w:color w:val="auto"/>
          <w:sz w:val="44"/>
          <w:szCs w:val="22"/>
          <w:highlight w:val="none"/>
        </w:rPr>
        <w:t xml:space="preserve">章 </w:t>
      </w:r>
      <w:r>
        <w:rPr>
          <w:rFonts w:hint="eastAsia" w:ascii="宋体" w:hAnsi="宋体" w:eastAsia="宋体" w:cs="宋体"/>
          <w:b/>
          <w:color w:val="auto"/>
          <w:sz w:val="44"/>
          <w:szCs w:val="22"/>
          <w:highlight w:val="none"/>
          <w:lang w:val="en-US" w:eastAsia="zh-CN"/>
        </w:rPr>
        <w:t xml:space="preserve"> </w:t>
      </w:r>
      <w:r>
        <w:rPr>
          <w:rFonts w:hint="eastAsia" w:ascii="宋体" w:hAnsi="宋体" w:eastAsia="宋体" w:cs="宋体"/>
          <w:b/>
          <w:color w:val="auto"/>
          <w:sz w:val="44"/>
          <w:szCs w:val="22"/>
          <w:highlight w:val="none"/>
          <w:lang w:eastAsia="zh-CN"/>
        </w:rPr>
        <w:t>供应商</w:t>
      </w:r>
      <w:r>
        <w:rPr>
          <w:rFonts w:hint="eastAsia" w:ascii="宋体" w:hAnsi="宋体" w:eastAsia="宋体" w:cs="宋体"/>
          <w:b/>
          <w:color w:val="auto"/>
          <w:sz w:val="44"/>
          <w:szCs w:val="22"/>
          <w:highlight w:val="none"/>
        </w:rPr>
        <w:t>须知</w:t>
      </w:r>
      <w:bookmarkEnd w:id="2"/>
      <w:bookmarkEnd w:id="3"/>
      <w:bookmarkEnd w:id="40"/>
      <w:bookmarkEnd w:id="41"/>
    </w:p>
    <w:p w14:paraId="0C6FC9FE">
      <w:pPr>
        <w:spacing w:after="120" w:afterLines="50" w:line="400" w:lineRule="exact"/>
        <w:jc w:val="center"/>
        <w:outlineLvl w:val="1"/>
        <w:rPr>
          <w:rFonts w:ascii="宋体" w:hAnsi="宋体" w:eastAsia="宋体" w:cs="宋体"/>
          <w:b/>
          <w:color w:val="auto"/>
          <w:sz w:val="52"/>
          <w:szCs w:val="52"/>
          <w:highlight w:val="none"/>
        </w:rPr>
      </w:pPr>
      <w:bookmarkStart w:id="42" w:name="_Toc470076922"/>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w:t>
      </w:r>
      <w:bookmarkEnd w:id="42"/>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775"/>
        <w:gridCol w:w="6063"/>
      </w:tblGrid>
      <w:tr w14:paraId="4F22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2E0190D3">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b/>
                <w:color w:val="auto"/>
                <w:sz w:val="21"/>
                <w:szCs w:val="21"/>
                <w:highlight w:val="none"/>
              </w:rPr>
            </w:pPr>
            <w:bookmarkStart w:id="43" w:name="_Toc470076923"/>
            <w:bookmarkStart w:id="44" w:name="_Toc1627"/>
            <w:bookmarkStart w:id="45" w:name="_Toc396673285"/>
            <w:bookmarkStart w:id="46" w:name="_Toc421694656"/>
            <w:bookmarkStart w:id="47" w:name="_Toc436423262"/>
            <w:bookmarkStart w:id="48" w:name="_Toc420238747"/>
            <w:bookmarkStart w:id="49" w:name="_Toc421698760"/>
            <w:bookmarkStart w:id="50" w:name="_Toc420509019"/>
            <w:bookmarkStart w:id="51" w:name="_Toc469902624"/>
            <w:bookmarkStart w:id="52" w:name="_Toc370116201"/>
            <w:bookmarkStart w:id="53" w:name="_Toc380758910"/>
            <w:bookmarkStart w:id="54" w:name="_Toc15086"/>
            <w:bookmarkStart w:id="55" w:name="_Toc370116075"/>
            <w:bookmarkStart w:id="56" w:name="_Toc370141169"/>
            <w:bookmarkStart w:id="57" w:name="_Toc436422918"/>
            <w:r>
              <w:rPr>
                <w:rFonts w:hint="eastAsia" w:ascii="宋体" w:hAnsi="宋体" w:eastAsia="宋体" w:cs="宋体"/>
                <w:b/>
                <w:color w:val="auto"/>
                <w:sz w:val="21"/>
                <w:szCs w:val="21"/>
                <w:highlight w:val="none"/>
              </w:rPr>
              <w:t>序号</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c>
        <w:tc>
          <w:tcPr>
            <w:tcW w:w="1045" w:type="pct"/>
            <w:vAlign w:val="center"/>
          </w:tcPr>
          <w:p w14:paraId="1E5AEDC1">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b/>
                <w:color w:val="auto"/>
                <w:sz w:val="21"/>
                <w:szCs w:val="21"/>
                <w:highlight w:val="none"/>
              </w:rPr>
            </w:pPr>
            <w:bookmarkStart w:id="58" w:name="_Toc436423263"/>
            <w:bookmarkStart w:id="59" w:name="_Toc370116202"/>
            <w:bookmarkStart w:id="60" w:name="_Toc420238748"/>
            <w:bookmarkStart w:id="61" w:name="_Toc470076924"/>
            <w:bookmarkStart w:id="62" w:name="_Toc421694657"/>
            <w:bookmarkStart w:id="63" w:name="_Toc436422919"/>
            <w:bookmarkStart w:id="64" w:name="_Toc380758911"/>
            <w:bookmarkStart w:id="65" w:name="_Toc396673286"/>
            <w:bookmarkStart w:id="66" w:name="_Toc26276"/>
            <w:bookmarkStart w:id="67" w:name="_Toc370141170"/>
            <w:bookmarkStart w:id="68" w:name="_Toc421698761"/>
            <w:bookmarkStart w:id="69" w:name="_Toc11052"/>
            <w:bookmarkStart w:id="70" w:name="_Toc370116076"/>
            <w:bookmarkStart w:id="71" w:name="_Toc420509020"/>
            <w:bookmarkStart w:id="72" w:name="_Toc469902625"/>
            <w:r>
              <w:rPr>
                <w:rFonts w:hint="eastAsia" w:ascii="宋体" w:hAnsi="宋体" w:eastAsia="宋体" w:cs="宋体"/>
                <w:b/>
                <w:color w:val="auto"/>
                <w:sz w:val="21"/>
                <w:szCs w:val="21"/>
                <w:highlight w:val="none"/>
              </w:rPr>
              <w:t>名   称</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tc>
        <w:tc>
          <w:tcPr>
            <w:tcW w:w="3569" w:type="pct"/>
            <w:vAlign w:val="center"/>
          </w:tcPr>
          <w:p w14:paraId="340DBBEE">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b/>
                <w:color w:val="auto"/>
                <w:sz w:val="21"/>
                <w:szCs w:val="21"/>
                <w:highlight w:val="none"/>
              </w:rPr>
            </w:pPr>
            <w:bookmarkStart w:id="73" w:name="_Toc12205"/>
            <w:bookmarkStart w:id="74" w:name="_Toc420238749"/>
            <w:bookmarkStart w:id="75" w:name="_Toc436423264"/>
            <w:bookmarkStart w:id="76" w:name="_Toc420509021"/>
            <w:bookmarkStart w:id="77" w:name="_Toc370116077"/>
            <w:bookmarkStart w:id="78" w:name="_Toc370116203"/>
            <w:bookmarkStart w:id="79" w:name="_Toc470076925"/>
            <w:bookmarkStart w:id="80" w:name="_Toc370141171"/>
            <w:bookmarkStart w:id="81" w:name="_Toc469902626"/>
            <w:bookmarkStart w:id="82" w:name="_Toc436422920"/>
            <w:bookmarkStart w:id="83" w:name="_Toc6510"/>
            <w:bookmarkStart w:id="84" w:name="_Toc421694658"/>
            <w:bookmarkStart w:id="85" w:name="_Toc421698762"/>
            <w:bookmarkStart w:id="86" w:name="_Toc396673287"/>
            <w:bookmarkStart w:id="87" w:name="_Toc380758912"/>
            <w:r>
              <w:rPr>
                <w:rFonts w:hint="eastAsia" w:ascii="宋体" w:hAnsi="宋体" w:eastAsia="宋体" w:cs="宋体"/>
                <w:b/>
                <w:color w:val="auto"/>
                <w:sz w:val="21"/>
                <w:szCs w:val="21"/>
                <w:highlight w:val="none"/>
              </w:rPr>
              <w:t>内      容</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r>
      <w:tr w14:paraId="6BC2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617FAAA8">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88" w:name="_Toc17041"/>
            <w:bookmarkStart w:id="89" w:name="_Toc420238750"/>
            <w:bookmarkStart w:id="90" w:name="_Toc470076926"/>
            <w:bookmarkStart w:id="91" w:name="_Toc436422921"/>
            <w:bookmarkStart w:id="92" w:name="_Toc370141172"/>
            <w:bookmarkStart w:id="93" w:name="_Toc370116204"/>
            <w:bookmarkStart w:id="94" w:name="_Toc13415"/>
            <w:bookmarkStart w:id="95" w:name="_Toc380758913"/>
            <w:bookmarkStart w:id="96" w:name="_Toc469902627"/>
            <w:bookmarkStart w:id="97" w:name="_Toc436423265"/>
            <w:bookmarkStart w:id="98" w:name="_Toc421698763"/>
            <w:bookmarkStart w:id="99" w:name="_Toc396673288"/>
            <w:bookmarkStart w:id="100" w:name="_Toc420509022"/>
            <w:bookmarkStart w:id="101" w:name="_Toc421694659"/>
            <w:bookmarkStart w:id="102" w:name="_Toc370116078"/>
            <w:r>
              <w:rPr>
                <w:rFonts w:hint="eastAsia" w:ascii="宋体" w:hAnsi="宋体" w:eastAsia="宋体" w:cs="宋体"/>
                <w:color w:val="auto"/>
                <w:sz w:val="21"/>
                <w:szCs w:val="21"/>
                <w:highlight w:val="none"/>
              </w:rPr>
              <w:t>1</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1045" w:type="pct"/>
            <w:vAlign w:val="center"/>
          </w:tcPr>
          <w:p w14:paraId="773745B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03" w:name="_Toc380758914"/>
            <w:bookmarkStart w:id="104" w:name="_Toc31155"/>
            <w:bookmarkStart w:id="105" w:name="_Toc396673289"/>
            <w:bookmarkStart w:id="106" w:name="_Toc420238751"/>
            <w:bookmarkStart w:id="107" w:name="_Toc370116205"/>
            <w:bookmarkStart w:id="108" w:name="_Toc3409"/>
            <w:bookmarkStart w:id="109" w:name="_Toc421694660"/>
            <w:bookmarkStart w:id="110" w:name="_Toc420509023"/>
            <w:bookmarkStart w:id="111" w:name="_Toc421698764"/>
            <w:bookmarkStart w:id="112" w:name="_Toc436423266"/>
            <w:bookmarkStart w:id="113" w:name="_Toc436422922"/>
            <w:bookmarkStart w:id="114" w:name="_Toc470076927"/>
            <w:bookmarkStart w:id="115" w:name="_Toc370116079"/>
            <w:bookmarkStart w:id="116" w:name="_Toc469902628"/>
            <w:bookmarkStart w:id="117" w:name="_Toc370141173"/>
            <w:r>
              <w:rPr>
                <w:rFonts w:hint="eastAsia" w:ascii="宋体" w:hAnsi="宋体" w:eastAsia="宋体" w:cs="宋体"/>
                <w:color w:val="auto"/>
                <w:sz w:val="21"/>
                <w:szCs w:val="21"/>
                <w:highlight w:val="none"/>
              </w:rPr>
              <w:t>项目名称</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c>
        <w:tc>
          <w:tcPr>
            <w:tcW w:w="3569" w:type="pct"/>
            <w:vAlign w:val="center"/>
          </w:tcPr>
          <w:p w14:paraId="2D0C0035">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安阳高新技术产业开发区智慧城市运营中心洪河（铁路桥—长江大道桥）河道保洁服务项目  </w:t>
            </w:r>
          </w:p>
        </w:tc>
      </w:tr>
      <w:tr w14:paraId="406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61496819">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18" w:name="_Toc396673291"/>
            <w:bookmarkStart w:id="119" w:name="_Toc370116081"/>
            <w:bookmarkStart w:id="120" w:name="_Toc469902630"/>
            <w:bookmarkStart w:id="121" w:name="_Toc31372"/>
            <w:bookmarkStart w:id="122" w:name="_Toc421698766"/>
            <w:bookmarkStart w:id="123" w:name="_Toc370141175"/>
            <w:bookmarkStart w:id="124" w:name="_Toc470076929"/>
            <w:bookmarkStart w:id="125" w:name="_Toc420238753"/>
            <w:bookmarkStart w:id="126" w:name="_Toc436422924"/>
            <w:bookmarkStart w:id="127" w:name="_Toc380758916"/>
            <w:bookmarkStart w:id="128" w:name="_Toc436423268"/>
            <w:bookmarkStart w:id="129" w:name="_Toc420509025"/>
            <w:bookmarkStart w:id="130" w:name="_Toc20691"/>
            <w:bookmarkStart w:id="131" w:name="_Toc370116207"/>
            <w:r>
              <w:rPr>
                <w:rFonts w:hint="eastAsia" w:ascii="宋体" w:hAnsi="宋体" w:eastAsia="宋体" w:cs="宋体"/>
                <w:color w:val="auto"/>
                <w:sz w:val="21"/>
                <w:szCs w:val="21"/>
                <w:highlight w:val="none"/>
              </w:rPr>
              <w:t>2</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tc>
        <w:tc>
          <w:tcPr>
            <w:tcW w:w="1045" w:type="pct"/>
            <w:vAlign w:val="center"/>
          </w:tcPr>
          <w:p w14:paraId="3D95857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32" w:name="_Toc12825"/>
            <w:bookmarkStart w:id="133" w:name="_Toc10907"/>
            <w:r>
              <w:rPr>
                <w:rFonts w:hint="eastAsia" w:ascii="宋体" w:hAnsi="宋体" w:eastAsia="宋体" w:cs="宋体"/>
                <w:color w:val="auto"/>
                <w:sz w:val="21"/>
                <w:szCs w:val="21"/>
                <w:highlight w:val="none"/>
              </w:rPr>
              <w:t>采购人</w:t>
            </w:r>
            <w:bookmarkEnd w:id="132"/>
            <w:bookmarkEnd w:id="133"/>
          </w:p>
        </w:tc>
        <w:tc>
          <w:tcPr>
            <w:tcW w:w="3569" w:type="pct"/>
            <w:vAlign w:val="center"/>
          </w:tcPr>
          <w:p w14:paraId="72D9D319">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安阳高新技术产业开发区智慧城市运营中心</w:t>
            </w:r>
          </w:p>
        </w:tc>
      </w:tr>
      <w:tr w14:paraId="71EB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229FA98C">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34" w:name="_Toc380758919"/>
            <w:bookmarkStart w:id="135" w:name="_Toc396673294"/>
            <w:bookmarkStart w:id="136" w:name="_Toc436422927"/>
            <w:bookmarkStart w:id="137" w:name="_Toc420509028"/>
            <w:bookmarkStart w:id="138" w:name="_Toc370141178"/>
            <w:bookmarkStart w:id="139" w:name="_Toc21147"/>
            <w:bookmarkStart w:id="140" w:name="_Toc370116084"/>
            <w:bookmarkStart w:id="141" w:name="_Toc370116210"/>
            <w:bookmarkStart w:id="142" w:name="_Toc1859"/>
            <w:bookmarkStart w:id="143" w:name="_Toc421698769"/>
            <w:bookmarkStart w:id="144" w:name="_Toc470076932"/>
            <w:bookmarkStart w:id="145" w:name="_Toc436423271"/>
            <w:bookmarkStart w:id="146" w:name="_Toc420238756"/>
            <w:bookmarkStart w:id="147" w:name="_Toc469902632"/>
            <w:r>
              <w:rPr>
                <w:rFonts w:hint="eastAsia" w:ascii="宋体" w:hAnsi="宋体" w:eastAsia="宋体" w:cs="宋体"/>
                <w:color w:val="auto"/>
                <w:sz w:val="21"/>
                <w:szCs w:val="21"/>
                <w:highlight w:val="none"/>
              </w:rPr>
              <w:t>3</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tc>
        <w:tc>
          <w:tcPr>
            <w:tcW w:w="1045" w:type="pct"/>
            <w:vAlign w:val="center"/>
          </w:tcPr>
          <w:p w14:paraId="6EC4519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48" w:name="_Toc22015"/>
            <w:bookmarkStart w:id="149" w:name="_Toc5061"/>
            <w:r>
              <w:rPr>
                <w:rFonts w:hint="eastAsia" w:ascii="宋体" w:hAnsi="宋体" w:eastAsia="宋体" w:cs="宋体"/>
                <w:color w:val="auto"/>
                <w:sz w:val="21"/>
                <w:szCs w:val="21"/>
                <w:highlight w:val="none"/>
              </w:rPr>
              <w:t>代理机构</w:t>
            </w:r>
            <w:bookmarkEnd w:id="148"/>
            <w:bookmarkEnd w:id="149"/>
          </w:p>
        </w:tc>
        <w:tc>
          <w:tcPr>
            <w:tcW w:w="3569" w:type="pct"/>
            <w:vAlign w:val="center"/>
          </w:tcPr>
          <w:p w14:paraId="1BA66653">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河南普米工程管理服务有限公司</w:t>
            </w:r>
          </w:p>
        </w:tc>
      </w:tr>
      <w:tr w14:paraId="2DDD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6CF6BD43">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50" w:name="_Toc436423274"/>
            <w:bookmarkStart w:id="151" w:name="_Toc396673297"/>
            <w:bookmarkStart w:id="152" w:name="_Toc420238759"/>
            <w:bookmarkStart w:id="153" w:name="_Toc16312"/>
            <w:bookmarkStart w:id="154" w:name="_Toc470076935"/>
            <w:bookmarkStart w:id="155" w:name="_Toc5005"/>
            <w:bookmarkStart w:id="156" w:name="_Toc380758922"/>
            <w:bookmarkStart w:id="157" w:name="_Toc421698772"/>
            <w:bookmarkStart w:id="158" w:name="_Toc436422930"/>
            <w:bookmarkStart w:id="159" w:name="_Toc469902635"/>
            <w:bookmarkStart w:id="160" w:name="_Toc420509031"/>
            <w:r>
              <w:rPr>
                <w:rFonts w:hint="eastAsia" w:ascii="宋体" w:hAnsi="宋体" w:eastAsia="宋体" w:cs="宋体"/>
                <w:color w:val="auto"/>
                <w:sz w:val="21"/>
                <w:szCs w:val="21"/>
                <w:highlight w:val="none"/>
              </w:rPr>
              <w:t>4</w:t>
            </w:r>
            <w:bookmarkEnd w:id="150"/>
            <w:bookmarkEnd w:id="151"/>
            <w:bookmarkEnd w:id="152"/>
            <w:bookmarkEnd w:id="153"/>
            <w:bookmarkEnd w:id="154"/>
            <w:bookmarkEnd w:id="155"/>
            <w:bookmarkEnd w:id="156"/>
            <w:bookmarkEnd w:id="157"/>
            <w:bookmarkEnd w:id="158"/>
            <w:bookmarkEnd w:id="159"/>
            <w:bookmarkEnd w:id="160"/>
          </w:p>
        </w:tc>
        <w:tc>
          <w:tcPr>
            <w:tcW w:w="1045" w:type="pct"/>
            <w:vAlign w:val="center"/>
          </w:tcPr>
          <w:p w14:paraId="143D0AD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61" w:name="_Toc380758923"/>
            <w:bookmarkStart w:id="162" w:name="_Toc370116091"/>
            <w:bookmarkStart w:id="163" w:name="_Toc470076936"/>
            <w:bookmarkStart w:id="164" w:name="_Toc370141185"/>
            <w:bookmarkStart w:id="165" w:name="_Toc469902636"/>
            <w:bookmarkStart w:id="166" w:name="_Toc420238760"/>
            <w:bookmarkStart w:id="167" w:name="_Toc370116217"/>
            <w:bookmarkStart w:id="168" w:name="_Toc420509032"/>
            <w:bookmarkStart w:id="169" w:name="_Toc396673298"/>
            <w:bookmarkStart w:id="170" w:name="_Toc421698773"/>
            <w:bookmarkStart w:id="171" w:name="_Toc23736"/>
            <w:bookmarkStart w:id="172" w:name="_Toc436422931"/>
            <w:bookmarkStart w:id="173" w:name="_Toc436423275"/>
            <w:bookmarkStart w:id="174" w:name="_Toc24657"/>
            <w:r>
              <w:rPr>
                <w:rFonts w:hint="eastAsia" w:ascii="宋体" w:hAnsi="宋体" w:eastAsia="宋体" w:cs="宋体"/>
                <w:color w:val="auto"/>
                <w:sz w:val="21"/>
                <w:szCs w:val="21"/>
                <w:highlight w:val="none"/>
              </w:rPr>
              <w:t>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c>
        <w:tc>
          <w:tcPr>
            <w:tcW w:w="3569" w:type="pct"/>
            <w:vAlign w:val="center"/>
          </w:tcPr>
          <w:p w14:paraId="188DD8D0">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0766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1014AB9B">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75" w:name="_Toc470076938"/>
            <w:bookmarkStart w:id="176" w:name="_Toc469902638"/>
            <w:bookmarkStart w:id="177" w:name="_Toc421698775"/>
            <w:bookmarkStart w:id="178" w:name="_Toc8620"/>
            <w:bookmarkStart w:id="179" w:name="_Toc380758925"/>
            <w:bookmarkStart w:id="180" w:name="_Toc436422933"/>
            <w:bookmarkStart w:id="181" w:name="_Toc420509034"/>
            <w:bookmarkStart w:id="182" w:name="_Toc436423277"/>
            <w:bookmarkStart w:id="183" w:name="_Toc5531"/>
            <w:bookmarkStart w:id="184" w:name="_Toc396673300"/>
            <w:bookmarkStart w:id="185" w:name="_Toc420238762"/>
            <w:r>
              <w:rPr>
                <w:rFonts w:hint="eastAsia" w:ascii="宋体" w:hAnsi="宋体" w:eastAsia="宋体" w:cs="宋体"/>
                <w:color w:val="auto"/>
                <w:sz w:val="21"/>
                <w:szCs w:val="21"/>
                <w:highlight w:val="none"/>
              </w:rPr>
              <w:t>5</w:t>
            </w:r>
            <w:bookmarkEnd w:id="175"/>
            <w:bookmarkEnd w:id="176"/>
            <w:bookmarkEnd w:id="177"/>
            <w:bookmarkEnd w:id="178"/>
            <w:bookmarkEnd w:id="179"/>
            <w:bookmarkEnd w:id="180"/>
            <w:bookmarkEnd w:id="181"/>
            <w:bookmarkEnd w:id="182"/>
            <w:bookmarkEnd w:id="183"/>
            <w:bookmarkEnd w:id="184"/>
            <w:bookmarkEnd w:id="185"/>
          </w:p>
        </w:tc>
        <w:tc>
          <w:tcPr>
            <w:tcW w:w="1045" w:type="pct"/>
            <w:vAlign w:val="center"/>
          </w:tcPr>
          <w:p w14:paraId="3E1AF98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86" w:name="_Toc32466"/>
            <w:bookmarkStart w:id="187" w:name="_Toc9211"/>
            <w:r>
              <w:rPr>
                <w:rFonts w:hint="eastAsia" w:ascii="宋体" w:hAnsi="宋体" w:eastAsia="宋体" w:cs="宋体"/>
                <w:color w:val="auto"/>
                <w:sz w:val="21"/>
                <w:szCs w:val="21"/>
                <w:highlight w:val="none"/>
              </w:rPr>
              <w:t>采购范围</w:t>
            </w:r>
            <w:bookmarkEnd w:id="186"/>
            <w:bookmarkEnd w:id="187"/>
          </w:p>
        </w:tc>
        <w:tc>
          <w:tcPr>
            <w:tcW w:w="3569" w:type="pct"/>
            <w:vAlign w:val="center"/>
          </w:tcPr>
          <w:p w14:paraId="356E899A">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bCs/>
                <w:sz w:val="21"/>
                <w:szCs w:val="21"/>
                <w:highlight w:val="none"/>
                <w:lang w:val="en-US" w:eastAsia="zh-CN"/>
              </w:rPr>
              <w:t>洪河河道铁路桥-长江桥保洁服务（详见磋商文件）</w:t>
            </w:r>
          </w:p>
        </w:tc>
      </w:tr>
      <w:tr w14:paraId="1B23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7168311E">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88" w:name="_Toc31533"/>
            <w:bookmarkStart w:id="189" w:name="_Toc436422936"/>
            <w:bookmarkStart w:id="190" w:name="_Toc396673303"/>
            <w:bookmarkStart w:id="191" w:name="_Toc380758928"/>
            <w:bookmarkStart w:id="192" w:name="_Toc21424"/>
            <w:bookmarkStart w:id="193" w:name="_Toc436423280"/>
            <w:bookmarkStart w:id="194" w:name="_Toc420238765"/>
            <w:bookmarkStart w:id="195" w:name="_Toc469902641"/>
            <w:bookmarkStart w:id="196" w:name="_Toc421698778"/>
            <w:bookmarkStart w:id="197" w:name="_Toc470076941"/>
            <w:bookmarkStart w:id="198" w:name="_Toc420509037"/>
            <w:r>
              <w:rPr>
                <w:rFonts w:hint="eastAsia" w:ascii="宋体" w:hAnsi="宋体" w:eastAsia="宋体" w:cs="宋体"/>
                <w:color w:val="auto"/>
                <w:sz w:val="21"/>
                <w:szCs w:val="21"/>
                <w:highlight w:val="none"/>
              </w:rPr>
              <w:t>6</w:t>
            </w:r>
            <w:bookmarkEnd w:id="188"/>
            <w:bookmarkEnd w:id="189"/>
            <w:bookmarkEnd w:id="190"/>
            <w:bookmarkEnd w:id="191"/>
            <w:bookmarkEnd w:id="192"/>
            <w:bookmarkEnd w:id="193"/>
            <w:bookmarkEnd w:id="194"/>
            <w:bookmarkEnd w:id="195"/>
            <w:bookmarkEnd w:id="196"/>
            <w:bookmarkEnd w:id="197"/>
            <w:bookmarkEnd w:id="198"/>
          </w:p>
        </w:tc>
        <w:tc>
          <w:tcPr>
            <w:tcW w:w="1045" w:type="pct"/>
            <w:vAlign w:val="center"/>
          </w:tcPr>
          <w:p w14:paraId="006E37F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合同履行期限</w:t>
            </w:r>
          </w:p>
        </w:tc>
        <w:tc>
          <w:tcPr>
            <w:tcW w:w="3569" w:type="pct"/>
            <w:vAlign w:val="center"/>
          </w:tcPr>
          <w:p w14:paraId="43D8E5F4">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合同签订之日起12个月</w:t>
            </w:r>
          </w:p>
        </w:tc>
      </w:tr>
      <w:tr w14:paraId="5CE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5" w:type="pct"/>
            <w:vAlign w:val="center"/>
          </w:tcPr>
          <w:p w14:paraId="732BB942">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199" w:name="_Toc175"/>
            <w:bookmarkStart w:id="200" w:name="_Toc469902644"/>
            <w:bookmarkStart w:id="201" w:name="_Toc436423283"/>
            <w:bookmarkStart w:id="202" w:name="_Toc436422939"/>
            <w:bookmarkStart w:id="203" w:name="_Toc4853"/>
            <w:bookmarkStart w:id="204" w:name="_Toc470076944"/>
            <w:r>
              <w:rPr>
                <w:rFonts w:hint="eastAsia" w:ascii="宋体" w:hAnsi="宋体" w:eastAsia="宋体" w:cs="宋体"/>
                <w:color w:val="auto"/>
                <w:sz w:val="21"/>
                <w:szCs w:val="21"/>
                <w:highlight w:val="none"/>
              </w:rPr>
              <w:t>7</w:t>
            </w:r>
            <w:bookmarkEnd w:id="199"/>
            <w:bookmarkEnd w:id="200"/>
            <w:bookmarkEnd w:id="201"/>
            <w:bookmarkEnd w:id="202"/>
            <w:bookmarkEnd w:id="203"/>
            <w:bookmarkEnd w:id="204"/>
          </w:p>
        </w:tc>
        <w:tc>
          <w:tcPr>
            <w:tcW w:w="1045" w:type="pct"/>
            <w:vAlign w:val="center"/>
          </w:tcPr>
          <w:p w14:paraId="2B4D51F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bCs/>
                <w:color w:val="auto"/>
                <w:sz w:val="21"/>
                <w:szCs w:val="21"/>
                <w:highlight w:val="none"/>
              </w:rPr>
            </w:pPr>
            <w:bookmarkStart w:id="205" w:name="_Toc469902645"/>
            <w:bookmarkStart w:id="206" w:name="_Toc436423284"/>
            <w:bookmarkStart w:id="207" w:name="_Toc470076945"/>
            <w:bookmarkStart w:id="208" w:name="_Toc436422940"/>
            <w:bookmarkStart w:id="209" w:name="_Toc2904"/>
            <w:bookmarkStart w:id="210" w:name="_Toc2838"/>
            <w:r>
              <w:rPr>
                <w:rFonts w:hint="eastAsia" w:ascii="宋体" w:hAnsi="宋体" w:eastAsia="宋体" w:cs="宋体"/>
                <w:bCs/>
                <w:color w:val="auto"/>
                <w:sz w:val="21"/>
                <w:szCs w:val="21"/>
                <w:highlight w:val="none"/>
              </w:rPr>
              <w:t>质量</w:t>
            </w:r>
            <w:bookmarkEnd w:id="205"/>
            <w:bookmarkEnd w:id="206"/>
            <w:bookmarkEnd w:id="207"/>
            <w:bookmarkEnd w:id="208"/>
            <w:r>
              <w:rPr>
                <w:rFonts w:hint="eastAsia" w:ascii="宋体" w:hAnsi="宋体" w:eastAsia="宋体" w:cs="宋体"/>
                <w:bCs/>
                <w:color w:val="auto"/>
                <w:sz w:val="21"/>
                <w:szCs w:val="21"/>
                <w:highlight w:val="none"/>
              </w:rPr>
              <w:t>要求</w:t>
            </w:r>
            <w:bookmarkEnd w:id="209"/>
            <w:bookmarkEnd w:id="210"/>
          </w:p>
        </w:tc>
        <w:tc>
          <w:tcPr>
            <w:tcW w:w="3569" w:type="pct"/>
            <w:vAlign w:val="center"/>
          </w:tcPr>
          <w:p w14:paraId="5C8DF1D7">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sz w:val="21"/>
                <w:szCs w:val="21"/>
                <w:highlight w:val="none"/>
                <w:lang w:val="en-US" w:eastAsia="zh-CN"/>
              </w:rPr>
              <w:t>合格，满足采购人要求</w:t>
            </w:r>
          </w:p>
        </w:tc>
      </w:tr>
      <w:tr w14:paraId="704C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3D46B68E">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11" w:name="_Toc22721"/>
            <w:bookmarkStart w:id="212" w:name="_Toc25493"/>
            <w:r>
              <w:rPr>
                <w:rFonts w:hint="eastAsia" w:ascii="宋体" w:hAnsi="宋体" w:eastAsia="宋体" w:cs="宋体"/>
                <w:color w:val="auto"/>
                <w:sz w:val="21"/>
                <w:szCs w:val="21"/>
                <w:highlight w:val="none"/>
              </w:rPr>
              <w:t>8</w:t>
            </w:r>
            <w:bookmarkEnd w:id="211"/>
            <w:bookmarkEnd w:id="212"/>
          </w:p>
        </w:tc>
        <w:tc>
          <w:tcPr>
            <w:tcW w:w="1045" w:type="pct"/>
            <w:vAlign w:val="center"/>
          </w:tcPr>
          <w:p w14:paraId="4D727BC9">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供应商</w:t>
            </w:r>
          </w:p>
          <w:p w14:paraId="0D9A962F">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bCs/>
                <w:color w:val="auto"/>
                <w:sz w:val="21"/>
                <w:szCs w:val="21"/>
                <w:highlight w:val="none"/>
              </w:rPr>
            </w:pPr>
            <w:bookmarkStart w:id="213" w:name="_Toc8305"/>
            <w:bookmarkStart w:id="214" w:name="_Toc18028"/>
            <w:r>
              <w:rPr>
                <w:rFonts w:hint="eastAsia" w:ascii="宋体" w:hAnsi="宋体" w:eastAsia="宋体" w:cs="宋体"/>
                <w:bCs/>
                <w:color w:val="auto"/>
                <w:sz w:val="21"/>
                <w:szCs w:val="21"/>
                <w:highlight w:val="none"/>
              </w:rPr>
              <w:t>资格要求</w:t>
            </w:r>
            <w:bookmarkEnd w:id="213"/>
            <w:bookmarkEnd w:id="214"/>
          </w:p>
        </w:tc>
        <w:tc>
          <w:tcPr>
            <w:tcW w:w="3569" w:type="pct"/>
            <w:vAlign w:val="center"/>
          </w:tcPr>
          <w:p w14:paraId="48B671B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 xml:space="preserve">1 符合《中华人民共和国政府采购法》第二十二条的规定； </w:t>
            </w:r>
          </w:p>
          <w:p w14:paraId="5A0AE2A7">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2落实政府采购政策需满足的资格要求：</w:t>
            </w:r>
            <w:r>
              <w:rPr>
                <w:rFonts w:hint="eastAsia" w:ascii="宋体" w:hAnsi="宋体" w:eastAsia="宋体" w:cs="宋体"/>
                <w:color w:val="auto"/>
                <w:sz w:val="21"/>
                <w:szCs w:val="21"/>
                <w:highlight w:val="none"/>
                <w:lang w:eastAsia="zh-CN"/>
              </w:rPr>
              <w:t>本项目专门面向中小企业，</w:t>
            </w:r>
            <w:r>
              <w:rPr>
                <w:rFonts w:hint="eastAsia" w:ascii="宋体" w:hAnsi="宋体" w:eastAsia="宋体" w:cs="宋体"/>
                <w:color w:val="auto"/>
                <w:sz w:val="21"/>
                <w:szCs w:val="21"/>
                <w:highlight w:val="none"/>
                <w:lang w:val="en-US" w:eastAsia="zh-CN"/>
              </w:rPr>
              <w:t>监狱企业、符合法定条件的残疾人福利性单位视同小型、微型企业</w:t>
            </w:r>
            <w:r>
              <w:rPr>
                <w:rFonts w:hint="eastAsia" w:ascii="宋体" w:hAnsi="宋体" w:eastAsia="宋体" w:cs="宋体"/>
                <w:bCs/>
                <w:kern w:val="0"/>
                <w:sz w:val="21"/>
                <w:szCs w:val="21"/>
                <w:highlight w:val="none"/>
                <w:lang w:val="en-US" w:eastAsia="zh-CN"/>
              </w:rPr>
              <w:t>，■提供中小企业声明函，监狱企业、残疾人福利性企业提供相关证明。</w:t>
            </w:r>
          </w:p>
          <w:p w14:paraId="29836E3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3本项目特定资格要求：</w:t>
            </w:r>
          </w:p>
          <w:p w14:paraId="582DD85B">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3.1 供应商应符合下述《政府采购法》第二十二条第一款规定的法定基本资格条件、及项目资格要求且无不良信用记录，并提供相关资格证明材料（文件）：</w:t>
            </w:r>
          </w:p>
          <w:p w14:paraId="5E6A775A">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（一）具有独立承担民事责任的能力。■提供营业执照或事业单位法人证书或其他相应业务或经营范围登记证照，■提供税务登记证（三证合一的只需提供三证合一的营业执照）。</w:t>
            </w:r>
          </w:p>
          <w:p w14:paraId="6BCB022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（二）具有良好的商业信誉和健全的财务会计制度。■提供银行出具的近1年内资信证明（法人为基本开户行）或2022年度以来（任意一年）经审计的财务报告。</w:t>
            </w:r>
          </w:p>
          <w:p w14:paraId="5011C0C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（三）具有履行合同所必需的设备和专业技术能力。■提供相关设备或设施的购置发票或单据（任一）；■提供本单位人员的船员证（任一人）。</w:t>
            </w:r>
          </w:p>
          <w:p w14:paraId="7930276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14:paraId="01C6B56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（五）参加政府采购活动前三年内，在经营活动中没有重大违法记录。■提供供应商书面声明；供应商自行承诺并承担后果，声明函不实的，按《政府采购法》有关提供虚假材料的规定给予处罚。</w:t>
            </w:r>
          </w:p>
          <w:p w14:paraId="355C286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 xml:space="preserve">（六）法律、行政法规规定的其他条件。■提供供应商书面声明；供应商自行承诺并承担后果，声明函不实的，按《政府采购法》有关提供虚假材料的规定给予处罚。 </w:t>
            </w:r>
          </w:p>
          <w:p w14:paraId="2C12132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4根据《关于在政府采购活动中查询及使用信用记录有关问题的通知》（财库【2016】125 号）的规定，对列入“失信被执行人（中国执行信息公开网）”、重大税收违法失信主体、政府采购严重违法失信行为记录名单 的响应人，拒绝参与本项目政府采购活动；【查询渠道 ： “ 信 用 中 国 ” 网 站 （ www.creditchina.gov.cn ） 、 中国政府采购网（www.ccgp.gov.cn）】；</w:t>
            </w:r>
          </w:p>
          <w:p w14:paraId="3F5DDE9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5单位负责人为同一人或者存在直接控股、管理关系的不同供应商，不得参加本合同项下的政府采购活动。供应商自行承诺并承担后果，声明函不实的，按《政府采购法》有关提供虚假材料的有关规定给予处罚。■提供供应商书面声明。</w:t>
            </w:r>
          </w:p>
          <w:p w14:paraId="069DEF5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6为本招标项目提供整体设计、规范编制或者项目管理、监理、检测等服务的供应商，不得再参加本招标项目。供应商自行承诺并承担后果，声明函不实的，按《政府采购法》有关提供虚假材料的有关规定给予处罚。■提供供应商书面声明。</w:t>
            </w:r>
          </w:p>
          <w:p w14:paraId="36F98848">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注：</w:t>
            </w:r>
          </w:p>
          <w:p w14:paraId="3C6A9BE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 所有证照均应在有效期内，证照如需年检的、应为经年检有效的证照；文中“近”、“前”指距投标截止时间。</w:t>
            </w:r>
          </w:p>
          <w:p w14:paraId="2A3F8E04">
            <w:pPr>
              <w:pStyle w:val="25"/>
              <w:keepNext w:val="0"/>
              <w:keepLines w:val="0"/>
              <w:pageBreakBefore w:val="0"/>
              <w:widowControl w:val="0"/>
              <w:kinsoku/>
              <w:wordWrap/>
              <w:overflowPunct/>
              <w:topLinePunct w:val="0"/>
              <w:autoSpaceDE/>
              <w:autoSpaceDN/>
              <w:bidi w:val="0"/>
              <w:adjustRightInd/>
              <w:snapToGrid/>
              <w:spacing w:after="0" w:line="408" w:lineRule="auto"/>
              <w:ind w:firstLine="420" w:firstLineChars="200"/>
              <w:textAlignment w:val="auto"/>
              <w:rPr>
                <w:rFonts w:ascii="宋体" w:hAnsi="宋体" w:eastAsia="宋体" w:cs="宋体"/>
                <w:color w:val="auto"/>
                <w:kern w:val="2"/>
                <w:sz w:val="21"/>
                <w:szCs w:val="21"/>
                <w:highlight w:val="none"/>
              </w:rPr>
            </w:pPr>
            <w:r>
              <w:rPr>
                <w:rFonts w:hint="eastAsia" w:ascii="宋体" w:hAnsi="宋体" w:eastAsia="宋体" w:cs="宋体"/>
                <w:bCs/>
                <w:kern w:val="0"/>
                <w:sz w:val="21"/>
                <w:szCs w:val="21"/>
                <w:highlight w:val="none"/>
                <w:lang w:val="en-US" w:eastAsia="zh-CN"/>
              </w:rPr>
              <w:t>2.资格证明材料（文件）应附于响应文件中并经供应商盖章。供应商对资格证明文件真实性有效合规承担责任，提供虚假材料的为无效投标并将进一步追究其责任。</w:t>
            </w:r>
          </w:p>
        </w:tc>
      </w:tr>
      <w:tr w14:paraId="631A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5F94FA52">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15" w:name="_Toc18712"/>
            <w:bookmarkStart w:id="216" w:name="_Toc1911"/>
            <w:r>
              <w:rPr>
                <w:rFonts w:hint="eastAsia" w:ascii="宋体" w:hAnsi="宋体" w:eastAsia="宋体" w:cs="宋体"/>
                <w:color w:val="auto"/>
                <w:sz w:val="21"/>
                <w:szCs w:val="21"/>
                <w:highlight w:val="none"/>
              </w:rPr>
              <w:t>9</w:t>
            </w:r>
            <w:bookmarkEnd w:id="215"/>
            <w:bookmarkEnd w:id="216"/>
          </w:p>
        </w:tc>
        <w:tc>
          <w:tcPr>
            <w:tcW w:w="1045" w:type="pct"/>
            <w:vAlign w:val="center"/>
          </w:tcPr>
          <w:p w14:paraId="01C504C0">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投标有效期</w:t>
            </w:r>
          </w:p>
        </w:tc>
        <w:tc>
          <w:tcPr>
            <w:tcW w:w="3569" w:type="pct"/>
            <w:vAlign w:val="center"/>
          </w:tcPr>
          <w:p w14:paraId="0CA4004A">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60日历天（投标截止之日起）</w:t>
            </w:r>
          </w:p>
        </w:tc>
      </w:tr>
      <w:tr w14:paraId="008E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03C949FF">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10</w:t>
            </w:r>
          </w:p>
        </w:tc>
        <w:tc>
          <w:tcPr>
            <w:tcW w:w="1045" w:type="pct"/>
            <w:vAlign w:val="center"/>
          </w:tcPr>
          <w:p w14:paraId="55314FEF">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踏勘现场</w:t>
            </w:r>
          </w:p>
        </w:tc>
        <w:tc>
          <w:tcPr>
            <w:tcW w:w="3569" w:type="pct"/>
            <w:vAlign w:val="center"/>
          </w:tcPr>
          <w:p w14:paraId="6744454E">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6DC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38D61C59">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11</w:t>
            </w:r>
          </w:p>
        </w:tc>
        <w:tc>
          <w:tcPr>
            <w:tcW w:w="1045" w:type="pct"/>
            <w:vAlign w:val="center"/>
          </w:tcPr>
          <w:p w14:paraId="7E6F9021">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提出问题的截止时间</w:t>
            </w:r>
          </w:p>
        </w:tc>
        <w:tc>
          <w:tcPr>
            <w:tcW w:w="3569" w:type="pct"/>
            <w:vAlign w:val="center"/>
          </w:tcPr>
          <w:p w14:paraId="4F55BA77">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应仔细阅读和检查招标文件的全部内容，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若对招标文件有异议请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w:t>
            </w:r>
          </w:p>
          <w:p w14:paraId="41BEDC6B">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的姓名或者名称、地址、邮编、联系人及联系电话；</w:t>
            </w:r>
          </w:p>
          <w:p w14:paraId="64B6BA74">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质疑项目的名称、编号；</w:t>
            </w:r>
          </w:p>
          <w:p w14:paraId="144EAA8F">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具体、明确的质疑事项和与质疑事项相关的请求；</w:t>
            </w:r>
          </w:p>
          <w:p w14:paraId="3A4B90BD">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14:paraId="2C2545A3">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必要的法律依据；</w:t>
            </w:r>
          </w:p>
          <w:p w14:paraId="0D511597">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提出质疑的日期。</w:t>
            </w:r>
          </w:p>
          <w:p w14:paraId="3A39235C">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为自然人的，应当由本人签字；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为法人或者其他组织的，应当由法定代表人、主要负责人，或者其授权代表签字或者盖章，并加盖公章。</w:t>
            </w:r>
          </w:p>
        </w:tc>
      </w:tr>
      <w:tr w14:paraId="4A50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21B74E83">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17" w:name="_Toc27928"/>
            <w:bookmarkStart w:id="218" w:name="_Toc12291"/>
            <w:r>
              <w:rPr>
                <w:rFonts w:hint="eastAsia" w:ascii="宋体" w:hAnsi="宋体" w:eastAsia="宋体" w:cs="宋体"/>
                <w:color w:val="auto"/>
                <w:sz w:val="21"/>
                <w:szCs w:val="21"/>
                <w:highlight w:val="none"/>
              </w:rPr>
              <w:t>12</w:t>
            </w:r>
            <w:bookmarkEnd w:id="217"/>
            <w:bookmarkEnd w:id="218"/>
          </w:p>
        </w:tc>
        <w:tc>
          <w:tcPr>
            <w:tcW w:w="1045" w:type="pct"/>
            <w:vAlign w:val="center"/>
          </w:tcPr>
          <w:p w14:paraId="27594264">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采购人书面</w:t>
            </w:r>
          </w:p>
          <w:p w14:paraId="63CA3161">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澄清的时间</w:t>
            </w:r>
          </w:p>
        </w:tc>
        <w:tc>
          <w:tcPr>
            <w:tcW w:w="3569" w:type="pct"/>
            <w:vAlign w:val="center"/>
          </w:tcPr>
          <w:p w14:paraId="10B6EF2E">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果提交首次《响应文件》截止时间前的澄清修改补充发出的时间距开标不足5个工作日，并且澄清修改补充内容影响《响应文件》编制的，代理机构可视采购具体情况延长提交首次《响应文件》截止时间和首次《响应文件》开启时间，并</w:t>
            </w:r>
            <w:r>
              <w:rPr>
                <w:rFonts w:hint="eastAsia" w:ascii="宋体" w:hAnsi="宋体" w:eastAsia="宋体" w:cs="宋体"/>
                <w:color w:val="auto"/>
                <w:sz w:val="21"/>
                <w:szCs w:val="21"/>
                <w:highlight w:val="none"/>
                <w:lang w:eastAsia="zh-CN"/>
              </w:rPr>
              <w:t>将书面形式通知所有供应商</w:t>
            </w:r>
            <w:r>
              <w:rPr>
                <w:rFonts w:hint="eastAsia" w:ascii="宋体" w:hAnsi="宋体" w:eastAsia="宋体" w:cs="宋体"/>
                <w:color w:val="auto"/>
                <w:sz w:val="21"/>
                <w:szCs w:val="21"/>
                <w:highlight w:val="none"/>
              </w:rPr>
              <w:t>。</w:t>
            </w:r>
          </w:p>
        </w:tc>
      </w:tr>
      <w:tr w14:paraId="2CF7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7E025175">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19" w:name="_Toc22942"/>
            <w:bookmarkStart w:id="220" w:name="_Toc5325"/>
            <w:r>
              <w:rPr>
                <w:rFonts w:hint="eastAsia" w:ascii="宋体" w:hAnsi="宋体" w:eastAsia="宋体" w:cs="宋体"/>
                <w:color w:val="auto"/>
                <w:sz w:val="21"/>
                <w:szCs w:val="21"/>
                <w:highlight w:val="none"/>
              </w:rPr>
              <w:t>13</w:t>
            </w:r>
            <w:bookmarkEnd w:id="219"/>
            <w:bookmarkEnd w:id="220"/>
          </w:p>
        </w:tc>
        <w:tc>
          <w:tcPr>
            <w:tcW w:w="1045" w:type="pct"/>
            <w:vAlign w:val="center"/>
          </w:tcPr>
          <w:p w14:paraId="2A0D2DF3">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递交响应文件截止时间、开标时间和地点</w:t>
            </w:r>
          </w:p>
        </w:tc>
        <w:tc>
          <w:tcPr>
            <w:tcW w:w="3569" w:type="pct"/>
            <w:vAlign w:val="center"/>
          </w:tcPr>
          <w:p w14:paraId="2588C576">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4月23日上午9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（北京时间）</w:t>
            </w:r>
          </w:p>
          <w:p w14:paraId="4DFE38CA">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河南普米工程管理服务有限公司开标室（安阳市文昌大道与曙光路交叉口国控大厦22楼220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p>
        </w:tc>
      </w:tr>
      <w:tr w14:paraId="1A63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658E4D18">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21" w:name="_Toc13502"/>
            <w:bookmarkStart w:id="222" w:name="_Toc9531"/>
            <w:r>
              <w:rPr>
                <w:rFonts w:hint="eastAsia" w:ascii="宋体" w:hAnsi="宋体" w:eastAsia="宋体" w:cs="宋体"/>
                <w:color w:val="auto"/>
                <w:sz w:val="21"/>
                <w:szCs w:val="21"/>
                <w:highlight w:val="none"/>
              </w:rPr>
              <w:t>14</w:t>
            </w:r>
            <w:bookmarkEnd w:id="221"/>
            <w:bookmarkEnd w:id="222"/>
          </w:p>
        </w:tc>
        <w:tc>
          <w:tcPr>
            <w:tcW w:w="1045" w:type="pct"/>
            <w:vAlign w:val="center"/>
          </w:tcPr>
          <w:p w14:paraId="70B221FF">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2"/>
                <w:sz w:val="21"/>
                <w:szCs w:val="21"/>
                <w:highlight w:val="none"/>
                <w:lang w:val="en-US" w:eastAsia="zh-CN" w:bidi="ar-SA"/>
              </w:rPr>
            </w:pPr>
            <w:r>
              <w:rPr>
                <w:rFonts w:hint="eastAsia" w:hAnsi="宋体" w:eastAsia="宋体" w:cs="宋体"/>
                <w:color w:val="auto"/>
                <w:sz w:val="21"/>
                <w:szCs w:val="21"/>
                <w:highlight w:val="none"/>
              </w:rPr>
              <w:t>响应文件纸质文件份数</w:t>
            </w:r>
          </w:p>
        </w:tc>
        <w:tc>
          <w:tcPr>
            <w:tcW w:w="3569" w:type="pct"/>
            <w:vAlign w:val="center"/>
          </w:tcPr>
          <w:p w14:paraId="05DEB321">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壹正肆副</w:t>
            </w:r>
          </w:p>
        </w:tc>
      </w:tr>
      <w:tr w14:paraId="5B48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2A977A08">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23" w:name="_Toc5748"/>
            <w:bookmarkStart w:id="224" w:name="_Toc21823"/>
            <w:r>
              <w:rPr>
                <w:rFonts w:hint="eastAsia" w:ascii="宋体" w:hAnsi="宋体" w:eastAsia="宋体" w:cs="宋体"/>
                <w:color w:val="auto"/>
                <w:sz w:val="21"/>
                <w:szCs w:val="21"/>
                <w:highlight w:val="none"/>
              </w:rPr>
              <w:t>15</w:t>
            </w:r>
            <w:bookmarkEnd w:id="223"/>
            <w:bookmarkEnd w:id="224"/>
          </w:p>
        </w:tc>
        <w:tc>
          <w:tcPr>
            <w:tcW w:w="1045" w:type="pct"/>
            <w:vAlign w:val="center"/>
          </w:tcPr>
          <w:p w14:paraId="054DBDB0">
            <w:pPr>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签字或盖章要求</w:t>
            </w:r>
          </w:p>
        </w:tc>
        <w:tc>
          <w:tcPr>
            <w:tcW w:w="3569" w:type="pct"/>
            <w:vAlign w:val="center"/>
          </w:tcPr>
          <w:p w14:paraId="039F24CC">
            <w:pPr>
              <w:keepNext w:val="0"/>
              <w:keepLines w:val="0"/>
              <w:pageBreakBefore w:val="0"/>
              <w:kinsoku/>
              <w:wordWrap/>
              <w:overflowPunct/>
              <w:topLinePunct w:val="0"/>
              <w:autoSpaceDE/>
              <w:autoSpaceDN/>
              <w:bidi w:val="0"/>
              <w:adjustRightInd/>
              <w:snapToGrid/>
              <w:spacing w:after="0" w:line="440" w:lineRule="exact"/>
              <w:ind w:left="0" w:leftChars="0" w:firstLine="0" w:firstLineChars="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文件规定的响应文件格式中所有签字、盖章的地方必须按照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文件明示的方式签字或盖章。</w:t>
            </w:r>
          </w:p>
          <w:p w14:paraId="12A0ED4A">
            <w:pPr>
              <w:keepNext w:val="0"/>
              <w:keepLines w:val="0"/>
              <w:pageBreakBefore w:val="0"/>
              <w:kinsoku/>
              <w:wordWrap/>
              <w:overflowPunct/>
              <w:topLinePunct w:val="0"/>
              <w:autoSpaceDE/>
              <w:autoSpaceDN/>
              <w:bidi w:val="0"/>
              <w:adjustRightInd/>
              <w:snapToGrid/>
              <w:spacing w:after="0" w:line="440" w:lineRule="exact"/>
              <w:ind w:left="0" w:leftChars="0" w:firstLine="0" w:firstLineChars="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响应文件应尽量避免涂改、行间插字或删除。如果出现上述情况，改动之处应加盖单位公章或由供应商的法定代表人或其授权的代理人签字确认。</w:t>
            </w:r>
          </w:p>
        </w:tc>
      </w:tr>
      <w:tr w14:paraId="597A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0BCA7F14">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25" w:name="_Toc2107"/>
            <w:bookmarkStart w:id="226" w:name="_Toc22657"/>
            <w:r>
              <w:rPr>
                <w:rFonts w:hint="eastAsia" w:ascii="宋体" w:hAnsi="宋体" w:eastAsia="宋体" w:cs="宋体"/>
                <w:color w:val="auto"/>
                <w:sz w:val="21"/>
                <w:szCs w:val="21"/>
                <w:highlight w:val="none"/>
              </w:rPr>
              <w:t>16</w:t>
            </w:r>
            <w:bookmarkEnd w:id="225"/>
            <w:bookmarkEnd w:id="226"/>
          </w:p>
        </w:tc>
        <w:tc>
          <w:tcPr>
            <w:tcW w:w="1045" w:type="pct"/>
            <w:vAlign w:val="center"/>
          </w:tcPr>
          <w:p w14:paraId="1DC13137">
            <w:pPr>
              <w:pStyle w:val="16"/>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预算金额</w:t>
            </w:r>
          </w:p>
        </w:tc>
        <w:tc>
          <w:tcPr>
            <w:tcW w:w="3569" w:type="pct"/>
            <w:vAlign w:val="center"/>
          </w:tcPr>
          <w:p w14:paraId="25693FF8">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采购预算最高限价：</w:t>
            </w:r>
            <w:r>
              <w:rPr>
                <w:rFonts w:hint="eastAsia" w:ascii="宋体" w:hAnsi="宋体" w:eastAsia="宋体" w:cs="宋体"/>
                <w:bCs/>
                <w:sz w:val="21"/>
                <w:szCs w:val="21"/>
                <w:highlight w:val="none"/>
                <w:lang w:val="en-US" w:eastAsia="zh-CN"/>
              </w:rPr>
              <w:t>450000.00</w:t>
            </w:r>
            <w:r>
              <w:rPr>
                <w:rFonts w:hint="eastAsia" w:ascii="宋体" w:hAnsi="宋体" w:eastAsia="宋体" w:cs="宋体"/>
                <w:color w:val="auto"/>
                <w:sz w:val="21"/>
                <w:szCs w:val="21"/>
                <w:highlight w:val="none"/>
                <w:lang w:val="en-US" w:eastAsia="zh-CN"/>
              </w:rPr>
              <w:t>元</w:t>
            </w:r>
          </w:p>
          <w:p w14:paraId="062C39FF">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的投标报价不得超出本项目的采购预算最高限价。</w:t>
            </w:r>
          </w:p>
        </w:tc>
      </w:tr>
      <w:tr w14:paraId="65E5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4EDDAA51">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default" w:ascii="宋体" w:hAnsi="宋体" w:eastAsia="宋体" w:cs="宋体"/>
                <w:color w:val="auto"/>
                <w:sz w:val="21"/>
                <w:szCs w:val="21"/>
                <w:highlight w:val="none"/>
                <w:lang w:val="en-US" w:eastAsia="zh-CN"/>
              </w:rPr>
            </w:pPr>
            <w:bookmarkStart w:id="227" w:name="_Toc23419"/>
            <w:bookmarkStart w:id="228" w:name="_Toc12635"/>
            <w:r>
              <w:rPr>
                <w:rFonts w:hint="eastAsia" w:ascii="宋体" w:hAnsi="宋体" w:eastAsia="宋体" w:cs="宋体"/>
                <w:color w:val="auto"/>
                <w:sz w:val="21"/>
                <w:szCs w:val="21"/>
                <w:highlight w:val="none"/>
                <w:lang w:val="en-US" w:eastAsia="zh-CN"/>
              </w:rPr>
              <w:t>17</w:t>
            </w:r>
          </w:p>
        </w:tc>
        <w:tc>
          <w:tcPr>
            <w:tcW w:w="1045" w:type="pct"/>
            <w:vAlign w:val="center"/>
          </w:tcPr>
          <w:p w14:paraId="089390FE">
            <w:pPr>
              <w:pStyle w:val="16"/>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磋商保证金</w:t>
            </w:r>
          </w:p>
        </w:tc>
        <w:tc>
          <w:tcPr>
            <w:tcW w:w="3569" w:type="pct"/>
            <w:vAlign w:val="center"/>
          </w:tcPr>
          <w:p w14:paraId="76B55BEF">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不收取，提供投标</w:t>
            </w:r>
            <w:r>
              <w:rPr>
                <w:rFonts w:hint="eastAsia" w:ascii="宋体" w:hAnsi="宋体" w:eastAsia="宋体" w:cs="宋体"/>
                <w:color w:val="auto"/>
                <w:sz w:val="21"/>
                <w:szCs w:val="21"/>
                <w:highlight w:val="none"/>
              </w:rPr>
              <w:t>保证金承诺函</w:t>
            </w:r>
            <w:r>
              <w:rPr>
                <w:rFonts w:hint="eastAsia" w:ascii="宋体" w:hAnsi="宋体" w:eastAsia="宋体" w:cs="宋体"/>
                <w:color w:val="auto"/>
                <w:sz w:val="21"/>
                <w:szCs w:val="21"/>
                <w:highlight w:val="none"/>
                <w:lang w:eastAsia="zh-CN"/>
              </w:rPr>
              <w:t>（详见响应文件格式）</w:t>
            </w:r>
          </w:p>
        </w:tc>
      </w:tr>
      <w:bookmarkEnd w:id="227"/>
      <w:bookmarkEnd w:id="228"/>
      <w:tr w14:paraId="679D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 w:type="pct"/>
            <w:vAlign w:val="center"/>
          </w:tcPr>
          <w:p w14:paraId="35E88CB1">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1045" w:type="pct"/>
            <w:vAlign w:val="center"/>
          </w:tcPr>
          <w:p w14:paraId="7E001C21">
            <w:pPr>
              <w:pStyle w:val="16"/>
              <w:keepNext w:val="0"/>
              <w:keepLines w:val="0"/>
              <w:pageBreakBefore w:val="0"/>
              <w:kinsoku/>
              <w:wordWrap/>
              <w:overflowPunct/>
              <w:topLinePunct w:val="0"/>
              <w:autoSpaceDE/>
              <w:autoSpaceDN/>
              <w:bidi w:val="0"/>
              <w:adjustRightInd/>
              <w:snapToGrid/>
              <w:spacing w:after="0" w:line="440" w:lineRule="exact"/>
              <w:jc w:val="center"/>
              <w:textAlignment w:val="auto"/>
              <w:rPr>
                <w:rFonts w:hAnsi="宋体" w:eastAsia="宋体" w:cs="宋体"/>
                <w:color w:val="auto"/>
                <w:sz w:val="21"/>
                <w:szCs w:val="21"/>
                <w:highlight w:val="none"/>
              </w:rPr>
            </w:pPr>
            <w:r>
              <w:rPr>
                <w:rFonts w:hint="eastAsia" w:hAnsi="宋体" w:eastAsia="宋体" w:cs="宋体"/>
                <w:color w:val="auto"/>
                <w:sz w:val="21"/>
                <w:szCs w:val="21"/>
                <w:highlight w:val="none"/>
              </w:rPr>
              <w:t>履约保证金</w:t>
            </w:r>
          </w:p>
        </w:tc>
        <w:tc>
          <w:tcPr>
            <w:tcW w:w="3569" w:type="pct"/>
            <w:vAlign w:val="center"/>
          </w:tcPr>
          <w:p w14:paraId="152C5060">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不收取</w:t>
            </w:r>
          </w:p>
        </w:tc>
      </w:tr>
      <w:tr w14:paraId="10F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4BE4B372">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w:t>
            </w:r>
          </w:p>
        </w:tc>
        <w:tc>
          <w:tcPr>
            <w:tcW w:w="1045" w:type="pct"/>
            <w:vAlign w:val="center"/>
          </w:tcPr>
          <w:p w14:paraId="5ABA881A">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w:t>
            </w:r>
          </w:p>
          <w:p w14:paraId="4B6FB140">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3569" w:type="pct"/>
            <w:vAlign w:val="center"/>
          </w:tcPr>
          <w:p w14:paraId="21F3D8FC">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磋商小组人数：由3人组成；其中采购人代表1人；</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评审专家2人。</w:t>
            </w:r>
          </w:p>
          <w:p w14:paraId="0F834618">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评标专家确定方式：开标前从相关政府部门的专家库中随机抽取。</w:t>
            </w:r>
          </w:p>
        </w:tc>
      </w:tr>
      <w:tr w14:paraId="777D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303D18DA">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20</w:t>
            </w:r>
          </w:p>
        </w:tc>
        <w:tc>
          <w:tcPr>
            <w:tcW w:w="1045" w:type="pct"/>
            <w:vAlign w:val="center"/>
          </w:tcPr>
          <w:p w14:paraId="0671B85A">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是否授权磋商</w:t>
            </w:r>
          </w:p>
          <w:p w14:paraId="2FB6FDAC">
            <w:pPr>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小组确定成交人</w:t>
            </w:r>
          </w:p>
        </w:tc>
        <w:tc>
          <w:tcPr>
            <w:tcW w:w="3569" w:type="pct"/>
            <w:vAlign w:val="center"/>
          </w:tcPr>
          <w:p w14:paraId="30FFA839">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否，推荐的成交候选人数：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3名</w:t>
            </w:r>
          </w:p>
        </w:tc>
      </w:tr>
      <w:tr w14:paraId="0E3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5" w:type="pct"/>
            <w:vAlign w:val="center"/>
          </w:tcPr>
          <w:p w14:paraId="01D19F55">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045" w:type="pct"/>
            <w:vAlign w:val="center"/>
          </w:tcPr>
          <w:p w14:paraId="21A9CFFD">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1"/>
                <w:szCs w:val="21"/>
                <w:highlight w:val="none"/>
                <w:lang w:eastAsia="zh-CN"/>
              </w:rPr>
            </w:pPr>
            <w:bookmarkStart w:id="229" w:name="_Toc3020"/>
            <w:bookmarkStart w:id="230" w:name="_Toc3690"/>
            <w:r>
              <w:rPr>
                <w:rFonts w:hint="eastAsia" w:ascii="宋体" w:hAnsi="宋体" w:eastAsia="宋体" w:cs="宋体"/>
                <w:color w:val="auto"/>
                <w:sz w:val="21"/>
                <w:szCs w:val="21"/>
                <w:highlight w:val="none"/>
                <w:lang w:eastAsia="zh-CN"/>
              </w:rPr>
              <w:t>付款方式</w:t>
            </w:r>
            <w:bookmarkEnd w:id="229"/>
            <w:bookmarkEnd w:id="230"/>
          </w:p>
        </w:tc>
        <w:tc>
          <w:tcPr>
            <w:tcW w:w="3569" w:type="pct"/>
            <w:vAlign w:val="center"/>
          </w:tcPr>
          <w:p w14:paraId="5BE19413">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优化政府采购营商环境，根据安财购﹝2019﹞8号文件落实政府采购预付款的规定，采购人可在政府采购合同履约前向成交承包商预付30%的合同资金，成交承包商应向采购人提交预付款保函，未提供保函的，视同其放弃项目预付款的支付。剩余资金供应商须在“网上提交支付申请后，凭借网上打印的《高新区政府采购资金申请表》，经采购人盖章后，作为付款依据，报同级财政局政府采购管理办公室审核确认后由采购人一次无息付清。</w:t>
            </w:r>
          </w:p>
        </w:tc>
      </w:tr>
      <w:tr w14:paraId="0180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3DA21D14">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default" w:ascii="宋体" w:hAnsi="宋体" w:eastAsia="宋体" w:cs="宋体"/>
                <w:color w:val="auto"/>
                <w:kern w:val="2"/>
                <w:sz w:val="21"/>
                <w:szCs w:val="21"/>
                <w:highlight w:val="none"/>
                <w:lang w:val="en-US" w:eastAsia="zh-CN" w:bidi="ar-SA"/>
              </w:rPr>
            </w:pPr>
            <w:bookmarkStart w:id="231" w:name="_Toc7108"/>
            <w:bookmarkStart w:id="232" w:name="_Toc22353"/>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045" w:type="pct"/>
            <w:vAlign w:val="center"/>
          </w:tcPr>
          <w:p w14:paraId="6FA5EE3F">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所属行业</w:t>
            </w:r>
          </w:p>
        </w:tc>
        <w:tc>
          <w:tcPr>
            <w:tcW w:w="3569" w:type="pct"/>
            <w:vAlign w:val="center"/>
          </w:tcPr>
          <w:p w14:paraId="3DCF114C">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其它未列明行业</w:t>
            </w:r>
          </w:p>
        </w:tc>
      </w:tr>
      <w:bookmarkEnd w:id="231"/>
      <w:bookmarkEnd w:id="232"/>
      <w:tr w14:paraId="3924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386F9A68">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1045" w:type="pct"/>
            <w:vAlign w:val="center"/>
          </w:tcPr>
          <w:p w14:paraId="159051A1">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z w:val="21"/>
                <w:szCs w:val="21"/>
                <w:highlight w:val="none"/>
              </w:rPr>
            </w:pPr>
            <w:bookmarkStart w:id="233" w:name="_Toc929"/>
            <w:bookmarkStart w:id="234" w:name="_Toc2118"/>
            <w:r>
              <w:rPr>
                <w:rFonts w:hint="eastAsia" w:ascii="宋体" w:hAnsi="宋体" w:eastAsia="宋体" w:cs="宋体"/>
                <w:color w:val="auto"/>
                <w:sz w:val="21"/>
                <w:szCs w:val="21"/>
                <w:highlight w:val="none"/>
              </w:rPr>
              <w:t>成交公示</w:t>
            </w:r>
            <w:bookmarkEnd w:id="233"/>
            <w:bookmarkEnd w:id="234"/>
          </w:p>
        </w:tc>
        <w:tc>
          <w:tcPr>
            <w:tcW w:w="3569" w:type="pct"/>
            <w:vAlign w:val="center"/>
          </w:tcPr>
          <w:p w14:paraId="5A4D2B61">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成交结果将</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《河南省政府采购网》、《安阳市政府采购网》进行公示。</w:t>
            </w:r>
          </w:p>
        </w:tc>
      </w:tr>
      <w:tr w14:paraId="29B7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68BD7A1B">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default" w:ascii="宋体" w:hAnsi="宋体" w:eastAsia="宋体" w:cs="宋体"/>
                <w:color w:val="auto"/>
                <w:sz w:val="21"/>
                <w:szCs w:val="21"/>
                <w:highlight w:val="none"/>
                <w:lang w:val="en-US" w:eastAsia="zh-CN"/>
              </w:rPr>
            </w:pPr>
            <w:bookmarkStart w:id="235" w:name="_Toc26564"/>
            <w:bookmarkStart w:id="236" w:name="_Toc4793"/>
            <w:r>
              <w:rPr>
                <w:rFonts w:hint="eastAsia" w:ascii="宋体" w:hAnsi="宋体" w:eastAsia="宋体" w:cs="宋体"/>
                <w:color w:val="auto"/>
                <w:sz w:val="21"/>
                <w:szCs w:val="21"/>
                <w:highlight w:val="none"/>
                <w:lang w:val="en-US" w:eastAsia="zh-CN"/>
              </w:rPr>
              <w:t>24</w:t>
            </w:r>
          </w:p>
        </w:tc>
        <w:tc>
          <w:tcPr>
            <w:tcW w:w="1045" w:type="pct"/>
            <w:vAlign w:val="center"/>
          </w:tcPr>
          <w:p w14:paraId="04B9C069">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政府采购政策落实</w:t>
            </w:r>
          </w:p>
        </w:tc>
        <w:tc>
          <w:tcPr>
            <w:tcW w:w="3569" w:type="pct"/>
            <w:vAlign w:val="center"/>
          </w:tcPr>
          <w:p w14:paraId="2C0D9F5F">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本项目专门面向中小企业采购，中小企业参与时</w:t>
            </w:r>
            <w:r>
              <w:rPr>
                <w:rFonts w:hint="eastAsia" w:ascii="宋体" w:hAnsi="宋体" w:eastAsia="宋体" w:cs="宋体"/>
                <w:color w:val="auto"/>
                <w:sz w:val="21"/>
                <w:szCs w:val="21"/>
                <w:highlight w:val="none"/>
              </w:rPr>
              <w:t>：</w:t>
            </w:r>
          </w:p>
          <w:p w14:paraId="0AD64DA2">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（1）须按照工信部联【2011】300号《中小企业划型标准规定》的标准如实填写《中小企业声明函》。</w:t>
            </w:r>
          </w:p>
          <w:p w14:paraId="657573A4">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（2）价格折扣：</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p w14:paraId="64D478C7">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（3）联合体投标价格折扣：本项目若允许联合体投标，</w:t>
            </w:r>
            <w:r>
              <w:rPr>
                <w:rFonts w:ascii="Helvetica" w:hAnsi="Helvetica" w:eastAsia="Helvetica" w:cs="Helvetica"/>
                <w:i w:val="0"/>
                <w:iCs w:val="0"/>
                <w:caps w:val="0"/>
                <w:color w:val="333333"/>
                <w:spacing w:val="0"/>
                <w:sz w:val="21"/>
                <w:szCs w:val="21"/>
                <w:highlight w:val="none"/>
                <w:shd w:val="clear" w:fill="FFFFFF"/>
              </w:rPr>
              <w:t>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w:t>
            </w:r>
            <w:r>
              <w:rPr>
                <w:rFonts w:hint="eastAsia" w:ascii="宋体" w:hAnsi="宋体" w:eastAsia="宋体" w:cs="宋体"/>
                <w:color w:val="auto"/>
                <w:sz w:val="21"/>
                <w:szCs w:val="21"/>
                <w:highlight w:val="none"/>
              </w:rPr>
              <w:t>。（不采用）</w:t>
            </w:r>
          </w:p>
          <w:p w14:paraId="5B8C26D0">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（4）根据三部门联合发布《关于促进残疾人就业政府采购政策的通知》（财库【2017】141 号）第三条规定：在政府采购活动中，残疾人福利性单位视同小型、微型企业，享受预留份额、评审中价格扣除等促进中小企业发展的政府采购政策。参加政府采购活动的残疾人福利性单位须提供《残疾人福利性单位声明函》原件, 否则评审时其价格不予扣除。残疾人福利性单位属于小型、微型企业的，不重复享受政策。</w:t>
            </w:r>
          </w:p>
          <w:p w14:paraId="36B71271">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（5）根据财政部、司法部《关于政府采购支持监狱企业发展有关问题的通知》（财库【2014】68 号）的规定：在政府采购活动中，监狱企业视同小型、微型企业，享受预留份额、评审中价格扣除等政府采购促进中小企业发展的政府采购政策。参加政府采购活动的监狱企业须提供由省级以上监狱管理局、戒毒管理局（含新疆生产建设兵团）出具的属于监狱企业的证明文件原件, 否则评审时其价格不予扣除。监狱企业属于小型、微型企业的，不重复享受政策。</w:t>
            </w:r>
          </w:p>
          <w:p w14:paraId="291BC3D2">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以上政策需附相关证明</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材料。由评审小组认定。</w:t>
            </w:r>
          </w:p>
          <w:p w14:paraId="69BEA0BC">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财政部国家发展改革委信息产业部关于印发无线局域网产品政府采购实施意见的通知》财库〔2005〕366号文件的有关要求，供应商本次投标活动中，所投设备如果涉及到无线局域网和含有无线局域网功能的计算机、通信设备、打印机、复印机、投影仪等产品的，在性能、技术、服务等指标同等条件下，将优先采购符合国家无线局域网安全标准（GB15629.11/1102）并通过国家产品认证的产品。</w:t>
            </w:r>
          </w:p>
          <w:p w14:paraId="0BB81CCF">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根据《财政部 发展改革委 生态环境部 市场监管总局 关于调整优化节能产品、环境标志产品政府采购执行机制的通知》（财库〔2019〕9号）、《关于印发节能产品政府采购品目清单的通知》（财库〔2019〕19号）、《关于印发环境标志产品政府采购品目清单的通知》（财库〔2019〕18号）文件规定，本项目如涉及到品目清单范围内的产品，将依据国家确定的认证机构出具的、处于有效期之内的节能产品、环境标志产品认证证书，对获得证书的产品实施优先采购或强制采购。</w:t>
            </w:r>
          </w:p>
        </w:tc>
      </w:tr>
      <w:tr w14:paraId="6F77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center"/>
          </w:tcPr>
          <w:p w14:paraId="2764D36F">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bookmarkEnd w:id="235"/>
            <w:bookmarkEnd w:id="236"/>
            <w:r>
              <w:rPr>
                <w:rFonts w:hint="eastAsia" w:ascii="宋体" w:hAnsi="宋体" w:eastAsia="宋体" w:cs="宋体"/>
                <w:color w:val="auto"/>
                <w:sz w:val="21"/>
                <w:szCs w:val="21"/>
                <w:highlight w:val="none"/>
                <w:lang w:val="en-US" w:eastAsia="zh-CN"/>
              </w:rPr>
              <w:t>5</w:t>
            </w:r>
          </w:p>
        </w:tc>
        <w:tc>
          <w:tcPr>
            <w:tcW w:w="1045" w:type="pct"/>
            <w:vAlign w:val="center"/>
          </w:tcPr>
          <w:p w14:paraId="331819B1">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c>
          <w:tcPr>
            <w:tcW w:w="3569" w:type="pct"/>
            <w:vAlign w:val="center"/>
          </w:tcPr>
          <w:p w14:paraId="7464AA7B">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eastAsia="宋体"/>
                <w:highlight w:val="none"/>
                <w:lang w:val="en-US" w:eastAsia="zh-CN"/>
              </w:rPr>
            </w:pPr>
            <w:r>
              <w:rPr>
                <w:rFonts w:hint="eastAsia" w:ascii="宋体" w:hAnsi="宋体" w:eastAsia="宋体" w:cs="宋体"/>
                <w:color w:val="auto"/>
                <w:spacing w:val="-6"/>
                <w:sz w:val="21"/>
                <w:szCs w:val="21"/>
                <w:highlight w:val="none"/>
              </w:rPr>
              <w:t>代理服务费；</w:t>
            </w:r>
            <w:r>
              <w:rPr>
                <w:rFonts w:ascii="宋体" w:hAnsi="宋体" w:eastAsia="宋体" w:cs="宋体"/>
                <w:b w:val="0"/>
                <w:bCs w:val="0"/>
                <w:color w:val="000000"/>
                <w:sz w:val="21"/>
                <w:szCs w:val="21"/>
                <w:highlight w:val="none"/>
              </w:rPr>
              <w:t>按照河南省招标投标协会《河南省招标代理服务收费指导意见》（豫招 协</w:t>
            </w:r>
            <w:r>
              <w:rPr>
                <w:rFonts w:ascii="Calibri" w:hAnsi="Calibri" w:eastAsia="宋体" w:cs="Calibri"/>
                <w:b w:val="0"/>
                <w:bCs w:val="0"/>
                <w:color w:val="000000"/>
                <w:sz w:val="21"/>
                <w:szCs w:val="21"/>
                <w:highlight w:val="none"/>
              </w:rPr>
              <w:t xml:space="preserve">{2023}002 </w:t>
            </w:r>
            <w:r>
              <w:rPr>
                <w:rFonts w:ascii="宋体" w:hAnsi="宋体" w:eastAsia="宋体" w:cs="宋体"/>
                <w:b w:val="0"/>
                <w:bCs w:val="0"/>
                <w:color w:val="000000"/>
                <w:sz w:val="21"/>
                <w:szCs w:val="21"/>
                <w:highlight w:val="none"/>
              </w:rPr>
              <w:t>号）文件的规定</w:t>
            </w:r>
            <w:r>
              <w:rPr>
                <w:rFonts w:hint="eastAsia" w:ascii="宋体" w:hAnsi="宋体" w:eastAsia="宋体" w:cs="宋体"/>
                <w:b w:val="0"/>
                <w:bCs w:val="0"/>
                <w:color w:val="000000"/>
                <w:sz w:val="21"/>
                <w:szCs w:val="21"/>
                <w:highlight w:val="none"/>
                <w:lang w:val="en-US" w:eastAsia="zh-CN"/>
              </w:rPr>
              <w:t>记取</w:t>
            </w:r>
            <w:r>
              <w:rPr>
                <w:rFonts w:ascii="宋体" w:hAnsi="宋体" w:eastAsia="宋体" w:cs="宋体"/>
                <w:b w:val="0"/>
                <w:bCs w:val="0"/>
                <w:color w:val="000000"/>
                <w:sz w:val="21"/>
                <w:szCs w:val="21"/>
                <w:highlight w:val="none"/>
              </w:rPr>
              <w:t>，由中标单位在领取中标通知书前向采购代理机构支付。</w:t>
            </w:r>
          </w:p>
        </w:tc>
      </w:tr>
      <w:tr w14:paraId="0B71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3"/>
            <w:vAlign w:val="center"/>
          </w:tcPr>
          <w:p w14:paraId="3DDC7166">
            <w:pPr>
              <w:keepNext w:val="0"/>
              <w:keepLines w:val="0"/>
              <w:pageBreakBefore w:val="0"/>
              <w:kinsoku/>
              <w:wordWrap/>
              <w:overflowPunct/>
              <w:topLinePunct w:val="0"/>
              <w:autoSpaceDE/>
              <w:autoSpaceDN/>
              <w:bidi w:val="0"/>
              <w:adjustRightInd/>
              <w:snapToGrid/>
              <w:spacing w:after="0" w:line="440" w:lineRule="exact"/>
              <w:jc w:val="center"/>
              <w:textAlignment w:val="auto"/>
              <w:outlineLvl w:val="0"/>
              <w:rPr>
                <w:rFonts w:ascii="宋体" w:hAnsi="宋体" w:eastAsia="宋体" w:cs="宋体"/>
                <w:color w:val="auto"/>
                <w:spacing w:val="-6"/>
                <w:sz w:val="21"/>
                <w:szCs w:val="21"/>
                <w:highlight w:val="none"/>
              </w:rPr>
            </w:pPr>
            <w:bookmarkStart w:id="237" w:name="_Toc28179"/>
            <w:bookmarkStart w:id="238" w:name="_Toc469902674"/>
            <w:bookmarkStart w:id="239" w:name="_Toc470076974"/>
            <w:bookmarkStart w:id="240" w:name="_Toc11109"/>
            <w:r>
              <w:rPr>
                <w:rFonts w:hint="eastAsia" w:ascii="宋体" w:hAnsi="宋体" w:eastAsia="宋体" w:cs="宋体"/>
                <w:color w:val="auto"/>
                <w:spacing w:val="-6"/>
                <w:sz w:val="21"/>
                <w:szCs w:val="21"/>
                <w:highlight w:val="none"/>
              </w:rPr>
              <w:t>本项目竞争性磋商文件最终解释权归</w:t>
            </w:r>
            <w:r>
              <w:rPr>
                <w:rFonts w:hint="eastAsia" w:ascii="宋体" w:hAnsi="宋体" w:eastAsia="宋体" w:cs="宋体"/>
                <w:color w:val="auto"/>
                <w:sz w:val="21"/>
                <w:szCs w:val="21"/>
                <w:highlight w:val="none"/>
              </w:rPr>
              <w:t>采购</w:t>
            </w:r>
            <w:r>
              <w:rPr>
                <w:rFonts w:hint="eastAsia" w:ascii="宋体" w:hAnsi="宋体" w:eastAsia="宋体" w:cs="宋体"/>
                <w:color w:val="auto"/>
                <w:spacing w:val="-6"/>
                <w:sz w:val="21"/>
                <w:szCs w:val="21"/>
                <w:highlight w:val="none"/>
              </w:rPr>
              <w:t>人和代理公司所有。</w:t>
            </w:r>
            <w:bookmarkEnd w:id="237"/>
            <w:bookmarkEnd w:id="238"/>
            <w:bookmarkEnd w:id="239"/>
            <w:bookmarkEnd w:id="240"/>
          </w:p>
        </w:tc>
      </w:tr>
    </w:tbl>
    <w:p w14:paraId="6B345119">
      <w:pPr>
        <w:rPr>
          <w:rFonts w:hint="eastAsia" w:ascii="宋体" w:hAnsi="宋体" w:eastAsia="宋体" w:cs="宋体"/>
          <w:b/>
          <w:color w:val="auto"/>
          <w:sz w:val="28"/>
          <w:szCs w:val="28"/>
          <w:highlight w:val="none"/>
        </w:rPr>
      </w:pPr>
      <w:bookmarkStart w:id="241" w:name="_Toc470076975"/>
      <w:bookmarkStart w:id="242" w:name="_Toc469902675"/>
      <w:r>
        <w:rPr>
          <w:rFonts w:hint="eastAsia" w:ascii="宋体" w:hAnsi="宋体" w:eastAsia="宋体" w:cs="宋体"/>
          <w:b/>
          <w:color w:val="auto"/>
          <w:sz w:val="28"/>
          <w:szCs w:val="28"/>
          <w:highlight w:val="none"/>
        </w:rPr>
        <w:br w:type="page"/>
      </w:r>
    </w:p>
    <w:p w14:paraId="11DA0305">
      <w:pPr>
        <w:keepNext w:val="0"/>
        <w:keepLines w:val="0"/>
        <w:pageBreakBefore w:val="0"/>
        <w:widowControl w:val="0"/>
        <w:tabs>
          <w:tab w:val="left" w:pos="1932"/>
        </w:tabs>
        <w:kinsoku/>
        <w:wordWrap/>
        <w:overflowPunct/>
        <w:topLinePunct w:val="0"/>
        <w:autoSpaceDE/>
        <w:autoSpaceDN/>
        <w:bidi w:val="0"/>
        <w:adjustRightInd/>
        <w:snapToGrid/>
        <w:spacing w:after="0" w:line="240" w:lineRule="auto"/>
        <w:textAlignment w:val="auto"/>
        <w:outlineLvl w:val="1"/>
        <w:rPr>
          <w:rFonts w:ascii="宋体" w:hAnsi="宋体" w:eastAsia="宋体" w:cs="宋体"/>
          <w:b/>
          <w:color w:val="auto"/>
          <w:sz w:val="30"/>
          <w:szCs w:val="30"/>
          <w:highlight w:val="none"/>
        </w:rPr>
      </w:pPr>
      <w:r>
        <w:rPr>
          <w:rFonts w:hint="eastAsia" w:ascii="宋体" w:hAnsi="宋体" w:eastAsia="宋体" w:cs="宋体"/>
          <w:b/>
          <w:color w:val="auto"/>
          <w:sz w:val="28"/>
          <w:szCs w:val="28"/>
          <w:highlight w:val="none"/>
        </w:rPr>
        <w:t>一、总则</w:t>
      </w:r>
      <w:bookmarkEnd w:id="241"/>
      <w:bookmarkEnd w:id="242"/>
    </w:p>
    <w:p w14:paraId="2CEA415E">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1．项目说明</w:t>
      </w:r>
    </w:p>
    <w:p w14:paraId="609E26AF">
      <w:pPr>
        <w:keepNext w:val="0"/>
        <w:keepLines w:val="0"/>
        <w:pageBreakBefore w:val="0"/>
        <w:widowControl w:val="0"/>
        <w:tabs>
          <w:tab w:val="center" w:pos="4153"/>
        </w:tabs>
        <w:kinsoku/>
        <w:wordWrap/>
        <w:overflowPunct/>
        <w:topLinePunct w:val="0"/>
        <w:autoSpaceDE/>
        <w:autoSpaceDN/>
        <w:bidi w:val="0"/>
        <w:adjustRightInd/>
        <w:snapToGrid/>
        <w:spacing w:after="0" w:line="360" w:lineRule="auto"/>
        <w:ind w:firstLine="420"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1.1 项目名称：</w:t>
      </w:r>
      <w:r>
        <w:rPr>
          <w:rFonts w:hint="eastAsia" w:ascii="宋体" w:hAnsi="宋体" w:eastAsia="宋体" w:cs="宋体"/>
          <w:color w:val="auto"/>
          <w:sz w:val="21"/>
          <w:szCs w:val="21"/>
          <w:highlight w:val="none"/>
          <w:lang w:eastAsia="zh-CN"/>
        </w:rPr>
        <w:t xml:space="preserve">安阳高新技术产业开发区智慧城市运营中心洪河（铁路桥—长江大道桥）河道保洁服务项目  </w:t>
      </w:r>
    </w:p>
    <w:p w14:paraId="38CC0467">
      <w:pPr>
        <w:keepNext w:val="0"/>
        <w:keepLines w:val="0"/>
        <w:pageBreakBefore w:val="0"/>
        <w:widowControl w:val="0"/>
        <w:tabs>
          <w:tab w:val="center" w:pos="4153"/>
        </w:tabs>
        <w:kinsoku/>
        <w:wordWrap/>
        <w:overflowPunct/>
        <w:topLinePunct w:val="0"/>
        <w:autoSpaceDE/>
        <w:autoSpaceDN/>
        <w:bidi w:val="0"/>
        <w:adjustRightInd/>
        <w:snapToGrid/>
        <w:spacing w:after="0" w:line="360" w:lineRule="auto"/>
        <w:ind w:firstLine="420" w:firstLineChars="200"/>
        <w:textAlignment w:val="auto"/>
        <w:outlineLvl w:val="9"/>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 本竞争性磋商文件仅适用于本次竞争性磋商公告中所述的“</w:t>
      </w:r>
      <w:r>
        <w:rPr>
          <w:rFonts w:hint="eastAsia" w:ascii="宋体" w:hAnsi="宋体" w:eastAsia="宋体" w:cs="宋体"/>
          <w:color w:val="auto"/>
          <w:sz w:val="21"/>
          <w:szCs w:val="21"/>
          <w:highlight w:val="none"/>
          <w:lang w:eastAsia="zh-CN"/>
        </w:rPr>
        <w:t>安阳高新技术产业开发区智慧城市运营中心洪河（铁路桥—长江大道桥）河道保洁服务项目</w:t>
      </w:r>
      <w:r>
        <w:rPr>
          <w:rFonts w:hint="eastAsia" w:ascii="宋体" w:hAnsi="宋体" w:eastAsia="宋体" w:cs="宋体"/>
          <w:color w:val="auto"/>
          <w:sz w:val="21"/>
          <w:szCs w:val="21"/>
          <w:highlight w:val="none"/>
        </w:rPr>
        <w:t>”的采购。</w:t>
      </w:r>
    </w:p>
    <w:p w14:paraId="4BE419F0">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 资金来源：详见“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E298022">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 </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540660D">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 质量要求：详见“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B1C114F">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资格要求</w:t>
      </w:r>
    </w:p>
    <w:p w14:paraId="14B71A1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1B2A9301">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3．费用承担</w:t>
      </w:r>
    </w:p>
    <w:p w14:paraId="3F5B2782">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为参加磋商做准备发生的费用和参加磋商活动发生的一切费用自理。</w:t>
      </w:r>
    </w:p>
    <w:p w14:paraId="118C88EC">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bookmarkStart w:id="243" w:name="_Toc144974507"/>
      <w:bookmarkStart w:id="244" w:name="_Toc152042315"/>
      <w:bookmarkStart w:id="245" w:name="_Toc179632556"/>
      <w:bookmarkStart w:id="246" w:name="_Toc152045539"/>
      <w:r>
        <w:rPr>
          <w:rFonts w:hint="eastAsia" w:ascii="宋体" w:hAnsi="宋体" w:eastAsia="宋体" w:cs="宋体"/>
          <w:b/>
          <w:color w:val="auto"/>
          <w:sz w:val="24"/>
          <w:szCs w:val="24"/>
          <w:highlight w:val="none"/>
        </w:rPr>
        <w:t>4．踏勘现场</w:t>
      </w:r>
      <w:bookmarkEnd w:id="243"/>
      <w:bookmarkEnd w:id="244"/>
      <w:bookmarkEnd w:id="245"/>
      <w:bookmarkEnd w:id="246"/>
    </w:p>
    <w:p w14:paraId="6C6EFABD">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4.1 采购</w:t>
      </w:r>
      <w:r>
        <w:rPr>
          <w:rFonts w:hint="eastAsia" w:ascii="宋体" w:hAnsi="宋体" w:eastAsia="宋体" w:cs="宋体"/>
          <w:color w:val="auto"/>
          <w:spacing w:val="3"/>
          <w:sz w:val="21"/>
          <w:szCs w:val="21"/>
          <w:highlight w:val="none"/>
        </w:rPr>
        <w:t>人及招标代理机构不组织现场踏勘。</w:t>
      </w:r>
    </w:p>
    <w:p w14:paraId="7403C460">
      <w:pPr>
        <w:keepNext w:val="0"/>
        <w:keepLines w:val="0"/>
        <w:pageBreakBefore w:val="0"/>
        <w:widowControl w:val="0"/>
        <w:tabs>
          <w:tab w:val="left" w:pos="1932"/>
        </w:tabs>
        <w:kinsoku/>
        <w:wordWrap/>
        <w:overflowPunct/>
        <w:topLinePunct w:val="0"/>
        <w:autoSpaceDE/>
        <w:autoSpaceDN/>
        <w:bidi w:val="0"/>
        <w:adjustRightInd/>
        <w:snapToGrid/>
        <w:spacing w:after="0" w:line="240" w:lineRule="auto"/>
        <w:textAlignment w:val="auto"/>
        <w:outlineLvl w:val="1"/>
        <w:rPr>
          <w:rFonts w:ascii="宋体" w:hAnsi="宋体" w:eastAsia="宋体" w:cs="宋体"/>
          <w:b/>
          <w:color w:val="auto"/>
          <w:sz w:val="30"/>
          <w:szCs w:val="30"/>
          <w:highlight w:val="none"/>
        </w:rPr>
      </w:pPr>
      <w:bookmarkStart w:id="247" w:name="_Toc470076976"/>
      <w:bookmarkStart w:id="248" w:name="_Toc469902676"/>
      <w:r>
        <w:rPr>
          <w:rFonts w:hint="eastAsia" w:ascii="宋体" w:hAnsi="宋体" w:eastAsia="宋体" w:cs="宋体"/>
          <w:b/>
          <w:color w:val="auto"/>
          <w:sz w:val="28"/>
          <w:szCs w:val="28"/>
          <w:highlight w:val="none"/>
        </w:rPr>
        <w:t>二、竞争性磋商文件说明</w:t>
      </w:r>
      <w:bookmarkEnd w:id="247"/>
      <w:bookmarkEnd w:id="248"/>
    </w:p>
    <w:p w14:paraId="1D8B1E7F">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5．竞争性磋商文件构成</w:t>
      </w:r>
    </w:p>
    <w:p w14:paraId="48DA57CE">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 竞争性磋商文件由下述部分组成：</w:t>
      </w:r>
    </w:p>
    <w:p w14:paraId="65B07E95">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438052A0">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p>
    <w:p w14:paraId="3DC53FF3">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采购内容及服务要求</w:t>
      </w:r>
    </w:p>
    <w:p w14:paraId="27DFD9D6">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7DE428E1">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（5）磋商办法</w:t>
      </w:r>
    </w:p>
    <w:p w14:paraId="37830AD4">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（6）响应文件格式</w:t>
      </w:r>
    </w:p>
    <w:p w14:paraId="236FB08D">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6．竞争性磋商文件的询问或疑问</w:t>
      </w:r>
    </w:p>
    <w:p w14:paraId="69EB7DAB">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应仔细阅读和检查招标文件的全部内容，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若对招标文件有异议请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w:t>
      </w:r>
    </w:p>
    <w:p w14:paraId="5E94BA97">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的姓名或者名称、地址、邮编、联系人及联系电话；</w:t>
      </w:r>
    </w:p>
    <w:p w14:paraId="31665AF0">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质疑项目的名称、编号；</w:t>
      </w:r>
    </w:p>
    <w:p w14:paraId="2D7C412D">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具体、明确的质疑事项和与质疑事项相关的请求；</w:t>
      </w:r>
    </w:p>
    <w:p w14:paraId="04C45B76">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14:paraId="7EE520B0">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必要的法律依据；</w:t>
      </w:r>
    </w:p>
    <w:p w14:paraId="705C1061">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提出质疑的日期。</w:t>
      </w:r>
    </w:p>
    <w:p w14:paraId="2B37C4E0">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为自然人的，应当由本人签字；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为法人或者其他组织的，应当由法定代表人、主要负责人，或者其授权代表签字或者盖章，并加盖公章。</w:t>
      </w:r>
    </w:p>
    <w:p w14:paraId="067FB9DD">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1"/>
          <w:szCs w:val="21"/>
          <w:highlight w:val="none"/>
        </w:rPr>
      </w:pPr>
      <w:r>
        <w:rPr>
          <w:rFonts w:hint="eastAsia" w:ascii="宋体" w:hAnsi="宋体" w:eastAsia="宋体" w:cs="宋体"/>
          <w:b/>
          <w:color w:val="auto"/>
          <w:sz w:val="24"/>
          <w:szCs w:val="24"/>
          <w:highlight w:val="none"/>
        </w:rPr>
        <w:t>7．竞争性磋商文件的澄清与修改</w:t>
      </w:r>
    </w:p>
    <w:p w14:paraId="574C0A23">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bookmarkStart w:id="249" w:name="_Toc469902677"/>
      <w:bookmarkStart w:id="250" w:name="_Toc470076977"/>
      <w:r>
        <w:rPr>
          <w:rFonts w:hint="eastAsia" w:ascii="宋体" w:hAnsi="宋体" w:eastAsia="宋体" w:cs="宋体"/>
          <w:color w:val="auto"/>
          <w:sz w:val="21"/>
          <w:szCs w:val="21"/>
          <w:highlight w:val="none"/>
        </w:rPr>
        <w:t>7.1 如果提交首次《响应文件》截止时间前的澄清修改补充发出的时间距开标不足5个工作日，并且澄清修改补充内容影响《响应文件》编制的，代理机构可视采购具体情况延长提交首次《响应文件》截止时间和首次《响应文件》开启时间，并</w:t>
      </w:r>
      <w:r>
        <w:rPr>
          <w:rFonts w:hint="eastAsia" w:ascii="宋体" w:hAnsi="宋体" w:eastAsia="宋体" w:cs="宋体"/>
          <w:color w:val="auto"/>
          <w:sz w:val="21"/>
          <w:szCs w:val="21"/>
          <w:highlight w:val="none"/>
          <w:lang w:eastAsia="zh-CN"/>
        </w:rPr>
        <w:t>将书面形式通知所有供应商</w:t>
      </w:r>
      <w:r>
        <w:rPr>
          <w:rFonts w:hint="eastAsia" w:ascii="宋体" w:hAnsi="宋体" w:eastAsia="宋体" w:cs="宋体"/>
          <w:color w:val="auto"/>
          <w:sz w:val="21"/>
          <w:szCs w:val="21"/>
          <w:highlight w:val="none"/>
        </w:rPr>
        <w:t>。</w:t>
      </w:r>
    </w:p>
    <w:p w14:paraId="46E255E2">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 竞争性磋商文件的澄清或修改内容作为竞争性磋商文件的组成部分，具有约束作用。</w:t>
      </w:r>
    </w:p>
    <w:p w14:paraId="3233ADA8">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在规定的时间内未对竞争性磋商文件提出疑问的，采购人或代理机构将视其为无异议。对竞争性磋商文件中描述有歧意或前后不一致的地方，磋商小组有权进行评判，但对同一条款的评判应适用于每个</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21282DD4">
      <w:pPr>
        <w:keepNext w:val="0"/>
        <w:keepLines w:val="0"/>
        <w:pageBreakBefore w:val="0"/>
        <w:widowControl w:val="0"/>
        <w:tabs>
          <w:tab w:val="left" w:pos="1932"/>
        </w:tabs>
        <w:kinsoku/>
        <w:wordWrap/>
        <w:overflowPunct/>
        <w:topLinePunct w:val="0"/>
        <w:autoSpaceDE/>
        <w:autoSpaceDN/>
        <w:bidi w:val="0"/>
        <w:adjustRightInd/>
        <w:snapToGrid/>
        <w:spacing w:after="0" w:line="240" w:lineRule="auto"/>
        <w:textAlignment w:val="auto"/>
        <w:outlineLvl w:val="1"/>
        <w:rPr>
          <w:rFonts w:ascii="宋体" w:hAnsi="宋体" w:eastAsia="宋体" w:cs="宋体"/>
          <w:b/>
          <w:color w:val="auto"/>
          <w:sz w:val="30"/>
          <w:szCs w:val="30"/>
          <w:highlight w:val="none"/>
        </w:rPr>
      </w:pPr>
      <w:r>
        <w:rPr>
          <w:rFonts w:hint="eastAsia" w:ascii="宋体" w:hAnsi="宋体" w:eastAsia="宋体" w:cs="宋体"/>
          <w:b/>
          <w:color w:val="auto"/>
          <w:sz w:val="28"/>
          <w:szCs w:val="28"/>
          <w:highlight w:val="none"/>
        </w:rPr>
        <w:t>三、响应文件的编写</w:t>
      </w:r>
      <w:bookmarkEnd w:id="249"/>
      <w:bookmarkEnd w:id="250"/>
    </w:p>
    <w:p w14:paraId="272E9C7C">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1506AE7F">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8.1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应仔细阅读竞争性磋商文件的所有内容，按竞争性磋商文件的要求提供并保证所提供的全部资料的真实性，并对本竞争性磋商文件要求的实质性内容做出响应。　</w:t>
      </w:r>
    </w:p>
    <w:p w14:paraId="2ED71461">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 磋商过程所使用的计量单位，应使用国家法定计量单位。</w:t>
      </w:r>
    </w:p>
    <w:p w14:paraId="6EBA5019">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9．响应文件的组成及格式</w:t>
      </w:r>
    </w:p>
    <w:p w14:paraId="130D722B">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 响应文件应包括磋商文件“第六章响应文件格式”中所要求的内容。</w:t>
      </w:r>
    </w:p>
    <w:p w14:paraId="553E016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应按磋商文件“第六章响应文件格式”中所要求的内容编制响应文件。响应文件应当对磋商文件提出的要求和条件作出明确响应。</w:t>
      </w:r>
    </w:p>
    <w:p w14:paraId="196C89A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9.3 磋商文件“第六章响应文件格式”仅为对响应文件部分内容的格式化规范，并非响应文件所应具备的全部内容。磋商文件中未列明格式的，由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按一般通用格式自行设计。</w:t>
      </w:r>
    </w:p>
    <w:p w14:paraId="360892E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应完整编制响应文件，按磋商文件“第六章响应文件格式”要求顺序编制目录。</w:t>
      </w:r>
    </w:p>
    <w:p w14:paraId="6E80F1BD">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highlight w:val="none"/>
        </w:rPr>
      </w:pPr>
      <w:r>
        <w:rPr>
          <w:rFonts w:hint="eastAsia" w:ascii="宋体" w:hAnsi="宋体" w:eastAsia="宋体" w:cs="宋体"/>
          <w:b/>
          <w:bCs/>
          <w:color w:val="auto"/>
          <w:sz w:val="21"/>
          <w:szCs w:val="21"/>
          <w:highlight w:val="none"/>
          <w:lang w:val="en-US" w:eastAsia="zh-CN"/>
        </w:rPr>
        <w:t>9.5响应文件中关于资格证明材料以及合同的要求等均应当提供复印件加盖公章。</w:t>
      </w:r>
    </w:p>
    <w:p w14:paraId="3039D6A9">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10．报价</w:t>
      </w:r>
    </w:p>
    <w:p w14:paraId="4C348E05">
      <w:pPr>
        <w:tabs>
          <w:tab w:val="left" w:pos="0"/>
          <w:tab w:val="left" w:pos="1050"/>
        </w:tabs>
        <w:adjustRightInd w:val="0"/>
        <w:snapToGrid w:val="0"/>
        <w:spacing w:line="360" w:lineRule="auto"/>
        <w:ind w:leftChars="0" w:rightChars="0" w:firstLine="365" w:firstLineChars="174"/>
        <w:rPr>
          <w:rFonts w:ascii="宋体" w:hAnsi="宋体" w:eastAsia="宋体" w:cs="宋体"/>
          <w:sz w:val="21"/>
          <w:szCs w:val="24"/>
          <w:highlight w:val="none"/>
        </w:rPr>
      </w:pPr>
      <w:bookmarkStart w:id="251" w:name="_Toc12402"/>
      <w:r>
        <w:rPr>
          <w:rFonts w:hint="eastAsia" w:ascii="宋体" w:hAnsi="宋体" w:eastAsia="宋体" w:cs="宋体"/>
          <w:sz w:val="21"/>
          <w:szCs w:val="24"/>
          <w:highlight w:val="none"/>
          <w:lang w:val="en-US" w:eastAsia="zh-CN"/>
        </w:rPr>
        <w:t>10</w:t>
      </w:r>
      <w:r>
        <w:rPr>
          <w:rFonts w:hint="eastAsia" w:ascii="宋体" w:hAnsi="宋体" w:eastAsia="宋体" w:cs="宋体"/>
          <w:sz w:val="21"/>
          <w:szCs w:val="24"/>
          <w:highlight w:val="none"/>
        </w:rPr>
        <w:t>.1本项目的磋商报价应按照竞争性磋商文件、补充通知、答疑纪要、现场情况、承包范围，并充分考虑风险系数，由各响应人根据自身情况，在合理范围内，自主考虑、优惠报价，</w:t>
      </w:r>
      <w:r>
        <w:rPr>
          <w:rFonts w:hint="eastAsia" w:ascii="宋体" w:hAnsi="宋体" w:eastAsia="宋体" w:cs="宋体"/>
          <w:sz w:val="21"/>
          <w:szCs w:val="24"/>
          <w:highlight w:val="none"/>
          <w:lang w:eastAsia="zh-CN"/>
        </w:rPr>
        <w:t>包括</w:t>
      </w:r>
      <w:r>
        <w:rPr>
          <w:rFonts w:hint="eastAsia" w:ascii="宋体" w:hAnsi="宋体" w:eastAsia="宋体" w:cs="宋体"/>
          <w:sz w:val="21"/>
          <w:szCs w:val="24"/>
          <w:highlight w:val="none"/>
        </w:rPr>
        <w:t>人工服务费</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差旅费、保险费、税费</w:t>
      </w:r>
      <w:r>
        <w:rPr>
          <w:rFonts w:hint="eastAsia" w:ascii="宋体" w:hAnsi="宋体" w:eastAsia="宋体" w:cs="宋体"/>
          <w:sz w:val="21"/>
          <w:szCs w:val="24"/>
          <w:highlight w:val="none"/>
          <w:lang w:eastAsia="zh-CN"/>
        </w:rPr>
        <w:t>、</w:t>
      </w:r>
      <w:r>
        <w:rPr>
          <w:rFonts w:hint="eastAsia" w:ascii="宋体" w:hAnsi="宋体" w:eastAsia="宋体" w:cs="宋体"/>
          <w:sz w:val="21"/>
          <w:szCs w:val="24"/>
          <w:highlight w:val="none"/>
        </w:rPr>
        <w:t>等所发生的所有费用，但不得低于企业成本，分二次报价：第一次报价必须按照竞争性磋商文件的报价格式填报，第二次报价在磋商中填报，第二次报价（不得高于第一次报价）即为最终报价</w:t>
      </w:r>
      <w:bookmarkEnd w:id="251"/>
      <w:r>
        <w:rPr>
          <w:rFonts w:hint="eastAsia" w:ascii="宋体" w:hAnsi="宋体" w:eastAsia="宋体" w:cs="宋体"/>
          <w:sz w:val="21"/>
          <w:szCs w:val="24"/>
          <w:highlight w:val="none"/>
        </w:rPr>
        <w:t>。</w:t>
      </w:r>
    </w:p>
    <w:p w14:paraId="4FAD20BF">
      <w:pPr>
        <w:tabs>
          <w:tab w:val="left" w:pos="0"/>
          <w:tab w:val="left" w:pos="1050"/>
        </w:tabs>
        <w:adjustRightInd w:val="0"/>
        <w:snapToGrid w:val="0"/>
        <w:spacing w:line="360" w:lineRule="auto"/>
        <w:ind w:leftChars="0" w:rightChars="0" w:firstLine="365" w:firstLineChars="174"/>
        <w:rPr>
          <w:rFonts w:ascii="宋体" w:hAnsi="宋体" w:eastAsia="宋体" w:cs="宋体"/>
          <w:sz w:val="21"/>
          <w:szCs w:val="24"/>
          <w:highlight w:val="none"/>
        </w:rPr>
      </w:pPr>
      <w:r>
        <w:rPr>
          <w:rFonts w:hint="eastAsia" w:ascii="宋体" w:hAnsi="宋体" w:eastAsia="宋体" w:cs="宋体"/>
          <w:sz w:val="21"/>
          <w:szCs w:val="24"/>
          <w:highlight w:val="none"/>
          <w:lang w:val="en-US" w:eastAsia="zh-CN"/>
        </w:rPr>
        <w:t>10</w:t>
      </w:r>
      <w:r>
        <w:rPr>
          <w:rFonts w:hint="eastAsia" w:ascii="宋体" w:hAnsi="宋体" w:eastAsia="宋体" w:cs="宋体"/>
          <w:sz w:val="21"/>
          <w:szCs w:val="24"/>
          <w:highlight w:val="none"/>
        </w:rPr>
        <w:t>.2供应商应充分了解该项目的总体情况以及影响磋商报价的其它要素，考虑供货期间的价格风险因素，成交价在合同实施期内不得调整，同时也不因市场价格变动而调整。</w:t>
      </w:r>
    </w:p>
    <w:p w14:paraId="5CD66A8E">
      <w:pPr>
        <w:tabs>
          <w:tab w:val="left" w:pos="0"/>
          <w:tab w:val="left" w:pos="1050"/>
        </w:tabs>
        <w:adjustRightInd w:val="0"/>
        <w:snapToGrid w:val="0"/>
        <w:spacing w:line="360" w:lineRule="auto"/>
        <w:ind w:leftChars="0" w:rightChars="0" w:firstLine="365" w:firstLineChars="174"/>
        <w:rPr>
          <w:rFonts w:ascii="宋体" w:hAnsi="宋体" w:eastAsia="宋体" w:cs="宋体"/>
          <w:sz w:val="21"/>
          <w:szCs w:val="24"/>
          <w:highlight w:val="none"/>
        </w:rPr>
      </w:pPr>
      <w:r>
        <w:rPr>
          <w:rFonts w:hint="eastAsia" w:ascii="宋体" w:hAnsi="宋体" w:eastAsia="宋体" w:cs="宋体"/>
          <w:sz w:val="21"/>
          <w:szCs w:val="24"/>
          <w:highlight w:val="none"/>
          <w:lang w:val="en-US" w:eastAsia="zh-CN"/>
        </w:rPr>
        <w:t>10</w:t>
      </w:r>
      <w:r>
        <w:rPr>
          <w:rFonts w:hint="eastAsia" w:ascii="宋体" w:hAnsi="宋体" w:eastAsia="宋体" w:cs="宋体"/>
          <w:sz w:val="21"/>
          <w:szCs w:val="24"/>
          <w:highlight w:val="none"/>
        </w:rPr>
        <w:t>.3 响应报价表中的大写金额和小写金额不一致的，以大写金额为准。</w:t>
      </w:r>
    </w:p>
    <w:p w14:paraId="0403B9C4">
      <w:pPr>
        <w:tabs>
          <w:tab w:val="left" w:pos="0"/>
          <w:tab w:val="left" w:pos="1050"/>
        </w:tabs>
        <w:adjustRightInd w:val="0"/>
        <w:snapToGrid w:val="0"/>
        <w:spacing w:line="360" w:lineRule="auto"/>
        <w:ind w:leftChars="0" w:rightChars="0" w:firstLine="365" w:firstLineChars="174"/>
        <w:rPr>
          <w:rFonts w:ascii="宋体" w:hAnsi="宋体" w:eastAsia="宋体" w:cs="宋体"/>
          <w:color w:val="auto"/>
          <w:sz w:val="21"/>
          <w:szCs w:val="21"/>
          <w:highlight w:val="none"/>
        </w:rPr>
      </w:pPr>
      <w:r>
        <w:rPr>
          <w:rFonts w:hint="eastAsia" w:ascii="宋体" w:hAnsi="宋体" w:eastAsia="宋体" w:cs="宋体"/>
          <w:sz w:val="21"/>
          <w:szCs w:val="24"/>
          <w:highlight w:val="none"/>
          <w:lang w:val="en-US" w:eastAsia="zh-CN"/>
        </w:rPr>
        <w:t>10</w:t>
      </w:r>
      <w:r>
        <w:rPr>
          <w:rFonts w:hint="eastAsia" w:ascii="宋体" w:hAnsi="宋体" w:eastAsia="宋体" w:cs="宋体"/>
          <w:sz w:val="21"/>
          <w:szCs w:val="24"/>
          <w:highlight w:val="none"/>
        </w:rPr>
        <w:t xml:space="preserve">.4供应商的报价明显低于其他通过符合性审查供应商的报价，有可能影响产品质量或者不能诚信履约的，磋商委员会应当要求其在磋商现场合理的时间内提供书面说明，必要时提交相关证明材料；供应商不能证明其报价合理性的，磋商委员会应当将其作为无效投标处理。 </w:t>
      </w:r>
      <w:r>
        <w:rPr>
          <w:rFonts w:hint="eastAsia" w:ascii="宋体" w:hAnsi="宋体" w:eastAsia="宋体" w:cs="宋体"/>
          <w:b/>
          <w:bCs/>
          <w:sz w:val="21"/>
          <w:szCs w:val="24"/>
          <w:highlight w:val="none"/>
        </w:rPr>
        <w:t xml:space="preserve"> </w:t>
      </w:r>
    </w:p>
    <w:p w14:paraId="07AF698F">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11．磋商保证金：无</w:t>
      </w:r>
      <w:r>
        <w:rPr>
          <w:rFonts w:hint="eastAsia" w:ascii="宋体" w:hAnsi="宋体" w:eastAsia="宋体" w:cs="宋体"/>
          <w:b/>
          <w:color w:val="auto"/>
          <w:sz w:val="24"/>
          <w:szCs w:val="24"/>
          <w:highlight w:val="none"/>
          <w:lang w:eastAsia="zh-CN"/>
        </w:rPr>
        <w:t>，递交保证金承诺函</w:t>
      </w:r>
    </w:p>
    <w:p w14:paraId="30DD77B6">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12．响应文件的签署及规定</w:t>
      </w:r>
    </w:p>
    <w:p w14:paraId="500BF09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pacing w:val="-4"/>
          <w:sz w:val="21"/>
          <w:szCs w:val="21"/>
          <w:highlight w:val="none"/>
        </w:rPr>
      </w:pPr>
      <w:bookmarkStart w:id="252" w:name="_Toc470076978"/>
      <w:bookmarkStart w:id="253" w:name="_Toc469902678"/>
      <w:r>
        <w:rPr>
          <w:rFonts w:hint="eastAsia" w:ascii="宋体" w:hAnsi="宋体" w:eastAsia="宋体" w:cs="宋体"/>
          <w:color w:val="auto"/>
          <w:sz w:val="21"/>
          <w:szCs w:val="21"/>
          <w:highlight w:val="none"/>
        </w:rPr>
        <w:t>12.1</w:t>
      </w:r>
      <w:r>
        <w:rPr>
          <w:rFonts w:hint="eastAsia" w:ascii="宋体" w:hAnsi="宋体" w:eastAsia="宋体" w:cs="宋体"/>
          <w:color w:val="auto"/>
          <w:spacing w:val="-4"/>
          <w:sz w:val="21"/>
          <w:szCs w:val="21"/>
          <w:highlight w:val="none"/>
        </w:rPr>
        <w:t>响应文件应</w:t>
      </w:r>
      <w:r>
        <w:rPr>
          <w:rFonts w:hint="eastAsia" w:ascii="宋体" w:hAnsi="宋体" w:eastAsia="宋体" w:cs="宋体"/>
          <w:color w:val="auto"/>
          <w:spacing w:val="-4"/>
          <w:sz w:val="21"/>
          <w:szCs w:val="21"/>
          <w:highlight w:val="none"/>
          <w:lang w:eastAsia="zh-CN"/>
        </w:rPr>
        <w:t>当按照响应文件格式要求进行盖章和签字</w:t>
      </w:r>
      <w:r>
        <w:rPr>
          <w:rFonts w:hint="eastAsia" w:ascii="宋体" w:hAnsi="宋体" w:eastAsia="宋体" w:cs="宋体"/>
          <w:color w:val="auto"/>
          <w:spacing w:val="-4"/>
          <w:sz w:val="21"/>
          <w:szCs w:val="21"/>
          <w:highlight w:val="none"/>
        </w:rPr>
        <w:t>。</w:t>
      </w:r>
    </w:p>
    <w:p w14:paraId="5D8931E8">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12.</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电报、电话、传真、电子邮件形式的递交概不接受。</w:t>
      </w:r>
    </w:p>
    <w:p w14:paraId="7DE36426">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8"/>
          <w:highlight w:val="none"/>
        </w:rPr>
      </w:pPr>
      <w:r>
        <w:rPr>
          <w:rFonts w:hint="eastAsia" w:ascii="宋体" w:hAnsi="宋体" w:eastAsia="宋体" w:cs="宋体"/>
          <w:b/>
          <w:color w:val="auto"/>
          <w:sz w:val="24"/>
          <w:szCs w:val="24"/>
          <w:highlight w:val="none"/>
        </w:rPr>
        <w:t>13．响应文件的密封和标记</w:t>
      </w:r>
    </w:p>
    <w:p w14:paraId="1680C29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按照磋商文件附件格式要求对响应文件加盖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单位盖章和法定代表人签名或盖章。</w:t>
      </w:r>
    </w:p>
    <w:p w14:paraId="607DEB8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13.2 纸质响应文件要求：响应文件</w:t>
      </w:r>
      <w:r>
        <w:rPr>
          <w:rFonts w:hint="eastAsia" w:ascii="宋体" w:hAnsi="宋体" w:eastAsia="宋体" w:cs="宋体"/>
          <w:color w:val="auto"/>
          <w:sz w:val="21"/>
          <w:szCs w:val="21"/>
          <w:highlight w:val="none"/>
          <w:lang w:eastAsia="zh-CN"/>
        </w:rPr>
        <w:t>一正四副</w:t>
      </w:r>
      <w:r>
        <w:rPr>
          <w:rFonts w:hint="eastAsia" w:ascii="宋体" w:hAnsi="宋体" w:eastAsia="宋体" w:cs="宋体"/>
          <w:color w:val="auto"/>
          <w:sz w:val="21"/>
          <w:szCs w:val="21"/>
          <w:highlight w:val="none"/>
        </w:rPr>
        <w:t>采用胶装方式装订，不得采用活页夹等可随时拆换的方式装订</w:t>
      </w:r>
      <w:r>
        <w:rPr>
          <w:rFonts w:hint="eastAsia" w:ascii="宋体" w:hAnsi="宋体" w:eastAsia="宋体" w:cs="宋体"/>
          <w:color w:val="auto"/>
          <w:sz w:val="21"/>
          <w:szCs w:val="21"/>
          <w:highlight w:val="none"/>
          <w:lang w:eastAsia="zh-CN"/>
        </w:rPr>
        <w:t>。</w:t>
      </w:r>
    </w:p>
    <w:p w14:paraId="2E83C6A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13.3密封：供应商可视情况将正副本密封在同一密封袋内或正本副本分别密封，密封处应当贴封条并加盖公章，同时密封袋</w:t>
      </w:r>
      <w:r>
        <w:rPr>
          <w:rFonts w:hint="eastAsia" w:ascii="宋体" w:hAnsi="宋体" w:eastAsia="宋体" w:cs="宋体"/>
          <w:color w:val="auto"/>
          <w:sz w:val="21"/>
          <w:szCs w:val="21"/>
          <w:highlight w:val="none"/>
          <w:lang w:eastAsia="zh-CN"/>
        </w:rPr>
        <w:t>应当注明以下信息：</w:t>
      </w:r>
      <w:r>
        <w:rPr>
          <w:rFonts w:hint="eastAsia" w:ascii="宋体" w:hAnsi="宋体" w:eastAsia="宋体" w:cs="宋体"/>
          <w:color w:val="auto"/>
          <w:sz w:val="21"/>
          <w:szCs w:val="21"/>
          <w:highlight w:val="none"/>
          <w:lang w:val="en-US" w:eastAsia="zh-CN"/>
        </w:rPr>
        <w:t>项目名称、项目编号、供应商名称、开启时间</w:t>
      </w:r>
    </w:p>
    <w:p w14:paraId="19F0F140">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14．响应文件的递交</w:t>
      </w:r>
    </w:p>
    <w:p w14:paraId="4E8305D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须在响应文件递交截止时间前制作并提交响应文件。</w:t>
      </w:r>
    </w:p>
    <w:p w14:paraId="40A8EB1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1"/>
          <w:szCs w:val="21"/>
          <w:highlight w:val="none"/>
        </w:rPr>
        <w:t>14.2 递交地点详见</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5B4603A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15．迟交的响应文件</w:t>
      </w:r>
    </w:p>
    <w:p w14:paraId="4D27E93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15.1提交响应文件截止时间后，再次递交的响应文件将不再被受理，采购人和代理机构将无法接受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提交响应文件。</w:t>
      </w:r>
    </w:p>
    <w:p w14:paraId="1210ED4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16.响应文件的修改和撤回</w:t>
      </w:r>
    </w:p>
    <w:p w14:paraId="5D0983B6">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16.1</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于提交响应文件截止时间前如对响应文件进行补充、修改，</w:t>
      </w:r>
      <w:r>
        <w:rPr>
          <w:rFonts w:hint="eastAsia" w:ascii="宋体" w:hAnsi="宋体" w:eastAsia="宋体" w:cs="宋体"/>
          <w:color w:val="auto"/>
          <w:spacing w:val="-4"/>
          <w:sz w:val="21"/>
          <w:szCs w:val="21"/>
          <w:highlight w:val="none"/>
          <w:lang w:eastAsia="zh-CN"/>
        </w:rPr>
        <w:t>可以书面形式通知代理公司</w:t>
      </w:r>
      <w:r>
        <w:rPr>
          <w:rFonts w:hint="eastAsia" w:ascii="宋体" w:hAnsi="宋体" w:eastAsia="宋体" w:cs="宋体"/>
          <w:color w:val="auto"/>
          <w:spacing w:val="-4"/>
          <w:sz w:val="21"/>
          <w:szCs w:val="21"/>
          <w:highlight w:val="none"/>
        </w:rPr>
        <w:t>。在提交响应文件截止时间后，</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不得再要求修改或撤回其响应文件。</w:t>
      </w:r>
    </w:p>
    <w:p w14:paraId="694D8689">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16.2</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如撤回响应文件，应及时书面通知代理机构进行办理。</w:t>
      </w:r>
    </w:p>
    <w:p w14:paraId="6F939D24">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16.3补充、修改的内容作为响应文件的组成部分。补充、修改的内容与响应文件不一致的，以补充、修改的内容为准。</w:t>
      </w:r>
    </w:p>
    <w:bookmarkEnd w:id="252"/>
    <w:bookmarkEnd w:id="253"/>
    <w:p w14:paraId="1DB78EAA">
      <w:pPr>
        <w:keepNext w:val="0"/>
        <w:keepLines w:val="0"/>
        <w:pageBreakBefore w:val="0"/>
        <w:widowControl w:val="0"/>
        <w:tabs>
          <w:tab w:val="left" w:pos="1932"/>
        </w:tabs>
        <w:kinsoku/>
        <w:wordWrap/>
        <w:overflowPunct/>
        <w:topLinePunct w:val="0"/>
        <w:autoSpaceDE/>
        <w:autoSpaceDN/>
        <w:bidi w:val="0"/>
        <w:adjustRightInd/>
        <w:snapToGrid/>
        <w:spacing w:after="0" w:line="240" w:lineRule="auto"/>
        <w:textAlignment w:val="auto"/>
        <w:outlineLvl w:val="1"/>
        <w:rPr>
          <w:rFonts w:ascii="宋体" w:hAnsi="宋体" w:eastAsia="宋体" w:cs="宋体"/>
          <w:b/>
          <w:color w:val="auto"/>
          <w:sz w:val="30"/>
          <w:szCs w:val="30"/>
          <w:highlight w:val="none"/>
        </w:rPr>
      </w:pPr>
      <w:bookmarkStart w:id="254" w:name="_Toc469902679"/>
      <w:bookmarkStart w:id="255" w:name="_Toc470076979"/>
      <w:r>
        <w:rPr>
          <w:rFonts w:hint="eastAsia" w:ascii="宋体" w:hAnsi="宋体" w:eastAsia="宋体" w:cs="宋体"/>
          <w:b/>
          <w:color w:val="auto"/>
          <w:sz w:val="28"/>
          <w:szCs w:val="28"/>
          <w:highlight w:val="none"/>
        </w:rPr>
        <w:t>四、竞争性磋商程序</w:t>
      </w:r>
      <w:bookmarkEnd w:id="254"/>
      <w:bookmarkEnd w:id="255"/>
    </w:p>
    <w:p w14:paraId="029D101C">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Style w:val="43"/>
          <w:rFonts w:ascii="宋体" w:hAnsi="宋体" w:eastAsia="宋体" w:cs="宋体"/>
          <w:color w:val="auto"/>
          <w:sz w:val="24"/>
          <w:highlight w:val="none"/>
        </w:rPr>
      </w:pPr>
      <w:r>
        <w:rPr>
          <w:rFonts w:hint="eastAsia" w:ascii="宋体" w:hAnsi="宋体" w:eastAsia="宋体" w:cs="宋体"/>
          <w:b/>
          <w:color w:val="auto"/>
          <w:sz w:val="24"/>
          <w:szCs w:val="24"/>
          <w:highlight w:val="none"/>
        </w:rPr>
        <w:t>17．</w:t>
      </w:r>
      <w:r>
        <w:rPr>
          <w:rStyle w:val="43"/>
          <w:rFonts w:hint="eastAsia" w:ascii="宋体" w:hAnsi="宋体" w:eastAsia="宋体" w:cs="宋体"/>
          <w:color w:val="auto"/>
          <w:sz w:val="24"/>
          <w:szCs w:val="24"/>
          <w:highlight w:val="none"/>
        </w:rPr>
        <w:t>开标</w:t>
      </w:r>
    </w:p>
    <w:p w14:paraId="5BE81B1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17.1采购人和代理机构将在磋商文件规定的时间和地点组织开标。</w:t>
      </w:r>
    </w:p>
    <w:p w14:paraId="63E774A5">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17.2</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代表对开标过程和开标记录有疑义，以及认为</w:t>
      </w:r>
      <w:r>
        <w:rPr>
          <w:rFonts w:hint="eastAsia" w:ascii="宋体" w:hAnsi="宋体" w:eastAsia="宋体" w:cs="宋体"/>
          <w:color w:val="auto"/>
          <w:sz w:val="21"/>
          <w:szCs w:val="21"/>
          <w:highlight w:val="none"/>
        </w:rPr>
        <w:t>采购</w:t>
      </w:r>
      <w:r>
        <w:rPr>
          <w:rFonts w:hint="eastAsia" w:ascii="宋体" w:hAnsi="宋体" w:eastAsia="宋体" w:cs="宋体"/>
          <w:color w:val="auto"/>
          <w:spacing w:val="-4"/>
          <w:sz w:val="21"/>
          <w:szCs w:val="21"/>
          <w:highlight w:val="none"/>
        </w:rPr>
        <w:t>人、代理机构相关工作人员有需要回避的情形的，应在</w:t>
      </w:r>
      <w:r>
        <w:rPr>
          <w:rFonts w:hint="eastAsia" w:ascii="宋体" w:hAnsi="宋体" w:eastAsia="宋体" w:cs="宋体"/>
          <w:color w:val="auto"/>
          <w:spacing w:val="-4"/>
          <w:sz w:val="21"/>
          <w:szCs w:val="21"/>
          <w:highlight w:val="none"/>
          <w:lang w:eastAsia="zh-CN"/>
        </w:rPr>
        <w:t>开标现场提出</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采购</w:t>
      </w:r>
      <w:r>
        <w:rPr>
          <w:rFonts w:hint="eastAsia" w:ascii="宋体" w:hAnsi="宋体" w:eastAsia="宋体" w:cs="宋体"/>
          <w:color w:val="auto"/>
          <w:spacing w:val="-4"/>
          <w:sz w:val="21"/>
          <w:szCs w:val="21"/>
          <w:highlight w:val="none"/>
        </w:rPr>
        <w:t>人、代理机构对</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代表提出的询问或者回避申请应当及时处理。</w:t>
      </w:r>
    </w:p>
    <w:p w14:paraId="406F0CB0">
      <w:pPr>
        <w:keepNext w:val="0"/>
        <w:keepLines w:val="0"/>
        <w:pageBreakBefore w:val="0"/>
        <w:widowControl w:val="0"/>
        <w:numPr>
          <w:ilvl w:val="0"/>
          <w:numId w:val="0"/>
        </w:numPr>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18.</w:t>
      </w:r>
      <w:r>
        <w:rPr>
          <w:rFonts w:hint="eastAsia" w:ascii="宋体" w:hAnsi="宋体" w:eastAsia="宋体" w:cs="宋体"/>
          <w:b/>
          <w:color w:val="auto"/>
          <w:sz w:val="24"/>
          <w:szCs w:val="24"/>
          <w:highlight w:val="none"/>
        </w:rPr>
        <w:t>磋商小组</w:t>
      </w:r>
    </w:p>
    <w:p w14:paraId="0597868E">
      <w:pPr>
        <w:keepNext w:val="0"/>
        <w:keepLines w:val="0"/>
        <w:pageBreakBefore w:val="0"/>
        <w:widowControl w:val="0"/>
        <w:tabs>
          <w:tab w:val="left" w:pos="1932"/>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18.1</w:t>
      </w:r>
      <w:r>
        <w:rPr>
          <w:rFonts w:hint="eastAsia" w:ascii="宋体" w:hAnsi="宋体" w:eastAsia="宋体" w:cs="宋体"/>
          <w:bCs/>
          <w:color w:val="auto"/>
          <w:sz w:val="21"/>
          <w:szCs w:val="21"/>
          <w:highlight w:val="none"/>
          <w:lang w:eastAsia="zh-CN"/>
        </w:rPr>
        <w:t>参照</w:t>
      </w:r>
      <w:r>
        <w:rPr>
          <w:rFonts w:hint="eastAsia" w:ascii="宋体" w:hAnsi="宋体" w:eastAsia="宋体" w:cs="宋体"/>
          <w:bCs/>
          <w:color w:val="auto"/>
          <w:sz w:val="21"/>
          <w:szCs w:val="21"/>
          <w:highlight w:val="none"/>
        </w:rPr>
        <w:t>《中华人民共和国政府采购法》及有关法规组建磋商小组，磋商小组由采购人代表和有关专家组成；其中</w:t>
      </w:r>
      <w:r>
        <w:rPr>
          <w:rFonts w:hint="eastAsia" w:ascii="宋体" w:hAnsi="宋体" w:eastAsia="宋体" w:cs="宋体"/>
          <w:color w:val="auto"/>
          <w:sz w:val="21"/>
          <w:szCs w:val="21"/>
          <w:highlight w:val="none"/>
        </w:rPr>
        <w:t>采购</w:t>
      </w:r>
      <w:r>
        <w:rPr>
          <w:rFonts w:hint="eastAsia" w:ascii="宋体" w:hAnsi="宋体" w:eastAsia="宋体" w:cs="宋体"/>
          <w:bCs/>
          <w:color w:val="auto"/>
          <w:sz w:val="21"/>
          <w:szCs w:val="21"/>
          <w:highlight w:val="none"/>
        </w:rPr>
        <w:t>人代表1人，评审专家2人。</w:t>
      </w:r>
      <w:r>
        <w:rPr>
          <w:rFonts w:hint="eastAsia" w:ascii="宋体" w:hAnsi="宋体" w:eastAsia="宋体" w:cs="宋体"/>
          <w:color w:val="auto"/>
          <w:sz w:val="21"/>
          <w:szCs w:val="21"/>
          <w:highlight w:val="none"/>
        </w:rPr>
        <w:t>磋商小组独立对响应文件进行评审，并根据竞争性磋商文件规定的程序与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进行磋商，确定中标候选人。</w:t>
      </w:r>
    </w:p>
    <w:p w14:paraId="0A523DFF">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18.2磋商小组成员有下列情形之一的，应当回避：</w:t>
      </w:r>
    </w:p>
    <w:p w14:paraId="328CDA38">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（1）供应商或供应商主要负责人的近亲属；</w:t>
      </w:r>
    </w:p>
    <w:p w14:paraId="5262EED5">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（2）与供应商有经济利益关系；</w:t>
      </w:r>
    </w:p>
    <w:p w14:paraId="552C0BBC">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（3）曾因在招标、评标以及其他与招标投标有关活动中从事违法行为而受过行政处罚或刑事处罚的；</w:t>
      </w:r>
    </w:p>
    <w:p w14:paraId="34357FC8">
      <w:pPr>
        <w:pStyle w:val="2"/>
        <w:ind w:firstLine="420" w:firstLineChars="200"/>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（4）与供应商有其他利害关系。</w:t>
      </w:r>
    </w:p>
    <w:p w14:paraId="33058CC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pacing w:val="-4"/>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color w:val="auto"/>
          <w:spacing w:val="-4"/>
          <w:sz w:val="24"/>
          <w:szCs w:val="24"/>
          <w:highlight w:val="none"/>
        </w:rPr>
        <w:t>对响应文件的审查和确定</w:t>
      </w:r>
    </w:p>
    <w:p w14:paraId="38E27A56">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19.1磋商小组将审查响应文件是否完整，是否有计算错误，响应文件是否恰当地签署。</w:t>
      </w:r>
    </w:p>
    <w:p w14:paraId="057BCC76">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b/>
          <w:color w:val="auto"/>
          <w:spacing w:val="-4"/>
          <w:sz w:val="21"/>
          <w:szCs w:val="21"/>
          <w:highlight w:val="none"/>
        </w:rPr>
      </w:pPr>
      <w:r>
        <w:rPr>
          <w:rFonts w:hint="eastAsia" w:ascii="宋体" w:hAnsi="宋体" w:eastAsia="宋体" w:cs="宋体"/>
          <w:color w:val="auto"/>
          <w:spacing w:val="-4"/>
          <w:sz w:val="21"/>
          <w:szCs w:val="21"/>
          <w:highlight w:val="none"/>
        </w:rPr>
        <w:t>19.2 响应文件报价出现前后不一致的按以下方法更正：大写金额和小写金额不一致的，以大写金额为准；单价金额小数点或者百分比有明显错位的，以开标一览表的总价为准，并修改单价；总价金额与按单价汇总金额不一致的，以单价金额计算结果为准。</w:t>
      </w:r>
    </w:p>
    <w:p w14:paraId="00FD6E48">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19.3磋商小组在对响应文件进行详细评估之前，依据</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提供的资格证明资料审查</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资格，不符合磋商文件要求资格的</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将被拒绝。</w:t>
      </w:r>
    </w:p>
    <w:p w14:paraId="34E1E824">
      <w:pPr>
        <w:pStyle w:val="4"/>
        <w:rPr>
          <w:rFonts w:hint="default" w:eastAsia="宋体"/>
          <w:highlight w:val="none"/>
          <w:lang w:val="en-US" w:eastAsia="zh-CN"/>
        </w:rPr>
      </w:pPr>
      <w:r>
        <w:rPr>
          <w:rFonts w:hint="eastAsia" w:ascii="宋体" w:hAnsi="宋体" w:eastAsia="宋体" w:cs="宋体"/>
          <w:color w:val="auto"/>
          <w:spacing w:val="-4"/>
          <w:sz w:val="21"/>
          <w:szCs w:val="21"/>
          <w:highlight w:val="none"/>
          <w:lang w:val="en-US" w:eastAsia="zh-CN"/>
        </w:rPr>
        <w:t>19.4 响应文件编制出现装订、纸张、文件排序等非实质性的格式、形式问题的不作为废标依据。</w:t>
      </w:r>
    </w:p>
    <w:p w14:paraId="0C5D92EB">
      <w:pPr>
        <w:keepNext w:val="0"/>
        <w:keepLines w:val="0"/>
        <w:pageBreakBefore w:val="0"/>
        <w:widowControl w:val="0"/>
        <w:tabs>
          <w:tab w:val="left" w:pos="1932"/>
        </w:tabs>
        <w:kinsoku/>
        <w:wordWrap/>
        <w:overflowPunct/>
        <w:topLinePunct w:val="0"/>
        <w:autoSpaceDE/>
        <w:autoSpaceDN/>
        <w:bidi w:val="0"/>
        <w:adjustRightInd/>
        <w:snapToGrid/>
        <w:spacing w:after="0" w:line="360" w:lineRule="auto"/>
        <w:textAlignment w:val="auto"/>
        <w:rPr>
          <w:rFonts w:ascii="宋体" w:hAnsi="宋体" w:eastAsia="宋体" w:cs="宋体"/>
          <w:b/>
          <w:bCs/>
          <w:color w:val="auto"/>
          <w:sz w:val="24"/>
          <w:highlight w:val="none"/>
        </w:rPr>
      </w:pPr>
      <w:r>
        <w:rPr>
          <w:rFonts w:hint="eastAsia" w:ascii="宋体" w:hAnsi="宋体" w:eastAsia="宋体" w:cs="宋体"/>
          <w:b/>
          <w:color w:val="auto"/>
          <w:sz w:val="24"/>
          <w:szCs w:val="24"/>
          <w:highlight w:val="none"/>
        </w:rPr>
        <w:t>20．</w:t>
      </w:r>
      <w:r>
        <w:rPr>
          <w:rStyle w:val="43"/>
          <w:rFonts w:hint="eastAsia" w:ascii="宋体" w:hAnsi="宋体" w:eastAsia="宋体" w:cs="宋体"/>
          <w:color w:val="auto"/>
          <w:sz w:val="24"/>
          <w:szCs w:val="24"/>
          <w:highlight w:val="none"/>
        </w:rPr>
        <w:t>磋商的程序及内容</w:t>
      </w:r>
    </w:p>
    <w:p w14:paraId="6B9A19DF">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20.1</w:t>
      </w:r>
      <w:r>
        <w:rPr>
          <w:rFonts w:hint="eastAsia" w:ascii="宋体" w:hAnsi="宋体" w:eastAsia="宋体" w:cs="宋体"/>
          <w:color w:val="auto"/>
          <w:spacing w:val="-4"/>
          <w:sz w:val="21"/>
          <w:szCs w:val="21"/>
          <w:highlight w:val="none"/>
          <w:lang w:eastAsia="zh-CN"/>
        </w:rPr>
        <w:t>报价</w:t>
      </w:r>
      <w:r>
        <w:rPr>
          <w:rFonts w:hint="eastAsia" w:ascii="宋体" w:hAnsi="宋体" w:eastAsia="宋体" w:cs="宋体"/>
          <w:color w:val="auto"/>
          <w:spacing w:val="-4"/>
          <w:sz w:val="21"/>
          <w:szCs w:val="21"/>
          <w:highlight w:val="none"/>
        </w:rPr>
        <w:t>本次竞争性磋商分为首次报价</w:t>
      </w:r>
      <w:r>
        <w:rPr>
          <w:rFonts w:hint="eastAsia" w:ascii="宋体" w:hAnsi="宋体" w:eastAsia="宋体" w:cs="宋体"/>
          <w:color w:val="auto"/>
          <w:spacing w:val="-4"/>
          <w:sz w:val="21"/>
          <w:szCs w:val="21"/>
          <w:highlight w:val="none"/>
          <w:lang w:eastAsia="zh-CN"/>
        </w:rPr>
        <w:t>（响应文件报价）</w:t>
      </w:r>
      <w:r>
        <w:rPr>
          <w:rFonts w:hint="eastAsia" w:ascii="宋体" w:hAnsi="宋体" w:eastAsia="宋体" w:cs="宋体"/>
          <w:color w:val="auto"/>
          <w:spacing w:val="-4"/>
          <w:sz w:val="21"/>
          <w:szCs w:val="21"/>
          <w:highlight w:val="none"/>
        </w:rPr>
        <w:t>、磋商确定最终采购需求和提交最后报价的供应商、供应商最后报价（二次报价为最后报价）。</w:t>
      </w:r>
    </w:p>
    <w:p w14:paraId="54445CC3">
      <w:pPr>
        <w:pStyle w:val="4"/>
        <w:rPr>
          <w:rFonts w:hint="eastAsia" w:eastAsia="宋体"/>
          <w:highlight w:val="none"/>
          <w:lang w:val="en-US" w:eastAsia="zh-CN"/>
        </w:rPr>
      </w:pPr>
      <w:r>
        <w:rPr>
          <w:rFonts w:hint="eastAsia" w:ascii="宋体" w:hAnsi="宋体" w:eastAsia="宋体" w:cs="宋体"/>
          <w:color w:val="auto"/>
          <w:spacing w:val="-4"/>
          <w:sz w:val="21"/>
          <w:szCs w:val="21"/>
          <w:highlight w:val="none"/>
          <w:lang w:val="en-US" w:eastAsia="zh-CN"/>
        </w:rPr>
        <w:t>20.2</w:t>
      </w:r>
      <w:r>
        <w:rPr>
          <w:rFonts w:hint="eastAsia" w:ascii="宋体" w:hAnsi="宋体" w:eastAsia="宋体" w:cs="宋体"/>
          <w:color w:val="auto"/>
          <w:spacing w:val="-4"/>
          <w:sz w:val="21"/>
          <w:szCs w:val="21"/>
          <w:highlight w:val="none"/>
        </w:rPr>
        <w:t>磋商小组采用综合评分法对提交最后报价的供应商的响应文件和最后报价进行综合评分评定</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名次</w:t>
      </w:r>
      <w:r>
        <w:rPr>
          <w:rFonts w:hint="eastAsia" w:ascii="宋体" w:hAnsi="宋体" w:eastAsia="宋体" w:cs="宋体"/>
          <w:color w:val="auto"/>
          <w:spacing w:val="-4"/>
          <w:sz w:val="21"/>
          <w:szCs w:val="21"/>
          <w:highlight w:val="none"/>
          <w:lang w:eastAsia="zh-CN"/>
        </w:rPr>
        <w:t>。</w:t>
      </w:r>
    </w:p>
    <w:p w14:paraId="150CAD56">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磋商小组起草评标报告，向采购人推荐3名中标候选人。采购人原则上应按评标委员会依法推荐的中标候选人顺序确定中标人。若前位中标候选人不再响应磋商文件或确有重大实质性问题,可以按顺序向下确定中标人，也可以重新招标。</w:t>
      </w:r>
    </w:p>
    <w:p w14:paraId="5142853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21．响应性文件的澄清：</w:t>
      </w:r>
    </w:p>
    <w:p w14:paraId="7EE1BA6A">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21.1评审期间，</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法定代表人或委托代理人须保持通讯畅通。如因通讯不畅导致</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无法及时澄清而被认定为无效响应等后果由</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自行承担。</w:t>
      </w:r>
    </w:p>
    <w:p w14:paraId="21F51018">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21.2</w:t>
      </w:r>
      <w:r>
        <w:rPr>
          <w:rFonts w:hint="eastAsia" w:ascii="宋体" w:hAnsi="宋体" w:eastAsia="宋体" w:cs="宋体"/>
          <w:color w:val="auto"/>
          <w:sz w:val="21"/>
          <w:szCs w:val="21"/>
          <w:highlight w:val="none"/>
        </w:rPr>
        <w:t>为有助于对响应文件进行审查、评估和比较，磋商小组有权向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提出质疑，请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澄清其响应文件内容，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有责任按照磋商小组规定的时间要求进行答疑和澄清。</w:t>
      </w:r>
    </w:p>
    <w:p w14:paraId="0684526F">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21.3</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的澄清、说明或者补正应当采用书面形式，并加盖公章，或者由法定代表人或其授权的代表签字。</w:t>
      </w:r>
    </w:p>
    <w:p w14:paraId="3BD81742">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21.4</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的澄清、说明或者补正不得超出响应文件的范围或者改变响应文件的实质性内容。</w:t>
      </w:r>
    </w:p>
    <w:p w14:paraId="6E743F68">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21.5</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的澄清是响应文件的组成部分，并取代响应文件中被澄清的部分。</w:t>
      </w:r>
    </w:p>
    <w:p w14:paraId="3540C20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22. 注意事项</w:t>
      </w:r>
      <w:r>
        <w:rPr>
          <w:rFonts w:hint="eastAsia" w:ascii="宋体" w:hAnsi="宋体" w:eastAsia="宋体" w:cs="宋体"/>
          <w:color w:val="auto"/>
          <w:sz w:val="24"/>
          <w:szCs w:val="24"/>
          <w:highlight w:val="none"/>
        </w:rPr>
        <w:t>：</w:t>
      </w:r>
    </w:p>
    <w:p w14:paraId="02D65F8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22.1磋商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出现下列情形之一的，磋商小组可取消其磋商资格：</w:t>
      </w:r>
    </w:p>
    <w:p w14:paraId="7D42EB9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（1）未按竞争性磋商文件规定提交有关材料的；</w:t>
      </w:r>
    </w:p>
    <w:p w14:paraId="4839385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（2）有违反政府采购法律、法规行为的。</w:t>
      </w:r>
    </w:p>
    <w:p w14:paraId="3E91533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出现下列情形之一的，磋商小组在评审中按废标处理：</w:t>
      </w:r>
    </w:p>
    <w:p w14:paraId="4D4AA3E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(1)最后报价有选择性的；</w:t>
      </w:r>
    </w:p>
    <w:p w14:paraId="3C1D115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(2)不符合竞争性磋商文件中规定的其他实质性要求</w:t>
      </w:r>
      <w:r>
        <w:rPr>
          <w:rFonts w:hint="eastAsia" w:ascii="宋体" w:hAnsi="宋体" w:eastAsia="宋体" w:cs="宋体"/>
          <w:color w:val="auto"/>
          <w:sz w:val="21"/>
          <w:szCs w:val="21"/>
          <w:highlight w:val="none"/>
          <w:lang w:eastAsia="zh-CN"/>
        </w:rPr>
        <w:t>。</w:t>
      </w:r>
    </w:p>
    <w:p w14:paraId="7113E78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 参与同一包段的供应商存在下列情形之一，其响应文件无效：</w:t>
      </w:r>
    </w:p>
    <w:p w14:paraId="4D57262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）不同供应商的投标（响应）文件由同一人送达或者分发，或者不同供应商联系人为同一人或不同联系人的联系电话一致的</w:t>
      </w:r>
      <w:r>
        <w:rPr>
          <w:rFonts w:hint="eastAsia" w:ascii="宋体" w:hAnsi="宋体" w:eastAsia="宋体" w:cs="宋体"/>
          <w:color w:val="auto"/>
          <w:sz w:val="21"/>
          <w:szCs w:val="21"/>
          <w:highlight w:val="none"/>
          <w:lang w:val="en-US" w:eastAsia="zh-CN"/>
        </w:rPr>
        <w:t>；</w:t>
      </w:r>
    </w:p>
    <w:p w14:paraId="1FB68F7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）不同供应商的投标(响应）文件的内容存在两处以上细节错误一致﹔</w:t>
      </w:r>
    </w:p>
    <w:p w14:paraId="76AA167C">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）不同供应商的法定代表人、委托代理人、项目经理、项目负责人等由同一个单位缴纳社会保险或者领取报酬的﹔</w:t>
      </w:r>
    </w:p>
    <w:p w14:paraId="42AF56DC">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）不同供应商投标（响应）文件中法定代表人或者负责人签字出自同一人之手</w:t>
      </w:r>
      <w:r>
        <w:rPr>
          <w:rFonts w:hint="eastAsia" w:ascii="宋体" w:hAnsi="宋体" w:eastAsia="宋体" w:cs="宋体"/>
          <w:color w:val="auto"/>
          <w:sz w:val="21"/>
          <w:szCs w:val="21"/>
          <w:highlight w:val="none"/>
          <w:lang w:val="en-US" w:eastAsia="zh-CN"/>
        </w:rPr>
        <w:t>；</w:t>
      </w:r>
    </w:p>
    <w:p w14:paraId="0E91039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（5）一单位或个人办理投标事宜的；</w:t>
      </w:r>
    </w:p>
    <w:p w14:paraId="0745356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（6）不同供应商的响应文件载明的项目管理成员或者联系人员为同一人的；</w:t>
      </w:r>
    </w:p>
    <w:p w14:paraId="3659884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（7）不同供应商的响应文件异常一致的；</w:t>
      </w:r>
    </w:p>
    <w:p w14:paraId="5F6CC1A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（8）不同供应商的响应文件相互混装的；</w:t>
      </w:r>
    </w:p>
    <w:p w14:paraId="0CC0669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（9）其他涉嫌串通的情形。</w:t>
      </w:r>
    </w:p>
    <w:p w14:paraId="0D2F952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22.4经查实，若供应商有提供虚假证明文件的行为，采购人视情节轻重和影响程度报政府相关监督管理部门处理。</w:t>
      </w:r>
    </w:p>
    <w:p w14:paraId="409B0D8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确定成交</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的原则</w:t>
      </w:r>
    </w:p>
    <w:p w14:paraId="3403935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24.1 磋商小组将严格按照磋商文件的要求和条件进行比较并出具评审报告,评审报告应当由磋商小组全体人员签字认可。磋商小组成员对评审报告有异议的，磋商小组按照少数服从多数的原则推荐成交候选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B94C9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24.2采购代理机构应当在评审结束后2个工作日内将评审报告送采购人确认，采购人应当在收到评审报告后5个工作日内，从评审报告提出的成交候选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中，按照排序由高到低的原则确定成交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，也可以书面授权磋商小组直接确定成交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。采购人逾期未确定成交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且不提出异议的，视为确定评审报告提出的排序第一的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10C3A78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24.3采购人或者采购代理机构应当在成交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个工作日内，在</w:t>
      </w:r>
      <w:r>
        <w:rPr>
          <w:rFonts w:hint="eastAsia" w:ascii="宋体" w:hAnsi="宋体" w:eastAsia="宋体" w:cs="宋体"/>
          <w:color w:val="auto"/>
          <w:sz w:val="21"/>
          <w:szCs w:val="21"/>
          <w:highlight w:val="none"/>
          <w:lang w:eastAsia="zh-CN"/>
        </w:rPr>
        <w:t>磋商文件注明的媒体上发布</w:t>
      </w:r>
      <w:r>
        <w:rPr>
          <w:rFonts w:hint="eastAsia" w:ascii="宋体" w:hAnsi="宋体" w:eastAsia="宋体" w:cs="宋体"/>
          <w:color w:val="auto"/>
          <w:sz w:val="21"/>
          <w:szCs w:val="21"/>
          <w:highlight w:val="none"/>
        </w:rPr>
        <w:t>成交结果，同时向成交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w:t>
      </w:r>
    </w:p>
    <w:p w14:paraId="3FD8A66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24.4 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拒绝签订政府采购合同的，采购人将把排名第二的成交候选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作为成交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并签订政府采购合同（以此类推）,也可以重新开展采购活动。拒绝签订政府采购合同的成交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不得参加对该项目重新开展的采购活动。</w:t>
      </w:r>
    </w:p>
    <w:p w14:paraId="11504B0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 确定成交</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的标准方法</w:t>
      </w:r>
    </w:p>
    <w:p w14:paraId="43675E8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详见竞争性磋商文件第五章“磋商办法”。</w:t>
      </w:r>
    </w:p>
    <w:p w14:paraId="1A75403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26. 保密及其它注意事项</w:t>
      </w:r>
    </w:p>
    <w:p w14:paraId="7F901F49">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26.1 评审是采购工作的重要环节，评审工作在磋商小组内独立进行。</w:t>
      </w:r>
    </w:p>
    <w:p w14:paraId="302EE3F8">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26.2磋商小组将遵照规定的评审方法，公正、平等地对待所有</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w:t>
      </w:r>
    </w:p>
    <w:p w14:paraId="400DC2C7">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26.3在评审期间，</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不得向磋商小组询问情况，不得进行旨在影响评审结果的活动。</w:t>
      </w:r>
    </w:p>
    <w:p w14:paraId="5A401D52">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26.4为保证评审的公正性磋商小组不得与</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私下交换意见。</w:t>
      </w:r>
    </w:p>
    <w:p w14:paraId="100F8D41">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eastAsia="zh-CN"/>
        </w:rPr>
        <w:t>15</w:t>
      </w:r>
      <w:r>
        <w:rPr>
          <w:rFonts w:hint="eastAsia" w:ascii="宋体" w:hAnsi="宋体" w:eastAsia="宋体" w:cs="宋体"/>
          <w:color w:val="auto"/>
          <w:spacing w:val="-4"/>
          <w:sz w:val="21"/>
          <w:szCs w:val="21"/>
          <w:highlight w:val="none"/>
        </w:rPr>
        <w:t>在评审工作结束后，凡与评审情况有接触的任何人不得擅自将评审情况扩散出评审人员之外。</w:t>
      </w:r>
    </w:p>
    <w:p w14:paraId="083C451C">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26.6磋商小组不向磋商</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解释未成交的原因，不退还响应文件。</w:t>
      </w:r>
    </w:p>
    <w:p w14:paraId="61BD285D">
      <w:pPr>
        <w:keepNext w:val="0"/>
        <w:keepLines w:val="0"/>
        <w:pageBreakBefore w:val="0"/>
        <w:widowControl w:val="0"/>
        <w:tabs>
          <w:tab w:val="left" w:pos="1932"/>
        </w:tabs>
        <w:kinsoku/>
        <w:wordWrap/>
        <w:overflowPunct/>
        <w:topLinePunct w:val="0"/>
        <w:autoSpaceDE/>
        <w:autoSpaceDN/>
        <w:bidi w:val="0"/>
        <w:adjustRightInd/>
        <w:snapToGrid/>
        <w:spacing w:after="0" w:line="240" w:lineRule="auto"/>
        <w:textAlignment w:val="auto"/>
        <w:outlineLvl w:val="1"/>
        <w:rPr>
          <w:rFonts w:ascii="宋体" w:hAnsi="宋体" w:eastAsia="宋体" w:cs="宋体"/>
          <w:color w:val="auto"/>
          <w:sz w:val="24"/>
          <w:szCs w:val="24"/>
          <w:highlight w:val="none"/>
        </w:rPr>
      </w:pPr>
      <w:bookmarkStart w:id="256" w:name="_Toc470076980"/>
      <w:bookmarkStart w:id="257" w:name="_Toc469902680"/>
      <w:r>
        <w:rPr>
          <w:rFonts w:hint="eastAsia" w:ascii="宋体" w:hAnsi="宋体" w:eastAsia="宋体" w:cs="宋体"/>
          <w:b/>
          <w:color w:val="auto"/>
          <w:sz w:val="28"/>
          <w:szCs w:val="28"/>
          <w:highlight w:val="none"/>
        </w:rPr>
        <w:t>五、授予合同</w:t>
      </w:r>
      <w:bookmarkEnd w:id="256"/>
      <w:bookmarkEnd w:id="257"/>
    </w:p>
    <w:p w14:paraId="5416F336">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27.</w:t>
      </w:r>
      <w:r>
        <w:rPr>
          <w:rFonts w:hint="eastAsia" w:ascii="宋体" w:hAnsi="宋体" w:eastAsia="宋体" w:cs="宋体"/>
          <w:color w:val="auto"/>
          <w:sz w:val="21"/>
          <w:szCs w:val="21"/>
          <w:highlight w:val="none"/>
        </w:rPr>
        <w:t>磋商结束后，将根据磋商小组出具的成交报告，经采购人确认后向中标人签发《中标通知书》。</w:t>
      </w:r>
    </w:p>
    <w:p w14:paraId="14488707">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28.</w:t>
      </w:r>
      <w:r>
        <w:rPr>
          <w:rFonts w:hint="eastAsia" w:ascii="宋体" w:hAnsi="宋体" w:eastAsia="宋体" w:cs="宋体"/>
          <w:color w:val="auto"/>
          <w:sz w:val="21"/>
          <w:szCs w:val="21"/>
          <w:highlight w:val="none"/>
        </w:rPr>
        <w:t>采购人与成交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应当在成交通知书发出之日起</w:t>
      </w:r>
      <w:r>
        <w:rPr>
          <w:rFonts w:hint="eastAsia" w:ascii="宋体" w:hAnsi="宋体" w:eastAsia="宋体" w:cs="宋体"/>
          <w:color w:val="auto"/>
          <w:sz w:val="21"/>
          <w:szCs w:val="21"/>
          <w:highlight w:val="none"/>
          <w:lang w:val="en-US" w:eastAsia="zh-CN"/>
        </w:rPr>
        <w:t>2个工作日内</w:t>
      </w:r>
      <w:r>
        <w:rPr>
          <w:rFonts w:hint="eastAsia" w:ascii="宋体" w:hAnsi="宋体" w:eastAsia="宋体" w:cs="宋体"/>
          <w:color w:val="auto"/>
          <w:sz w:val="21"/>
          <w:szCs w:val="21"/>
          <w:highlight w:val="none"/>
        </w:rPr>
        <w:t>，按照磋商文件确定的合同文本以及采购标的采购金额、技术和服务要求等事项签订政府采购合同。采购人不得向成交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提出超出磋商文件以外的任何要求作为签订合同的条件，不得与成交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订立背离磋商文件确定的合同文本以及采购标的采购金额、技术和服务要求等实质性内容的协议；</w:t>
      </w:r>
    </w:p>
    <w:p w14:paraId="5280B51D">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29.</w:t>
      </w:r>
      <w:r>
        <w:rPr>
          <w:rFonts w:hint="eastAsia" w:ascii="宋体" w:hAnsi="宋体" w:eastAsia="宋体" w:cs="宋体"/>
          <w:color w:val="auto"/>
          <w:sz w:val="21"/>
          <w:szCs w:val="21"/>
          <w:highlight w:val="none"/>
        </w:rPr>
        <w:t>成交人应按“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须知前附表”中的相关规定缴纳履约保证金。成交人不按要求提交履约保证金的，视为放弃成交。</w:t>
      </w:r>
      <w:r>
        <w:rPr>
          <w:rFonts w:hint="eastAsia" w:ascii="宋体" w:hAnsi="宋体" w:eastAsia="宋体" w:cs="宋体"/>
          <w:color w:val="auto"/>
          <w:sz w:val="21"/>
          <w:szCs w:val="21"/>
          <w:highlight w:val="none"/>
          <w:lang w:eastAsia="zh-CN"/>
        </w:rPr>
        <w:t>（本项目不收取）</w:t>
      </w:r>
    </w:p>
    <w:p w14:paraId="0F6EF00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如果在规定的时间内成交人不能完成合同内容，采购人将选择第二成交候选人完成合同内容，履约保证金不予退还，并赔偿采购人相关损失。</w:t>
      </w:r>
    </w:p>
    <w:p w14:paraId="1DF1167F">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30.</w:t>
      </w:r>
      <w:r>
        <w:rPr>
          <w:rFonts w:hint="eastAsia" w:ascii="宋体" w:hAnsi="宋体" w:eastAsia="宋体" w:cs="宋体"/>
          <w:color w:val="auto"/>
          <w:sz w:val="21"/>
          <w:szCs w:val="21"/>
          <w:highlight w:val="none"/>
        </w:rPr>
        <w:t>成交人无正当理由拒签合同的，采购人取消其中标资格。成交人和采购人不得私下订立背离合同实质性内容的协议，不得变更竞争性磋商文件和响应文件的实质性内容。</w:t>
      </w:r>
    </w:p>
    <w:p w14:paraId="2A0E3718">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color w:val="auto"/>
          <w:sz w:val="21"/>
          <w:szCs w:val="21"/>
          <w:highlight w:val="none"/>
        </w:rPr>
        <w:t>《成交通知书》、竞争性磋商文件、成交人的响应文件及其澄清文件等，均为签定合同的重要依据。</w:t>
      </w:r>
    </w:p>
    <w:p w14:paraId="36F48098">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lang w:val="zh-CN" w:eastAsia="zh-CN"/>
        </w:rPr>
        <w:t>合同补充变更</w:t>
      </w:r>
    </w:p>
    <w:p w14:paraId="74AD124C">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rPr>
        <w:t>32</w:t>
      </w:r>
      <w:r>
        <w:rPr>
          <w:rFonts w:hint="eastAsia" w:ascii="宋体" w:hAnsi="宋体" w:eastAsia="宋体" w:cs="宋体"/>
          <w:color w:val="auto"/>
          <w:sz w:val="21"/>
          <w:szCs w:val="21"/>
          <w:highlight w:val="none"/>
          <w:lang w:val="zh-CN"/>
        </w:rPr>
        <w:t>.1 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2F8B1ED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rPr>
        <w:t>32</w:t>
      </w:r>
      <w:r>
        <w:rPr>
          <w:rFonts w:hint="eastAsia" w:ascii="宋体" w:hAnsi="宋体" w:eastAsia="宋体" w:cs="宋体"/>
          <w:color w:val="auto"/>
          <w:sz w:val="21"/>
          <w:szCs w:val="21"/>
          <w:highlight w:val="none"/>
          <w:lang w:val="zh-CN"/>
        </w:rPr>
        <w:t>.2采购人需追加或减少的货物、工程和服务的金额达到50万元以上（含50万元）、且超过中标（成交）价3%的，采购人应当自确定变更之日起5个工作日内将变更情况及事由报送同级监察机关。</w:t>
      </w:r>
    </w:p>
    <w:p w14:paraId="499688D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采购项目在中标（成交）后经有关行政机关批准变更的，批准的行政机关应当自批准之日起3个工作日内将批准文件抄送同级监察机关备案。</w:t>
      </w:r>
    </w:p>
    <w:p w14:paraId="2E9C63B6">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lang w:val="zh-CN" w:eastAsia="zh-CN"/>
        </w:rPr>
        <w:t>验收</w:t>
      </w:r>
    </w:p>
    <w:p w14:paraId="5BCA8AD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.1验收时间：项目具备验收条件时，由采购</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zh-CN"/>
        </w:rPr>
        <w:t>成立验收工作组负责验收。</w:t>
      </w:r>
      <w:r>
        <w:rPr>
          <w:rFonts w:hint="eastAsia" w:ascii="宋体" w:hAnsi="宋体" w:eastAsia="宋体" w:cs="宋体"/>
          <w:color w:val="auto"/>
          <w:sz w:val="21"/>
          <w:szCs w:val="21"/>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EEE5B3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.2验收工作组：合同履约验收工作应成立验收工作组专门负责。</w:t>
      </w:r>
    </w:p>
    <w:p w14:paraId="3537327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直接参与该项目政府采购活动的主要负责人不得作为验收工作的主要负责人。</w:t>
      </w:r>
      <w:r>
        <w:rPr>
          <w:rFonts w:hint="eastAsia" w:ascii="宋体" w:hAnsi="宋体" w:eastAsia="宋体" w:cs="宋体"/>
          <w:color w:val="auto"/>
          <w:sz w:val="21"/>
          <w:szCs w:val="21"/>
          <w:highlight w:val="none"/>
        </w:rPr>
        <w:t>对于采购人和使用人分离的采购项目，应当邀请实际使用人参与验收；政府向社会公众提供的公共服务项目，验收时应当邀请服务对象参与并出具意见，验收结果应当向社会公告。</w:t>
      </w:r>
    </w:p>
    <w:p w14:paraId="2CA9E8D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政府采购合同金额</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zh-CN"/>
        </w:rPr>
        <w:t>10万元以下（</w:t>
      </w:r>
      <w:r>
        <w:rPr>
          <w:rFonts w:hint="eastAsia" w:ascii="宋体" w:hAnsi="宋体" w:eastAsia="宋体" w:cs="宋体"/>
          <w:color w:val="auto"/>
          <w:sz w:val="21"/>
          <w:szCs w:val="21"/>
          <w:highlight w:val="none"/>
        </w:rPr>
        <w:t>含10万元</w:t>
      </w:r>
      <w:r>
        <w:rPr>
          <w:rFonts w:hint="eastAsia" w:ascii="宋体" w:hAnsi="宋体" w:eastAsia="宋体" w:cs="宋体"/>
          <w:color w:val="auto"/>
          <w:sz w:val="21"/>
          <w:szCs w:val="21"/>
          <w:highlight w:val="none"/>
          <w:lang w:val="zh-CN"/>
        </w:rPr>
        <w:t>）的项目，原则上可以不邀请评审专家参加，组织方成立验收小组自行验收。</w:t>
      </w:r>
      <w:r>
        <w:rPr>
          <w:rFonts w:hint="eastAsia" w:ascii="宋体" w:hAnsi="宋体" w:eastAsia="宋体" w:cs="宋体"/>
          <w:color w:val="auto"/>
          <w:sz w:val="21"/>
          <w:szCs w:val="21"/>
          <w:highlight w:val="none"/>
        </w:rPr>
        <w:t>自行验收时，验收小组应仔细对照采购文件及合同，对标的物的数量、质量、规格、型号等参数逐一核对，并编制验收报告。组织方认为不能独立完成验收任务的，可以邀请评审专家参与验收。</w:t>
      </w:r>
    </w:p>
    <w:p w14:paraId="75A0C89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zh-CN"/>
        </w:rPr>
        <w:t>政府采购合同金额50万元以下的（含50万元）的项目，验收工作组应不少于三人；政府采购合同金额50万元以上的项目，验收工作组应由</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领导牵头，财务、审计、监察、资产管理、技术等部门人员参与，成员不少于五人。验收工作</w:t>
      </w:r>
      <w:r>
        <w:rPr>
          <w:rFonts w:hint="eastAsia" w:ascii="宋体" w:hAnsi="宋体" w:eastAsia="宋体" w:cs="宋体"/>
          <w:color w:val="auto"/>
          <w:sz w:val="21"/>
          <w:szCs w:val="21"/>
          <w:highlight w:val="none"/>
        </w:rPr>
        <w:t>原则上</w:t>
      </w:r>
      <w:r>
        <w:rPr>
          <w:rFonts w:hint="eastAsia" w:ascii="宋体" w:hAnsi="宋体" w:eastAsia="宋体" w:cs="宋体"/>
          <w:color w:val="auto"/>
          <w:sz w:val="21"/>
          <w:szCs w:val="21"/>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zh-CN"/>
        </w:rPr>
        <w:t>必须委托国家认可专业检测机构进行验收。</w:t>
      </w:r>
    </w:p>
    <w:p w14:paraId="56412BA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.3验收时，验收小组按照采购合同的约定对每一项技术、服务、安全标准的履约情况进行确认。</w:t>
      </w:r>
      <w:r>
        <w:rPr>
          <w:rFonts w:hint="eastAsia" w:ascii="宋体" w:hAnsi="宋体" w:eastAsia="宋体" w:cs="宋体"/>
          <w:color w:val="auto"/>
          <w:sz w:val="21"/>
          <w:szCs w:val="21"/>
          <w:highlight w:val="none"/>
          <w:lang w:val="zh-CN"/>
        </w:rPr>
        <w:t>验收时需要进行破坏性试验的，供应商应进行充分的配合并提供备品备件。</w:t>
      </w:r>
    </w:p>
    <w:p w14:paraId="49139F5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 xml:space="preserve"> 验收报告：验收后，由采购</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zh-CN"/>
        </w:rPr>
        <w:t>及专家等出具验收报告（</w:t>
      </w:r>
      <w:r>
        <w:rPr>
          <w:rFonts w:hint="eastAsia" w:ascii="宋体" w:hAnsi="宋体" w:eastAsia="宋体" w:cs="宋体"/>
          <w:color w:val="auto"/>
          <w:sz w:val="21"/>
          <w:szCs w:val="21"/>
          <w:highlight w:val="none"/>
        </w:rPr>
        <w:t>自行验收的，由采购人出具</w:t>
      </w:r>
      <w:r>
        <w:rPr>
          <w:rFonts w:hint="eastAsia" w:ascii="宋体" w:hAnsi="宋体" w:eastAsia="宋体" w:cs="宋体"/>
          <w:color w:val="auto"/>
          <w:sz w:val="21"/>
          <w:szCs w:val="21"/>
          <w:highlight w:val="none"/>
          <w:lang w:val="zh-CN"/>
        </w:rPr>
        <w:t>），国家规定强制性检测的采购项目应附国家认可的专业检测机构出具的验收报告。</w:t>
      </w:r>
    </w:p>
    <w:p w14:paraId="39B2DC6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D93FDD3">
      <w:pPr>
        <w:pStyle w:val="55"/>
        <w:wordWrap w:val="0"/>
        <w:spacing w:before="0" w:after="0" w:line="440" w:lineRule="exact"/>
        <w:jc w:val="left"/>
        <w:rPr>
          <w:rFonts w:hint="eastAsia" w:ascii="宋体" w:hAnsi="宋体" w:eastAsia="宋体" w:cs="宋体"/>
          <w:color w:val="auto"/>
          <w:spacing w:val="-4"/>
          <w:kern w:val="2"/>
          <w:sz w:val="21"/>
          <w:szCs w:val="21"/>
          <w:highlight w:val="none"/>
          <w:lang w:val="en-US" w:eastAsia="zh-CN" w:bidi="ar-SA"/>
        </w:rPr>
      </w:pPr>
      <w:bookmarkStart w:id="258" w:name="_Toc152045571"/>
      <w:bookmarkStart w:id="259" w:name="_Toc13529"/>
      <w:bookmarkStart w:id="260" w:name="_Toc12261"/>
      <w:bookmarkStart w:id="261" w:name="_Toc152042347"/>
      <w:bookmarkStart w:id="262" w:name="_Toc24642"/>
      <w:bookmarkStart w:id="263" w:name="_Toc14810"/>
      <w:bookmarkStart w:id="264" w:name="_Toc21832"/>
      <w:bookmarkStart w:id="265" w:name="_Toc15541"/>
      <w:bookmarkStart w:id="266" w:name="_Toc18811"/>
      <w:bookmarkStart w:id="267" w:name="_Toc24542"/>
      <w:bookmarkStart w:id="268" w:name="_Toc21516"/>
      <w:bookmarkStart w:id="269" w:name="_Toc20331"/>
      <w:bookmarkStart w:id="270" w:name="_Toc144974539"/>
      <w:bookmarkStart w:id="271" w:name="_Toc17133"/>
      <w:bookmarkStart w:id="272" w:name="_Toc19286"/>
      <w:r>
        <w:rPr>
          <w:rFonts w:hint="eastAsia" w:ascii="宋体" w:hAnsi="宋体" w:eastAsia="宋体" w:cs="宋体"/>
          <w:color w:val="auto"/>
          <w:spacing w:val="-4"/>
          <w:kern w:val="2"/>
          <w:sz w:val="21"/>
          <w:szCs w:val="21"/>
          <w:highlight w:val="none"/>
          <w:lang w:val="en-US" w:eastAsia="zh-CN" w:bidi="ar-SA"/>
        </w:rPr>
        <w:t>34. 重新招标</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F95598C">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有下列情形之一的，采购人将重新招标：</w:t>
      </w:r>
    </w:p>
    <w:p w14:paraId="182AF35D">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（1）投标截止时间止，供应商少于3个的；</w:t>
      </w:r>
    </w:p>
    <w:p w14:paraId="3BAA504C">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（2）经磋商小组评审后否决所有投标的。</w:t>
      </w:r>
    </w:p>
    <w:p w14:paraId="3DD68824">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（3）中标候选人均未与采购人签订合同的；</w:t>
      </w:r>
    </w:p>
    <w:p w14:paraId="648B92BA">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（4）法律规定的其他情形。</w:t>
      </w:r>
    </w:p>
    <w:p w14:paraId="1D38C6BC">
      <w:pPr>
        <w:pStyle w:val="55"/>
        <w:wordWrap w:val="0"/>
        <w:spacing w:before="0" w:after="0" w:line="440" w:lineRule="exact"/>
        <w:jc w:val="left"/>
        <w:rPr>
          <w:rFonts w:hint="eastAsia" w:ascii="宋体" w:hAnsi="宋体" w:eastAsia="宋体" w:cs="宋体"/>
          <w:color w:val="auto"/>
          <w:spacing w:val="-4"/>
          <w:kern w:val="2"/>
          <w:sz w:val="21"/>
          <w:szCs w:val="21"/>
          <w:highlight w:val="none"/>
          <w:lang w:val="en-US" w:eastAsia="zh-CN" w:bidi="ar-SA"/>
        </w:rPr>
      </w:pPr>
      <w:bookmarkStart w:id="273" w:name="_Toc3323"/>
      <w:bookmarkStart w:id="274" w:name="_Toc1640"/>
      <w:bookmarkStart w:id="275" w:name="_Toc3037"/>
      <w:bookmarkStart w:id="276" w:name="_Toc2587"/>
      <w:bookmarkStart w:id="277" w:name="_Toc144974542"/>
      <w:bookmarkStart w:id="278" w:name="_Toc26824"/>
      <w:bookmarkStart w:id="279" w:name="_Toc152045574"/>
      <w:bookmarkStart w:id="280" w:name="_Toc5763"/>
      <w:bookmarkStart w:id="281" w:name="_Toc7746"/>
      <w:bookmarkStart w:id="282" w:name="_Toc29263"/>
      <w:bookmarkStart w:id="283" w:name="_Toc9032"/>
      <w:bookmarkStart w:id="284" w:name="_Toc28032"/>
      <w:bookmarkStart w:id="285" w:name="_Toc152042350"/>
      <w:bookmarkStart w:id="286" w:name="_Toc29007"/>
      <w:bookmarkStart w:id="287" w:name="_Toc1238"/>
      <w:r>
        <w:rPr>
          <w:rFonts w:hint="eastAsia" w:ascii="宋体" w:hAnsi="宋体" w:eastAsia="宋体" w:cs="宋体"/>
          <w:color w:val="auto"/>
          <w:spacing w:val="-4"/>
          <w:kern w:val="2"/>
          <w:sz w:val="21"/>
          <w:szCs w:val="21"/>
          <w:highlight w:val="none"/>
          <w:lang w:val="en-US" w:eastAsia="zh-CN" w:bidi="ar-SA"/>
        </w:rPr>
        <w:t>35. 纪律和监督</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0552A6B">
      <w:pPr>
        <w:wordWrap w:val="0"/>
        <w:spacing w:after="0" w:line="440" w:lineRule="exact"/>
        <w:jc w:val="left"/>
        <w:rPr>
          <w:rFonts w:hint="eastAsia" w:ascii="宋体" w:hAnsi="宋体" w:eastAsia="宋体" w:cs="宋体"/>
          <w:color w:val="auto"/>
          <w:spacing w:val="-4"/>
          <w:kern w:val="2"/>
          <w:sz w:val="21"/>
          <w:szCs w:val="21"/>
          <w:highlight w:val="none"/>
          <w:lang w:val="en-US" w:eastAsia="zh-CN" w:bidi="ar-SA"/>
        </w:rPr>
      </w:pPr>
      <w:bookmarkStart w:id="288" w:name="_Toc152045575"/>
      <w:bookmarkStart w:id="289" w:name="_Toc19053"/>
      <w:bookmarkStart w:id="290" w:name="_Toc458878037"/>
      <w:bookmarkStart w:id="291" w:name="_Toc368905124"/>
      <w:bookmarkStart w:id="292" w:name="_Toc144974543"/>
      <w:bookmarkStart w:id="293" w:name="_Toc447619191"/>
      <w:bookmarkStart w:id="294" w:name="_Toc152042351"/>
      <w:r>
        <w:rPr>
          <w:rFonts w:hint="eastAsia" w:ascii="宋体" w:hAnsi="宋体" w:eastAsia="宋体" w:cs="宋体"/>
          <w:color w:val="auto"/>
          <w:spacing w:val="-4"/>
          <w:kern w:val="2"/>
          <w:sz w:val="21"/>
          <w:szCs w:val="21"/>
          <w:highlight w:val="none"/>
          <w:lang w:val="en-US" w:eastAsia="zh-CN" w:bidi="ar-SA"/>
        </w:rPr>
        <w:t>35.1 对采购人的纪律要求</w:t>
      </w:r>
      <w:bookmarkEnd w:id="288"/>
      <w:bookmarkEnd w:id="289"/>
      <w:bookmarkEnd w:id="290"/>
      <w:bookmarkEnd w:id="291"/>
      <w:bookmarkEnd w:id="292"/>
      <w:bookmarkEnd w:id="293"/>
      <w:bookmarkEnd w:id="294"/>
    </w:p>
    <w:p w14:paraId="4EDE4AEB">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采购人不得泄漏采购活动中应当保密的情况和资料，不得与供应商串通损害国家利益、社会公共利益或者他人合法权益。</w:t>
      </w:r>
    </w:p>
    <w:p w14:paraId="48DBD2E1">
      <w:pPr>
        <w:wordWrap w:val="0"/>
        <w:spacing w:after="0" w:line="440" w:lineRule="exact"/>
        <w:jc w:val="left"/>
        <w:rPr>
          <w:rFonts w:hint="eastAsia" w:ascii="宋体" w:hAnsi="宋体" w:eastAsia="宋体" w:cs="宋体"/>
          <w:color w:val="auto"/>
          <w:spacing w:val="-4"/>
          <w:kern w:val="2"/>
          <w:sz w:val="21"/>
          <w:szCs w:val="21"/>
          <w:highlight w:val="none"/>
          <w:lang w:val="en-US" w:eastAsia="zh-CN" w:bidi="ar-SA"/>
        </w:rPr>
      </w:pPr>
      <w:bookmarkStart w:id="295" w:name="_Toc152042352"/>
      <w:bookmarkStart w:id="296" w:name="_Toc447619192"/>
      <w:bookmarkStart w:id="297" w:name="_Toc152045576"/>
      <w:bookmarkStart w:id="298" w:name="_Toc24034"/>
      <w:bookmarkStart w:id="299" w:name="_Toc458878038"/>
      <w:bookmarkStart w:id="300" w:name="_Toc144974544"/>
      <w:bookmarkStart w:id="301" w:name="_Toc368905125"/>
      <w:r>
        <w:rPr>
          <w:rFonts w:hint="eastAsia" w:ascii="宋体" w:hAnsi="宋体" w:eastAsia="宋体" w:cs="宋体"/>
          <w:color w:val="auto"/>
          <w:spacing w:val="-4"/>
          <w:kern w:val="2"/>
          <w:sz w:val="21"/>
          <w:szCs w:val="21"/>
          <w:highlight w:val="none"/>
          <w:lang w:val="en-US" w:eastAsia="zh-CN" w:bidi="ar-SA"/>
        </w:rPr>
        <w:t>35.2 对供应商的纪律要求</w:t>
      </w:r>
      <w:bookmarkEnd w:id="295"/>
      <w:bookmarkEnd w:id="296"/>
      <w:bookmarkEnd w:id="297"/>
      <w:bookmarkEnd w:id="298"/>
      <w:bookmarkEnd w:id="299"/>
      <w:bookmarkEnd w:id="300"/>
      <w:bookmarkEnd w:id="301"/>
    </w:p>
    <w:p w14:paraId="77C7C2F2">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供应商不得相互串通投标或者与采购人串通投标，不得向采购人或者磋商小组成员行贿谋取中标，不得以他人名义投标或者以其他方式弄虚作假骗取中标；供应商不得以任何方式干扰、影响评标工作。</w:t>
      </w:r>
    </w:p>
    <w:p w14:paraId="49C63DF4">
      <w:pPr>
        <w:wordWrap w:val="0"/>
        <w:spacing w:after="0" w:line="440" w:lineRule="exact"/>
        <w:jc w:val="left"/>
        <w:rPr>
          <w:rFonts w:hint="eastAsia" w:ascii="宋体" w:hAnsi="宋体" w:eastAsia="宋体" w:cs="宋体"/>
          <w:color w:val="auto"/>
          <w:spacing w:val="-4"/>
          <w:kern w:val="2"/>
          <w:sz w:val="21"/>
          <w:szCs w:val="21"/>
          <w:highlight w:val="none"/>
          <w:lang w:val="en-US" w:eastAsia="zh-CN" w:bidi="ar-SA"/>
        </w:rPr>
      </w:pPr>
      <w:bookmarkStart w:id="302" w:name="_Toc29384"/>
      <w:bookmarkStart w:id="303" w:name="_Toc368905126"/>
      <w:bookmarkStart w:id="304" w:name="_Toc152042353"/>
      <w:bookmarkStart w:id="305" w:name="_Toc144974545"/>
      <w:bookmarkStart w:id="306" w:name="_Toc447619193"/>
      <w:bookmarkStart w:id="307" w:name="_Toc152045577"/>
      <w:bookmarkStart w:id="308" w:name="_Toc458878039"/>
      <w:r>
        <w:rPr>
          <w:rFonts w:hint="eastAsia" w:ascii="宋体" w:hAnsi="宋体" w:eastAsia="宋体" w:cs="宋体"/>
          <w:color w:val="auto"/>
          <w:spacing w:val="-4"/>
          <w:kern w:val="2"/>
          <w:sz w:val="21"/>
          <w:szCs w:val="21"/>
          <w:highlight w:val="none"/>
          <w:lang w:val="en-US" w:eastAsia="zh-CN" w:bidi="ar-SA"/>
        </w:rPr>
        <w:t>35.3 对磋商小组成员的纪律要求</w:t>
      </w:r>
      <w:bookmarkEnd w:id="302"/>
      <w:bookmarkEnd w:id="303"/>
      <w:bookmarkEnd w:id="304"/>
      <w:bookmarkEnd w:id="305"/>
      <w:bookmarkEnd w:id="306"/>
      <w:bookmarkEnd w:id="307"/>
      <w:bookmarkEnd w:id="308"/>
    </w:p>
    <w:p w14:paraId="4BA64349">
      <w:pPr>
        <w:wordWrap w:val="0"/>
        <w:spacing w:after="0" w:line="440" w:lineRule="exact"/>
        <w:ind w:firstLine="404" w:firstLineChars="200"/>
        <w:jc w:val="left"/>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磋商小组成员不得收受他人的财物或者其他好处，不得向他人透漏对响应文件的评审和比较、中标候选人的推荐情况以及评标有关的其他情况。在评标活动中，磋商小组成员不得擅离职守，影响评标程序正常进行，不得使用第三章“评标办法”没有规定的评审因素和标准进行评标。</w:t>
      </w:r>
    </w:p>
    <w:p w14:paraId="4A3DCB95">
      <w:pPr>
        <w:wordWrap w:val="0"/>
        <w:spacing w:after="0" w:line="440" w:lineRule="exact"/>
        <w:jc w:val="left"/>
        <w:rPr>
          <w:rFonts w:hint="eastAsia" w:ascii="宋体" w:hAnsi="宋体" w:eastAsia="宋体" w:cs="宋体"/>
          <w:color w:val="auto"/>
          <w:spacing w:val="-4"/>
          <w:kern w:val="2"/>
          <w:sz w:val="21"/>
          <w:szCs w:val="21"/>
          <w:highlight w:val="none"/>
          <w:lang w:val="en-US" w:eastAsia="zh-CN" w:bidi="ar-SA"/>
        </w:rPr>
      </w:pPr>
      <w:bookmarkStart w:id="309" w:name="_Toc458878040"/>
      <w:bookmarkStart w:id="310" w:name="_Toc447619194"/>
      <w:bookmarkStart w:id="311" w:name="_Toc152042354"/>
      <w:bookmarkStart w:id="312" w:name="_Toc152045578"/>
      <w:bookmarkStart w:id="313" w:name="_Toc7413"/>
      <w:bookmarkStart w:id="314" w:name="_Toc368905127"/>
      <w:r>
        <w:rPr>
          <w:rFonts w:hint="eastAsia" w:ascii="宋体" w:hAnsi="宋体" w:eastAsia="宋体" w:cs="宋体"/>
          <w:color w:val="auto"/>
          <w:spacing w:val="-4"/>
          <w:kern w:val="2"/>
          <w:sz w:val="21"/>
          <w:szCs w:val="21"/>
          <w:highlight w:val="none"/>
          <w:lang w:val="en-US" w:eastAsia="zh-CN" w:bidi="ar-SA"/>
        </w:rPr>
        <w:t>35.4 对与评标活动有关的工作人员的纪律要求</w:t>
      </w:r>
      <w:bookmarkEnd w:id="309"/>
      <w:bookmarkEnd w:id="310"/>
      <w:bookmarkEnd w:id="311"/>
      <w:bookmarkEnd w:id="312"/>
      <w:bookmarkEnd w:id="313"/>
      <w:bookmarkEnd w:id="314"/>
    </w:p>
    <w:p w14:paraId="6FD11FDE">
      <w:pPr>
        <w:wordWrap w:val="0"/>
        <w:spacing w:after="0" w:line="440" w:lineRule="exact"/>
        <w:ind w:firstLine="404" w:firstLineChars="200"/>
        <w:jc w:val="left"/>
        <w:rPr>
          <w:rFonts w:hint="eastAsia" w:ascii="宋体" w:hAnsi="宋体" w:eastAsia="宋体" w:cs="宋体"/>
          <w:b/>
          <w:bCs/>
          <w:color w:val="auto"/>
          <w:sz w:val="24"/>
          <w:szCs w:val="24"/>
          <w:highlight w:val="none"/>
        </w:rPr>
      </w:pPr>
      <w:bookmarkStart w:id="315" w:name="_Toc152042355"/>
      <w:r>
        <w:rPr>
          <w:rFonts w:hint="eastAsia" w:ascii="宋体" w:hAnsi="宋体" w:eastAsia="宋体" w:cs="宋体"/>
          <w:color w:val="auto"/>
          <w:spacing w:val="-4"/>
          <w:kern w:val="2"/>
          <w:sz w:val="21"/>
          <w:szCs w:val="21"/>
          <w:highlight w:val="none"/>
          <w:lang w:val="en-US" w:eastAsia="zh-CN" w:bidi="ar-SA"/>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bookmarkEnd w:id="315"/>
    </w:p>
    <w:p w14:paraId="1C9A462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bCs/>
          <w:color w:val="auto"/>
          <w:spacing w:val="6"/>
          <w:sz w:val="22"/>
          <w:szCs w:val="22"/>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pacing w:val="6"/>
          <w:sz w:val="24"/>
          <w:szCs w:val="24"/>
          <w:highlight w:val="none"/>
        </w:rPr>
        <w:t>质疑和投诉</w:t>
      </w:r>
    </w:p>
    <w:p w14:paraId="17B81B89">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ascii="宋体" w:hAnsi="宋体" w:eastAsia="宋体" w:cs="宋体"/>
          <w:color w:val="auto"/>
          <w:spacing w:val="-4"/>
          <w:sz w:val="21"/>
          <w:szCs w:val="21"/>
          <w:highlight w:val="none"/>
        </w:rPr>
      </w:pPr>
      <w:bookmarkStart w:id="316" w:name="_Toc217446079"/>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4"/>
          <w:sz w:val="21"/>
          <w:szCs w:val="21"/>
          <w:highlight w:val="none"/>
          <w:lang w:val="en-US" w:eastAsia="zh-CN"/>
        </w:rPr>
        <w:t>6</w:t>
      </w:r>
      <w:r>
        <w:rPr>
          <w:rFonts w:hint="eastAsia" w:ascii="宋体" w:hAnsi="宋体" w:eastAsia="宋体" w:cs="宋体"/>
          <w:color w:val="auto"/>
          <w:spacing w:val="-4"/>
          <w:sz w:val="21"/>
          <w:szCs w:val="21"/>
          <w:highlight w:val="none"/>
        </w:rPr>
        <w:t xml:space="preserve">.1 </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认为竞争性磋商文件、磋商过程、成交结果使自己的权益受到损害的，可在公示期内向</w:t>
      </w:r>
      <w:r>
        <w:rPr>
          <w:rFonts w:hint="eastAsia" w:ascii="宋体" w:hAnsi="宋体" w:eastAsia="宋体" w:cs="宋体"/>
          <w:color w:val="auto"/>
          <w:sz w:val="21"/>
          <w:szCs w:val="21"/>
          <w:highlight w:val="none"/>
        </w:rPr>
        <w:t>采购</w:t>
      </w:r>
      <w:r>
        <w:rPr>
          <w:rFonts w:hint="eastAsia" w:ascii="宋体" w:hAnsi="宋体" w:eastAsia="宋体" w:cs="宋体"/>
          <w:color w:val="auto"/>
          <w:spacing w:val="-4"/>
          <w:sz w:val="21"/>
          <w:szCs w:val="21"/>
          <w:highlight w:val="none"/>
        </w:rPr>
        <w:t>人（</w:t>
      </w:r>
      <w:r>
        <w:rPr>
          <w:rFonts w:hint="eastAsia" w:ascii="宋体" w:hAnsi="宋体" w:eastAsia="宋体" w:cs="宋体"/>
          <w:color w:val="auto"/>
          <w:spacing w:val="-4"/>
          <w:sz w:val="21"/>
          <w:szCs w:val="21"/>
          <w:highlight w:val="none"/>
          <w:lang w:eastAsia="zh-CN"/>
        </w:rPr>
        <w:t>安阳高新技术产业开发区智慧城市运营中心</w:t>
      </w:r>
      <w:r>
        <w:rPr>
          <w:rFonts w:hint="eastAsia" w:ascii="宋体" w:hAnsi="宋体" w:eastAsia="宋体" w:cs="宋体"/>
          <w:color w:val="auto"/>
          <w:spacing w:val="-4"/>
          <w:sz w:val="21"/>
          <w:szCs w:val="21"/>
          <w:highlight w:val="none"/>
        </w:rPr>
        <w:t>）、代理机构（</w:t>
      </w:r>
      <w:r>
        <w:rPr>
          <w:rFonts w:hint="eastAsia" w:ascii="宋体" w:hAnsi="宋体" w:eastAsia="宋体" w:cs="宋体"/>
          <w:color w:val="auto"/>
          <w:spacing w:val="-4"/>
          <w:sz w:val="21"/>
          <w:szCs w:val="21"/>
          <w:highlight w:val="none"/>
          <w:lang w:eastAsia="zh-CN"/>
        </w:rPr>
        <w:t>河南普米工程管理服务有限公司</w:t>
      </w:r>
      <w:r>
        <w:rPr>
          <w:rFonts w:hint="eastAsia" w:ascii="宋体" w:hAnsi="宋体" w:eastAsia="宋体" w:cs="宋体"/>
          <w:color w:val="auto"/>
          <w:spacing w:val="-4"/>
          <w:sz w:val="21"/>
          <w:szCs w:val="21"/>
          <w:highlight w:val="none"/>
        </w:rPr>
        <w:t>）提出书面质疑，如对</w:t>
      </w:r>
      <w:r>
        <w:rPr>
          <w:rFonts w:hint="eastAsia" w:ascii="宋体" w:hAnsi="宋体" w:eastAsia="宋体" w:cs="宋体"/>
          <w:color w:val="auto"/>
          <w:sz w:val="21"/>
          <w:szCs w:val="21"/>
          <w:highlight w:val="none"/>
        </w:rPr>
        <w:t>采购</w:t>
      </w:r>
      <w:r>
        <w:rPr>
          <w:rFonts w:hint="eastAsia" w:ascii="宋体" w:hAnsi="宋体" w:eastAsia="宋体" w:cs="宋体"/>
          <w:color w:val="auto"/>
          <w:spacing w:val="-4"/>
          <w:sz w:val="21"/>
          <w:szCs w:val="21"/>
          <w:highlight w:val="none"/>
        </w:rPr>
        <w:t>人、代理机构的质疑答复不满意，</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可以在答复期满后15个工作日内向</w:t>
      </w:r>
      <w:r>
        <w:rPr>
          <w:rFonts w:hint="eastAsia" w:ascii="宋体" w:hAnsi="宋体" w:eastAsia="宋体" w:cs="宋体"/>
          <w:color w:val="auto"/>
          <w:kern w:val="0"/>
          <w:sz w:val="21"/>
          <w:szCs w:val="21"/>
          <w:highlight w:val="none"/>
          <w:lang w:eastAsia="zh-CN"/>
        </w:rPr>
        <w:t>监督部门</w:t>
      </w:r>
      <w:r>
        <w:rPr>
          <w:rFonts w:hint="eastAsia" w:ascii="宋体" w:hAnsi="宋体" w:eastAsia="宋体" w:cs="宋体"/>
          <w:color w:val="auto"/>
          <w:spacing w:val="-4"/>
          <w:sz w:val="21"/>
          <w:szCs w:val="21"/>
          <w:highlight w:val="none"/>
        </w:rPr>
        <w:t>投诉。（具体程序</w:t>
      </w:r>
      <w:r>
        <w:rPr>
          <w:rFonts w:hint="eastAsia" w:ascii="宋体" w:hAnsi="宋体" w:eastAsia="宋体" w:cs="宋体"/>
          <w:color w:val="auto"/>
          <w:spacing w:val="-4"/>
          <w:sz w:val="21"/>
          <w:szCs w:val="21"/>
          <w:highlight w:val="none"/>
          <w:lang w:eastAsia="zh-CN"/>
        </w:rPr>
        <w:t>参照</w:t>
      </w:r>
      <w:r>
        <w:rPr>
          <w:rFonts w:hint="eastAsia" w:ascii="宋体" w:hAnsi="宋体" w:eastAsia="宋体" w:cs="宋体"/>
          <w:color w:val="auto"/>
          <w:spacing w:val="-4"/>
          <w:sz w:val="21"/>
          <w:szCs w:val="21"/>
          <w:highlight w:val="none"/>
        </w:rPr>
        <w:t>财政部令第19号《政府采购信息公告管理办法》、《政府采购质疑和投诉办法》、《政府采购货物和服务招标投标管理办法》文件执行）。</w:t>
      </w:r>
    </w:p>
    <w:bookmarkEnd w:id="316"/>
    <w:p w14:paraId="503BC290">
      <w:pPr>
        <w:keepNext w:val="0"/>
        <w:keepLines w:val="0"/>
        <w:pageBreakBefore w:val="0"/>
        <w:widowControl w:val="0"/>
        <w:kinsoku/>
        <w:wordWrap/>
        <w:overflowPunct/>
        <w:topLinePunct w:val="0"/>
        <w:autoSpaceDE/>
        <w:autoSpaceDN/>
        <w:bidi w:val="0"/>
        <w:adjustRightInd/>
        <w:snapToGrid/>
        <w:spacing w:after="0" w:line="360" w:lineRule="auto"/>
        <w:ind w:firstLine="404"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4"/>
          <w:sz w:val="21"/>
          <w:szCs w:val="21"/>
          <w:highlight w:val="none"/>
          <w:lang w:val="en-US" w:eastAsia="zh-CN"/>
        </w:rPr>
        <w:t>6</w:t>
      </w:r>
      <w:r>
        <w:rPr>
          <w:rFonts w:hint="eastAsia" w:ascii="宋体" w:hAnsi="宋体" w:eastAsia="宋体" w:cs="宋体"/>
          <w:color w:val="auto"/>
          <w:spacing w:val="-4"/>
          <w:sz w:val="21"/>
          <w:szCs w:val="21"/>
          <w:highlight w:val="none"/>
        </w:rPr>
        <w:t xml:space="preserve">.2 </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的质疑和投诉必须以实名书面形式按竞争性磋商文件及有关规定的程序递交，质疑和投诉的内容必须有充分的事实和法律依据，否则磋商采购单位或有关行政监督部门有权利拒绝受理；对于歪曲事实或采用不正当手段恶意质疑和投诉的</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，磋商采购单位或有关行政监督部门将依法予以处罚，并计入不良记录。</w:t>
      </w:r>
    </w:p>
    <w:p w14:paraId="11850D4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37.政府采购政策落实</w:t>
      </w:r>
    </w:p>
    <w:p w14:paraId="6B953543">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1 </w:t>
      </w:r>
      <w:r>
        <w:rPr>
          <w:rFonts w:hint="eastAsia" w:ascii="宋体" w:hAnsi="宋体" w:eastAsia="宋体" w:cs="宋体"/>
          <w:color w:val="auto"/>
          <w:spacing w:val="-4"/>
          <w:kern w:val="2"/>
          <w:sz w:val="21"/>
          <w:szCs w:val="21"/>
          <w:highlight w:val="none"/>
          <w:lang w:val="en-US" w:eastAsia="zh-CN" w:bidi="ar-SA"/>
        </w:rPr>
        <w:t xml:space="preserve">本次政府采购项目专门面向中小企业，专门面向中小企业的采购项目无价格扣除。  </w:t>
      </w:r>
    </w:p>
    <w:p w14:paraId="62D39687">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37.2 专门面向中小企业的服务采购项目中，服务由中小企业承接，即提供服务的人员为中小企业依照《中华人民共和国劳动合同法》订立劳动合同的从业人员。 </w:t>
      </w:r>
    </w:p>
    <w:p w14:paraId="4E16414E">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如磋商文件接受以联合体形式参加投标的，联合体各方均为中小企业的，联合体视同中小企业。其中，联合体各方均为小微企业的，联合体视同小微企业。联合体各方均应按附件格式提供《中小企业声明函》。 </w:t>
      </w:r>
    </w:p>
    <w:p w14:paraId="2EC3A0F8">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3 </w:t>
      </w:r>
      <w:r>
        <w:rPr>
          <w:rFonts w:hint="eastAsia" w:ascii="宋体" w:hAnsi="宋体" w:eastAsia="宋体" w:cs="宋体"/>
          <w:color w:val="auto"/>
          <w:spacing w:val="-4"/>
          <w:kern w:val="2"/>
          <w:sz w:val="21"/>
          <w:szCs w:val="21"/>
          <w:highlight w:val="none"/>
          <w:lang w:val="en-US" w:eastAsia="zh-CN" w:bidi="ar-SA"/>
        </w:rPr>
        <w:t xml:space="preserve">符合中小企业划分标准的个体工商户，在政府采购活动中视同中小企业。 </w:t>
      </w:r>
    </w:p>
    <w:p w14:paraId="420E54E4">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4</w:t>
      </w:r>
      <w:r>
        <w:rPr>
          <w:rFonts w:hint="eastAsia" w:ascii="宋体" w:hAnsi="宋体" w:eastAsia="宋体" w:cs="宋体"/>
          <w:color w:val="auto"/>
          <w:spacing w:val="-4"/>
          <w:kern w:val="2"/>
          <w:sz w:val="21"/>
          <w:szCs w:val="21"/>
          <w:highlight w:val="none"/>
          <w:lang w:val="en-US" w:eastAsia="zh-CN" w:bidi="ar-SA"/>
        </w:rPr>
        <w:t xml:space="preserve">依法享受扶持政策获得政府采购合同的，小微企业不得将合同分包给大中型企业，中型企业不得将合同分包给大型企业。 </w:t>
      </w:r>
    </w:p>
    <w:p w14:paraId="3030DFD3">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5 </w:t>
      </w:r>
      <w:r>
        <w:rPr>
          <w:rFonts w:hint="eastAsia" w:ascii="宋体" w:hAnsi="宋体" w:eastAsia="宋体" w:cs="宋体"/>
          <w:color w:val="auto"/>
          <w:spacing w:val="-4"/>
          <w:kern w:val="2"/>
          <w:sz w:val="21"/>
          <w:szCs w:val="21"/>
          <w:highlight w:val="none"/>
          <w:lang w:val="en-US" w:eastAsia="zh-CN" w:bidi="ar-SA"/>
        </w:rPr>
        <w:t xml:space="preserve">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 属于监狱企业的证明文件。符合法定条件的残疾人福利性单位提供财库〔2017〕141 号规 定的《残疾人福利性单位声明函》，残疾人福利性单位属于小型、微型企业的，不重复享受政策。 </w:t>
      </w:r>
    </w:p>
    <w:p w14:paraId="04C550EB">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5.1 </w:t>
      </w:r>
      <w:r>
        <w:rPr>
          <w:rFonts w:hint="eastAsia" w:ascii="宋体" w:hAnsi="宋体" w:eastAsia="宋体" w:cs="宋体"/>
          <w:color w:val="auto"/>
          <w:spacing w:val="-4"/>
          <w:kern w:val="2"/>
          <w:sz w:val="21"/>
          <w:szCs w:val="21"/>
          <w:highlight w:val="none"/>
          <w:lang w:val="en-US" w:eastAsia="zh-CN" w:bidi="ar-SA"/>
        </w:rPr>
        <w:t xml:space="preserve">享受政府采购支持政策的残疾人福利性单位应当同时满足以下条件： </w:t>
      </w:r>
    </w:p>
    <w:p w14:paraId="437C4B1C">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（1）安置的残疾人占本单位在职职工人数的比例不低于 25%（含 25%），并且安置的残疾人人数不少于 10 人（含 10 人）； </w:t>
      </w:r>
    </w:p>
    <w:p w14:paraId="2E499E4C">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（2）依法与安置的每位残疾人签订了一年以上（含一年）的劳动合同或服务协议； </w:t>
      </w:r>
    </w:p>
    <w:p w14:paraId="2F718D65">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（3）为安置的每位残疾人按月足额缴纳了基本养老保险、基本医疗保险、失业保险、 工伤保险和生育保险等社会保险费； </w:t>
      </w:r>
    </w:p>
    <w:p w14:paraId="3D7F0F16">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（4）通过银行等金融机构向安置的每位残疾人，按月支付了不低于单位所在区县适用的经省级人民政府批准的月最低工资标准的工资； </w:t>
      </w:r>
    </w:p>
    <w:p w14:paraId="20650419">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0E719CF8">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6 </w:t>
      </w:r>
      <w:r>
        <w:rPr>
          <w:rFonts w:hint="eastAsia" w:ascii="宋体" w:hAnsi="宋体" w:eastAsia="宋体" w:cs="宋体"/>
          <w:color w:val="auto"/>
          <w:spacing w:val="-4"/>
          <w:kern w:val="2"/>
          <w:sz w:val="21"/>
          <w:szCs w:val="21"/>
          <w:highlight w:val="none"/>
          <w:lang w:val="en-US" w:eastAsia="zh-CN" w:bidi="ar-SA"/>
        </w:rPr>
        <w:t xml:space="preserve">根据财政部、工业和信息化部有关负责人就印发《政府采购促进中小企业发展管理办法》答记者问，为方便广大中小企业、政府部门和社会公众识别企业规模类型，工业和信息化部组织开发了中小企业规模类型自测小程序，并于 </w:t>
      </w:r>
      <w:r>
        <w:rPr>
          <w:rFonts w:hint="default" w:ascii="宋体" w:hAnsi="宋体" w:eastAsia="宋体" w:cs="宋体"/>
          <w:color w:val="auto"/>
          <w:spacing w:val="-4"/>
          <w:kern w:val="2"/>
          <w:sz w:val="21"/>
          <w:szCs w:val="21"/>
          <w:highlight w:val="none"/>
          <w:lang w:val="en-US" w:eastAsia="zh-CN" w:bidi="ar-SA"/>
        </w:rPr>
        <w:t xml:space="preserve">2020 </w:t>
      </w:r>
      <w:r>
        <w:rPr>
          <w:rFonts w:hint="eastAsia" w:ascii="宋体" w:hAnsi="宋体" w:eastAsia="宋体" w:cs="宋体"/>
          <w:color w:val="auto"/>
          <w:spacing w:val="-4"/>
          <w:kern w:val="2"/>
          <w:sz w:val="21"/>
          <w:szCs w:val="21"/>
          <w:highlight w:val="none"/>
          <w:lang w:val="en-US" w:eastAsia="zh-CN" w:bidi="ar-SA"/>
        </w:rPr>
        <w:t xml:space="preserve">年 </w:t>
      </w:r>
      <w:r>
        <w:rPr>
          <w:rFonts w:hint="default" w:ascii="宋体" w:hAnsi="宋体" w:eastAsia="宋体" w:cs="宋体"/>
          <w:color w:val="auto"/>
          <w:spacing w:val="-4"/>
          <w:kern w:val="2"/>
          <w:sz w:val="21"/>
          <w:szCs w:val="21"/>
          <w:highlight w:val="none"/>
          <w:lang w:val="en-US" w:eastAsia="zh-CN" w:bidi="ar-SA"/>
        </w:rPr>
        <w:t xml:space="preserve">2 </w:t>
      </w:r>
      <w:r>
        <w:rPr>
          <w:rFonts w:hint="eastAsia" w:ascii="宋体" w:hAnsi="宋体" w:eastAsia="宋体" w:cs="宋体"/>
          <w:color w:val="auto"/>
          <w:spacing w:val="-4"/>
          <w:kern w:val="2"/>
          <w:sz w:val="21"/>
          <w:szCs w:val="21"/>
          <w:highlight w:val="none"/>
          <w:lang w:val="en-US" w:eastAsia="zh-CN" w:bidi="ar-SA"/>
        </w:rPr>
        <w:t xml:space="preserve">月 </w:t>
      </w:r>
      <w:r>
        <w:rPr>
          <w:rFonts w:hint="default" w:ascii="宋体" w:hAnsi="宋体" w:eastAsia="宋体" w:cs="宋体"/>
          <w:color w:val="auto"/>
          <w:spacing w:val="-4"/>
          <w:kern w:val="2"/>
          <w:sz w:val="21"/>
          <w:szCs w:val="21"/>
          <w:highlight w:val="none"/>
          <w:lang w:val="en-US" w:eastAsia="zh-CN" w:bidi="ar-SA"/>
        </w:rPr>
        <w:t xml:space="preserve">27 </w:t>
      </w:r>
      <w:r>
        <w:rPr>
          <w:rFonts w:hint="eastAsia" w:ascii="宋体" w:hAnsi="宋体" w:eastAsia="宋体" w:cs="宋体"/>
          <w:color w:val="auto"/>
          <w:spacing w:val="-4"/>
          <w:kern w:val="2"/>
          <w:sz w:val="21"/>
          <w:szCs w:val="21"/>
          <w:highlight w:val="none"/>
          <w:lang w:val="en-US" w:eastAsia="zh-CN" w:bidi="ar-SA"/>
        </w:rPr>
        <w:t xml:space="preserve">日上线运行，在国务院客户端和工业和信息化部网站上均有链接，广大中小企业和各类社会机构填写企业所属的行业和指标数据自动生成企业规模类型测试结果。 </w:t>
      </w:r>
    </w:p>
    <w:p w14:paraId="29E4A101">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 xml:space="preserve">37.7 中标、成交供应商享受中小企业扶持政策的，中标、成交供应商的《中小企业声明函》将随中标、成交结果公开。 </w:t>
      </w:r>
    </w:p>
    <w:p w14:paraId="09187706">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8 </w:t>
      </w:r>
      <w:r>
        <w:rPr>
          <w:rFonts w:hint="eastAsia" w:ascii="宋体" w:hAnsi="宋体" w:eastAsia="宋体" w:cs="宋体"/>
          <w:color w:val="auto"/>
          <w:spacing w:val="-4"/>
          <w:kern w:val="2"/>
          <w:sz w:val="21"/>
          <w:szCs w:val="21"/>
          <w:highlight w:val="none"/>
          <w:lang w:val="en-US" w:eastAsia="zh-CN" w:bidi="ar-SA"/>
        </w:rPr>
        <w:t xml:space="preserve">政府采购监督检查、投诉处理及政府采购行政处罚中对中小企业的认定，由货物制造商或者工程、服务供应商注册登记所在地的县级以上人民政府中小企业主管部门负责。 </w:t>
      </w:r>
    </w:p>
    <w:p w14:paraId="2A9BBD89">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highlight w:val="none"/>
        </w:rPr>
      </w:pPr>
      <w:r>
        <w:rPr>
          <w:rFonts w:hint="eastAsia" w:ascii="宋体" w:hAnsi="宋体" w:eastAsia="宋体" w:cs="宋体"/>
          <w:color w:val="auto"/>
          <w:spacing w:val="-4"/>
          <w:kern w:val="2"/>
          <w:sz w:val="21"/>
          <w:szCs w:val="21"/>
          <w:highlight w:val="none"/>
          <w:lang w:val="en-US" w:eastAsia="zh-CN" w:bidi="ar-SA"/>
        </w:rPr>
        <w:t>37.</w:t>
      </w:r>
      <w:r>
        <w:rPr>
          <w:rFonts w:hint="default" w:ascii="宋体" w:hAnsi="宋体" w:eastAsia="宋体" w:cs="宋体"/>
          <w:color w:val="auto"/>
          <w:spacing w:val="-4"/>
          <w:kern w:val="2"/>
          <w:sz w:val="21"/>
          <w:szCs w:val="21"/>
          <w:highlight w:val="none"/>
          <w:lang w:val="en-US" w:eastAsia="zh-CN" w:bidi="ar-SA"/>
        </w:rPr>
        <w:t xml:space="preserve">9 </w:t>
      </w:r>
      <w:r>
        <w:rPr>
          <w:rFonts w:hint="eastAsia" w:ascii="宋体" w:hAnsi="宋体" w:eastAsia="宋体" w:cs="宋体"/>
          <w:color w:val="auto"/>
          <w:spacing w:val="-4"/>
          <w:kern w:val="2"/>
          <w:sz w:val="21"/>
          <w:szCs w:val="21"/>
          <w:highlight w:val="none"/>
          <w:lang w:val="en-US" w:eastAsia="zh-CN" w:bidi="ar-SA"/>
        </w:rPr>
        <w:t>供应商按照财库〔</w:t>
      </w:r>
      <w:r>
        <w:rPr>
          <w:rFonts w:hint="default" w:ascii="宋体" w:hAnsi="宋体" w:eastAsia="宋体" w:cs="宋体"/>
          <w:color w:val="auto"/>
          <w:spacing w:val="-4"/>
          <w:kern w:val="2"/>
          <w:sz w:val="21"/>
          <w:szCs w:val="21"/>
          <w:highlight w:val="none"/>
          <w:lang w:val="en-US" w:eastAsia="zh-CN" w:bidi="ar-SA"/>
        </w:rPr>
        <w:t>2020</w:t>
      </w:r>
      <w:r>
        <w:rPr>
          <w:rFonts w:hint="eastAsia" w:ascii="宋体" w:hAnsi="宋体" w:eastAsia="宋体" w:cs="宋体"/>
          <w:color w:val="auto"/>
          <w:spacing w:val="-4"/>
          <w:kern w:val="2"/>
          <w:sz w:val="21"/>
          <w:szCs w:val="21"/>
          <w:highlight w:val="none"/>
          <w:lang w:val="en-US" w:eastAsia="zh-CN" w:bidi="ar-SA"/>
        </w:rPr>
        <w:t>〕</w:t>
      </w:r>
      <w:r>
        <w:rPr>
          <w:rFonts w:hint="default" w:ascii="宋体" w:hAnsi="宋体" w:eastAsia="宋体" w:cs="宋体"/>
          <w:color w:val="auto"/>
          <w:spacing w:val="-4"/>
          <w:kern w:val="2"/>
          <w:sz w:val="21"/>
          <w:szCs w:val="21"/>
          <w:highlight w:val="none"/>
          <w:lang w:val="en-US" w:eastAsia="zh-CN" w:bidi="ar-SA"/>
        </w:rPr>
        <w:t xml:space="preserve">46 </w:t>
      </w:r>
      <w:r>
        <w:rPr>
          <w:rFonts w:hint="eastAsia" w:ascii="宋体" w:hAnsi="宋体" w:eastAsia="宋体" w:cs="宋体"/>
          <w:color w:val="auto"/>
          <w:spacing w:val="-4"/>
          <w:kern w:val="2"/>
          <w:sz w:val="21"/>
          <w:szCs w:val="21"/>
          <w:highlight w:val="none"/>
          <w:lang w:val="en-US" w:eastAsia="zh-CN" w:bidi="ar-SA"/>
        </w:rPr>
        <w:t>号规定及谈判文件要求提供声明函内容不实的，属于提供虚假材料谋取中标、成交，依照《中华人民共和国政府采购法》等国家有关规定追究相应责任。</w:t>
      </w:r>
    </w:p>
    <w:p w14:paraId="04055B9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.本竞争性磋商文件最终解释权归采购人。</w:t>
      </w:r>
    </w:p>
    <w:p w14:paraId="6839C410">
      <w:pPr>
        <w:keepNext w:val="0"/>
        <w:keepLines w:val="0"/>
        <w:pageBreakBefore w:val="0"/>
        <w:widowControl w:val="0"/>
        <w:kinsoku/>
        <w:wordWrap w:val="0"/>
        <w:overflowPunct/>
        <w:topLinePunct w:val="0"/>
        <w:autoSpaceDE/>
        <w:autoSpaceDN/>
        <w:bidi w:val="0"/>
        <w:adjustRightInd/>
        <w:snapToGrid/>
        <w:spacing w:after="0" w:line="440" w:lineRule="exact"/>
        <w:jc w:val="left"/>
        <w:textAlignment w:val="auto"/>
        <w:rPr>
          <w:rFonts w:hint="eastAsia" w:ascii="宋体" w:hAnsi="宋体" w:eastAsia="宋体" w:cs="宋体"/>
          <w:b/>
          <w:bCs/>
          <w:color w:val="auto"/>
          <w:spacing w:val="-4"/>
          <w:kern w:val="2"/>
          <w:sz w:val="21"/>
          <w:szCs w:val="21"/>
          <w:highlight w:val="none"/>
          <w:lang w:val="en-US" w:eastAsia="zh-CN" w:bidi="ar-SA"/>
        </w:rPr>
      </w:pPr>
      <w:r>
        <w:rPr>
          <w:rFonts w:hint="eastAsia" w:ascii="宋体" w:hAnsi="宋体" w:eastAsia="宋体" w:cs="宋体"/>
          <w:b/>
          <w:bCs/>
          <w:color w:val="auto"/>
          <w:spacing w:val="-4"/>
          <w:kern w:val="2"/>
          <w:sz w:val="21"/>
          <w:szCs w:val="21"/>
          <w:highlight w:val="none"/>
          <w:lang w:val="en-US" w:eastAsia="zh-CN" w:bidi="ar-SA"/>
        </w:rPr>
        <w:t>39.相关注意事项</w:t>
      </w:r>
    </w:p>
    <w:p w14:paraId="7404D218">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39.1各供应商应保证：响应文件中涉及到的所有内容，不会出现因第三方提出侵权而引发法律及经济纠纷，不论何种情况下若发生此类情况，其相应责任由供应商自行承担。</w:t>
      </w:r>
    </w:p>
    <w:p w14:paraId="67EFBF2B">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39.2供应商应本着公平竞争的原则参与投标，不得用任何方式对其它供应商恶意攻击。</w:t>
      </w:r>
    </w:p>
    <w:p w14:paraId="711F23D5">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39.3供应商如有违反上述要求或违反国家法律、法规的行为，无论评标结果如何，其投标资格将被取消。</w:t>
      </w:r>
    </w:p>
    <w:p w14:paraId="7F927F6F">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zh-CN" w:eastAsia="zh-CN" w:bidi="ar-SA"/>
        </w:rPr>
      </w:pPr>
      <w:r>
        <w:rPr>
          <w:rFonts w:hint="eastAsia" w:ascii="宋体" w:hAnsi="宋体" w:eastAsia="宋体" w:cs="宋体"/>
          <w:color w:val="auto"/>
          <w:spacing w:val="-4"/>
          <w:kern w:val="2"/>
          <w:sz w:val="21"/>
          <w:szCs w:val="21"/>
          <w:highlight w:val="none"/>
          <w:lang w:val="en-US" w:eastAsia="zh-CN" w:bidi="ar-SA"/>
        </w:rPr>
        <w:t xml:space="preserve">39.6 </w:t>
      </w:r>
      <w:r>
        <w:rPr>
          <w:rFonts w:hint="eastAsia" w:ascii="宋体" w:hAnsi="宋体" w:eastAsia="宋体" w:cs="宋体"/>
          <w:color w:val="auto"/>
          <w:spacing w:val="-4"/>
          <w:kern w:val="2"/>
          <w:sz w:val="21"/>
          <w:szCs w:val="21"/>
          <w:highlight w:val="none"/>
          <w:lang w:val="zh-CN" w:eastAsia="zh-CN" w:bidi="ar-SA"/>
        </w:rPr>
        <w:t>其他</w:t>
      </w:r>
    </w:p>
    <w:p w14:paraId="173936DE">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（1）在评标过程中，凡遇到竞争性磋商文件中无界定或界定不清、前后不一致，使磋商小组意见有分歧且又难以协调一致的问题，均由磋商小组予以表决，获半数以上同意的即为通过，否则即为否决。</w:t>
      </w:r>
    </w:p>
    <w:p w14:paraId="5F146B3E">
      <w:pPr>
        <w:keepNext w:val="0"/>
        <w:keepLines w:val="0"/>
        <w:pageBreakBefore w:val="0"/>
        <w:widowControl w:val="0"/>
        <w:kinsoku/>
        <w:wordWrap w:val="0"/>
        <w:overflowPunct/>
        <w:topLinePunct w:val="0"/>
        <w:autoSpaceDE/>
        <w:autoSpaceDN/>
        <w:bidi w:val="0"/>
        <w:adjustRightInd/>
        <w:snapToGrid/>
        <w:spacing w:after="0" w:line="440" w:lineRule="exact"/>
        <w:ind w:firstLine="404" w:firstLineChars="200"/>
        <w:jc w:val="left"/>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（2）未尽事宜，按国家有关规定执行。</w:t>
      </w:r>
    </w:p>
    <w:p w14:paraId="0115F7E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.联系方式</w:t>
      </w:r>
    </w:p>
    <w:p w14:paraId="51F61FA6">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采购人信息 </w:t>
      </w:r>
    </w:p>
    <w:p w14:paraId="6B856B76">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名称：安阳高新技术产业开发区智慧城市运营中心 </w:t>
      </w:r>
    </w:p>
    <w:p w14:paraId="79A591D8">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地址：安阳高新技术产业开发区黄河大道中段 </w:t>
      </w:r>
    </w:p>
    <w:p w14:paraId="61CC02FA">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联系人：王晓刚 </w:t>
      </w:r>
    </w:p>
    <w:p w14:paraId="70709678">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联系方式：15090019225 </w:t>
      </w:r>
    </w:p>
    <w:p w14:paraId="1BFD1F33">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2.采购代理机构信息（如有） </w:t>
      </w:r>
    </w:p>
    <w:p w14:paraId="04AB8E4D">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名称：河南普米工程管理服务有限公司 </w:t>
      </w:r>
    </w:p>
    <w:p w14:paraId="75747FB5">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地址：安阳市文昌大道与曙光路交叉口国控大厦22楼2205 </w:t>
      </w:r>
    </w:p>
    <w:p w14:paraId="68A67AB0">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李静</w:t>
      </w:r>
      <w:r>
        <w:rPr>
          <w:rFonts w:hint="eastAsia" w:ascii="宋体" w:hAnsi="宋体" w:eastAsia="宋体" w:cs="宋体"/>
          <w:color w:val="auto"/>
          <w:sz w:val="21"/>
          <w:szCs w:val="21"/>
          <w:highlight w:val="none"/>
          <w:lang w:eastAsia="zh-CN"/>
        </w:rPr>
        <w:t xml:space="preserve"> </w:t>
      </w:r>
    </w:p>
    <w:p w14:paraId="3B9FC782">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联系方式：15637221992 0372-6867156</w:t>
      </w:r>
    </w:p>
    <w:p w14:paraId="55CB71F8">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3.项目联系方式 </w:t>
      </w:r>
    </w:p>
    <w:p w14:paraId="7BA6EA02">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李静</w:t>
      </w:r>
      <w:r>
        <w:rPr>
          <w:rFonts w:hint="eastAsia" w:ascii="宋体" w:hAnsi="宋体" w:eastAsia="宋体" w:cs="宋体"/>
          <w:color w:val="auto"/>
          <w:sz w:val="21"/>
          <w:szCs w:val="21"/>
          <w:highlight w:val="none"/>
          <w:lang w:eastAsia="zh-CN"/>
        </w:rPr>
        <w:t xml:space="preserve"> </w:t>
      </w:r>
    </w:p>
    <w:p w14:paraId="00092E63">
      <w:pPr>
        <w:pStyle w:val="25"/>
        <w:spacing w:after="0" w:line="40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联系方式：15637221992 0372-6867156</w:t>
      </w:r>
    </w:p>
    <w:p w14:paraId="601C3CBE">
      <w:pPr>
        <w:pStyle w:val="25"/>
        <w:spacing w:after="0" w:line="408" w:lineRule="auto"/>
        <w:ind w:firstLine="420" w:firstLineChars="200"/>
        <w:rPr>
          <w:rFonts w:hint="eastAsia" w:ascii="宋体" w:hAnsi="宋体" w:eastAsia="宋体" w:cs="宋体"/>
          <w:color w:val="auto"/>
          <w:sz w:val="21"/>
          <w:szCs w:val="21"/>
          <w:highlight w:val="none"/>
          <w:lang w:eastAsia="zh-CN"/>
        </w:rPr>
      </w:pPr>
    </w:p>
    <w:p w14:paraId="3B80B3DD">
      <w:pPr>
        <w:keepNext w:val="0"/>
        <w:keepLines w:val="0"/>
        <w:pageBreakBefore w:val="0"/>
        <w:widowControl w:val="0"/>
        <w:kinsoku/>
        <w:wordWrap/>
        <w:overflowPunct/>
        <w:topLinePunct w:val="0"/>
        <w:autoSpaceDE/>
        <w:autoSpaceDN/>
        <w:bidi w:val="0"/>
        <w:adjustRightInd/>
        <w:snapToGrid/>
        <w:spacing w:after="0" w:line="360" w:lineRule="auto"/>
        <w:ind w:firstLine="360" w:firstLineChars="200"/>
        <w:textAlignment w:val="auto"/>
        <w:rPr>
          <w:color w:val="auto"/>
          <w:highlight w:val="none"/>
        </w:rPr>
      </w:pPr>
      <w:r>
        <w:rPr>
          <w:color w:val="auto"/>
          <w:highlight w:val="none"/>
        </w:rPr>
        <w:br w:type="page"/>
      </w:r>
    </w:p>
    <w:p w14:paraId="34AF70E0">
      <w:pPr>
        <w:pStyle w:val="35"/>
        <w:jc w:val="center"/>
        <w:outlineLvl w:val="0"/>
        <w:rPr>
          <w:rFonts w:hint="eastAsia" w:eastAsia="宋体"/>
          <w:color w:val="auto"/>
          <w:highlight w:val="none"/>
          <w:lang w:eastAsia="zh-CN"/>
        </w:rPr>
      </w:pPr>
      <w:bookmarkStart w:id="317" w:name="_Toc20130"/>
      <w:r>
        <w:rPr>
          <w:rFonts w:hint="eastAsia" w:ascii="宋体" w:hAnsi="宋体" w:eastAsia="宋体" w:cs="宋体"/>
          <w:b/>
          <w:color w:val="auto"/>
          <w:sz w:val="44"/>
          <w:szCs w:val="22"/>
          <w:highlight w:val="none"/>
        </w:rPr>
        <w:t xml:space="preserve">第三章  </w:t>
      </w:r>
      <w:bookmarkEnd w:id="317"/>
      <w:r>
        <w:rPr>
          <w:rFonts w:hint="eastAsia" w:hAnsi="宋体" w:cs="宋体"/>
          <w:b/>
          <w:color w:val="auto"/>
          <w:sz w:val="44"/>
          <w:szCs w:val="22"/>
          <w:highlight w:val="none"/>
          <w:lang w:eastAsia="zh-CN"/>
        </w:rPr>
        <w:t>采购内容及服务要求</w:t>
      </w:r>
    </w:p>
    <w:p w14:paraId="011B917D">
      <w:pPr>
        <w:snapToGrid w:val="0"/>
        <w:spacing w:line="360" w:lineRule="auto"/>
        <w:ind w:firstLine="316" w:firstLineChars="150"/>
        <w:jc w:val="left"/>
        <w:rPr>
          <w:rStyle w:val="56"/>
          <w:rFonts w:hint="eastAsia" w:ascii="宋体" w:hAnsi="宋体" w:eastAsia="宋体" w:cs="宋体"/>
          <w:b/>
          <w:sz w:val="21"/>
          <w:szCs w:val="21"/>
          <w:highlight w:val="none"/>
        </w:rPr>
      </w:pPr>
      <w:bookmarkStart w:id="318" w:name="_Toc27664"/>
      <w:r>
        <w:rPr>
          <w:rStyle w:val="56"/>
          <w:rFonts w:hint="eastAsia" w:ascii="宋体" w:hAnsi="宋体" w:eastAsia="宋体" w:cs="宋体"/>
          <w:b/>
          <w:sz w:val="21"/>
          <w:szCs w:val="21"/>
          <w:highlight w:val="none"/>
          <w:lang w:eastAsia="zh-CN"/>
        </w:rPr>
        <w:t>一、</w:t>
      </w:r>
      <w:r>
        <w:rPr>
          <w:rStyle w:val="56"/>
          <w:rFonts w:hint="eastAsia" w:ascii="宋体" w:hAnsi="宋体" w:eastAsia="宋体" w:cs="宋体"/>
          <w:b/>
          <w:sz w:val="21"/>
          <w:szCs w:val="21"/>
          <w:highlight w:val="none"/>
        </w:rPr>
        <w:t>采购项目、投标报价</w:t>
      </w:r>
    </w:p>
    <w:p w14:paraId="6920116C">
      <w:pPr>
        <w:snapToGrid w:val="0"/>
        <w:spacing w:line="360" w:lineRule="auto"/>
        <w:ind w:firstLine="422" w:firstLineChars="200"/>
        <w:jc w:val="left"/>
        <w:rPr>
          <w:rStyle w:val="56"/>
          <w:rFonts w:hint="eastAsia" w:ascii="宋体" w:hAnsi="宋体" w:eastAsia="宋体" w:cs="宋体"/>
          <w:sz w:val="21"/>
          <w:szCs w:val="21"/>
          <w:highlight w:val="none"/>
        </w:rPr>
      </w:pPr>
      <w:r>
        <w:rPr>
          <w:rStyle w:val="56"/>
          <w:rFonts w:hint="eastAsia" w:ascii="宋体" w:hAnsi="宋体" w:eastAsia="宋体" w:cs="宋体"/>
          <w:b/>
          <w:sz w:val="21"/>
          <w:szCs w:val="21"/>
          <w:highlight w:val="none"/>
        </w:rPr>
        <w:t>1.1采购项目名称</w:t>
      </w:r>
      <w:r>
        <w:rPr>
          <w:rStyle w:val="56"/>
          <w:rFonts w:hint="eastAsia" w:ascii="宋体" w:hAnsi="宋体" w:eastAsia="宋体" w:cs="宋体"/>
          <w:sz w:val="21"/>
          <w:szCs w:val="21"/>
          <w:highlight w:val="none"/>
        </w:rPr>
        <w:t>：安阳高新技术产业开发区智慧城市运营中心洪河（铁路桥—长江大道桥）河道保洁服务项目</w:t>
      </w:r>
    </w:p>
    <w:p w14:paraId="3DB3AE82">
      <w:pPr>
        <w:snapToGrid w:val="0"/>
        <w:spacing w:line="360" w:lineRule="auto"/>
        <w:ind w:firstLine="422" w:firstLineChars="200"/>
        <w:jc w:val="left"/>
        <w:rPr>
          <w:rStyle w:val="56"/>
          <w:rFonts w:hint="eastAsia" w:ascii="宋体" w:hAnsi="宋体" w:eastAsia="宋体" w:cs="宋体"/>
          <w:sz w:val="21"/>
          <w:szCs w:val="21"/>
          <w:highlight w:val="none"/>
        </w:rPr>
      </w:pPr>
      <w:r>
        <w:rPr>
          <w:rStyle w:val="56"/>
          <w:rFonts w:hint="eastAsia" w:ascii="宋体" w:hAnsi="宋体" w:eastAsia="宋体" w:cs="宋体"/>
          <w:b/>
          <w:sz w:val="21"/>
          <w:szCs w:val="21"/>
          <w:highlight w:val="none"/>
        </w:rPr>
        <w:t>1.2 项目情况及其服务期服务地点</w:t>
      </w:r>
      <w:r>
        <w:rPr>
          <w:rStyle w:val="56"/>
          <w:rFonts w:hint="eastAsia" w:ascii="宋体" w:hAnsi="宋体" w:eastAsia="宋体" w:cs="宋体"/>
          <w:sz w:val="21"/>
          <w:szCs w:val="21"/>
          <w:highlight w:val="none"/>
        </w:rPr>
        <w:t>：</w:t>
      </w:r>
    </w:p>
    <w:tbl>
      <w:tblPr>
        <w:tblStyle w:val="27"/>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15"/>
        <w:gridCol w:w="2636"/>
        <w:gridCol w:w="1592"/>
        <w:gridCol w:w="1177"/>
      </w:tblGrid>
      <w:tr w14:paraId="50FC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220" w:type="dxa"/>
            <w:gridSpan w:val="4"/>
            <w:tcBorders>
              <w:top w:val="single" w:color="000000" w:sz="4" w:space="0"/>
              <w:left w:val="single" w:color="000000" w:sz="4" w:space="0"/>
              <w:bottom w:val="single" w:color="000000" w:sz="4" w:space="0"/>
              <w:right w:val="single" w:color="000000" w:sz="4" w:space="0"/>
            </w:tcBorders>
            <w:noWrap w:val="0"/>
            <w:vAlign w:val="center"/>
          </w:tcPr>
          <w:p w14:paraId="04A484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项目一览表</w:t>
            </w:r>
          </w:p>
        </w:tc>
      </w:tr>
      <w:tr w14:paraId="5A21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14:paraId="5ED832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项目名称</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4A808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项目内容（范围）</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5E3E2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合同履行期限</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13D61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服务地点</w:t>
            </w:r>
          </w:p>
        </w:tc>
      </w:tr>
      <w:tr w14:paraId="3FCA9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1"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14:paraId="2CCD0B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sz w:val="21"/>
                <w:szCs w:val="21"/>
                <w:highlight w:val="none"/>
              </w:rPr>
            </w:pPr>
            <w:r>
              <w:rPr>
                <w:rStyle w:val="56"/>
                <w:rFonts w:hint="eastAsia" w:ascii="宋体" w:hAnsi="宋体" w:eastAsia="宋体" w:cs="宋体"/>
                <w:sz w:val="21"/>
                <w:szCs w:val="21"/>
                <w:highlight w:val="none"/>
              </w:rPr>
              <w:t>安阳高新技术产业开发区智慧城市运营中心洪河（铁路桥—长江大道桥）河道保洁服务项目</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92D6D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sz w:val="21"/>
                <w:szCs w:val="21"/>
                <w:highlight w:val="none"/>
              </w:rPr>
            </w:pPr>
            <w:r>
              <w:rPr>
                <w:rStyle w:val="56"/>
                <w:rFonts w:hint="eastAsia" w:ascii="宋体" w:hAnsi="宋体" w:eastAsia="宋体" w:cs="宋体"/>
                <w:sz w:val="21"/>
                <w:szCs w:val="21"/>
                <w:highlight w:val="none"/>
              </w:rPr>
              <w:t>见“第</w:t>
            </w:r>
            <w:r>
              <w:rPr>
                <w:rStyle w:val="56"/>
                <w:rFonts w:hint="eastAsia" w:ascii="宋体" w:hAnsi="宋体" w:eastAsia="宋体" w:cs="宋体"/>
                <w:sz w:val="21"/>
                <w:szCs w:val="21"/>
                <w:highlight w:val="none"/>
                <w:lang w:val="en-US" w:eastAsia="zh-CN"/>
              </w:rPr>
              <w:t>三</w:t>
            </w:r>
            <w:r>
              <w:rPr>
                <w:rStyle w:val="56"/>
                <w:rFonts w:hint="eastAsia" w:ascii="宋体" w:hAnsi="宋体" w:eastAsia="宋体" w:cs="宋体"/>
                <w:sz w:val="21"/>
                <w:szCs w:val="21"/>
                <w:highlight w:val="none"/>
              </w:rPr>
              <w:t>章</w:t>
            </w:r>
            <w:r>
              <w:rPr>
                <w:rStyle w:val="56"/>
                <w:rFonts w:hint="eastAsia" w:ascii="宋体" w:hAnsi="宋体" w:eastAsia="宋体" w:cs="宋体"/>
                <w:sz w:val="21"/>
                <w:szCs w:val="21"/>
                <w:highlight w:val="none"/>
                <w:lang w:val="en-US"/>
              </w:rPr>
              <w:t>第二</w:t>
            </w:r>
            <w:r>
              <w:rPr>
                <w:rStyle w:val="56"/>
                <w:rFonts w:hint="eastAsia" w:ascii="宋体" w:hAnsi="宋体" w:eastAsia="宋体" w:cs="宋体"/>
                <w:sz w:val="21"/>
                <w:szCs w:val="21"/>
                <w:highlight w:val="none"/>
              </w:rPr>
              <w:t>条：具体技术要求及项目内容（范围）”</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F6502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合同签订之日起12个月</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52A38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56"/>
                <w:rFonts w:hint="eastAsia" w:ascii="宋体" w:hAnsi="宋体" w:eastAsia="宋体" w:cs="宋体"/>
                <w:sz w:val="21"/>
                <w:szCs w:val="21"/>
                <w:highlight w:val="none"/>
              </w:rPr>
            </w:pPr>
            <w:r>
              <w:rPr>
                <w:rStyle w:val="56"/>
                <w:rFonts w:hint="eastAsia" w:ascii="宋体" w:hAnsi="宋体" w:eastAsia="宋体" w:cs="宋体"/>
                <w:sz w:val="21"/>
                <w:szCs w:val="21"/>
                <w:highlight w:val="none"/>
              </w:rPr>
              <w:t>采购人指定地点</w:t>
            </w:r>
          </w:p>
        </w:tc>
      </w:tr>
    </w:tbl>
    <w:p w14:paraId="66D2BC42">
      <w:pPr>
        <w:snapToGrid w:val="0"/>
        <w:spacing w:line="360" w:lineRule="auto"/>
        <w:ind w:firstLine="422" w:firstLineChars="200"/>
        <w:rPr>
          <w:rStyle w:val="56"/>
          <w:rFonts w:hint="eastAsia" w:ascii="宋体" w:hAnsi="宋体" w:eastAsia="宋体" w:cs="宋体"/>
          <w:b/>
          <w:sz w:val="21"/>
          <w:szCs w:val="21"/>
          <w:highlight w:val="none"/>
        </w:rPr>
      </w:pPr>
      <w:r>
        <w:rPr>
          <w:rStyle w:val="56"/>
          <w:rFonts w:hint="eastAsia" w:ascii="宋体" w:hAnsi="宋体" w:eastAsia="宋体" w:cs="宋体"/>
          <w:b/>
          <w:sz w:val="21"/>
          <w:szCs w:val="21"/>
          <w:highlight w:val="none"/>
        </w:rPr>
        <w:t>1.3 投标报价（价格构成）</w:t>
      </w:r>
    </w:p>
    <w:p w14:paraId="042104A8">
      <w:pPr>
        <w:widowControl w:val="0"/>
        <w:snapToGrid w:val="0"/>
        <w:spacing w:line="360" w:lineRule="auto"/>
        <w:ind w:firstLine="420" w:firstLineChars="200"/>
        <w:jc w:val="left"/>
        <w:rPr>
          <w:rStyle w:val="56"/>
          <w:rFonts w:hint="eastAsia" w:ascii="宋体" w:hAnsi="宋体" w:eastAsia="宋体" w:cs="宋体"/>
          <w:sz w:val="21"/>
          <w:szCs w:val="21"/>
          <w:highlight w:val="none"/>
        </w:rPr>
      </w:pPr>
      <w:r>
        <w:rPr>
          <w:rStyle w:val="56"/>
          <w:rFonts w:hint="eastAsia" w:ascii="宋体" w:hAnsi="宋体" w:eastAsia="宋体" w:cs="宋体"/>
          <w:sz w:val="21"/>
          <w:szCs w:val="21"/>
          <w:highlight w:val="none"/>
        </w:rPr>
        <w:t xml:space="preserve">1.3.1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磋商报价应为达到服务要求下的总包价格，包括：管理费、人员费用（含工资、奖金、劳保福利、工伤和人身意外等保险、教育培训、事故善后处理等）、设备投资、工具材料费、相关税费、知识产权（如有）、保险（如需）等与采购项目相关的、必须的款项及费用（包括未列明而完成交验所必须的所有费用、材料、工具、设施）。成交价格在成交合同范围内固定不变</w:t>
      </w:r>
      <w:r>
        <w:rPr>
          <w:rStyle w:val="56"/>
          <w:rFonts w:hint="eastAsia" w:ascii="宋体" w:hAnsi="宋体" w:eastAsia="宋体" w:cs="宋体"/>
          <w:sz w:val="21"/>
          <w:szCs w:val="21"/>
          <w:highlight w:val="none"/>
        </w:rPr>
        <w:t>。</w:t>
      </w:r>
    </w:p>
    <w:p w14:paraId="0066CC63">
      <w:pPr>
        <w:snapToGrid w:val="0"/>
        <w:spacing w:line="360" w:lineRule="auto"/>
        <w:ind w:firstLine="420" w:firstLineChars="200"/>
        <w:jc w:val="left"/>
        <w:rPr>
          <w:rStyle w:val="56"/>
          <w:rFonts w:hint="eastAsia" w:ascii="宋体" w:hAnsi="宋体" w:eastAsia="宋体" w:cs="宋体"/>
          <w:sz w:val="21"/>
          <w:szCs w:val="21"/>
          <w:highlight w:val="none"/>
        </w:rPr>
      </w:pPr>
      <w:r>
        <w:rPr>
          <w:rStyle w:val="56"/>
          <w:rFonts w:hint="eastAsia" w:ascii="宋体" w:hAnsi="宋体" w:eastAsia="宋体" w:cs="宋体"/>
          <w:sz w:val="21"/>
          <w:szCs w:val="21"/>
          <w:highlight w:val="none"/>
        </w:rPr>
        <w:t>1.3.2本次竞争性磋商共二次报价（含响应文件中的“响应函附录”报价共二次价格磋商）。磋商小组未对磋商文件作优化变更增加的，磋商中的报价均不应超过前次报价，供应商擅自调高报价的，磋商小组将按二次报价中的最低报价作为有效报价。二次报价须分别填写总报价及分项报价。供应商拒绝接受上述意见的，磋商小组将视为变相在提交响应文件截止时间后撤回响应文件，并评定其为无效响应，提交同级财政局政府采购监督管理部门对其违规行为进行处理。</w:t>
      </w:r>
    </w:p>
    <w:p w14:paraId="05AD147D">
      <w:pPr>
        <w:snapToGrid w:val="0"/>
        <w:spacing w:line="360" w:lineRule="auto"/>
        <w:ind w:firstLine="420" w:firstLineChars="200"/>
        <w:jc w:val="left"/>
        <w:rPr>
          <w:rStyle w:val="56"/>
          <w:rFonts w:hint="eastAsia" w:ascii="宋体" w:hAnsi="宋体" w:eastAsia="宋体" w:cs="宋体"/>
          <w:sz w:val="21"/>
          <w:szCs w:val="21"/>
        </w:rPr>
      </w:pPr>
      <w:r>
        <w:rPr>
          <w:rStyle w:val="56"/>
          <w:rFonts w:hint="eastAsia" w:ascii="宋体" w:hAnsi="宋体" w:eastAsia="宋体" w:cs="宋体"/>
          <w:sz w:val="21"/>
          <w:szCs w:val="21"/>
        </w:rPr>
        <w:t>1.3.3供应商的投标报价未超过采购预算的不足三家时，该项目终止</w:t>
      </w:r>
      <w:r>
        <w:rPr>
          <w:rStyle w:val="56"/>
          <w:rFonts w:hint="eastAsia" w:ascii="宋体" w:hAnsi="宋体" w:eastAsia="宋体" w:cs="宋体"/>
          <w:b/>
          <w:sz w:val="21"/>
          <w:szCs w:val="21"/>
          <w:lang w:val="zh-CN"/>
        </w:rPr>
        <w:t>。</w:t>
      </w:r>
    </w:p>
    <w:p w14:paraId="25C59CA1">
      <w:pPr>
        <w:snapToGrid w:val="0"/>
        <w:spacing w:line="360" w:lineRule="auto"/>
        <w:ind w:firstLine="422" w:firstLineChars="200"/>
        <w:rPr>
          <w:rStyle w:val="56"/>
          <w:rFonts w:hint="eastAsia" w:ascii="宋体" w:hAnsi="宋体" w:eastAsia="宋体" w:cs="宋体"/>
          <w:b/>
          <w:sz w:val="21"/>
          <w:szCs w:val="21"/>
        </w:rPr>
      </w:pPr>
      <w:r>
        <w:rPr>
          <w:rStyle w:val="56"/>
          <w:rFonts w:hint="eastAsia" w:ascii="宋体" w:hAnsi="宋体" w:eastAsia="宋体" w:cs="宋体"/>
          <w:b/>
          <w:sz w:val="21"/>
          <w:szCs w:val="21"/>
        </w:rPr>
        <w:t>二、具体技术要求及项目内容（范围）</w:t>
      </w:r>
    </w:p>
    <w:p w14:paraId="74EB04F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服务范围：</w:t>
      </w:r>
    </w:p>
    <w:tbl>
      <w:tblPr>
        <w:tblStyle w:val="2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786"/>
        <w:gridCol w:w="4167"/>
        <w:gridCol w:w="1644"/>
      </w:tblGrid>
      <w:tr w14:paraId="3C3A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7AB8BB68">
            <w:pPr>
              <w:widowControl w:val="0"/>
              <w:tabs>
                <w:tab w:val="left" w:pos="39"/>
                <w:tab w:val="left" w:pos="96"/>
              </w:tabs>
              <w:snapToGrid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25431B2">
            <w:pPr>
              <w:widowControl w:val="0"/>
              <w:tabs>
                <w:tab w:val="left" w:pos="39"/>
                <w:tab w:val="left" w:pos="96"/>
              </w:tabs>
              <w:snapToGrid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内容</w:t>
            </w:r>
          </w:p>
        </w:tc>
        <w:tc>
          <w:tcPr>
            <w:tcW w:w="4167" w:type="dxa"/>
            <w:tcBorders>
              <w:top w:val="single" w:color="auto" w:sz="4" w:space="0"/>
              <w:left w:val="single" w:color="auto" w:sz="4" w:space="0"/>
              <w:bottom w:val="single" w:color="auto" w:sz="4" w:space="0"/>
              <w:right w:val="single" w:color="auto" w:sz="4" w:space="0"/>
            </w:tcBorders>
            <w:noWrap w:val="0"/>
            <w:vAlign w:val="center"/>
          </w:tcPr>
          <w:p w14:paraId="60E36B28">
            <w:pPr>
              <w:widowControl w:val="0"/>
              <w:tabs>
                <w:tab w:val="left" w:pos="39"/>
                <w:tab w:val="left" w:pos="96"/>
              </w:tabs>
              <w:snapToGrid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面积</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C313FA3">
            <w:pPr>
              <w:widowControl w:val="0"/>
              <w:tabs>
                <w:tab w:val="left" w:pos="39"/>
                <w:tab w:val="left" w:pos="96"/>
              </w:tabs>
              <w:snapToGrid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39C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2739BFC9">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7A04057">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水面</w:t>
            </w:r>
          </w:p>
        </w:tc>
        <w:tc>
          <w:tcPr>
            <w:tcW w:w="4167" w:type="dxa"/>
            <w:tcBorders>
              <w:top w:val="single" w:color="auto" w:sz="4" w:space="0"/>
              <w:left w:val="single" w:color="auto" w:sz="4" w:space="0"/>
              <w:bottom w:val="single" w:color="auto" w:sz="4" w:space="0"/>
              <w:right w:val="single" w:color="auto" w:sz="4" w:space="0"/>
            </w:tcBorders>
            <w:noWrap w:val="0"/>
            <w:vAlign w:val="center"/>
          </w:tcPr>
          <w:p w14:paraId="20F54B6D">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约 长950m×宽40m+长2790m×宽50m=177500m</w:t>
            </w:r>
            <w:r>
              <w:rPr>
                <w:rFonts w:hint="eastAsia" w:ascii="宋体" w:hAnsi="宋体" w:eastAsia="宋体" w:cs="宋体"/>
                <w:color w:val="auto"/>
                <w:kern w:val="2"/>
                <w:sz w:val="21"/>
                <w:szCs w:val="21"/>
                <w:highlight w:val="none"/>
                <w:vertAlign w:val="superscript"/>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8E1F4D6">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p>
        </w:tc>
      </w:tr>
      <w:tr w14:paraId="368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32A5FCB0">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E9DBFEF">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堤顶</w:t>
            </w:r>
          </w:p>
        </w:tc>
        <w:tc>
          <w:tcPr>
            <w:tcW w:w="4167" w:type="dxa"/>
            <w:tcBorders>
              <w:top w:val="single" w:color="auto" w:sz="4" w:space="0"/>
              <w:left w:val="single" w:color="auto" w:sz="4" w:space="0"/>
              <w:bottom w:val="single" w:color="auto" w:sz="4" w:space="0"/>
              <w:right w:val="single" w:color="auto" w:sz="4" w:space="0"/>
            </w:tcBorders>
            <w:noWrap w:val="0"/>
            <w:vAlign w:val="center"/>
          </w:tcPr>
          <w:p w14:paraId="4954859D">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约 长4740m×宽5m=23700m</w:t>
            </w:r>
            <w:r>
              <w:rPr>
                <w:rFonts w:hint="eastAsia" w:ascii="宋体" w:hAnsi="宋体" w:eastAsia="宋体" w:cs="宋体"/>
                <w:color w:val="auto"/>
                <w:kern w:val="2"/>
                <w:sz w:val="21"/>
                <w:szCs w:val="21"/>
                <w:highlight w:val="none"/>
                <w:vertAlign w:val="superscript"/>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B94E39C">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p>
        </w:tc>
      </w:tr>
      <w:tr w14:paraId="0B72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7D00D0BC">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C2CEBC6">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平台</w:t>
            </w:r>
          </w:p>
        </w:tc>
        <w:tc>
          <w:tcPr>
            <w:tcW w:w="4167" w:type="dxa"/>
            <w:tcBorders>
              <w:top w:val="single" w:color="auto" w:sz="4" w:space="0"/>
              <w:left w:val="single" w:color="auto" w:sz="4" w:space="0"/>
              <w:bottom w:val="single" w:color="auto" w:sz="4" w:space="0"/>
              <w:right w:val="single" w:color="auto" w:sz="4" w:space="0"/>
            </w:tcBorders>
            <w:noWrap w:val="0"/>
            <w:vAlign w:val="center"/>
          </w:tcPr>
          <w:p w14:paraId="2C207259">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约 长5640m×宽2.5m=14100m</w:t>
            </w:r>
            <w:r>
              <w:rPr>
                <w:rFonts w:hint="eastAsia" w:ascii="宋体" w:hAnsi="宋体" w:eastAsia="宋体" w:cs="宋体"/>
                <w:color w:val="auto"/>
                <w:kern w:val="2"/>
                <w:sz w:val="21"/>
                <w:szCs w:val="21"/>
                <w:highlight w:val="none"/>
                <w:vertAlign w:val="superscript"/>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6998136">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p>
        </w:tc>
      </w:tr>
      <w:tr w14:paraId="6D7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45FE5BE4">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79A6254">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浆砌石</w:t>
            </w:r>
          </w:p>
        </w:tc>
        <w:tc>
          <w:tcPr>
            <w:tcW w:w="4167" w:type="dxa"/>
            <w:tcBorders>
              <w:top w:val="single" w:color="auto" w:sz="4" w:space="0"/>
              <w:left w:val="single" w:color="auto" w:sz="4" w:space="0"/>
              <w:bottom w:val="single" w:color="auto" w:sz="4" w:space="0"/>
              <w:right w:val="single" w:color="auto" w:sz="4" w:space="0"/>
            </w:tcBorders>
            <w:noWrap w:val="0"/>
            <w:vAlign w:val="center"/>
          </w:tcPr>
          <w:p w14:paraId="6FBB3208">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约 长200m×宽5m=1000m</w:t>
            </w:r>
            <w:r>
              <w:rPr>
                <w:rFonts w:hint="eastAsia" w:ascii="宋体" w:hAnsi="宋体" w:eastAsia="宋体" w:cs="宋体"/>
                <w:color w:val="auto"/>
                <w:kern w:val="2"/>
                <w:sz w:val="21"/>
                <w:szCs w:val="21"/>
                <w:highlight w:val="none"/>
                <w:vertAlign w:val="superscript"/>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6AADC90">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彰德桥</w:t>
            </w:r>
          </w:p>
        </w:tc>
      </w:tr>
      <w:tr w14:paraId="22E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60" w:type="dxa"/>
            <w:gridSpan w:val="4"/>
            <w:tcBorders>
              <w:top w:val="single" w:color="auto" w:sz="4" w:space="0"/>
              <w:left w:val="single" w:color="auto" w:sz="4" w:space="0"/>
              <w:bottom w:val="single" w:color="auto" w:sz="4" w:space="0"/>
              <w:right w:val="single" w:color="auto" w:sz="4" w:space="0"/>
            </w:tcBorders>
            <w:noWrap w:val="0"/>
            <w:vAlign w:val="center"/>
          </w:tcPr>
          <w:p w14:paraId="2F249C9A">
            <w:pPr>
              <w:widowControl w:val="0"/>
              <w:tabs>
                <w:tab w:val="left" w:pos="39"/>
                <w:tab w:val="left" w:pos="96"/>
              </w:tabs>
              <w:snapToGrid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注：合计约216300m</w:t>
            </w:r>
            <w:r>
              <w:rPr>
                <w:rFonts w:hint="eastAsia" w:ascii="宋体" w:hAnsi="宋体" w:eastAsia="宋体" w:cs="宋体"/>
                <w:color w:val="auto"/>
                <w:kern w:val="2"/>
                <w:sz w:val="21"/>
                <w:szCs w:val="21"/>
                <w:highlight w:val="none"/>
                <w:vertAlign w:val="superscript"/>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有争议的地方以考核要求为准</w:t>
            </w:r>
          </w:p>
        </w:tc>
      </w:tr>
    </w:tbl>
    <w:p w14:paraId="4561721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服务内容：</w:t>
      </w:r>
    </w:p>
    <w:p w14:paraId="40BC39B5">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（1）浮萍、藻类、丝草、垃圾等漂浮物的清理打捞。</w:t>
      </w:r>
    </w:p>
    <w:p w14:paraId="5FB8DD07">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（2）杂草的清除和垃圾、杂物的清扫。</w:t>
      </w:r>
    </w:p>
    <w:p w14:paraId="21C0A30E">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（3）垃圾的清理上岸和及时转运。</w:t>
      </w:r>
    </w:p>
    <w:p w14:paraId="5E9AD834">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（4）堤顶路垃圾箱清理、休闲凳子擦拭</w:t>
      </w:r>
      <w:r>
        <w:rPr>
          <w:rFonts w:hint="eastAsia" w:ascii="宋体" w:hAnsi="宋体" w:eastAsia="宋体" w:cs="宋体"/>
          <w:color w:val="auto"/>
          <w:sz w:val="21"/>
          <w:szCs w:val="21"/>
          <w:highlight w:val="none"/>
          <w:lang w:eastAsia="zh-CN"/>
        </w:rPr>
        <w:t>。</w:t>
      </w:r>
    </w:p>
    <w:p w14:paraId="4BA83F8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服务要求：</w:t>
      </w:r>
    </w:p>
    <w:p w14:paraId="59AB8FD6">
      <w:pPr>
        <w:widowControl w:val="0"/>
        <w:tabs>
          <w:tab w:val="left" w:pos="39"/>
          <w:tab w:val="left" w:pos="96"/>
        </w:tabs>
        <w:snapToGrid w:val="0"/>
        <w:spacing w:line="360" w:lineRule="auto"/>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（（1）投标供应商须具有至少1艘有除草、打捞垃圾功能</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专业自动（全自动或半自动）打捞垃圾船及1艘小船；垃圾清运车辆至少1辆；专职保洁人员至少6人（船只专职驾驶员等另行配备</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）；其它作业舟船及保洁设备（工具）根据项目实际情况配备。</w:t>
      </w:r>
    </w:p>
    <w:p w14:paraId="1232331C">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稳定的河道保洁队伍，按一船二人定员定岗，男员工18-60周岁、女员工18-55周岁、遵纪守法、文明作业、身体健康、会游泳，每年对上岗员工进行一次体检，严禁拖欠员工工资，员工各项福利等需符合国家和行业相应要求。</w:t>
      </w:r>
    </w:p>
    <w:p w14:paraId="006E2BAD">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（3）上岗员工须经过业务技术培训且身着统一制服、佩戴统一证件。</w:t>
      </w:r>
    </w:p>
    <w:p w14:paraId="64564818">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（4）全日制对以上区域进行全方位环境整治服务，积极协助采购人做好安全防范工作和相关宣传工作；制定和建立保洁管理相关制度和台帐，建立每日自查制度，如实填写自查报表，按时向采购人汇报。</w:t>
      </w:r>
    </w:p>
    <w:p w14:paraId="71CC12EB">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（5）每日作业时间、河面废弃物控制指标按采购人的要求标准执行。</w:t>
      </w:r>
    </w:p>
    <w:p w14:paraId="1CF6106B">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（6）节假日照常上班并增加清洁人数，遇突击任务及重大活动及时按照采购人要求完成工作任务；接受社会监督，对人民群众提出的合理要求及时进行整改。</w:t>
      </w:r>
    </w:p>
    <w:p w14:paraId="095E87E1">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（7）打捞上岸的垃圾必须于当日转运到垃圾中转站处理，不得随意丢弃或堆放，做到日捞日清，保洁船内无积存垃圾，垃圾清运时间不得冲抵保洁时间。</w:t>
      </w:r>
    </w:p>
    <w:p w14:paraId="55F68EBB">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（8）垃圾清运须符合相关主管部门的要求。</w:t>
      </w:r>
    </w:p>
    <w:p w14:paraId="354FC23B">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（9）保洁船只设置统一标志、统一编号、船况良好、船容整洁、定点停放，必须配备通讯系统、救生圈，船员配备救生衣、严格按照规范操作、不得饮酒。</w:t>
      </w:r>
    </w:p>
    <w:p w14:paraId="2AC0E62E">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（10）成交供应商须按照相关规定为上岗员工购买工伤和人身意外伤害保险，并将上岗员工花名册和购买保险的情况向采购人备案。</w:t>
      </w:r>
    </w:p>
    <w:p w14:paraId="5862B20D">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（11）所有上岗员工和船只的安全均由成交供应商负责，并承担全部责任及风险。</w:t>
      </w:r>
    </w:p>
    <w:p w14:paraId="003BCB57">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（12）成交供应商必须指定专人、专门的办公电话或移动手机供采购人及监管部门检查和随时联系。</w:t>
      </w:r>
    </w:p>
    <w:p w14:paraId="115DFA68">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（13）成交供应商管理不善，造成保洁范围内设施（设备）、景观等损坏的，由成交供应商进行赔偿并承担责任。</w:t>
      </w:r>
    </w:p>
    <w:p w14:paraId="29392870">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（14）遵守采购人制定的《</w:t>
      </w:r>
      <w:r>
        <w:rPr>
          <w:rFonts w:hint="eastAsia" w:ascii="宋体" w:hAnsi="宋体" w:eastAsia="宋体" w:cs="宋体"/>
          <w:color w:val="auto"/>
          <w:sz w:val="21"/>
          <w:szCs w:val="21"/>
          <w:highlight w:val="none"/>
          <w:lang w:eastAsia="zh-CN"/>
        </w:rPr>
        <w:t>安阳高新技术产业开发区智慧城市运营中心</w:t>
      </w:r>
      <w:r>
        <w:rPr>
          <w:rFonts w:hint="eastAsia" w:ascii="宋体" w:hAnsi="宋体" w:eastAsia="宋体" w:cs="宋体"/>
          <w:color w:val="auto"/>
          <w:sz w:val="21"/>
          <w:szCs w:val="21"/>
          <w:highlight w:val="none"/>
          <w:lang w:val="en-US" w:eastAsia="zh-CN"/>
        </w:rPr>
        <w:t>洪河</w:t>
      </w:r>
      <w:r>
        <w:rPr>
          <w:rFonts w:hint="eastAsia" w:ascii="宋体" w:hAnsi="宋体" w:eastAsia="宋体" w:cs="宋体"/>
          <w:color w:val="auto"/>
          <w:sz w:val="21"/>
          <w:szCs w:val="21"/>
          <w:highlight w:val="none"/>
        </w:rPr>
        <w:t>保洁管理考核办法》的有关标准和规定。</w:t>
      </w:r>
    </w:p>
    <w:p w14:paraId="22916EBA">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服务期：</w:t>
      </w:r>
    </w:p>
    <w:p w14:paraId="7B906739">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合同签订日起12个月，具体进场日期由采购人通知。</w:t>
      </w:r>
    </w:p>
    <w:p w14:paraId="3576A22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其他要求：</w:t>
      </w:r>
    </w:p>
    <w:p w14:paraId="619585CC">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成交供应商必须于领取中标&lt;成交&gt;通知书后</w:t>
      </w:r>
      <w:r>
        <w:rPr>
          <w:rFonts w:hint="eastAsia" w:ascii="宋体" w:hAnsi="宋体" w:eastAsia="宋体" w:cs="宋体"/>
          <w:color w:val="auto"/>
          <w:sz w:val="21"/>
          <w:szCs w:val="21"/>
          <w:highlight w:val="none"/>
          <w:lang w:eastAsia="zh-CN"/>
        </w:rPr>
        <w:t>正式</w:t>
      </w:r>
      <w:r>
        <w:rPr>
          <w:rFonts w:hint="eastAsia" w:ascii="宋体" w:hAnsi="宋体" w:eastAsia="宋体" w:cs="宋体"/>
          <w:color w:val="auto"/>
          <w:sz w:val="21"/>
          <w:szCs w:val="21"/>
          <w:highlight w:val="none"/>
        </w:rPr>
        <w:t>合同签订前30日内，将所提供的专业自动打捞垃圾船停放在采购人指定地点（</w:t>
      </w:r>
      <w:r>
        <w:rPr>
          <w:rFonts w:hint="eastAsia" w:ascii="宋体" w:hAnsi="宋体" w:eastAsia="宋体" w:cs="宋体"/>
          <w:color w:val="auto"/>
          <w:sz w:val="21"/>
          <w:szCs w:val="21"/>
          <w:highlight w:val="none"/>
          <w:lang w:eastAsia="zh-CN"/>
        </w:rPr>
        <w:t>黄河</w:t>
      </w:r>
      <w:r>
        <w:rPr>
          <w:rFonts w:hint="eastAsia" w:ascii="宋体" w:hAnsi="宋体" w:eastAsia="宋体" w:cs="宋体"/>
          <w:color w:val="auto"/>
          <w:sz w:val="21"/>
          <w:szCs w:val="21"/>
          <w:highlight w:val="none"/>
        </w:rPr>
        <w:t>桥下）供专家验船，达到正常使用条件后签订合同；成交供应商未达到上述要求的，则视为自动放弃其成交资格。</w:t>
      </w:r>
      <w:r>
        <w:rPr>
          <w:rFonts w:hint="eastAsia" w:ascii="宋体" w:hAnsi="宋体" w:eastAsia="宋体" w:cs="宋体"/>
          <w:b/>
          <w:bCs/>
          <w:color w:val="auto"/>
          <w:sz w:val="21"/>
          <w:szCs w:val="21"/>
          <w:highlight w:val="none"/>
        </w:rPr>
        <w:t>响应文件中应附承诺函</w:t>
      </w:r>
      <w:r>
        <w:rPr>
          <w:rFonts w:hint="eastAsia" w:ascii="宋体" w:hAnsi="宋体" w:eastAsia="宋体" w:cs="宋体"/>
          <w:color w:val="auto"/>
          <w:sz w:val="21"/>
          <w:szCs w:val="21"/>
          <w:highlight w:val="none"/>
        </w:rPr>
        <w:t>。</w:t>
      </w:r>
    </w:p>
    <w:p w14:paraId="5342F398">
      <w:pPr>
        <w:widowControl w:val="0"/>
        <w:tabs>
          <w:tab w:val="left" w:pos="39"/>
          <w:tab w:val="left" w:pos="96"/>
        </w:tabs>
        <w:snapToGrid w:val="0"/>
        <w:spacing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投标供应商所提供的船只及人员应符合国家及行业相关规范的要求，船员应持证上岗。</w:t>
      </w:r>
      <w:r>
        <w:rPr>
          <w:rFonts w:hint="eastAsia" w:ascii="宋体" w:hAnsi="宋体" w:eastAsia="宋体" w:cs="宋体"/>
          <w:b/>
          <w:bCs/>
          <w:color w:val="auto"/>
          <w:sz w:val="21"/>
          <w:szCs w:val="21"/>
          <w:highlight w:val="none"/>
        </w:rPr>
        <w:t>响应文件中应附承诺函</w:t>
      </w:r>
      <w:r>
        <w:rPr>
          <w:rFonts w:hint="eastAsia" w:ascii="宋体" w:hAnsi="宋体" w:eastAsia="宋体" w:cs="宋体"/>
          <w:color w:val="auto"/>
          <w:sz w:val="21"/>
          <w:szCs w:val="21"/>
          <w:highlight w:val="none"/>
        </w:rPr>
        <w:t>。</w:t>
      </w:r>
    </w:p>
    <w:p w14:paraId="4BBF46E9">
      <w:pPr>
        <w:keepNext w:val="0"/>
        <w:keepLines w:val="0"/>
        <w:pageBreakBefore w:val="0"/>
        <w:widowControl w:val="0"/>
        <w:tabs>
          <w:tab w:val="left" w:pos="39"/>
          <w:tab w:val="left" w:pos="96"/>
        </w:tabs>
        <w:kinsoku/>
        <w:wordWrap/>
        <w:overflowPunct/>
        <w:topLinePunct w:val="0"/>
        <w:autoSpaceDE/>
        <w:autoSpaceDN/>
        <w:bidi w:val="0"/>
        <w:snapToGrid w:val="0"/>
        <w:spacing w:line="360" w:lineRule="auto"/>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指定一名</w:t>
      </w:r>
      <w:r>
        <w:rPr>
          <w:rFonts w:hint="eastAsia" w:ascii="宋体" w:hAnsi="宋体" w:eastAsia="宋体" w:cs="宋体"/>
          <w:color w:val="auto"/>
          <w:sz w:val="21"/>
          <w:szCs w:val="21"/>
          <w:highlight w:val="none"/>
          <w:lang w:eastAsia="zh-CN"/>
        </w:rPr>
        <w:t>本单位人员作为</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，项目负责人全权负责</w:t>
      </w:r>
      <w:r>
        <w:rPr>
          <w:rFonts w:hint="eastAsia" w:ascii="宋体" w:hAnsi="宋体" w:eastAsia="宋体" w:cs="宋体"/>
          <w:color w:val="auto"/>
          <w:sz w:val="21"/>
          <w:szCs w:val="21"/>
          <w:highlight w:val="none"/>
        </w:rPr>
        <w:t>合同签订及</w:t>
      </w:r>
      <w:r>
        <w:rPr>
          <w:rFonts w:hint="eastAsia" w:ascii="宋体" w:hAnsi="宋体" w:eastAsia="宋体" w:cs="宋体"/>
          <w:color w:val="auto"/>
          <w:sz w:val="21"/>
          <w:szCs w:val="21"/>
          <w:highlight w:val="none"/>
          <w:lang w:eastAsia="zh-CN"/>
        </w:rPr>
        <w:t>项目履约事宜</w:t>
      </w:r>
      <w:r>
        <w:rPr>
          <w:rFonts w:hint="eastAsia" w:ascii="宋体" w:hAnsi="宋体" w:eastAsia="宋体" w:cs="宋体"/>
          <w:color w:val="auto"/>
          <w:sz w:val="21"/>
          <w:szCs w:val="21"/>
          <w:highlight w:val="none"/>
        </w:rPr>
        <w:t>，采购人不接受其他联系</w:t>
      </w:r>
      <w:r>
        <w:rPr>
          <w:rFonts w:hint="eastAsia" w:ascii="宋体" w:hAnsi="宋体" w:eastAsia="宋体" w:cs="宋体"/>
          <w:color w:val="auto"/>
          <w:sz w:val="21"/>
          <w:szCs w:val="21"/>
          <w:highlight w:val="none"/>
          <w:lang w:eastAsia="zh-CN"/>
        </w:rPr>
        <w:t>人，且</w:t>
      </w:r>
      <w:r>
        <w:rPr>
          <w:rFonts w:hint="eastAsia" w:ascii="宋体" w:hAnsi="宋体" w:eastAsia="宋体" w:cs="宋体"/>
          <w:color w:val="auto"/>
          <w:sz w:val="21"/>
          <w:szCs w:val="21"/>
          <w:highlight w:val="none"/>
        </w:rPr>
        <w:t>未经采购人同意，</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不得更换</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响应文件中应附：</w:t>
      </w:r>
      <w:r>
        <w:rPr>
          <w:rFonts w:hint="eastAsia" w:ascii="宋体" w:hAnsi="宋体" w:eastAsia="宋体" w:cs="宋体"/>
          <w:b/>
          <w:bCs/>
          <w:color w:val="auto"/>
          <w:sz w:val="21"/>
          <w:szCs w:val="21"/>
          <w:highlight w:val="none"/>
        </w:rPr>
        <w:t>授权</w:t>
      </w:r>
      <w:r>
        <w:rPr>
          <w:rFonts w:hint="eastAsia" w:ascii="宋体" w:hAnsi="宋体" w:eastAsia="宋体" w:cs="宋体"/>
          <w:b/>
          <w:bCs/>
          <w:color w:val="auto"/>
          <w:sz w:val="21"/>
          <w:szCs w:val="21"/>
          <w:highlight w:val="none"/>
          <w:lang w:eastAsia="zh-CN"/>
        </w:rPr>
        <w:t>委托</w:t>
      </w:r>
      <w:r>
        <w:rPr>
          <w:rFonts w:hint="eastAsia" w:ascii="宋体" w:hAnsi="宋体" w:eastAsia="宋体" w:cs="宋体"/>
          <w:b/>
          <w:bCs/>
          <w:color w:val="auto"/>
          <w:sz w:val="21"/>
          <w:szCs w:val="21"/>
          <w:highlight w:val="none"/>
        </w:rPr>
        <w:t>书</w:t>
      </w:r>
      <w:r>
        <w:rPr>
          <w:rFonts w:hint="eastAsia" w:ascii="宋体" w:hAnsi="宋体" w:eastAsia="宋体" w:cs="宋体"/>
          <w:b/>
          <w:bCs/>
          <w:color w:val="auto"/>
          <w:sz w:val="21"/>
          <w:szCs w:val="21"/>
          <w:highlight w:val="none"/>
          <w:lang w:eastAsia="zh-CN"/>
        </w:rPr>
        <w:t>（含身份证扫描件）、劳动合同扫描件、</w:t>
      </w:r>
      <w:r>
        <w:rPr>
          <w:rFonts w:hint="eastAsia" w:ascii="宋体" w:hAnsi="宋体" w:eastAsia="宋体" w:cs="宋体"/>
          <w:b/>
          <w:bCs/>
          <w:color w:val="auto"/>
          <w:sz w:val="21"/>
          <w:szCs w:val="21"/>
          <w:highlight w:val="none"/>
        </w:rPr>
        <w:t>联系方式</w:t>
      </w:r>
      <w:r>
        <w:rPr>
          <w:rFonts w:hint="eastAsia" w:ascii="宋体" w:hAnsi="宋体" w:eastAsia="宋体" w:cs="宋体"/>
          <w:color w:val="auto"/>
          <w:sz w:val="21"/>
          <w:szCs w:val="21"/>
          <w:highlight w:val="none"/>
        </w:rPr>
        <w:t>。</w:t>
      </w:r>
    </w:p>
    <w:p w14:paraId="7C2E0CD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绩效考核：</w:t>
      </w:r>
    </w:p>
    <w:p w14:paraId="307F4A04">
      <w:pPr>
        <w:keepNext w:val="0"/>
        <w:keepLines w:val="0"/>
        <w:pageBreakBefore w:val="0"/>
        <w:widowControl w:val="0"/>
        <w:kinsoku/>
        <w:wordWrap/>
        <w:overflowPunct/>
        <w:topLinePunct w:val="0"/>
        <w:autoSpaceDE/>
        <w:autoSpaceDN/>
        <w:bidi w:val="0"/>
        <w:snapToGrid w:val="0"/>
        <w:spacing w:line="360" w:lineRule="auto"/>
        <w:ind w:firstLine="315" w:firstLineChars="150"/>
        <w:textAlignment w:val="auto"/>
        <w:rPr>
          <w:rStyle w:val="56"/>
          <w:rFonts w:hint="eastAsia" w:ascii="宋体" w:hAnsi="宋体" w:eastAsia="宋体" w:cs="宋体"/>
          <w:b/>
          <w:sz w:val="21"/>
          <w:szCs w:val="21"/>
        </w:rPr>
      </w:pPr>
      <w:r>
        <w:rPr>
          <w:rFonts w:hint="eastAsia" w:ascii="宋体" w:hAnsi="宋体" w:eastAsia="宋体" w:cs="宋体"/>
          <w:color w:val="auto"/>
          <w:sz w:val="21"/>
          <w:szCs w:val="21"/>
          <w:highlight w:val="none"/>
        </w:rPr>
        <w:t>采购人将对成交供应商每日的作业情况及日常管理工作进行全面的技术指导、监督和检查，检查依据采购人制定的《</w:t>
      </w:r>
      <w:r>
        <w:rPr>
          <w:rFonts w:hint="eastAsia" w:ascii="宋体" w:hAnsi="宋体" w:eastAsia="宋体" w:cs="宋体"/>
          <w:color w:val="auto"/>
          <w:sz w:val="21"/>
          <w:szCs w:val="21"/>
          <w:highlight w:val="none"/>
          <w:lang w:eastAsia="zh-CN"/>
        </w:rPr>
        <w:t>安阳高新技术产业开发区智慧城市运营中心洪河保洁管理考核办法</w:t>
      </w:r>
      <w:r>
        <w:rPr>
          <w:rFonts w:hint="eastAsia" w:ascii="宋体" w:hAnsi="宋体" w:eastAsia="宋体" w:cs="宋体"/>
          <w:color w:val="auto"/>
          <w:sz w:val="21"/>
          <w:szCs w:val="21"/>
          <w:highlight w:val="none"/>
        </w:rPr>
        <w:t>》，在对成交供应商的服务质量进行考核时发现问题的，必须及时整改。</w:t>
      </w:r>
    </w:p>
    <w:p w14:paraId="362FB315">
      <w:pPr>
        <w:keepNext w:val="0"/>
        <w:keepLines w:val="0"/>
        <w:pageBreakBefore w:val="0"/>
        <w:widowControl w:val="0"/>
        <w:kinsoku/>
        <w:wordWrap/>
        <w:overflowPunct/>
        <w:topLinePunct w:val="0"/>
        <w:autoSpaceDE/>
        <w:autoSpaceDN/>
        <w:bidi w:val="0"/>
        <w:snapToGrid w:val="0"/>
        <w:spacing w:line="360" w:lineRule="auto"/>
        <w:ind w:firstLine="316" w:firstLineChars="150"/>
        <w:textAlignment w:val="auto"/>
        <w:rPr>
          <w:rStyle w:val="56"/>
          <w:rFonts w:hint="eastAsia" w:ascii="宋体" w:hAnsi="宋体" w:eastAsia="宋体" w:cs="宋体"/>
          <w:b/>
          <w:sz w:val="21"/>
          <w:szCs w:val="21"/>
        </w:rPr>
      </w:pPr>
      <w:r>
        <w:rPr>
          <w:rStyle w:val="56"/>
          <w:rFonts w:hint="eastAsia" w:ascii="宋体" w:hAnsi="宋体" w:eastAsia="宋体" w:cs="宋体"/>
          <w:b/>
          <w:sz w:val="21"/>
          <w:szCs w:val="21"/>
        </w:rPr>
        <w:t>三、安全</w:t>
      </w:r>
    </w:p>
    <w:p w14:paraId="21DD0F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56"/>
          <w:rFonts w:hint="eastAsia" w:ascii="宋体" w:hAnsi="宋体" w:eastAsia="宋体" w:cs="宋体"/>
          <w:sz w:val="21"/>
          <w:szCs w:val="21"/>
        </w:rPr>
      </w:pPr>
      <w:r>
        <w:rPr>
          <w:rFonts w:hint="eastAsia" w:ascii="宋体" w:hAnsi="宋体" w:eastAsia="宋体" w:cs="宋体"/>
          <w:color w:val="auto"/>
          <w:sz w:val="21"/>
          <w:szCs w:val="21"/>
          <w:highlight w:val="none"/>
        </w:rPr>
        <w:t>响应服务（及所涉货物材料设施）应符合国家、行业的各项安全标准，供应商对响应服务（及所涉货物材料设施）的安全性承担全部责任。服务期内不符合保障人身、财产安全的国家标准、行业标准的服务（及所涉货物材料设施），将依法承担民事及相应刑事责任。合同履行中的安全责任由成交供应商承担全部责任</w:t>
      </w:r>
      <w:r>
        <w:rPr>
          <w:rStyle w:val="56"/>
          <w:rFonts w:hint="eastAsia" w:ascii="宋体" w:hAnsi="宋体" w:eastAsia="宋体" w:cs="宋体"/>
          <w:sz w:val="21"/>
          <w:szCs w:val="21"/>
        </w:rPr>
        <w:t>。</w:t>
      </w:r>
    </w:p>
    <w:p w14:paraId="2A0781C0">
      <w:pPr>
        <w:keepNext w:val="0"/>
        <w:keepLines w:val="0"/>
        <w:pageBreakBefore w:val="0"/>
        <w:widowControl w:val="0"/>
        <w:kinsoku/>
        <w:wordWrap/>
        <w:overflowPunct/>
        <w:topLinePunct w:val="0"/>
        <w:autoSpaceDE/>
        <w:autoSpaceDN/>
        <w:bidi w:val="0"/>
        <w:snapToGrid w:val="0"/>
        <w:spacing w:line="360" w:lineRule="auto"/>
        <w:ind w:firstLine="316" w:firstLineChars="150"/>
        <w:textAlignment w:val="auto"/>
        <w:rPr>
          <w:rStyle w:val="56"/>
          <w:rFonts w:hint="eastAsia" w:ascii="宋体" w:hAnsi="宋体" w:eastAsia="宋体" w:cs="宋体"/>
          <w:b/>
          <w:sz w:val="21"/>
          <w:szCs w:val="21"/>
        </w:rPr>
      </w:pPr>
      <w:r>
        <w:rPr>
          <w:rStyle w:val="56"/>
          <w:rFonts w:hint="eastAsia" w:ascii="宋体" w:hAnsi="宋体" w:eastAsia="宋体" w:cs="宋体"/>
          <w:b/>
          <w:sz w:val="21"/>
          <w:szCs w:val="21"/>
        </w:rPr>
        <w:t>四、响应文件对“具体服务要求及项目内容（范围）”的响应</w:t>
      </w:r>
    </w:p>
    <w:p w14:paraId="47DAAD8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Style w:val="56"/>
          <w:rFonts w:hint="eastAsia" w:ascii="宋体" w:hAnsi="宋体" w:eastAsia="宋体" w:cs="宋体"/>
          <w:sz w:val="21"/>
          <w:szCs w:val="21"/>
        </w:rPr>
      </w:pPr>
      <w:r>
        <w:rPr>
          <w:rStyle w:val="56"/>
          <w:rFonts w:hint="eastAsia" w:ascii="宋体" w:hAnsi="宋体" w:eastAsia="宋体" w:cs="宋体"/>
          <w:sz w:val="21"/>
          <w:szCs w:val="21"/>
        </w:rPr>
        <w:t>“具体服务要求及项目内容（范围）”为采购需求的基础性要求，</w:t>
      </w:r>
      <w:r>
        <w:rPr>
          <w:rFonts w:hint="eastAsia" w:ascii="宋体" w:hAnsi="宋体" w:eastAsia="宋体" w:cs="宋体"/>
          <w:color w:val="auto"/>
          <w:sz w:val="21"/>
          <w:szCs w:val="21"/>
          <w:highlight w:val="none"/>
        </w:rPr>
        <w:t>服务内容应当明确，服务所涉产品及技术参数应当明确并最终指向具体明确的产品。</w:t>
      </w:r>
    </w:p>
    <w:p w14:paraId="2F2466CD">
      <w:pPr>
        <w:keepNext w:val="0"/>
        <w:keepLines w:val="0"/>
        <w:pageBreakBefore w:val="0"/>
        <w:widowControl w:val="0"/>
        <w:kinsoku/>
        <w:wordWrap/>
        <w:overflowPunct/>
        <w:topLinePunct w:val="0"/>
        <w:autoSpaceDE/>
        <w:autoSpaceDN/>
        <w:bidi w:val="0"/>
        <w:snapToGrid w:val="0"/>
        <w:spacing w:line="360" w:lineRule="auto"/>
        <w:ind w:firstLine="316" w:firstLineChars="150"/>
        <w:textAlignment w:val="auto"/>
        <w:rPr>
          <w:rStyle w:val="56"/>
          <w:rFonts w:hint="eastAsia" w:ascii="宋体" w:hAnsi="宋体" w:eastAsia="宋体" w:cs="宋体"/>
          <w:b/>
          <w:sz w:val="21"/>
          <w:szCs w:val="21"/>
        </w:rPr>
      </w:pPr>
      <w:r>
        <w:rPr>
          <w:rStyle w:val="56"/>
          <w:rFonts w:hint="eastAsia" w:ascii="宋体" w:hAnsi="宋体" w:eastAsia="宋体" w:cs="宋体"/>
          <w:b/>
          <w:sz w:val="21"/>
          <w:szCs w:val="21"/>
        </w:rPr>
        <w:t>五、技术偏离</w:t>
      </w:r>
    </w:p>
    <w:p w14:paraId="37F3ADE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Style w:val="56"/>
          <w:rFonts w:hint="eastAsia" w:ascii="宋体" w:hAnsi="宋体" w:eastAsia="宋体" w:cs="宋体"/>
          <w:sz w:val="21"/>
          <w:szCs w:val="21"/>
        </w:rPr>
      </w:pPr>
      <w:r>
        <w:rPr>
          <w:rStyle w:val="56"/>
          <w:rFonts w:hint="eastAsia" w:ascii="宋体" w:hAnsi="宋体" w:eastAsia="宋体" w:cs="宋体"/>
          <w:sz w:val="21"/>
          <w:szCs w:val="21"/>
        </w:rPr>
        <w:t xml:space="preserve"> </w:t>
      </w:r>
      <w:r>
        <w:rPr>
          <w:rFonts w:hint="eastAsia" w:ascii="宋体" w:hAnsi="宋体" w:eastAsia="宋体" w:cs="宋体"/>
          <w:b/>
          <w:bCs/>
          <w:color w:val="auto"/>
          <w:sz w:val="21"/>
          <w:szCs w:val="21"/>
          <w:highlight w:val="none"/>
        </w:rPr>
        <w:t>不接受负偏差，低于“具体服务要求”的、为无效投标</w:t>
      </w:r>
      <w:r>
        <w:rPr>
          <w:rStyle w:val="56"/>
          <w:rFonts w:hint="eastAsia" w:ascii="宋体" w:hAnsi="宋体" w:eastAsia="宋体" w:cs="宋体"/>
          <w:sz w:val="21"/>
          <w:szCs w:val="21"/>
        </w:rPr>
        <w:t>。</w:t>
      </w:r>
    </w:p>
    <w:p w14:paraId="12F13F31">
      <w:pPr>
        <w:snapToGrid w:val="0"/>
        <w:spacing w:line="360" w:lineRule="auto"/>
        <w:ind w:firstLine="316" w:firstLineChars="150"/>
        <w:rPr>
          <w:rStyle w:val="56"/>
          <w:rFonts w:hint="eastAsia" w:ascii="宋体" w:hAnsi="宋体" w:eastAsia="宋体" w:cs="宋体"/>
          <w:sz w:val="21"/>
          <w:szCs w:val="21"/>
        </w:rPr>
      </w:pPr>
      <w:r>
        <w:rPr>
          <w:rStyle w:val="56"/>
          <w:rFonts w:hint="eastAsia" w:ascii="宋体" w:hAnsi="宋体" w:eastAsia="宋体" w:cs="宋体"/>
          <w:b/>
          <w:sz w:val="21"/>
          <w:szCs w:val="21"/>
          <w:lang w:val="en-US"/>
        </w:rPr>
        <w:t>六、</w:t>
      </w:r>
      <w:r>
        <w:rPr>
          <w:rStyle w:val="56"/>
          <w:rFonts w:hint="eastAsia" w:ascii="宋体" w:hAnsi="宋体" w:eastAsia="宋体" w:cs="宋体"/>
          <w:b/>
          <w:sz w:val="21"/>
          <w:szCs w:val="21"/>
        </w:rPr>
        <w:t>保险（如需）</w:t>
      </w:r>
    </w:p>
    <w:p w14:paraId="43C9D732">
      <w:pPr>
        <w:snapToGrid w:val="0"/>
        <w:spacing w:line="360" w:lineRule="auto"/>
        <w:ind w:firstLine="315" w:firstLineChars="150"/>
        <w:rPr>
          <w:rStyle w:val="56"/>
          <w:rFonts w:hint="eastAsia" w:ascii="宋体" w:hAnsi="宋体" w:eastAsia="宋体" w:cs="宋体"/>
          <w:sz w:val="21"/>
          <w:szCs w:val="21"/>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应遵循国家相关保险的规定，依照法规规定，根据项目属性需要，办理货物设施等的财产保险、危险作业人员的工伤和意外伤害保险、设计和工程保险、第三方责任险，相关保险费用及相应责任由成交人承担</w:t>
      </w:r>
      <w:r>
        <w:rPr>
          <w:rStyle w:val="56"/>
          <w:rFonts w:hint="eastAsia" w:ascii="宋体" w:hAnsi="宋体" w:eastAsia="宋体" w:cs="宋体"/>
          <w:sz w:val="21"/>
          <w:szCs w:val="21"/>
        </w:rPr>
        <w:t>。</w:t>
      </w:r>
    </w:p>
    <w:p w14:paraId="6A738C7B">
      <w:pPr>
        <w:snapToGrid w:val="0"/>
        <w:spacing w:line="360" w:lineRule="auto"/>
        <w:ind w:firstLine="316" w:firstLineChars="150"/>
        <w:rPr>
          <w:rStyle w:val="56"/>
          <w:rFonts w:hint="eastAsia" w:ascii="宋体" w:hAnsi="宋体" w:eastAsia="宋体" w:cs="宋体"/>
          <w:b/>
          <w:sz w:val="21"/>
          <w:szCs w:val="21"/>
        </w:rPr>
      </w:pPr>
      <w:r>
        <w:rPr>
          <w:rStyle w:val="56"/>
          <w:rFonts w:hint="eastAsia" w:ascii="宋体" w:hAnsi="宋体" w:eastAsia="宋体" w:cs="宋体"/>
          <w:b/>
          <w:sz w:val="21"/>
          <w:szCs w:val="21"/>
          <w:lang w:val="en-US"/>
        </w:rPr>
        <w:t>七、</w:t>
      </w:r>
      <w:r>
        <w:rPr>
          <w:rStyle w:val="56"/>
          <w:rFonts w:hint="eastAsia" w:ascii="宋体" w:hAnsi="宋体" w:eastAsia="宋体" w:cs="宋体"/>
          <w:b/>
          <w:sz w:val="21"/>
          <w:szCs w:val="21"/>
        </w:rPr>
        <w:t>采购标的的验收标准</w:t>
      </w:r>
    </w:p>
    <w:p w14:paraId="399D968F">
      <w:pPr>
        <w:snapToGrid w:val="0"/>
        <w:spacing w:line="360" w:lineRule="auto"/>
        <w:ind w:firstLine="315" w:firstLineChars="150"/>
        <w:rPr>
          <w:rStyle w:val="56"/>
          <w:rFonts w:hint="eastAsia" w:ascii="宋体" w:hAnsi="宋体" w:eastAsia="宋体" w:cs="宋体"/>
          <w:sz w:val="21"/>
          <w:szCs w:val="21"/>
        </w:rPr>
      </w:pPr>
      <w:r>
        <w:rPr>
          <w:rStyle w:val="56"/>
          <w:rFonts w:hint="eastAsia" w:ascii="宋体" w:hAnsi="宋体" w:eastAsia="宋体" w:cs="宋体"/>
          <w:sz w:val="21"/>
          <w:szCs w:val="21"/>
        </w:rPr>
        <w:t>见“第</w:t>
      </w:r>
      <w:r>
        <w:rPr>
          <w:rStyle w:val="56"/>
          <w:rFonts w:hint="eastAsia" w:ascii="宋体" w:hAnsi="宋体" w:eastAsia="宋体" w:cs="宋体"/>
          <w:sz w:val="21"/>
          <w:szCs w:val="21"/>
          <w:lang w:val="en-US"/>
        </w:rPr>
        <w:t>二</w:t>
      </w:r>
      <w:r>
        <w:rPr>
          <w:rStyle w:val="56"/>
          <w:rFonts w:hint="eastAsia" w:ascii="宋体" w:hAnsi="宋体" w:eastAsia="宋体" w:cs="宋体"/>
          <w:sz w:val="21"/>
          <w:szCs w:val="21"/>
        </w:rPr>
        <w:t>章 投标须知” 第</w:t>
      </w:r>
      <w:r>
        <w:rPr>
          <w:rStyle w:val="56"/>
          <w:rFonts w:hint="eastAsia" w:ascii="宋体" w:hAnsi="宋体" w:eastAsia="宋体" w:cs="宋体"/>
          <w:sz w:val="21"/>
          <w:szCs w:val="21"/>
          <w:lang w:val="en-US"/>
        </w:rPr>
        <w:t>33</w:t>
      </w:r>
      <w:r>
        <w:rPr>
          <w:rStyle w:val="56"/>
          <w:rFonts w:hint="eastAsia" w:ascii="宋体" w:hAnsi="宋体" w:eastAsia="宋体" w:cs="宋体"/>
          <w:sz w:val="21"/>
          <w:szCs w:val="21"/>
        </w:rPr>
        <w:t>条“验收”条款。</w:t>
      </w:r>
    </w:p>
    <w:p w14:paraId="43B77D58">
      <w:pPr>
        <w:snapToGrid w:val="0"/>
        <w:spacing w:line="360" w:lineRule="auto"/>
        <w:ind w:firstLine="316" w:firstLineChars="150"/>
        <w:rPr>
          <w:rStyle w:val="56"/>
          <w:rFonts w:hint="eastAsia" w:ascii="宋体" w:hAnsi="宋体" w:eastAsia="宋体" w:cs="宋体"/>
          <w:b/>
          <w:sz w:val="21"/>
          <w:szCs w:val="21"/>
        </w:rPr>
      </w:pPr>
      <w:r>
        <w:rPr>
          <w:rStyle w:val="56"/>
          <w:rFonts w:hint="eastAsia" w:ascii="宋体" w:hAnsi="宋体" w:eastAsia="宋体" w:cs="宋体"/>
          <w:b/>
          <w:sz w:val="21"/>
          <w:szCs w:val="21"/>
          <w:lang w:val="en-US"/>
        </w:rPr>
        <w:t>八、</w:t>
      </w:r>
      <w:r>
        <w:rPr>
          <w:rStyle w:val="56"/>
          <w:rFonts w:hint="eastAsia" w:ascii="宋体" w:hAnsi="宋体" w:eastAsia="宋体" w:cs="宋体"/>
          <w:b/>
          <w:sz w:val="21"/>
          <w:szCs w:val="21"/>
        </w:rPr>
        <w:t>采购标的的其他技术、服务等要求</w:t>
      </w:r>
    </w:p>
    <w:p w14:paraId="1CBF784F">
      <w:pPr>
        <w:snapToGrid w:val="0"/>
        <w:spacing w:line="360" w:lineRule="auto"/>
        <w:ind w:firstLine="315" w:firstLineChars="150"/>
        <w:rPr>
          <w:rStyle w:val="56"/>
          <w:rFonts w:hint="eastAsia" w:ascii="宋体" w:hAnsi="宋体" w:eastAsia="宋体" w:cs="宋体"/>
          <w:sz w:val="21"/>
          <w:szCs w:val="21"/>
        </w:rPr>
      </w:pPr>
      <w:r>
        <w:rPr>
          <w:rStyle w:val="56"/>
          <w:rFonts w:hint="eastAsia" w:ascii="宋体" w:hAnsi="宋体" w:eastAsia="宋体" w:cs="宋体"/>
          <w:sz w:val="21"/>
          <w:szCs w:val="21"/>
        </w:rPr>
        <w:t>无</w:t>
      </w:r>
    </w:p>
    <w:p w14:paraId="48391498">
      <w:pPr>
        <w:snapToGrid w:val="0"/>
        <w:spacing w:line="360" w:lineRule="auto"/>
        <w:ind w:firstLine="316" w:firstLineChars="150"/>
        <w:rPr>
          <w:rStyle w:val="56"/>
          <w:rFonts w:hint="eastAsia" w:ascii="宋体" w:hAnsi="宋体" w:eastAsia="宋体" w:cs="宋体"/>
          <w:b/>
          <w:sz w:val="21"/>
          <w:szCs w:val="21"/>
        </w:rPr>
      </w:pPr>
      <w:r>
        <w:rPr>
          <w:rStyle w:val="56"/>
          <w:rFonts w:hint="eastAsia" w:ascii="宋体" w:hAnsi="宋体" w:eastAsia="宋体" w:cs="宋体"/>
          <w:b/>
          <w:sz w:val="21"/>
          <w:szCs w:val="21"/>
        </w:rPr>
        <w:t>九、项目其他要求</w:t>
      </w:r>
    </w:p>
    <w:p w14:paraId="423204DF">
      <w:pPr>
        <w:snapToGrid w:val="0"/>
        <w:spacing w:line="360" w:lineRule="auto"/>
        <w:ind w:firstLine="315" w:firstLineChars="150"/>
        <w:rPr>
          <w:rStyle w:val="56"/>
          <w:rFonts w:hint="eastAsia" w:ascii="宋体" w:hAnsi="宋体" w:eastAsia="宋体" w:cs="宋体"/>
          <w:spacing w:val="4"/>
          <w:sz w:val="21"/>
          <w:szCs w:val="21"/>
        </w:rPr>
      </w:pPr>
      <w:r>
        <w:rPr>
          <w:rStyle w:val="56"/>
          <w:rFonts w:hint="eastAsia" w:ascii="宋体" w:hAnsi="宋体" w:eastAsia="宋体" w:cs="宋体"/>
          <w:sz w:val="21"/>
          <w:szCs w:val="21"/>
        </w:rPr>
        <w:t>无</w:t>
      </w:r>
    </w:p>
    <w:p w14:paraId="0C535E8D">
      <w:pPr>
        <w:pStyle w:val="4"/>
        <w:numPr>
          <w:ilvl w:val="0"/>
          <w:numId w:val="0"/>
        </w:numPr>
        <w:ind w:leftChars="0" w:firstLine="436" w:firstLineChars="200"/>
        <w:rPr>
          <w:rFonts w:hint="default" w:ascii="宋体" w:hAnsi="宋体" w:eastAsia="宋体" w:cs="宋体"/>
          <w:color w:val="auto"/>
          <w:kern w:val="0"/>
          <w:sz w:val="21"/>
          <w:szCs w:val="21"/>
          <w:highlight w:val="none"/>
          <w:lang w:val="en-US" w:eastAsia="zh-CN" w:bidi="ar-SA"/>
        </w:rPr>
      </w:pPr>
    </w:p>
    <w:p w14:paraId="170EEE8B">
      <w:pPr>
        <w:keepNext w:val="0"/>
        <w:keepLines w:val="0"/>
        <w:pageBreakBefore w:val="0"/>
        <w:widowControl w:val="0"/>
        <w:kinsoku/>
        <w:wordWrap/>
        <w:overflowPunct/>
        <w:topLinePunct w:val="0"/>
        <w:autoSpaceDE/>
        <w:autoSpaceDN/>
        <w:bidi w:val="0"/>
        <w:adjustRightInd/>
        <w:snapToGrid/>
        <w:spacing w:after="0" w:line="360" w:lineRule="auto"/>
        <w:ind w:firstLine="406" w:firstLineChars="200"/>
        <w:textAlignment w:val="auto"/>
        <w:rPr>
          <w:rFonts w:hint="eastAsia" w:ascii="宋体" w:hAnsi="宋体" w:eastAsia="宋体" w:cs="宋体"/>
          <w:b/>
          <w:bCs/>
          <w:color w:val="auto"/>
          <w:spacing w:val="-4"/>
          <w:sz w:val="21"/>
          <w:szCs w:val="21"/>
          <w:highlight w:val="none"/>
          <w:lang w:eastAsia="zh-CN"/>
        </w:rPr>
      </w:pPr>
    </w:p>
    <w:p w14:paraId="2CE7F698">
      <w:pPr>
        <w:keepNext w:val="0"/>
        <w:keepLines w:val="0"/>
        <w:pageBreakBefore w:val="0"/>
        <w:widowControl w:val="0"/>
        <w:kinsoku/>
        <w:wordWrap/>
        <w:overflowPunct/>
        <w:topLinePunct w:val="0"/>
        <w:autoSpaceDE/>
        <w:autoSpaceDN/>
        <w:bidi w:val="0"/>
        <w:adjustRightInd/>
        <w:snapToGrid/>
        <w:spacing w:before="120" w:beforeLines="50" w:after="240" w:afterLines="100"/>
        <w:jc w:val="center"/>
        <w:textAlignment w:val="auto"/>
        <w:outlineLvl w:val="0"/>
        <w:rPr>
          <w:rFonts w:hint="eastAsia" w:ascii="宋体" w:hAnsi="宋体" w:eastAsia="宋体" w:cs="宋体"/>
          <w:b/>
          <w:color w:val="auto"/>
          <w:sz w:val="44"/>
          <w:szCs w:val="22"/>
          <w:highlight w:val="none"/>
        </w:rPr>
      </w:pPr>
      <w:bookmarkStart w:id="319" w:name="_Toc7481"/>
      <w:r>
        <w:rPr>
          <w:rFonts w:hint="eastAsia" w:ascii="宋体" w:hAnsi="宋体" w:eastAsia="宋体" w:cs="宋体"/>
          <w:b/>
          <w:color w:val="auto"/>
          <w:sz w:val="44"/>
          <w:szCs w:val="22"/>
          <w:highlight w:val="none"/>
        </w:rPr>
        <w:t xml:space="preserve">第四章 </w:t>
      </w:r>
      <w:r>
        <w:rPr>
          <w:rFonts w:hint="eastAsia" w:ascii="宋体" w:hAnsi="宋体" w:eastAsia="宋体" w:cs="宋体"/>
          <w:b/>
          <w:color w:val="auto"/>
          <w:sz w:val="44"/>
          <w:szCs w:val="22"/>
          <w:highlight w:val="none"/>
          <w:lang w:val="en-US" w:eastAsia="zh-CN"/>
        </w:rPr>
        <w:t xml:space="preserve"> </w:t>
      </w:r>
      <w:r>
        <w:rPr>
          <w:rFonts w:hint="eastAsia" w:ascii="宋体" w:hAnsi="宋体" w:eastAsia="宋体" w:cs="宋体"/>
          <w:b/>
          <w:color w:val="auto"/>
          <w:sz w:val="44"/>
          <w:szCs w:val="22"/>
          <w:highlight w:val="none"/>
        </w:rPr>
        <w:t>合同主要条款</w:t>
      </w:r>
      <w:bookmarkEnd w:id="319"/>
    </w:p>
    <w:bookmarkEnd w:id="318"/>
    <w:p w14:paraId="4E23447C">
      <w:pPr>
        <w:rPr>
          <w:rFonts w:hint="eastAsia" w:ascii="楷体" w:hAnsi="楷体" w:eastAsia="楷体"/>
          <w:sz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221BD8B8">
      <w:pPr>
        <w:rPr>
          <w:rFonts w:ascii="楷体" w:hAnsi="楷体" w:eastAsia="楷体"/>
          <w:sz w:val="24"/>
          <w:highlight w:val="none"/>
          <w:u w:val="single"/>
        </w:rPr>
      </w:pPr>
      <w:r>
        <w:rPr>
          <w:rFonts w:hint="eastAsia" w:ascii="楷体" w:hAnsi="楷体" w:eastAsia="楷体"/>
          <w:sz w:val="24"/>
          <w:highlight w:val="none"/>
        </w:rPr>
        <w:t>合同编号：</w:t>
      </w:r>
      <w:r>
        <w:rPr>
          <w:rFonts w:ascii="楷体" w:hAnsi="楷体" w:eastAsia="楷体"/>
          <w:sz w:val="24"/>
          <w:highlight w:val="none"/>
          <w:u w:val="single"/>
        </w:rPr>
        <w:t xml:space="preserve">        </w:t>
      </w:r>
      <w:r>
        <w:rPr>
          <w:rFonts w:hint="eastAsia" w:ascii="楷体" w:hAnsi="楷体" w:eastAsia="楷体"/>
          <w:sz w:val="24"/>
          <w:highlight w:val="none"/>
          <w:u w:val="single"/>
        </w:rPr>
        <w:t xml:space="preserve">   </w:t>
      </w:r>
    </w:p>
    <w:p w14:paraId="261B3883">
      <w:pPr>
        <w:spacing w:line="480" w:lineRule="auto"/>
        <w:jc w:val="center"/>
        <w:rPr>
          <w:rFonts w:ascii="楷体" w:hAnsi="楷体" w:eastAsia="楷体"/>
          <w:b/>
          <w:sz w:val="28"/>
          <w:szCs w:val="28"/>
          <w:highlight w:val="none"/>
        </w:rPr>
      </w:pPr>
    </w:p>
    <w:p w14:paraId="4511FD49">
      <w:pPr>
        <w:spacing w:line="480" w:lineRule="auto"/>
        <w:jc w:val="center"/>
        <w:rPr>
          <w:rFonts w:ascii="楷体" w:hAnsi="楷体" w:eastAsia="楷体"/>
          <w:b/>
          <w:sz w:val="28"/>
          <w:szCs w:val="28"/>
          <w:highlight w:val="none"/>
        </w:rPr>
      </w:pPr>
    </w:p>
    <w:p w14:paraId="70426DB2">
      <w:pPr>
        <w:spacing w:line="480" w:lineRule="auto"/>
        <w:jc w:val="center"/>
        <w:rPr>
          <w:rFonts w:ascii="楷体" w:hAnsi="楷体" w:eastAsia="楷体"/>
          <w:b/>
          <w:sz w:val="28"/>
          <w:szCs w:val="28"/>
          <w:highlight w:val="none"/>
        </w:rPr>
      </w:pPr>
    </w:p>
    <w:p w14:paraId="3B05F26E">
      <w:pPr>
        <w:spacing w:line="480" w:lineRule="auto"/>
        <w:jc w:val="center"/>
        <w:rPr>
          <w:rFonts w:ascii="楷体" w:hAnsi="楷体" w:eastAsia="楷体"/>
          <w:b/>
          <w:sz w:val="44"/>
          <w:szCs w:val="44"/>
          <w:highlight w:val="none"/>
        </w:rPr>
      </w:pPr>
      <w:r>
        <w:rPr>
          <w:rFonts w:ascii="楷体" w:hAnsi="楷体" w:eastAsia="楷体"/>
          <w:b/>
          <w:sz w:val="44"/>
          <w:szCs w:val="44"/>
          <w:highlight w:val="none"/>
        </w:rPr>
        <w:t>政府采购合同</w:t>
      </w:r>
      <w:r>
        <w:rPr>
          <w:rFonts w:hint="eastAsia" w:ascii="楷体" w:hAnsi="楷体" w:eastAsia="楷体"/>
          <w:b/>
          <w:sz w:val="44"/>
          <w:szCs w:val="44"/>
          <w:highlight w:val="none"/>
        </w:rPr>
        <w:t>参考范本</w:t>
      </w:r>
    </w:p>
    <w:p w14:paraId="3A216531">
      <w:pPr>
        <w:spacing w:line="480" w:lineRule="auto"/>
        <w:jc w:val="center"/>
        <w:rPr>
          <w:rFonts w:ascii="楷体" w:hAnsi="楷体" w:eastAsia="楷体"/>
          <w:b/>
          <w:sz w:val="24"/>
          <w:highlight w:val="none"/>
        </w:rPr>
      </w:pPr>
      <w:r>
        <w:rPr>
          <w:rFonts w:hint="eastAsia" w:ascii="楷体" w:hAnsi="楷体" w:eastAsia="楷体"/>
          <w:b/>
          <w:sz w:val="24"/>
          <w:highlight w:val="none"/>
        </w:rPr>
        <w:t>（服务类）</w:t>
      </w:r>
    </w:p>
    <w:p w14:paraId="3DCC193E">
      <w:pPr>
        <w:pStyle w:val="51"/>
        <w:ind w:firstLine="0"/>
        <w:rPr>
          <w:rFonts w:ascii="楷体" w:hAnsi="楷体" w:eastAsia="楷体"/>
          <w:szCs w:val="24"/>
          <w:highlight w:val="none"/>
        </w:rPr>
      </w:pPr>
    </w:p>
    <w:p w14:paraId="2DDA1AAB">
      <w:pPr>
        <w:pStyle w:val="51"/>
        <w:ind w:firstLine="0"/>
        <w:rPr>
          <w:rFonts w:ascii="楷体" w:hAnsi="楷体" w:eastAsia="楷体"/>
          <w:szCs w:val="24"/>
          <w:highlight w:val="none"/>
        </w:rPr>
      </w:pPr>
    </w:p>
    <w:p w14:paraId="5A62CACC">
      <w:pPr>
        <w:pStyle w:val="51"/>
        <w:ind w:firstLine="0"/>
        <w:jc w:val="center"/>
        <w:rPr>
          <w:rFonts w:ascii="楷体" w:hAnsi="楷体" w:eastAsia="楷体"/>
          <w:b/>
          <w:szCs w:val="24"/>
          <w:highlight w:val="none"/>
        </w:rPr>
      </w:pPr>
      <w:r>
        <w:rPr>
          <w:rFonts w:hint="eastAsia" w:ascii="楷体" w:hAnsi="楷体" w:eastAsia="楷体"/>
          <w:b/>
          <w:szCs w:val="24"/>
          <w:highlight w:val="none"/>
        </w:rPr>
        <w:t>第一部分 合同书</w:t>
      </w:r>
    </w:p>
    <w:p w14:paraId="6798E84D">
      <w:pPr>
        <w:pStyle w:val="51"/>
        <w:ind w:firstLine="0"/>
        <w:rPr>
          <w:rFonts w:ascii="楷体" w:hAnsi="楷体" w:eastAsia="楷体"/>
          <w:szCs w:val="24"/>
          <w:highlight w:val="none"/>
        </w:rPr>
      </w:pPr>
    </w:p>
    <w:p w14:paraId="4E1F2CF1">
      <w:pPr>
        <w:pStyle w:val="51"/>
        <w:ind w:firstLine="0"/>
        <w:rPr>
          <w:rFonts w:ascii="楷体" w:hAnsi="楷体" w:eastAsia="楷体"/>
          <w:szCs w:val="24"/>
          <w:highlight w:val="none"/>
        </w:rPr>
      </w:pPr>
    </w:p>
    <w:p w14:paraId="40A998FA">
      <w:pPr>
        <w:spacing w:before="120" w:line="22" w:lineRule="atLeast"/>
        <w:rPr>
          <w:rFonts w:ascii="楷体" w:hAnsi="楷体" w:eastAsia="楷体"/>
          <w:sz w:val="24"/>
          <w:highlight w:val="none"/>
        </w:rPr>
      </w:pPr>
    </w:p>
    <w:p w14:paraId="11FE0F3D">
      <w:pPr>
        <w:spacing w:before="120" w:line="22" w:lineRule="atLeast"/>
        <w:ind w:left="960"/>
        <w:rPr>
          <w:rFonts w:ascii="楷体" w:hAnsi="楷体" w:eastAsia="楷体"/>
          <w:szCs w:val="24"/>
          <w:highlight w:val="none"/>
        </w:rPr>
      </w:pPr>
      <w:r>
        <w:rPr>
          <w:rFonts w:hint="eastAsia" w:ascii="楷体" w:hAnsi="楷体" w:eastAsia="楷体"/>
          <w:sz w:val="24"/>
          <w:highlight w:val="none"/>
        </w:rPr>
        <w:t>项目名称：</w:t>
      </w:r>
      <w:r>
        <w:rPr>
          <w:rFonts w:hint="eastAsia" w:ascii="楷体" w:hAnsi="楷体" w:eastAsia="楷体"/>
          <w:sz w:val="24"/>
          <w:highlight w:val="none"/>
          <w:u w:val="single"/>
        </w:rPr>
        <w:t xml:space="preserve">                                   </w:t>
      </w:r>
    </w:p>
    <w:p w14:paraId="0640CBF1">
      <w:pPr>
        <w:rPr>
          <w:highlight w:val="none"/>
        </w:rPr>
      </w:pPr>
    </w:p>
    <w:p w14:paraId="74D8B7FB">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甲方：</w:t>
      </w:r>
      <w:r>
        <w:rPr>
          <w:rFonts w:hint="eastAsia" w:ascii="楷体" w:hAnsi="楷体" w:eastAsia="楷体"/>
          <w:sz w:val="24"/>
          <w:highlight w:val="none"/>
          <w:u w:val="single"/>
        </w:rPr>
        <w:t xml:space="preserve">                                       </w:t>
      </w:r>
    </w:p>
    <w:p w14:paraId="1CB0E3A0">
      <w:pPr>
        <w:spacing w:before="120" w:line="22" w:lineRule="atLeast"/>
        <w:rPr>
          <w:rFonts w:ascii="楷体" w:hAnsi="楷体" w:eastAsia="楷体"/>
          <w:sz w:val="24"/>
          <w:highlight w:val="none"/>
        </w:rPr>
      </w:pPr>
    </w:p>
    <w:p w14:paraId="55C092DE">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乙方：</w:t>
      </w:r>
      <w:r>
        <w:rPr>
          <w:rFonts w:ascii="楷体" w:hAnsi="楷体" w:eastAsia="楷体"/>
          <w:sz w:val="24"/>
          <w:highlight w:val="none"/>
          <w:u w:val="single"/>
        </w:rPr>
        <w:t xml:space="preserve">        </w:t>
      </w:r>
      <w:r>
        <w:rPr>
          <w:rFonts w:hint="eastAsia" w:ascii="楷体" w:hAnsi="楷体" w:eastAsia="楷体"/>
          <w:sz w:val="24"/>
          <w:highlight w:val="none"/>
          <w:u w:val="single"/>
        </w:rPr>
        <w:t xml:space="preserve"> </w:t>
      </w:r>
      <w:r>
        <w:rPr>
          <w:rFonts w:ascii="楷体" w:hAnsi="楷体" w:eastAsia="楷体"/>
          <w:sz w:val="24"/>
          <w:highlight w:val="none"/>
          <w:u w:val="single"/>
        </w:rPr>
        <w:t xml:space="preserve">   </w:t>
      </w:r>
      <w:r>
        <w:rPr>
          <w:rFonts w:hint="eastAsia" w:ascii="楷体" w:hAnsi="楷体" w:eastAsia="楷体"/>
          <w:sz w:val="24"/>
          <w:highlight w:val="none"/>
          <w:u w:val="single"/>
        </w:rPr>
        <w:t xml:space="preserve">                     </w:t>
      </w:r>
      <w:r>
        <w:rPr>
          <w:rFonts w:ascii="楷体" w:hAnsi="楷体" w:eastAsia="楷体"/>
          <w:sz w:val="24"/>
          <w:highlight w:val="none"/>
          <w:u w:val="single"/>
        </w:rPr>
        <w:t xml:space="preserve">      </w:t>
      </w:r>
    </w:p>
    <w:p w14:paraId="72D8B838">
      <w:pPr>
        <w:spacing w:before="120" w:line="22" w:lineRule="atLeast"/>
        <w:rPr>
          <w:rFonts w:ascii="楷体" w:hAnsi="楷体" w:eastAsia="楷体"/>
          <w:sz w:val="24"/>
          <w:highlight w:val="none"/>
        </w:rPr>
      </w:pPr>
    </w:p>
    <w:p w14:paraId="1F68C9FE">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签订地：</w:t>
      </w:r>
      <w:r>
        <w:rPr>
          <w:rFonts w:hint="eastAsia" w:ascii="楷体" w:hAnsi="楷体" w:eastAsia="楷体"/>
          <w:sz w:val="24"/>
          <w:highlight w:val="none"/>
          <w:u w:val="single"/>
        </w:rPr>
        <w:t xml:space="preserve">                                     </w:t>
      </w:r>
    </w:p>
    <w:p w14:paraId="64D60591">
      <w:pPr>
        <w:spacing w:before="120" w:line="22" w:lineRule="atLeast"/>
        <w:rPr>
          <w:rFonts w:ascii="楷体" w:hAnsi="楷体" w:eastAsia="楷体"/>
          <w:sz w:val="24"/>
          <w:highlight w:val="none"/>
        </w:rPr>
      </w:pPr>
    </w:p>
    <w:p w14:paraId="0DA8DB2B">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签订日期：</w:t>
      </w:r>
      <w:r>
        <w:rPr>
          <w:rFonts w:hint="eastAsia" w:ascii="楷体" w:hAnsi="楷体" w:eastAsia="楷体"/>
          <w:sz w:val="24"/>
          <w:highlight w:val="none"/>
          <w:u w:val="single"/>
        </w:rPr>
        <w:t xml:space="preserve">               </w:t>
      </w:r>
      <w:r>
        <w:rPr>
          <w:rFonts w:hint="eastAsia" w:ascii="楷体" w:hAnsi="楷体" w:eastAsia="楷体"/>
          <w:sz w:val="24"/>
          <w:highlight w:val="none"/>
        </w:rPr>
        <w:t>年</w:t>
      </w:r>
      <w:r>
        <w:rPr>
          <w:rFonts w:hint="eastAsia" w:ascii="楷体" w:hAnsi="楷体" w:eastAsia="楷体"/>
          <w:sz w:val="24"/>
          <w:highlight w:val="none"/>
          <w:u w:val="single"/>
        </w:rPr>
        <w:t xml:space="preserve">       </w:t>
      </w:r>
      <w:r>
        <w:rPr>
          <w:rFonts w:hint="eastAsia" w:ascii="楷体" w:hAnsi="楷体" w:eastAsia="楷体"/>
          <w:sz w:val="24"/>
          <w:highlight w:val="none"/>
        </w:rPr>
        <w:t>月</w:t>
      </w:r>
      <w:r>
        <w:rPr>
          <w:rFonts w:hint="eastAsia" w:ascii="楷体" w:hAnsi="楷体" w:eastAsia="楷体"/>
          <w:sz w:val="24"/>
          <w:highlight w:val="none"/>
          <w:u w:val="single"/>
        </w:rPr>
        <w:t xml:space="preserve">       </w:t>
      </w:r>
      <w:r>
        <w:rPr>
          <w:rFonts w:hint="eastAsia" w:ascii="楷体" w:hAnsi="楷体" w:eastAsia="楷体"/>
          <w:sz w:val="24"/>
          <w:highlight w:val="none"/>
        </w:rPr>
        <w:t>日</w:t>
      </w:r>
    </w:p>
    <w:p w14:paraId="3E9830CC">
      <w:pPr>
        <w:autoSpaceDE w:val="0"/>
        <w:autoSpaceDN w:val="0"/>
        <w:adjustRightInd w:val="0"/>
        <w:spacing w:line="600" w:lineRule="exact"/>
        <w:ind w:firstLine="640"/>
        <w:jc w:val="center"/>
        <w:rPr>
          <w:rFonts w:ascii="宋体" w:hAnsi="宋体"/>
          <w:sz w:val="24"/>
          <w:highlight w:val="none"/>
        </w:rPr>
        <w:sectPr>
          <w:pgSz w:w="11907" w:h="16840"/>
          <w:pgMar w:top="1474" w:right="1814" w:bottom="1474" w:left="1814" w:header="851" w:footer="851" w:gutter="0"/>
          <w:cols w:space="720" w:num="1"/>
          <w:docGrid w:linePitch="462" w:charSpace="0"/>
        </w:sectPr>
      </w:pPr>
    </w:p>
    <w:p w14:paraId="548EC5C9">
      <w:pPr>
        <w:spacing w:line="560" w:lineRule="exact"/>
        <w:ind w:firstLine="480" w:firstLineChars="200"/>
        <w:rPr>
          <w:rFonts w:ascii="楷体" w:hAnsi="楷体" w:eastAsia="楷体"/>
          <w:sz w:val="24"/>
          <w:highlight w:val="none"/>
        </w:rPr>
      </w:pPr>
      <w:r>
        <w:rPr>
          <w:rFonts w:hint="eastAsia" w:ascii="楷体" w:hAnsi="楷体" w:eastAsia="楷体"/>
          <w:sz w:val="24"/>
          <w:highlight w:val="none"/>
          <w:u w:val="single"/>
          <w:lang w:val="zh-CN"/>
        </w:rPr>
        <w:t xml:space="preserve">        </w:t>
      </w:r>
      <w:r>
        <w:rPr>
          <w:rFonts w:hint="eastAsia" w:ascii="楷体" w:hAnsi="楷体" w:eastAsia="楷体"/>
          <w:sz w:val="24"/>
          <w:highlight w:val="none"/>
          <w:lang w:val="zh-CN"/>
        </w:rPr>
        <w:t>年</w:t>
      </w:r>
      <w:r>
        <w:rPr>
          <w:rFonts w:hint="eastAsia" w:ascii="楷体" w:hAnsi="楷体" w:eastAsia="楷体"/>
          <w:sz w:val="24"/>
          <w:highlight w:val="none"/>
          <w:u w:val="single"/>
          <w:lang w:val="zh-CN"/>
        </w:rPr>
        <w:t xml:space="preserve">    </w:t>
      </w:r>
      <w:r>
        <w:rPr>
          <w:rFonts w:hint="eastAsia" w:ascii="楷体" w:hAnsi="楷体" w:eastAsia="楷体"/>
          <w:sz w:val="24"/>
          <w:highlight w:val="none"/>
          <w:lang w:val="zh-CN"/>
        </w:rPr>
        <w:t>月</w:t>
      </w:r>
      <w:r>
        <w:rPr>
          <w:rFonts w:hint="eastAsia" w:ascii="楷体" w:hAnsi="楷体" w:eastAsia="楷体"/>
          <w:sz w:val="24"/>
          <w:highlight w:val="none"/>
          <w:u w:val="single"/>
          <w:lang w:val="zh-CN"/>
        </w:rPr>
        <w:t xml:space="preserve">    </w:t>
      </w:r>
      <w:r>
        <w:rPr>
          <w:rFonts w:hint="eastAsia" w:ascii="楷体" w:hAnsi="楷体" w:eastAsia="楷体"/>
          <w:sz w:val="24"/>
          <w:highlight w:val="none"/>
          <w:lang w:val="zh-CN"/>
        </w:rPr>
        <w:t>日</w:t>
      </w:r>
      <w:r>
        <w:rPr>
          <w:rFonts w:hint="eastAsia" w:ascii="楷体" w:hAnsi="楷体" w:eastAsia="楷体"/>
          <w:sz w:val="24"/>
          <w:highlight w:val="none"/>
        </w:rPr>
        <w:t>，</w:t>
      </w:r>
      <w:r>
        <w:rPr>
          <w:rFonts w:hint="eastAsia" w:ascii="楷体" w:hAnsi="楷体" w:eastAsia="楷体"/>
          <w:sz w:val="24"/>
          <w:highlight w:val="none"/>
          <w:u w:val="single"/>
        </w:rPr>
        <w:t xml:space="preserve">   （采购人名称）   </w:t>
      </w:r>
      <w:r>
        <w:rPr>
          <w:rFonts w:hint="eastAsia" w:ascii="楷体" w:hAnsi="楷体" w:eastAsia="楷体"/>
          <w:sz w:val="24"/>
          <w:highlight w:val="none"/>
        </w:rPr>
        <w:t>以</w:t>
      </w:r>
      <w:r>
        <w:rPr>
          <w:rFonts w:hint="eastAsia" w:ascii="楷体" w:hAnsi="楷体" w:eastAsia="楷体"/>
          <w:sz w:val="24"/>
          <w:highlight w:val="none"/>
          <w:u w:val="single"/>
        </w:rPr>
        <w:t xml:space="preserve">   （政府采购方式）  </w:t>
      </w:r>
      <w:r>
        <w:rPr>
          <w:rFonts w:hint="eastAsia" w:ascii="楷体" w:hAnsi="楷体" w:eastAsia="楷体"/>
          <w:sz w:val="24"/>
          <w:highlight w:val="none"/>
        </w:rPr>
        <w:t>对</w:t>
      </w:r>
      <w:r>
        <w:rPr>
          <w:rFonts w:hint="eastAsia" w:ascii="楷体" w:hAnsi="楷体" w:eastAsia="楷体"/>
          <w:sz w:val="24"/>
          <w:highlight w:val="none"/>
          <w:u w:val="single"/>
        </w:rPr>
        <w:t xml:space="preserve">   （同前页项目名称）   </w:t>
      </w:r>
      <w:r>
        <w:rPr>
          <w:rFonts w:hint="eastAsia" w:ascii="楷体" w:hAnsi="楷体" w:eastAsia="楷体"/>
          <w:sz w:val="24"/>
          <w:highlight w:val="none"/>
        </w:rPr>
        <w:t>项目进行了采购。经</w:t>
      </w:r>
      <w:r>
        <w:rPr>
          <w:rFonts w:hint="eastAsia" w:ascii="楷体" w:hAnsi="楷体" w:eastAsia="楷体"/>
          <w:sz w:val="24"/>
          <w:highlight w:val="none"/>
          <w:u w:val="single"/>
        </w:rPr>
        <w:t xml:space="preserve">   （相关评定主体名称）   </w:t>
      </w:r>
      <w:r>
        <w:rPr>
          <w:rFonts w:hint="eastAsia" w:ascii="楷体" w:hAnsi="楷体" w:eastAsia="楷体"/>
          <w:sz w:val="24"/>
          <w:highlight w:val="none"/>
        </w:rPr>
        <w:t>评定，</w:t>
      </w:r>
      <w:r>
        <w:rPr>
          <w:rFonts w:hint="eastAsia" w:ascii="楷体" w:hAnsi="楷体" w:eastAsia="楷体"/>
          <w:sz w:val="24"/>
          <w:highlight w:val="none"/>
          <w:u w:val="single"/>
        </w:rPr>
        <w:t xml:space="preserve">   （中标</w:t>
      </w:r>
      <w:r>
        <w:rPr>
          <w:rFonts w:hint="eastAsia" w:ascii="楷体" w:hAnsi="楷体" w:eastAsia="楷体"/>
          <w:sz w:val="24"/>
          <w:highlight w:val="none"/>
          <w:u w:val="single"/>
          <w:lang w:eastAsia="zh-CN"/>
        </w:rPr>
        <w:t>供应商</w:t>
      </w:r>
      <w:r>
        <w:rPr>
          <w:rFonts w:hint="eastAsia" w:ascii="楷体" w:hAnsi="楷体" w:eastAsia="楷体"/>
          <w:sz w:val="24"/>
          <w:highlight w:val="none"/>
          <w:u w:val="single"/>
        </w:rPr>
        <w:t xml:space="preserve">名称） </w:t>
      </w:r>
      <w:r>
        <w:rPr>
          <w:rFonts w:hint="eastAsia" w:ascii="楷体" w:hAnsi="楷体" w:eastAsia="楷体"/>
          <w:sz w:val="24"/>
          <w:highlight w:val="none"/>
        </w:rPr>
        <w:t>为该项目中标</w:t>
      </w:r>
      <w:r>
        <w:rPr>
          <w:rFonts w:hint="eastAsia" w:ascii="楷体" w:hAnsi="楷体" w:eastAsia="楷体"/>
          <w:sz w:val="24"/>
          <w:highlight w:val="none"/>
          <w:lang w:eastAsia="zh-CN"/>
        </w:rPr>
        <w:t>供应商</w:t>
      </w:r>
      <w:r>
        <w:rPr>
          <w:rFonts w:hint="eastAsia" w:ascii="楷体" w:hAnsi="楷体" w:eastAsia="楷体"/>
          <w:sz w:val="24"/>
          <w:highlight w:val="none"/>
        </w:rPr>
        <w:t>。现于中标通知书发出之日起三十日内，按照采购文件确定的事项签订本合同。</w:t>
      </w:r>
    </w:p>
    <w:p w14:paraId="7DB60BB2">
      <w:pPr>
        <w:spacing w:line="560" w:lineRule="exact"/>
        <w:ind w:firstLine="480" w:firstLineChars="200"/>
        <w:rPr>
          <w:rFonts w:ascii="楷体" w:hAnsi="楷体" w:eastAsia="楷体"/>
          <w:sz w:val="24"/>
          <w:highlight w:val="none"/>
        </w:rPr>
      </w:pPr>
      <w:r>
        <w:rPr>
          <w:rFonts w:hint="eastAsia" w:ascii="楷体" w:hAnsi="楷体" w:eastAsia="楷体"/>
          <w:sz w:val="24"/>
          <w:highlight w:val="none"/>
          <w:lang w:val="zh-CN"/>
        </w:rPr>
        <w:t>根据《中华人民共和国合同法》、《中华人民共和国政府采购法》等相关法律法规之规定，按照平等、自愿、公平和诚实信用的原则，经</w:t>
      </w:r>
      <w:r>
        <w:rPr>
          <w:rFonts w:hint="eastAsia" w:ascii="楷体" w:hAnsi="楷体" w:eastAsia="楷体"/>
          <w:sz w:val="24"/>
          <w:highlight w:val="none"/>
          <w:u w:val="single"/>
        </w:rPr>
        <w:t xml:space="preserve">   （采购人名称）   </w:t>
      </w:r>
      <w:r>
        <w:rPr>
          <w:rFonts w:hint="eastAsia" w:ascii="楷体" w:hAnsi="楷体" w:eastAsia="楷体"/>
          <w:sz w:val="24"/>
          <w:highlight w:val="none"/>
          <w:lang w:val="zh-CN"/>
        </w:rPr>
        <w:t>(以下简称：甲方)和</w:t>
      </w:r>
      <w:r>
        <w:rPr>
          <w:rFonts w:hint="eastAsia" w:ascii="楷体" w:hAnsi="楷体" w:eastAsia="楷体"/>
          <w:sz w:val="24"/>
          <w:highlight w:val="none"/>
          <w:u w:val="single"/>
        </w:rPr>
        <w:t xml:space="preserve">   （中标</w:t>
      </w:r>
      <w:r>
        <w:rPr>
          <w:rFonts w:hint="eastAsia" w:ascii="楷体" w:hAnsi="楷体" w:eastAsia="楷体"/>
          <w:sz w:val="24"/>
          <w:highlight w:val="none"/>
          <w:u w:val="single"/>
          <w:lang w:eastAsia="zh-CN"/>
        </w:rPr>
        <w:t>供应商</w:t>
      </w:r>
      <w:r>
        <w:rPr>
          <w:rFonts w:hint="eastAsia" w:ascii="楷体" w:hAnsi="楷体" w:eastAsia="楷体"/>
          <w:sz w:val="24"/>
          <w:highlight w:val="none"/>
          <w:u w:val="single"/>
        </w:rPr>
        <w:t xml:space="preserve">名称）   </w:t>
      </w:r>
      <w:r>
        <w:rPr>
          <w:rFonts w:hint="eastAsia" w:ascii="楷体" w:hAnsi="楷体" w:eastAsia="楷体"/>
          <w:sz w:val="24"/>
          <w:highlight w:val="none"/>
          <w:lang w:val="zh-CN"/>
        </w:rPr>
        <w:t>(以下简称：乙方)协商一致，约定以下合同</w:t>
      </w:r>
      <w:r>
        <w:rPr>
          <w:rFonts w:hint="eastAsia" w:ascii="楷体" w:hAnsi="楷体" w:eastAsia="楷体"/>
          <w:sz w:val="24"/>
          <w:highlight w:val="none"/>
        </w:rPr>
        <w:t>条款，以兹共同遵守、全面履行。</w:t>
      </w:r>
    </w:p>
    <w:p w14:paraId="2FC54894">
      <w:pPr>
        <w:spacing w:line="560" w:lineRule="exact"/>
        <w:ind w:firstLine="482" w:firstLineChars="200"/>
        <w:outlineLvl w:val="0"/>
        <w:rPr>
          <w:rFonts w:ascii="楷体" w:hAnsi="楷体" w:eastAsia="楷体"/>
          <w:sz w:val="24"/>
          <w:highlight w:val="none"/>
        </w:rPr>
      </w:pPr>
      <w:bookmarkStart w:id="320" w:name="_Toc15367"/>
      <w:bookmarkStart w:id="321" w:name="_Toc22967"/>
      <w:bookmarkStart w:id="322" w:name="_Toc19273"/>
      <w:bookmarkStart w:id="323" w:name="_Toc28855"/>
      <w:bookmarkStart w:id="324" w:name="_Toc20421"/>
      <w:r>
        <w:rPr>
          <w:rFonts w:hint="eastAsia" w:ascii="楷体" w:hAnsi="楷体" w:eastAsia="楷体"/>
          <w:b/>
          <w:sz w:val="24"/>
          <w:highlight w:val="none"/>
        </w:rPr>
        <w:t>1.1 合同组成部分</w:t>
      </w:r>
      <w:bookmarkEnd w:id="320"/>
      <w:bookmarkEnd w:id="321"/>
      <w:bookmarkEnd w:id="322"/>
      <w:bookmarkEnd w:id="323"/>
      <w:bookmarkEnd w:id="324"/>
    </w:p>
    <w:p w14:paraId="361E8D90">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6336391">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1.1.1 本合同及其补充合同、变更协议；</w:t>
      </w:r>
    </w:p>
    <w:p w14:paraId="7183DE76">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1.1.2 中标通知书；</w:t>
      </w:r>
    </w:p>
    <w:p w14:paraId="1FCC2923">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 xml:space="preserve">1.1.3 </w:t>
      </w:r>
      <w:r>
        <w:rPr>
          <w:rFonts w:hint="eastAsia" w:ascii="楷体" w:hAnsi="楷体" w:eastAsia="楷体"/>
          <w:sz w:val="24"/>
          <w:highlight w:val="none"/>
          <w:lang w:eastAsia="zh-CN"/>
        </w:rPr>
        <w:t>响应文件</w:t>
      </w:r>
      <w:r>
        <w:rPr>
          <w:rFonts w:hint="eastAsia" w:ascii="楷体" w:hAnsi="楷体" w:eastAsia="楷体"/>
          <w:sz w:val="24"/>
          <w:highlight w:val="none"/>
        </w:rPr>
        <w:t>（含澄清或者说明文件）；</w:t>
      </w:r>
    </w:p>
    <w:p w14:paraId="044DB385">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1.1.4 招标文件（含澄清或者修改文件）；</w:t>
      </w:r>
    </w:p>
    <w:p w14:paraId="65C8DB4C">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1.1.5 其他相关采购文件。</w:t>
      </w:r>
    </w:p>
    <w:p w14:paraId="764C0FDD">
      <w:pPr>
        <w:spacing w:line="560" w:lineRule="exact"/>
        <w:ind w:firstLine="482" w:firstLineChars="200"/>
        <w:outlineLvl w:val="0"/>
        <w:rPr>
          <w:rFonts w:ascii="楷体" w:hAnsi="楷体" w:eastAsia="楷体"/>
          <w:b/>
          <w:sz w:val="24"/>
          <w:highlight w:val="none"/>
        </w:rPr>
      </w:pPr>
      <w:bookmarkStart w:id="325" w:name="_Toc2918"/>
      <w:bookmarkStart w:id="326" w:name="_Toc6773"/>
      <w:bookmarkStart w:id="327" w:name="_Toc18585"/>
      <w:bookmarkStart w:id="328" w:name="_Toc22185"/>
      <w:bookmarkStart w:id="329" w:name="_Toc6311"/>
      <w:r>
        <w:rPr>
          <w:rFonts w:hint="eastAsia" w:ascii="楷体" w:hAnsi="楷体" w:eastAsia="楷体"/>
          <w:b/>
          <w:sz w:val="24"/>
          <w:highlight w:val="none"/>
        </w:rPr>
        <w:t>1.2 标的</w:t>
      </w:r>
      <w:bookmarkEnd w:id="325"/>
      <w:bookmarkEnd w:id="326"/>
      <w:bookmarkEnd w:id="327"/>
      <w:bookmarkEnd w:id="328"/>
      <w:bookmarkEnd w:id="329"/>
    </w:p>
    <w:p w14:paraId="55700F49">
      <w:pPr>
        <w:spacing w:line="560" w:lineRule="exact"/>
        <w:ind w:firstLine="480" w:firstLineChars="200"/>
        <w:rPr>
          <w:rFonts w:ascii="楷体" w:hAnsi="楷体" w:eastAsia="楷体"/>
          <w:sz w:val="24"/>
          <w:highlight w:val="none"/>
          <w:u w:val="single"/>
        </w:rPr>
      </w:pPr>
      <w:r>
        <w:rPr>
          <w:rFonts w:hint="eastAsia" w:ascii="楷体" w:hAnsi="楷体" w:eastAsia="楷体"/>
          <w:sz w:val="24"/>
          <w:highlight w:val="none"/>
        </w:rPr>
        <w:t>1.2.1 标的</w:t>
      </w:r>
      <w:r>
        <w:rPr>
          <w:rFonts w:ascii="楷体" w:hAnsi="楷体" w:eastAsia="楷体"/>
          <w:sz w:val="24"/>
          <w:highlight w:val="none"/>
        </w:rPr>
        <w:t>名称：</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75A984CB">
      <w:pPr>
        <w:spacing w:line="560" w:lineRule="exact"/>
        <w:ind w:firstLine="480" w:firstLineChars="200"/>
        <w:rPr>
          <w:rFonts w:ascii="楷体" w:hAnsi="楷体" w:eastAsia="楷体"/>
          <w:sz w:val="24"/>
          <w:highlight w:val="none"/>
          <w:u w:val="single"/>
        </w:rPr>
      </w:pPr>
      <w:r>
        <w:rPr>
          <w:rFonts w:hint="eastAsia" w:ascii="楷体" w:hAnsi="楷体" w:eastAsia="楷体"/>
          <w:sz w:val="24"/>
          <w:highlight w:val="none"/>
        </w:rPr>
        <w:t>1.2.2 标的</w:t>
      </w:r>
      <w:r>
        <w:rPr>
          <w:rFonts w:ascii="楷体" w:hAnsi="楷体" w:eastAsia="楷体"/>
          <w:sz w:val="24"/>
          <w:highlight w:val="none"/>
        </w:rPr>
        <w:t>数量：</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738EE388">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1.2.3 标的质量：</w:t>
      </w:r>
      <w:r>
        <w:rPr>
          <w:rFonts w:ascii="楷体" w:hAnsi="楷体" w:eastAsia="楷体"/>
          <w:sz w:val="24"/>
          <w:highlight w:val="none"/>
          <w:u w:val="single"/>
        </w:rPr>
        <w:t>　　　　　　　　　</w:t>
      </w:r>
      <w:r>
        <w:rPr>
          <w:rFonts w:hint="eastAsia" w:ascii="楷体" w:hAnsi="楷体" w:eastAsia="楷体"/>
          <w:sz w:val="24"/>
          <w:highlight w:val="none"/>
          <w:u w:val="single"/>
        </w:rPr>
        <w:t xml:space="preserve">                      </w:t>
      </w:r>
      <w:r>
        <w:rPr>
          <w:rFonts w:ascii="楷体" w:hAnsi="楷体" w:eastAsia="楷体"/>
          <w:sz w:val="24"/>
          <w:highlight w:val="none"/>
          <w:u w:val="single"/>
        </w:rPr>
        <w:t xml:space="preserve">　      </w:t>
      </w:r>
      <w:r>
        <w:rPr>
          <w:rFonts w:hint="eastAsia" w:ascii="楷体" w:hAnsi="楷体" w:eastAsia="楷体"/>
          <w:sz w:val="24"/>
          <w:highlight w:val="none"/>
        </w:rPr>
        <w:t>。</w:t>
      </w:r>
    </w:p>
    <w:p w14:paraId="0C99EAA5">
      <w:pPr>
        <w:spacing w:line="560" w:lineRule="exact"/>
        <w:ind w:firstLine="482" w:firstLineChars="200"/>
        <w:outlineLvl w:val="0"/>
        <w:rPr>
          <w:rFonts w:ascii="楷体" w:hAnsi="楷体" w:eastAsia="楷体"/>
          <w:b/>
          <w:sz w:val="24"/>
          <w:highlight w:val="none"/>
        </w:rPr>
      </w:pPr>
      <w:bookmarkStart w:id="330" w:name="_Toc1386"/>
      <w:bookmarkStart w:id="331" w:name="_Toc21124"/>
      <w:bookmarkStart w:id="332" w:name="_Toc5635"/>
      <w:bookmarkStart w:id="333" w:name="_Toc13918"/>
      <w:bookmarkStart w:id="334" w:name="_Toc4929"/>
      <w:r>
        <w:rPr>
          <w:rFonts w:hint="eastAsia" w:ascii="楷体" w:hAnsi="楷体" w:eastAsia="楷体"/>
          <w:b/>
          <w:sz w:val="24"/>
          <w:highlight w:val="none"/>
        </w:rPr>
        <w:t>1.</w:t>
      </w:r>
      <w:r>
        <w:rPr>
          <w:rFonts w:ascii="楷体" w:hAnsi="楷体" w:eastAsia="楷体"/>
          <w:b/>
          <w:sz w:val="24"/>
          <w:highlight w:val="none"/>
        </w:rPr>
        <w:t>3</w:t>
      </w:r>
      <w:r>
        <w:rPr>
          <w:rFonts w:hint="eastAsia" w:ascii="楷体" w:hAnsi="楷体" w:eastAsia="楷体"/>
          <w:b/>
          <w:sz w:val="24"/>
          <w:highlight w:val="none"/>
        </w:rPr>
        <w:t xml:space="preserve"> 价款</w:t>
      </w:r>
      <w:bookmarkEnd w:id="330"/>
      <w:bookmarkEnd w:id="331"/>
      <w:bookmarkEnd w:id="332"/>
      <w:bookmarkEnd w:id="333"/>
      <w:bookmarkEnd w:id="334"/>
    </w:p>
    <w:p w14:paraId="38D0A4CE">
      <w:pPr>
        <w:spacing w:line="560" w:lineRule="exact"/>
        <w:ind w:firstLine="480" w:firstLineChars="200"/>
        <w:rPr>
          <w:rFonts w:ascii="楷体" w:hAnsi="楷体" w:eastAsia="楷体"/>
          <w:sz w:val="24"/>
          <w:highlight w:val="none"/>
        </w:rPr>
      </w:pPr>
      <w:r>
        <w:rPr>
          <w:rFonts w:ascii="楷体" w:hAnsi="楷体" w:eastAsia="楷体"/>
          <w:sz w:val="24"/>
          <w:highlight w:val="none"/>
        </w:rPr>
        <w:t>本合同总价为</w:t>
      </w:r>
      <w:r>
        <w:rPr>
          <w:rFonts w:hint="eastAsia" w:ascii="楷体" w:hAnsi="楷体" w:eastAsia="楷体"/>
          <w:sz w:val="24"/>
          <w:highlight w:val="none"/>
        </w:rPr>
        <w:t>：￥</w:t>
      </w:r>
      <w:r>
        <w:rPr>
          <w:rFonts w:hint="eastAsia" w:ascii="楷体" w:hAnsi="楷体" w:eastAsia="楷体"/>
          <w:sz w:val="24"/>
          <w:highlight w:val="none"/>
          <w:u w:val="single"/>
        </w:rPr>
        <w:t xml:space="preserve">           </w:t>
      </w:r>
      <w:r>
        <w:rPr>
          <w:rFonts w:ascii="楷体" w:hAnsi="楷体" w:eastAsia="楷体"/>
          <w:sz w:val="24"/>
          <w:highlight w:val="none"/>
        </w:rPr>
        <w:t>元</w:t>
      </w:r>
      <w:r>
        <w:rPr>
          <w:rFonts w:hint="eastAsia" w:ascii="楷体" w:hAnsi="楷体" w:eastAsia="楷体"/>
          <w:sz w:val="24"/>
          <w:highlight w:val="none"/>
        </w:rPr>
        <w:t>（大写：</w:t>
      </w:r>
      <w:r>
        <w:rPr>
          <w:rFonts w:hint="eastAsia" w:ascii="楷体" w:hAnsi="楷体" w:eastAsia="楷体"/>
          <w:sz w:val="24"/>
          <w:highlight w:val="none"/>
          <w:u w:val="single"/>
        </w:rPr>
        <w:t xml:space="preserve">                 </w:t>
      </w:r>
      <w:r>
        <w:rPr>
          <w:rFonts w:hint="eastAsia" w:ascii="楷体" w:hAnsi="楷体" w:eastAsia="楷体"/>
          <w:sz w:val="24"/>
          <w:highlight w:val="none"/>
        </w:rPr>
        <w:t>元人民币）</w:t>
      </w:r>
      <w:r>
        <w:rPr>
          <w:rFonts w:ascii="楷体" w:hAnsi="楷体" w:eastAsia="楷体"/>
          <w:sz w:val="24"/>
          <w:highlight w:val="none"/>
        </w:rPr>
        <w:t>。</w:t>
      </w:r>
    </w:p>
    <w:p w14:paraId="614FF4FF">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D2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B0AC3AD">
            <w:pPr>
              <w:pStyle w:val="53"/>
              <w:spacing w:line="560" w:lineRule="exact"/>
              <w:jc w:val="center"/>
              <w:rPr>
                <w:rFonts w:ascii="楷体" w:hAnsi="楷体" w:eastAsia="楷体"/>
                <w:color w:val="000000"/>
                <w:kern w:val="2"/>
                <w:sz w:val="24"/>
                <w:szCs w:val="24"/>
                <w:highlight w:val="none"/>
                <w:lang w:val="en-US" w:eastAsia="zh-CN"/>
              </w:rPr>
            </w:pPr>
            <w:r>
              <w:rPr>
                <w:rFonts w:ascii="楷体" w:hAnsi="楷体" w:eastAsia="楷体"/>
                <w:color w:val="000000"/>
                <w:kern w:val="2"/>
                <w:sz w:val="24"/>
                <w:szCs w:val="24"/>
                <w:highlight w:val="none"/>
                <w:lang w:val="en-US" w:eastAsia="zh-CN"/>
              </w:rPr>
              <w:t>序号</w:t>
            </w:r>
          </w:p>
        </w:tc>
        <w:tc>
          <w:tcPr>
            <w:tcW w:w="3402" w:type="dxa"/>
            <w:noWrap w:val="0"/>
            <w:vAlign w:val="center"/>
          </w:tcPr>
          <w:p w14:paraId="69B9C2CD">
            <w:pPr>
              <w:pStyle w:val="53"/>
              <w:spacing w:line="560" w:lineRule="exact"/>
              <w:ind w:firstLine="200"/>
              <w:jc w:val="center"/>
              <w:rPr>
                <w:rFonts w:ascii="楷体" w:hAnsi="楷体" w:eastAsia="楷体"/>
                <w:color w:val="000000"/>
                <w:kern w:val="2"/>
                <w:sz w:val="24"/>
                <w:szCs w:val="24"/>
                <w:highlight w:val="none"/>
                <w:lang w:val="en-US" w:eastAsia="zh-CN"/>
              </w:rPr>
            </w:pPr>
            <w:r>
              <w:rPr>
                <w:rFonts w:hint="eastAsia" w:ascii="楷体" w:hAnsi="楷体" w:eastAsia="楷体"/>
                <w:color w:val="000000"/>
                <w:kern w:val="2"/>
                <w:sz w:val="24"/>
                <w:szCs w:val="24"/>
                <w:highlight w:val="none"/>
                <w:lang w:val="en-US" w:eastAsia="zh-CN"/>
              </w:rPr>
              <w:t>分项名称</w:t>
            </w:r>
          </w:p>
        </w:tc>
        <w:tc>
          <w:tcPr>
            <w:tcW w:w="2552" w:type="dxa"/>
            <w:noWrap w:val="0"/>
            <w:vAlign w:val="center"/>
          </w:tcPr>
          <w:p w14:paraId="25CD5777">
            <w:pPr>
              <w:pStyle w:val="53"/>
              <w:spacing w:line="560" w:lineRule="exact"/>
              <w:jc w:val="center"/>
              <w:rPr>
                <w:rFonts w:ascii="楷体" w:hAnsi="楷体" w:eastAsia="楷体"/>
                <w:color w:val="000000"/>
                <w:kern w:val="2"/>
                <w:sz w:val="24"/>
                <w:szCs w:val="24"/>
                <w:highlight w:val="none"/>
                <w:lang w:val="en-US" w:eastAsia="zh-CN"/>
              </w:rPr>
            </w:pPr>
            <w:r>
              <w:rPr>
                <w:rFonts w:ascii="楷体" w:hAnsi="楷体" w:eastAsia="楷体"/>
                <w:color w:val="000000"/>
                <w:kern w:val="2"/>
                <w:sz w:val="24"/>
                <w:szCs w:val="24"/>
                <w:highlight w:val="none"/>
                <w:lang w:val="en-US" w:eastAsia="zh-CN"/>
              </w:rPr>
              <w:t>分项价格</w:t>
            </w:r>
          </w:p>
        </w:tc>
      </w:tr>
      <w:tr w14:paraId="5935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CFA46B">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3402" w:type="dxa"/>
            <w:noWrap w:val="0"/>
            <w:vAlign w:val="center"/>
          </w:tcPr>
          <w:p w14:paraId="550BDE24">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2552" w:type="dxa"/>
            <w:noWrap w:val="0"/>
            <w:vAlign w:val="center"/>
          </w:tcPr>
          <w:p w14:paraId="7764A3BA">
            <w:pPr>
              <w:pStyle w:val="53"/>
              <w:spacing w:line="560" w:lineRule="exact"/>
              <w:ind w:firstLine="200"/>
              <w:jc w:val="center"/>
              <w:rPr>
                <w:rFonts w:ascii="楷体" w:hAnsi="楷体" w:eastAsia="楷体"/>
                <w:color w:val="000000"/>
                <w:kern w:val="2"/>
                <w:sz w:val="24"/>
                <w:szCs w:val="24"/>
                <w:highlight w:val="none"/>
                <w:lang w:val="en-US" w:eastAsia="zh-CN"/>
              </w:rPr>
            </w:pPr>
          </w:p>
        </w:tc>
      </w:tr>
      <w:tr w14:paraId="41A3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7C577D3">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3402" w:type="dxa"/>
            <w:noWrap w:val="0"/>
            <w:vAlign w:val="center"/>
          </w:tcPr>
          <w:p w14:paraId="32A096EA">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2552" w:type="dxa"/>
            <w:noWrap w:val="0"/>
            <w:vAlign w:val="center"/>
          </w:tcPr>
          <w:p w14:paraId="4A7B86B7">
            <w:pPr>
              <w:pStyle w:val="53"/>
              <w:spacing w:line="560" w:lineRule="exact"/>
              <w:ind w:firstLine="200"/>
              <w:jc w:val="center"/>
              <w:rPr>
                <w:rFonts w:ascii="楷体" w:hAnsi="楷体" w:eastAsia="楷体"/>
                <w:color w:val="000000"/>
                <w:kern w:val="2"/>
                <w:sz w:val="24"/>
                <w:szCs w:val="24"/>
                <w:highlight w:val="none"/>
                <w:lang w:val="en-US" w:eastAsia="zh-CN"/>
              </w:rPr>
            </w:pPr>
          </w:p>
        </w:tc>
      </w:tr>
      <w:tr w14:paraId="73DE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CB2C3CA">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3402" w:type="dxa"/>
            <w:noWrap w:val="0"/>
            <w:vAlign w:val="center"/>
          </w:tcPr>
          <w:p w14:paraId="6DFEC7A1">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2552" w:type="dxa"/>
            <w:noWrap w:val="0"/>
            <w:vAlign w:val="center"/>
          </w:tcPr>
          <w:p w14:paraId="18A7DCAC">
            <w:pPr>
              <w:pStyle w:val="53"/>
              <w:spacing w:line="560" w:lineRule="exact"/>
              <w:ind w:firstLine="200"/>
              <w:jc w:val="center"/>
              <w:rPr>
                <w:rFonts w:ascii="楷体" w:hAnsi="楷体" w:eastAsia="楷体"/>
                <w:color w:val="000000"/>
                <w:kern w:val="2"/>
                <w:sz w:val="24"/>
                <w:szCs w:val="24"/>
                <w:highlight w:val="none"/>
                <w:lang w:val="en-US" w:eastAsia="zh-CN"/>
              </w:rPr>
            </w:pPr>
          </w:p>
        </w:tc>
      </w:tr>
      <w:tr w14:paraId="3FD9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B6E712A">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3402" w:type="dxa"/>
            <w:noWrap w:val="0"/>
            <w:vAlign w:val="center"/>
          </w:tcPr>
          <w:p w14:paraId="07AE3158">
            <w:pPr>
              <w:pStyle w:val="53"/>
              <w:spacing w:line="560" w:lineRule="exact"/>
              <w:ind w:firstLine="200"/>
              <w:jc w:val="center"/>
              <w:rPr>
                <w:rFonts w:ascii="楷体" w:hAnsi="楷体" w:eastAsia="楷体"/>
                <w:color w:val="000000"/>
                <w:kern w:val="2"/>
                <w:sz w:val="24"/>
                <w:szCs w:val="24"/>
                <w:highlight w:val="none"/>
                <w:lang w:val="en-US" w:eastAsia="zh-CN"/>
              </w:rPr>
            </w:pPr>
          </w:p>
        </w:tc>
        <w:tc>
          <w:tcPr>
            <w:tcW w:w="2552" w:type="dxa"/>
            <w:noWrap w:val="0"/>
            <w:vAlign w:val="center"/>
          </w:tcPr>
          <w:p w14:paraId="0F7C42A1">
            <w:pPr>
              <w:pStyle w:val="53"/>
              <w:spacing w:line="560" w:lineRule="exact"/>
              <w:ind w:firstLine="200"/>
              <w:jc w:val="center"/>
              <w:rPr>
                <w:rFonts w:ascii="楷体" w:hAnsi="楷体" w:eastAsia="楷体"/>
                <w:color w:val="000000"/>
                <w:kern w:val="2"/>
                <w:sz w:val="24"/>
                <w:szCs w:val="24"/>
                <w:highlight w:val="none"/>
                <w:lang w:val="en-US" w:eastAsia="zh-CN"/>
              </w:rPr>
            </w:pPr>
          </w:p>
        </w:tc>
      </w:tr>
      <w:tr w14:paraId="5848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CD7FF5A">
            <w:pPr>
              <w:pStyle w:val="53"/>
              <w:spacing w:line="560" w:lineRule="exact"/>
              <w:ind w:firstLine="200"/>
              <w:jc w:val="center"/>
              <w:rPr>
                <w:rFonts w:ascii="楷体" w:hAnsi="楷体" w:eastAsia="楷体"/>
                <w:color w:val="000000"/>
                <w:kern w:val="2"/>
                <w:sz w:val="24"/>
                <w:szCs w:val="24"/>
                <w:highlight w:val="none"/>
                <w:lang w:val="en-US" w:eastAsia="zh-CN"/>
              </w:rPr>
            </w:pPr>
            <w:r>
              <w:rPr>
                <w:rFonts w:hint="eastAsia" w:ascii="楷体" w:hAnsi="楷体" w:eastAsia="楷体"/>
                <w:color w:val="000000"/>
                <w:kern w:val="2"/>
                <w:sz w:val="24"/>
                <w:szCs w:val="24"/>
                <w:highlight w:val="none"/>
                <w:lang w:val="en-US" w:eastAsia="zh-CN"/>
              </w:rPr>
              <w:t>总价</w:t>
            </w:r>
          </w:p>
        </w:tc>
        <w:tc>
          <w:tcPr>
            <w:tcW w:w="2552" w:type="dxa"/>
            <w:noWrap w:val="0"/>
            <w:vAlign w:val="center"/>
          </w:tcPr>
          <w:p w14:paraId="0070524B">
            <w:pPr>
              <w:pStyle w:val="53"/>
              <w:spacing w:line="560" w:lineRule="exact"/>
              <w:ind w:firstLine="200"/>
              <w:jc w:val="center"/>
              <w:rPr>
                <w:rFonts w:ascii="楷体" w:hAnsi="楷体" w:eastAsia="楷体"/>
                <w:color w:val="000000"/>
                <w:kern w:val="2"/>
                <w:sz w:val="24"/>
                <w:szCs w:val="24"/>
                <w:highlight w:val="none"/>
                <w:lang w:val="en-US" w:eastAsia="zh-CN"/>
              </w:rPr>
            </w:pPr>
          </w:p>
        </w:tc>
      </w:tr>
    </w:tbl>
    <w:p w14:paraId="35AFDDB4">
      <w:pPr>
        <w:spacing w:line="560" w:lineRule="exact"/>
        <w:ind w:firstLine="482" w:firstLineChars="200"/>
        <w:outlineLvl w:val="0"/>
        <w:rPr>
          <w:rFonts w:ascii="楷体" w:hAnsi="楷体" w:eastAsia="楷体"/>
          <w:b/>
          <w:sz w:val="24"/>
          <w:highlight w:val="none"/>
        </w:rPr>
      </w:pPr>
      <w:bookmarkStart w:id="335" w:name="_Toc14993"/>
      <w:bookmarkStart w:id="336" w:name="_Toc30506"/>
      <w:bookmarkStart w:id="337" w:name="_Toc3654"/>
      <w:bookmarkStart w:id="338" w:name="_Toc26916"/>
      <w:bookmarkStart w:id="339" w:name="_Toc30158"/>
      <w:r>
        <w:rPr>
          <w:rFonts w:hint="eastAsia" w:ascii="楷体" w:hAnsi="楷体" w:eastAsia="楷体"/>
          <w:b/>
          <w:sz w:val="24"/>
          <w:highlight w:val="none"/>
        </w:rPr>
        <w:t>1.</w:t>
      </w:r>
      <w:r>
        <w:rPr>
          <w:rFonts w:ascii="楷体" w:hAnsi="楷体" w:eastAsia="楷体"/>
          <w:b/>
          <w:sz w:val="24"/>
          <w:highlight w:val="none"/>
        </w:rPr>
        <w:t>4</w:t>
      </w:r>
      <w:r>
        <w:rPr>
          <w:rFonts w:hint="eastAsia" w:ascii="楷体" w:hAnsi="楷体" w:eastAsia="楷体"/>
          <w:b/>
          <w:sz w:val="24"/>
          <w:highlight w:val="none"/>
        </w:rPr>
        <w:t xml:space="preserve"> </w:t>
      </w:r>
      <w:r>
        <w:rPr>
          <w:rFonts w:ascii="楷体" w:hAnsi="楷体" w:eastAsia="楷体"/>
          <w:b/>
          <w:sz w:val="24"/>
          <w:highlight w:val="none"/>
        </w:rPr>
        <w:t>付款方式和发票开具方式</w:t>
      </w:r>
      <w:bookmarkEnd w:id="335"/>
      <w:bookmarkEnd w:id="336"/>
      <w:bookmarkEnd w:id="337"/>
      <w:bookmarkEnd w:id="338"/>
      <w:bookmarkEnd w:id="339"/>
    </w:p>
    <w:p w14:paraId="230AE201">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1.4.1</w:t>
      </w:r>
      <w:r>
        <w:rPr>
          <w:rFonts w:ascii="楷体" w:hAnsi="楷体" w:eastAsia="楷体"/>
          <w:sz w:val="24"/>
          <w:highlight w:val="none"/>
        </w:rPr>
        <w:t>付款方式：</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506C0AAF">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1.4.2 发票开具方式：</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2AA084B5">
      <w:pPr>
        <w:spacing w:line="560" w:lineRule="exact"/>
        <w:ind w:firstLine="482" w:firstLineChars="200"/>
        <w:outlineLvl w:val="0"/>
        <w:rPr>
          <w:rFonts w:ascii="楷体" w:hAnsi="楷体" w:eastAsia="楷体"/>
          <w:b/>
          <w:sz w:val="24"/>
          <w:highlight w:val="none"/>
        </w:rPr>
      </w:pPr>
      <w:bookmarkStart w:id="340" w:name="_Toc4760"/>
      <w:bookmarkStart w:id="341" w:name="_Toc31421"/>
      <w:bookmarkStart w:id="342" w:name="_Toc3625"/>
      <w:bookmarkStart w:id="343" w:name="_Toc8772"/>
      <w:bookmarkStart w:id="344" w:name="_Toc11108"/>
      <w:r>
        <w:rPr>
          <w:rFonts w:hint="eastAsia" w:ascii="楷体" w:hAnsi="楷体" w:eastAsia="楷体"/>
          <w:b/>
          <w:sz w:val="24"/>
          <w:highlight w:val="none"/>
        </w:rPr>
        <w:t>1.</w:t>
      </w:r>
      <w:r>
        <w:rPr>
          <w:rFonts w:ascii="楷体" w:hAnsi="楷体" w:eastAsia="楷体"/>
          <w:b/>
          <w:sz w:val="24"/>
          <w:highlight w:val="none"/>
        </w:rPr>
        <w:t>5</w:t>
      </w:r>
      <w:r>
        <w:rPr>
          <w:rFonts w:hint="eastAsia" w:ascii="楷体" w:hAnsi="楷体" w:eastAsia="楷体"/>
          <w:b/>
          <w:sz w:val="24"/>
          <w:highlight w:val="none"/>
        </w:rPr>
        <w:t xml:space="preserve"> 履行</w:t>
      </w:r>
      <w:r>
        <w:rPr>
          <w:rFonts w:ascii="楷体" w:hAnsi="楷体" w:eastAsia="楷体"/>
          <w:b/>
          <w:sz w:val="24"/>
          <w:highlight w:val="none"/>
        </w:rPr>
        <w:t>期限</w:t>
      </w:r>
      <w:r>
        <w:rPr>
          <w:rFonts w:hint="eastAsia" w:ascii="楷体" w:hAnsi="楷体" w:eastAsia="楷体"/>
          <w:b/>
          <w:sz w:val="24"/>
          <w:highlight w:val="none"/>
        </w:rPr>
        <w:t>、地点和方式</w:t>
      </w:r>
      <w:bookmarkEnd w:id="340"/>
      <w:bookmarkEnd w:id="341"/>
      <w:bookmarkEnd w:id="342"/>
      <w:bookmarkEnd w:id="343"/>
      <w:bookmarkEnd w:id="344"/>
    </w:p>
    <w:p w14:paraId="33B073D6">
      <w:pPr>
        <w:spacing w:line="560" w:lineRule="exact"/>
        <w:ind w:firstLine="480" w:firstLineChars="200"/>
        <w:rPr>
          <w:rFonts w:ascii="楷体" w:hAnsi="楷体" w:eastAsia="楷体"/>
          <w:sz w:val="24"/>
          <w:highlight w:val="none"/>
          <w:u w:val="single"/>
        </w:rPr>
      </w:pPr>
      <w:r>
        <w:rPr>
          <w:rFonts w:hint="eastAsia" w:ascii="楷体" w:hAnsi="楷体" w:eastAsia="楷体"/>
          <w:sz w:val="24"/>
          <w:highlight w:val="none"/>
        </w:rPr>
        <w:t>1.5.1 履行期限</w:t>
      </w:r>
      <w:r>
        <w:rPr>
          <w:rFonts w:ascii="楷体" w:hAnsi="楷体" w:eastAsia="楷体"/>
          <w:sz w:val="24"/>
          <w:highlight w:val="none"/>
        </w:rPr>
        <w:t>：</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48BD10B5">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1.5.2 履行地点</w:t>
      </w:r>
      <w:r>
        <w:rPr>
          <w:rFonts w:ascii="楷体" w:hAnsi="楷体" w:eastAsia="楷体"/>
          <w:sz w:val="24"/>
          <w:highlight w:val="none"/>
        </w:rPr>
        <w:t>：</w:t>
      </w:r>
      <w:r>
        <w:rPr>
          <w:rFonts w:hint="eastAsia" w:ascii="楷体" w:hAnsi="楷体" w:eastAsia="楷体"/>
          <w:sz w:val="24"/>
          <w:highlight w:val="none"/>
          <w:u w:val="single"/>
        </w:rPr>
        <w:t xml:space="preserve">                                                </w:t>
      </w:r>
      <w:r>
        <w:rPr>
          <w:rFonts w:hint="eastAsia" w:ascii="楷体" w:hAnsi="楷体" w:eastAsia="楷体"/>
          <w:sz w:val="24"/>
          <w:highlight w:val="none"/>
        </w:rPr>
        <w:t>；</w:t>
      </w:r>
    </w:p>
    <w:p w14:paraId="5EFD19CB">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1.5.3 履行方式：</w:t>
      </w:r>
      <w:r>
        <w:rPr>
          <w:rFonts w:ascii="楷体" w:hAnsi="楷体" w:eastAsia="楷体"/>
          <w:sz w:val="24"/>
          <w:highlight w:val="none"/>
          <w:u w:val="single"/>
        </w:rPr>
        <w:t>　　　　　　　　　</w:t>
      </w:r>
      <w:r>
        <w:rPr>
          <w:rFonts w:hint="eastAsia" w:ascii="楷体" w:hAnsi="楷体" w:eastAsia="楷体"/>
          <w:sz w:val="24"/>
          <w:highlight w:val="none"/>
          <w:u w:val="single"/>
        </w:rPr>
        <w:t xml:space="preserve">                      </w:t>
      </w:r>
      <w:r>
        <w:rPr>
          <w:rFonts w:ascii="楷体" w:hAnsi="楷体" w:eastAsia="楷体"/>
          <w:sz w:val="24"/>
          <w:highlight w:val="none"/>
          <w:u w:val="single"/>
        </w:rPr>
        <w:t xml:space="preserve">　      </w:t>
      </w:r>
      <w:r>
        <w:rPr>
          <w:rFonts w:hint="eastAsia" w:ascii="楷体" w:hAnsi="楷体" w:eastAsia="楷体"/>
          <w:sz w:val="24"/>
          <w:highlight w:val="none"/>
        </w:rPr>
        <w:t>。</w:t>
      </w:r>
    </w:p>
    <w:p w14:paraId="5AF1DB07">
      <w:pPr>
        <w:spacing w:line="560" w:lineRule="exact"/>
        <w:ind w:firstLine="482" w:firstLineChars="200"/>
        <w:outlineLvl w:val="0"/>
        <w:rPr>
          <w:rFonts w:ascii="楷体" w:hAnsi="楷体" w:eastAsia="楷体"/>
          <w:sz w:val="24"/>
          <w:highlight w:val="none"/>
          <w:u w:val="single"/>
        </w:rPr>
      </w:pPr>
      <w:bookmarkStart w:id="345" w:name="_Toc3079"/>
      <w:bookmarkStart w:id="346" w:name="_Toc2375"/>
      <w:bookmarkStart w:id="347" w:name="_Toc24662"/>
      <w:bookmarkStart w:id="348" w:name="_Toc8586"/>
      <w:bookmarkStart w:id="349" w:name="_Toc5698"/>
      <w:r>
        <w:rPr>
          <w:rFonts w:hint="eastAsia" w:ascii="楷体" w:hAnsi="楷体" w:eastAsia="楷体"/>
          <w:b/>
          <w:sz w:val="24"/>
          <w:highlight w:val="none"/>
        </w:rPr>
        <w:t>1.6 违约责任</w:t>
      </w:r>
      <w:bookmarkEnd w:id="345"/>
      <w:bookmarkEnd w:id="346"/>
      <w:bookmarkEnd w:id="347"/>
      <w:bookmarkEnd w:id="348"/>
      <w:bookmarkEnd w:id="349"/>
    </w:p>
    <w:p w14:paraId="35BC1CF4">
      <w:pPr>
        <w:spacing w:line="560" w:lineRule="exact"/>
        <w:ind w:firstLine="480" w:firstLineChars="200"/>
        <w:rPr>
          <w:rFonts w:ascii="楷体" w:hAnsi="楷体" w:eastAsia="楷体"/>
          <w:sz w:val="24"/>
          <w:highlight w:val="none"/>
        </w:rPr>
      </w:pPr>
      <w:bookmarkStart w:id="350" w:name="_Toc30329"/>
      <w:bookmarkStart w:id="351" w:name="_Toc9497"/>
      <w:bookmarkStart w:id="352" w:name="_Toc32454"/>
      <w:bookmarkStart w:id="353" w:name="_Toc18683"/>
      <w:bookmarkStart w:id="354" w:name="_Toc26807"/>
      <w:r>
        <w:rPr>
          <w:rFonts w:hint="eastAsia" w:ascii="楷体" w:hAnsi="楷体" w:eastAsia="楷体"/>
          <w:sz w:val="24"/>
          <w:highlight w:val="none"/>
        </w:rPr>
        <w:t xml:space="preserve">1.6.1 </w:t>
      </w:r>
      <w:r>
        <w:rPr>
          <w:rFonts w:ascii="楷体" w:hAnsi="楷体" w:eastAsia="楷体"/>
          <w:sz w:val="24"/>
          <w:highlight w:val="none"/>
        </w:rPr>
        <w:t>除不可抗力外，如果乙方没有按照本合同约定的期限</w:t>
      </w:r>
      <w:r>
        <w:rPr>
          <w:rFonts w:hint="eastAsia" w:ascii="楷体" w:hAnsi="楷体" w:eastAsia="楷体"/>
          <w:sz w:val="24"/>
          <w:highlight w:val="none"/>
        </w:rPr>
        <w:t>、</w:t>
      </w:r>
      <w:r>
        <w:rPr>
          <w:rFonts w:ascii="楷体" w:hAnsi="楷体" w:eastAsia="楷体"/>
          <w:sz w:val="24"/>
          <w:highlight w:val="none"/>
        </w:rPr>
        <w:t>地点和方式交付货物，那么甲方可要求乙方支付违约金</w:t>
      </w:r>
      <w:r>
        <w:rPr>
          <w:rFonts w:hint="eastAsia" w:ascii="楷体" w:hAnsi="楷体" w:eastAsia="楷体"/>
          <w:sz w:val="24"/>
          <w:highlight w:val="none"/>
        </w:rPr>
        <w:t>，</w:t>
      </w:r>
      <w:r>
        <w:rPr>
          <w:rFonts w:ascii="楷体" w:hAnsi="楷体" w:eastAsia="楷体"/>
          <w:sz w:val="24"/>
          <w:highlight w:val="none"/>
        </w:rPr>
        <w:t>违约金按每迟延交付货物一日的应交付而未交付货物价格的</w:t>
      </w:r>
      <w:r>
        <w:rPr>
          <w:rFonts w:hint="eastAsia" w:ascii="楷体" w:hAnsi="楷体" w:eastAsia="楷体"/>
          <w:sz w:val="24"/>
          <w:highlight w:val="none"/>
          <w:u w:val="single"/>
        </w:rPr>
        <w:t xml:space="preserve">    </w:t>
      </w:r>
      <w:r>
        <w:rPr>
          <w:rFonts w:ascii="楷体" w:hAnsi="楷体" w:eastAsia="楷体"/>
          <w:sz w:val="24"/>
          <w:highlight w:val="none"/>
        </w:rPr>
        <w:t>%计算</w:t>
      </w:r>
      <w:r>
        <w:rPr>
          <w:rFonts w:hint="eastAsia" w:ascii="楷体" w:hAnsi="楷体" w:eastAsia="楷体"/>
          <w:sz w:val="24"/>
          <w:highlight w:val="none"/>
        </w:rPr>
        <w:t>，</w:t>
      </w:r>
      <w:r>
        <w:rPr>
          <w:rFonts w:ascii="楷体" w:hAnsi="楷体" w:eastAsia="楷体"/>
          <w:sz w:val="24"/>
          <w:highlight w:val="none"/>
        </w:rPr>
        <w:t>最高限额为</w:t>
      </w:r>
      <w:r>
        <w:rPr>
          <w:rFonts w:hint="eastAsia" w:ascii="楷体" w:hAnsi="楷体" w:eastAsia="楷体"/>
          <w:sz w:val="24"/>
          <w:highlight w:val="none"/>
        </w:rPr>
        <w:t>本</w:t>
      </w:r>
      <w:r>
        <w:rPr>
          <w:rFonts w:ascii="楷体" w:hAnsi="楷体" w:eastAsia="楷体"/>
          <w:sz w:val="24"/>
          <w:highlight w:val="none"/>
        </w:rPr>
        <w:t>合同总价的</w:t>
      </w:r>
      <w:r>
        <w:rPr>
          <w:rFonts w:hint="eastAsia"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w:t>
      </w:r>
      <w:r>
        <w:rPr>
          <w:rFonts w:ascii="楷体" w:hAnsi="楷体" w:eastAsia="楷体"/>
          <w:sz w:val="24"/>
          <w:highlight w:val="none"/>
        </w:rPr>
        <w:t>迟延交付货物的违约金计算数额达到前述最高限额之日起</w:t>
      </w:r>
      <w:r>
        <w:rPr>
          <w:rFonts w:hint="eastAsia" w:ascii="楷体" w:hAnsi="楷体" w:eastAsia="楷体"/>
          <w:sz w:val="24"/>
          <w:highlight w:val="none"/>
        </w:rPr>
        <w:t>，</w:t>
      </w:r>
      <w:r>
        <w:rPr>
          <w:rFonts w:ascii="楷体" w:hAnsi="楷体" w:eastAsia="楷体"/>
          <w:sz w:val="24"/>
          <w:highlight w:val="none"/>
        </w:rPr>
        <w:t>甲方有权在要求乙方支付违约金的同时</w:t>
      </w:r>
      <w:r>
        <w:rPr>
          <w:rFonts w:hint="eastAsia" w:ascii="楷体" w:hAnsi="楷体" w:eastAsia="楷体"/>
          <w:sz w:val="24"/>
          <w:highlight w:val="none"/>
        </w:rPr>
        <w:t>，书面通知乙方</w:t>
      </w:r>
      <w:r>
        <w:rPr>
          <w:rFonts w:ascii="楷体" w:hAnsi="楷体" w:eastAsia="楷体"/>
          <w:sz w:val="24"/>
          <w:highlight w:val="none"/>
        </w:rPr>
        <w:t>解除本合同</w:t>
      </w:r>
      <w:r>
        <w:rPr>
          <w:rFonts w:hint="eastAsia" w:ascii="楷体" w:hAnsi="楷体" w:eastAsia="楷体"/>
          <w:sz w:val="24"/>
          <w:highlight w:val="none"/>
        </w:rPr>
        <w:t>；</w:t>
      </w:r>
    </w:p>
    <w:p w14:paraId="686AF094">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 xml:space="preserve">1.6.2 </w:t>
      </w:r>
      <w:r>
        <w:rPr>
          <w:rFonts w:ascii="楷体" w:hAnsi="楷体" w:eastAsia="楷体"/>
          <w:sz w:val="24"/>
          <w:highlight w:val="none"/>
        </w:rPr>
        <w:t>除不可抗力外，如果甲方没有按照本合同约定的付款方式付款，那么乙方可要求甲方支付违约金</w:t>
      </w:r>
      <w:r>
        <w:rPr>
          <w:rFonts w:hint="eastAsia" w:ascii="楷体" w:hAnsi="楷体" w:eastAsia="楷体"/>
          <w:sz w:val="24"/>
          <w:highlight w:val="none"/>
        </w:rPr>
        <w:t>，</w:t>
      </w:r>
      <w:r>
        <w:rPr>
          <w:rFonts w:ascii="楷体" w:hAnsi="楷体" w:eastAsia="楷体"/>
          <w:sz w:val="24"/>
          <w:highlight w:val="none"/>
        </w:rPr>
        <w:t>违约金按每迟延</w:t>
      </w:r>
      <w:r>
        <w:rPr>
          <w:rFonts w:hint="eastAsia" w:ascii="楷体" w:hAnsi="楷体" w:eastAsia="楷体"/>
          <w:sz w:val="24"/>
          <w:highlight w:val="none"/>
        </w:rPr>
        <w:t>付款</w:t>
      </w:r>
      <w:r>
        <w:rPr>
          <w:rFonts w:ascii="楷体" w:hAnsi="楷体" w:eastAsia="楷体"/>
          <w:sz w:val="24"/>
          <w:highlight w:val="none"/>
        </w:rPr>
        <w:t>一日的应付而未付款的</w:t>
      </w:r>
      <w:r>
        <w:rPr>
          <w:rFonts w:hint="eastAsia" w:ascii="楷体" w:hAnsi="楷体" w:eastAsia="楷体"/>
          <w:sz w:val="24"/>
          <w:highlight w:val="none"/>
          <w:u w:val="single"/>
        </w:rPr>
        <w:t xml:space="preserve">    </w:t>
      </w:r>
      <w:r>
        <w:rPr>
          <w:rFonts w:ascii="楷体" w:hAnsi="楷体" w:eastAsia="楷体"/>
          <w:sz w:val="24"/>
          <w:highlight w:val="none"/>
        </w:rPr>
        <w:t>%计算</w:t>
      </w:r>
      <w:r>
        <w:rPr>
          <w:rFonts w:hint="eastAsia" w:ascii="楷体" w:hAnsi="楷体" w:eastAsia="楷体"/>
          <w:sz w:val="24"/>
          <w:highlight w:val="none"/>
        </w:rPr>
        <w:t>，</w:t>
      </w:r>
      <w:r>
        <w:rPr>
          <w:rFonts w:ascii="楷体" w:hAnsi="楷体" w:eastAsia="楷体"/>
          <w:sz w:val="24"/>
          <w:highlight w:val="none"/>
        </w:rPr>
        <w:t>最高限额为</w:t>
      </w:r>
      <w:r>
        <w:rPr>
          <w:rFonts w:hint="eastAsia" w:ascii="楷体" w:hAnsi="楷体" w:eastAsia="楷体"/>
          <w:sz w:val="24"/>
          <w:highlight w:val="none"/>
        </w:rPr>
        <w:t>本</w:t>
      </w:r>
      <w:r>
        <w:rPr>
          <w:rFonts w:ascii="楷体" w:hAnsi="楷体" w:eastAsia="楷体"/>
          <w:sz w:val="24"/>
          <w:highlight w:val="none"/>
        </w:rPr>
        <w:t>合同总价的</w:t>
      </w:r>
      <w:r>
        <w:rPr>
          <w:rFonts w:hint="eastAsia"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w:t>
      </w:r>
      <w:r>
        <w:rPr>
          <w:rFonts w:ascii="楷体" w:hAnsi="楷体" w:eastAsia="楷体"/>
          <w:sz w:val="24"/>
          <w:highlight w:val="none"/>
        </w:rPr>
        <w:t>迟延</w:t>
      </w:r>
      <w:r>
        <w:rPr>
          <w:rFonts w:hint="eastAsia" w:ascii="楷体" w:hAnsi="楷体" w:eastAsia="楷体"/>
          <w:sz w:val="24"/>
          <w:highlight w:val="none"/>
        </w:rPr>
        <w:t>付款</w:t>
      </w:r>
      <w:r>
        <w:rPr>
          <w:rFonts w:ascii="楷体" w:hAnsi="楷体" w:eastAsia="楷体"/>
          <w:sz w:val="24"/>
          <w:highlight w:val="none"/>
        </w:rPr>
        <w:t>的违约金计算数额达到前述最高限额之日起</w:t>
      </w:r>
      <w:r>
        <w:rPr>
          <w:rFonts w:hint="eastAsia" w:ascii="楷体" w:hAnsi="楷体" w:eastAsia="楷体"/>
          <w:sz w:val="24"/>
          <w:highlight w:val="none"/>
        </w:rPr>
        <w:t>，乙</w:t>
      </w:r>
      <w:r>
        <w:rPr>
          <w:rFonts w:ascii="楷体" w:hAnsi="楷体" w:eastAsia="楷体"/>
          <w:sz w:val="24"/>
          <w:highlight w:val="none"/>
        </w:rPr>
        <w:t>方有权在要求甲方支付违约金的同时</w:t>
      </w:r>
      <w:r>
        <w:rPr>
          <w:rFonts w:hint="eastAsia" w:ascii="楷体" w:hAnsi="楷体" w:eastAsia="楷体"/>
          <w:sz w:val="24"/>
          <w:highlight w:val="none"/>
        </w:rPr>
        <w:t>，书面通知甲方</w:t>
      </w:r>
      <w:r>
        <w:rPr>
          <w:rFonts w:ascii="楷体" w:hAnsi="楷体" w:eastAsia="楷体"/>
          <w:sz w:val="24"/>
          <w:highlight w:val="none"/>
        </w:rPr>
        <w:t>解除本合同</w:t>
      </w:r>
      <w:r>
        <w:rPr>
          <w:rFonts w:hint="eastAsia" w:ascii="楷体" w:hAnsi="楷体" w:eastAsia="楷体"/>
          <w:sz w:val="24"/>
          <w:highlight w:val="none"/>
        </w:rPr>
        <w:t>；</w:t>
      </w:r>
    </w:p>
    <w:p w14:paraId="70DFBF00">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116A6D">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C48427">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C58CE74">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2C8A56A">
      <w:pPr>
        <w:spacing w:line="560" w:lineRule="exact"/>
        <w:ind w:firstLine="482" w:firstLineChars="200"/>
        <w:outlineLvl w:val="0"/>
        <w:rPr>
          <w:rFonts w:ascii="楷体" w:hAnsi="楷体" w:eastAsia="楷体"/>
          <w:b/>
          <w:sz w:val="24"/>
          <w:highlight w:val="none"/>
        </w:rPr>
      </w:pPr>
      <w:r>
        <w:rPr>
          <w:rFonts w:hint="eastAsia" w:ascii="楷体" w:hAnsi="楷体" w:eastAsia="楷体"/>
          <w:b/>
          <w:sz w:val="24"/>
          <w:highlight w:val="none"/>
        </w:rPr>
        <w:t>1.7 合同</w:t>
      </w:r>
      <w:r>
        <w:rPr>
          <w:rFonts w:ascii="楷体" w:hAnsi="楷体" w:eastAsia="楷体"/>
          <w:b/>
          <w:sz w:val="24"/>
          <w:highlight w:val="none"/>
        </w:rPr>
        <w:t>争议的解决</w:t>
      </w:r>
      <w:bookmarkEnd w:id="350"/>
      <w:bookmarkEnd w:id="351"/>
      <w:bookmarkEnd w:id="352"/>
      <w:bookmarkEnd w:id="353"/>
      <w:bookmarkEnd w:id="354"/>
    </w:p>
    <w:p w14:paraId="102B9E6E">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w:t>
      </w:r>
      <w:r>
        <w:rPr>
          <w:rFonts w:ascii="楷体" w:hAnsi="楷体" w:eastAsia="楷体"/>
          <w:sz w:val="24"/>
          <w:highlight w:val="none"/>
        </w:rPr>
        <w:t>同履行过程中发生的任何争议，双方当事人均可</w:t>
      </w:r>
      <w:r>
        <w:rPr>
          <w:rFonts w:hint="eastAsia" w:ascii="楷体" w:hAnsi="楷体" w:eastAsia="楷体"/>
          <w:sz w:val="24"/>
          <w:highlight w:val="none"/>
        </w:rPr>
        <w:t>通过和解或者调解解决；不愿和解、调解或者和解、调解不成的，可以选择下列第</w:t>
      </w:r>
      <w:r>
        <w:rPr>
          <w:rFonts w:hint="eastAsia" w:ascii="楷体" w:hAnsi="楷体" w:eastAsia="楷体"/>
          <w:sz w:val="24"/>
          <w:highlight w:val="none"/>
          <w:u w:val="single"/>
        </w:rPr>
        <w:t xml:space="preserve">    </w:t>
      </w:r>
      <w:r>
        <w:rPr>
          <w:rFonts w:hint="eastAsia" w:ascii="楷体" w:hAnsi="楷体" w:eastAsia="楷体"/>
          <w:sz w:val="24"/>
          <w:highlight w:val="none"/>
        </w:rPr>
        <w:t>种方式解决：</w:t>
      </w:r>
    </w:p>
    <w:p w14:paraId="55C8DA8A">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1.7.1 将争议提交</w:t>
      </w:r>
      <w:r>
        <w:rPr>
          <w:rFonts w:hint="eastAsia" w:ascii="楷体" w:hAnsi="楷体" w:eastAsia="楷体"/>
          <w:sz w:val="24"/>
          <w:highlight w:val="none"/>
          <w:u w:val="single"/>
        </w:rPr>
        <w:t xml:space="preserve">              </w:t>
      </w:r>
      <w:r>
        <w:rPr>
          <w:rFonts w:hint="eastAsia" w:ascii="楷体" w:hAnsi="楷体" w:eastAsia="楷体"/>
          <w:sz w:val="24"/>
          <w:highlight w:val="none"/>
        </w:rPr>
        <w:t>仲裁委员会依申请仲裁时其现行有效的仲裁规则裁决；</w:t>
      </w:r>
    </w:p>
    <w:p w14:paraId="419ACECC">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1.7.2 向</w:t>
      </w:r>
      <w:r>
        <w:rPr>
          <w:rFonts w:hint="eastAsia" w:ascii="楷体" w:hAnsi="楷体" w:eastAsia="楷体"/>
          <w:sz w:val="24"/>
          <w:highlight w:val="none"/>
          <w:u w:val="single"/>
        </w:rPr>
        <w:t xml:space="preserve">   （被告住所地、合同履行地、合同签订地、原告住所地、标的物所在地等与争议有实际联系的地点中选出的人民法院名称）    </w:t>
      </w:r>
      <w:r>
        <w:rPr>
          <w:rFonts w:hint="eastAsia" w:ascii="楷体" w:hAnsi="楷体" w:eastAsia="楷体"/>
          <w:sz w:val="24"/>
          <w:highlight w:val="none"/>
        </w:rPr>
        <w:t>人民法院起诉。</w:t>
      </w:r>
    </w:p>
    <w:p w14:paraId="04D37C05">
      <w:pPr>
        <w:spacing w:line="560" w:lineRule="exact"/>
        <w:ind w:firstLine="482" w:firstLineChars="200"/>
        <w:outlineLvl w:val="0"/>
        <w:rPr>
          <w:rFonts w:ascii="楷体" w:hAnsi="楷体" w:eastAsia="楷体"/>
          <w:b/>
          <w:sz w:val="24"/>
          <w:highlight w:val="none"/>
        </w:rPr>
      </w:pPr>
      <w:bookmarkStart w:id="355" w:name="_Toc23784"/>
      <w:bookmarkStart w:id="356" w:name="_Toc15827"/>
      <w:bookmarkStart w:id="357" w:name="_Toc16417"/>
      <w:bookmarkStart w:id="358" w:name="_Toc12273"/>
      <w:bookmarkStart w:id="359" w:name="_Toc26227"/>
      <w:r>
        <w:rPr>
          <w:rFonts w:hint="eastAsia" w:ascii="楷体" w:hAnsi="楷体" w:eastAsia="楷体"/>
          <w:b/>
          <w:sz w:val="24"/>
          <w:highlight w:val="none"/>
        </w:rPr>
        <w:t xml:space="preserve">1.8 </w:t>
      </w:r>
      <w:r>
        <w:rPr>
          <w:rFonts w:ascii="楷体" w:hAnsi="楷体" w:eastAsia="楷体"/>
          <w:b/>
          <w:sz w:val="24"/>
          <w:highlight w:val="none"/>
        </w:rPr>
        <w:t>合同生效</w:t>
      </w:r>
      <w:bookmarkEnd w:id="355"/>
      <w:bookmarkEnd w:id="356"/>
      <w:bookmarkEnd w:id="357"/>
      <w:bookmarkEnd w:id="358"/>
      <w:bookmarkEnd w:id="359"/>
    </w:p>
    <w:p w14:paraId="2E6B896F">
      <w:pPr>
        <w:spacing w:line="560" w:lineRule="exact"/>
        <w:ind w:firstLine="480" w:firstLineChars="200"/>
        <w:rPr>
          <w:rFonts w:ascii="楷体" w:hAnsi="楷体" w:eastAsia="楷体"/>
          <w:b/>
          <w:sz w:val="24"/>
          <w:highlight w:val="none"/>
        </w:rPr>
      </w:pPr>
      <w:r>
        <w:rPr>
          <w:rFonts w:ascii="楷体" w:hAnsi="楷体" w:eastAsia="楷体"/>
          <w:sz w:val="24"/>
          <w:highlight w:val="none"/>
        </w:rPr>
        <w:t>本合同自</w:t>
      </w:r>
      <w:r>
        <w:rPr>
          <w:rFonts w:hint="eastAsia" w:ascii="楷体" w:hAnsi="楷体" w:eastAsia="楷体"/>
          <w:sz w:val="24"/>
          <w:highlight w:val="none"/>
        </w:rPr>
        <w:t>双方当事人盖章或者签字时</w:t>
      </w:r>
      <w:r>
        <w:rPr>
          <w:rFonts w:ascii="楷体" w:hAnsi="楷体" w:eastAsia="楷体"/>
          <w:sz w:val="24"/>
          <w:highlight w:val="none"/>
        </w:rPr>
        <w:t>生效。</w:t>
      </w:r>
    </w:p>
    <w:p w14:paraId="67FDA019">
      <w:pPr>
        <w:autoSpaceDE w:val="0"/>
        <w:autoSpaceDN w:val="0"/>
        <w:adjustRightInd w:val="0"/>
        <w:spacing w:line="560" w:lineRule="exact"/>
        <w:rPr>
          <w:rFonts w:ascii="楷体" w:hAnsi="楷体" w:eastAsia="楷体"/>
          <w:sz w:val="24"/>
          <w:highlight w:val="none"/>
          <w:lang w:val="zh-CN"/>
        </w:rPr>
      </w:pPr>
    </w:p>
    <w:p w14:paraId="3D0887F7">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b/>
          <w:sz w:val="24"/>
          <w:highlight w:val="none"/>
          <w:lang w:val="zh-CN"/>
        </w:rPr>
        <w:t>甲方</w:t>
      </w:r>
      <w:r>
        <w:rPr>
          <w:rFonts w:hint="eastAsia" w:ascii="楷体" w:hAnsi="楷体" w:eastAsia="楷体"/>
          <w:sz w:val="24"/>
          <w:highlight w:val="none"/>
          <w:lang w:val="zh-CN"/>
        </w:rPr>
        <w:t xml:space="preserve">：                             </w:t>
      </w:r>
      <w:r>
        <w:rPr>
          <w:rFonts w:hint="eastAsia" w:ascii="楷体" w:hAnsi="楷体" w:eastAsia="楷体"/>
          <w:b/>
          <w:sz w:val="24"/>
          <w:highlight w:val="none"/>
          <w:lang w:val="zh-CN"/>
        </w:rPr>
        <w:t xml:space="preserve">      乙方</w:t>
      </w:r>
      <w:r>
        <w:rPr>
          <w:rFonts w:hint="eastAsia" w:ascii="楷体" w:hAnsi="楷体" w:eastAsia="楷体"/>
          <w:sz w:val="24"/>
          <w:highlight w:val="none"/>
          <w:lang w:val="zh-CN"/>
        </w:rPr>
        <w:t>：</w:t>
      </w:r>
    </w:p>
    <w:p w14:paraId="5D3A5799">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统一社会信用代码：                        统一社会信用代码或身份证号码：</w:t>
      </w:r>
    </w:p>
    <w:p w14:paraId="0D20FCCB">
      <w:pPr>
        <w:autoSpaceDE w:val="0"/>
        <w:autoSpaceDN w:val="0"/>
        <w:adjustRightInd w:val="0"/>
        <w:spacing w:line="560" w:lineRule="exact"/>
        <w:rPr>
          <w:rFonts w:ascii="楷体" w:hAnsi="楷体" w:eastAsia="楷体"/>
          <w:sz w:val="24"/>
          <w:highlight w:val="none"/>
          <w:lang w:val="zh-CN"/>
        </w:rPr>
      </w:pPr>
    </w:p>
    <w:p w14:paraId="008193B4">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住所：                                   住所：</w:t>
      </w:r>
    </w:p>
    <w:p w14:paraId="693ABBD8">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法定代表人或                             法定代表人</w:t>
      </w:r>
    </w:p>
    <w:p w14:paraId="2E649A1E">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 xml:space="preserve">授权代表（签字）：                        或授权代表（签字）: </w:t>
      </w:r>
    </w:p>
    <w:p w14:paraId="3A4C1AA7">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联系人：                                 联系人：</w:t>
      </w:r>
    </w:p>
    <w:p w14:paraId="30CDBCBA">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约定送达地址：                           约定送达地址：</w:t>
      </w:r>
    </w:p>
    <w:p w14:paraId="42893B96">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邮政编码：                               邮政编码：</w:t>
      </w:r>
    </w:p>
    <w:p w14:paraId="490D66AB">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 xml:space="preserve">电话:                                    电话: </w:t>
      </w:r>
    </w:p>
    <w:p w14:paraId="6A836E91">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传真:                                    传真:</w:t>
      </w:r>
    </w:p>
    <w:p w14:paraId="24C77105">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lang w:val="zh-CN"/>
        </w:rPr>
        <w:t>电子邮箱：                               电子邮箱：</w:t>
      </w:r>
    </w:p>
    <w:p w14:paraId="0B8FAE61">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 xml:space="preserve">开户银行：                               开户银行： </w:t>
      </w:r>
    </w:p>
    <w:p w14:paraId="3A40FF7A">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 xml:space="preserve">开户名称：                               开户名称： </w:t>
      </w:r>
    </w:p>
    <w:p w14:paraId="3975E205">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开户账号：</w:t>
      </w:r>
      <w:r>
        <w:rPr>
          <w:rFonts w:hint="eastAsia" w:ascii="楷体" w:hAnsi="楷体" w:eastAsia="楷体"/>
          <w:sz w:val="24"/>
          <w:highlight w:val="none"/>
          <w:lang w:val="zh-CN"/>
        </w:rPr>
        <w:t xml:space="preserve">                               </w:t>
      </w:r>
      <w:r>
        <w:rPr>
          <w:rFonts w:hint="eastAsia" w:ascii="楷体" w:hAnsi="楷体" w:eastAsia="楷体"/>
          <w:sz w:val="24"/>
          <w:highlight w:val="none"/>
        </w:rPr>
        <w:t>开户账号：</w:t>
      </w:r>
    </w:p>
    <w:p w14:paraId="1806228E">
      <w:pPr>
        <w:widowControl/>
        <w:spacing w:line="560" w:lineRule="exact"/>
        <w:jc w:val="left"/>
        <w:rPr>
          <w:rFonts w:ascii="楷体" w:hAnsi="楷体" w:eastAsia="楷体"/>
          <w:b/>
          <w:highlight w:val="none"/>
        </w:rPr>
      </w:pPr>
      <w:bookmarkStart w:id="360" w:name="_Toc331685783"/>
    </w:p>
    <w:p w14:paraId="5F5FDD62">
      <w:pPr>
        <w:pStyle w:val="51"/>
        <w:spacing w:line="560" w:lineRule="exact"/>
        <w:ind w:firstLine="200"/>
        <w:jc w:val="center"/>
        <w:rPr>
          <w:rFonts w:ascii="楷体" w:hAnsi="楷体" w:eastAsia="楷体"/>
          <w:b/>
          <w:szCs w:val="24"/>
          <w:highlight w:val="none"/>
        </w:rPr>
      </w:pPr>
      <w:r>
        <w:rPr>
          <w:rFonts w:hint="eastAsia" w:ascii="楷体" w:hAnsi="楷体" w:eastAsia="楷体"/>
          <w:b/>
          <w:szCs w:val="24"/>
          <w:highlight w:val="none"/>
        </w:rPr>
        <w:t>第二部分 合同一般条款</w:t>
      </w:r>
      <w:bookmarkEnd w:id="360"/>
    </w:p>
    <w:p w14:paraId="13DBF54A">
      <w:pPr>
        <w:spacing w:line="560" w:lineRule="exact"/>
        <w:ind w:firstLine="482" w:firstLineChars="200"/>
        <w:outlineLvl w:val="0"/>
        <w:rPr>
          <w:rFonts w:ascii="楷体" w:hAnsi="楷体" w:eastAsia="楷体"/>
          <w:b/>
          <w:sz w:val="24"/>
          <w:highlight w:val="none"/>
        </w:rPr>
      </w:pPr>
      <w:bookmarkStart w:id="361" w:name="_Ref467379214"/>
      <w:bookmarkStart w:id="362" w:name="_Toc19680"/>
      <w:bookmarkStart w:id="363" w:name="_Ref467378463"/>
      <w:bookmarkStart w:id="364" w:name="_Ref467378499"/>
      <w:bookmarkStart w:id="365" w:name="_Ref467379205"/>
      <w:bookmarkStart w:id="366" w:name="_Ref467379109"/>
      <w:bookmarkStart w:id="367" w:name="_Toc259093669"/>
      <w:bookmarkStart w:id="368" w:name="_Ref467379195"/>
      <w:bookmarkStart w:id="369" w:name="_Toc487900349"/>
      <w:bookmarkStart w:id="370" w:name="_Toc31297"/>
      <w:bookmarkStart w:id="371" w:name="_Toc279701240"/>
      <w:bookmarkStart w:id="372" w:name="_Ref467379225"/>
      <w:bookmarkStart w:id="373" w:name="_Ref467379094"/>
      <w:bookmarkStart w:id="374" w:name="_Ref467379101"/>
      <w:bookmarkStart w:id="375" w:name="_Toc14021"/>
      <w:bookmarkStart w:id="376" w:name="_Toc25079"/>
      <w:bookmarkStart w:id="377" w:name="_Ref467378404"/>
      <w:bookmarkStart w:id="378" w:name="_Toc5228"/>
      <w:r>
        <w:rPr>
          <w:rFonts w:hint="eastAsia" w:ascii="楷体" w:hAnsi="楷体" w:eastAsia="楷体"/>
          <w:b/>
          <w:sz w:val="24"/>
          <w:highlight w:val="none"/>
        </w:rPr>
        <w:t xml:space="preserve">2.1 </w:t>
      </w:r>
      <w:r>
        <w:rPr>
          <w:rFonts w:ascii="楷体" w:hAnsi="楷体" w:eastAsia="楷体"/>
          <w:b/>
          <w:sz w:val="24"/>
          <w:highlight w:val="none"/>
        </w:rPr>
        <w:t>定义</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446BFCE">
      <w:pPr>
        <w:spacing w:line="560" w:lineRule="exact"/>
        <w:ind w:firstLine="480" w:firstLineChars="200"/>
        <w:rPr>
          <w:rFonts w:ascii="楷体" w:hAnsi="楷体" w:eastAsia="楷体"/>
          <w:sz w:val="24"/>
          <w:highlight w:val="none"/>
        </w:rPr>
      </w:pPr>
      <w:r>
        <w:rPr>
          <w:rFonts w:ascii="楷体" w:hAnsi="楷体" w:eastAsia="楷体"/>
          <w:sz w:val="24"/>
          <w:highlight w:val="none"/>
        </w:rPr>
        <w:t>本合同中的下列</w:t>
      </w:r>
      <w:r>
        <w:rPr>
          <w:rFonts w:hint="eastAsia" w:ascii="楷体" w:hAnsi="楷体" w:eastAsia="楷体"/>
          <w:sz w:val="24"/>
          <w:highlight w:val="none"/>
        </w:rPr>
        <w:t>词</w:t>
      </w:r>
      <w:r>
        <w:rPr>
          <w:rFonts w:ascii="楷体" w:hAnsi="楷体" w:eastAsia="楷体"/>
          <w:sz w:val="24"/>
          <w:highlight w:val="none"/>
        </w:rPr>
        <w:t>语应</w:t>
      </w:r>
      <w:r>
        <w:rPr>
          <w:rFonts w:hint="eastAsia" w:ascii="楷体" w:hAnsi="楷体" w:eastAsia="楷体"/>
          <w:sz w:val="24"/>
          <w:highlight w:val="none"/>
        </w:rPr>
        <w:t>按以下内容进行</w:t>
      </w:r>
      <w:r>
        <w:rPr>
          <w:rFonts w:ascii="楷体" w:hAnsi="楷体" w:eastAsia="楷体"/>
          <w:sz w:val="24"/>
          <w:highlight w:val="none"/>
        </w:rPr>
        <w:t>解释：</w:t>
      </w:r>
    </w:p>
    <w:p w14:paraId="7A90BE1E">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w:t>
      </w:r>
      <w:r>
        <w:rPr>
          <w:rFonts w:ascii="楷体" w:hAnsi="楷体" w:eastAsia="楷体"/>
          <w:sz w:val="24"/>
          <w:highlight w:val="none"/>
        </w:rPr>
        <w:t>.1</w:t>
      </w:r>
      <w:r>
        <w:rPr>
          <w:rFonts w:hint="eastAsia" w:ascii="楷体" w:hAnsi="楷体" w:eastAsia="楷体"/>
          <w:sz w:val="24"/>
          <w:highlight w:val="none"/>
        </w:rPr>
        <w:t>.1</w:t>
      </w:r>
      <w:r>
        <w:rPr>
          <w:rFonts w:ascii="楷体" w:hAnsi="楷体" w:eastAsia="楷体"/>
          <w:sz w:val="24"/>
          <w:highlight w:val="none"/>
        </w:rPr>
        <w:t xml:space="preserve"> “合同”系指采购人和中标</w:t>
      </w:r>
      <w:r>
        <w:rPr>
          <w:rFonts w:hint="eastAsia" w:ascii="楷体" w:hAnsi="楷体" w:eastAsia="楷体"/>
          <w:sz w:val="24"/>
          <w:highlight w:val="none"/>
          <w:lang w:eastAsia="zh-CN"/>
        </w:rPr>
        <w:t>供应商</w:t>
      </w:r>
      <w:r>
        <w:rPr>
          <w:rFonts w:ascii="楷体" w:hAnsi="楷体" w:eastAsia="楷体"/>
          <w:sz w:val="24"/>
          <w:highlight w:val="none"/>
        </w:rPr>
        <w:t>签订的载明双方当事人所达成的协议，并包括所有的附件、附录和构成合同的其他文件。</w:t>
      </w:r>
    </w:p>
    <w:p w14:paraId="5E44D345">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w:t>
      </w:r>
      <w:r>
        <w:rPr>
          <w:rFonts w:ascii="楷体" w:hAnsi="楷体" w:eastAsia="楷体"/>
          <w:sz w:val="24"/>
          <w:highlight w:val="none"/>
        </w:rPr>
        <w:t>1.2 “合同价”系指根据合同约定，中标</w:t>
      </w:r>
      <w:r>
        <w:rPr>
          <w:rFonts w:hint="eastAsia" w:ascii="楷体" w:hAnsi="楷体" w:eastAsia="楷体"/>
          <w:sz w:val="24"/>
          <w:highlight w:val="none"/>
          <w:lang w:eastAsia="zh-CN"/>
        </w:rPr>
        <w:t>供应商</w:t>
      </w:r>
      <w:r>
        <w:rPr>
          <w:rFonts w:ascii="楷体" w:hAnsi="楷体" w:eastAsia="楷体"/>
          <w:sz w:val="24"/>
          <w:highlight w:val="none"/>
        </w:rPr>
        <w:t>在完全履行合同义务后</w:t>
      </w:r>
      <w:r>
        <w:rPr>
          <w:rFonts w:hint="eastAsia" w:ascii="楷体" w:hAnsi="楷体" w:eastAsia="楷体"/>
          <w:sz w:val="24"/>
          <w:highlight w:val="none"/>
        </w:rPr>
        <w:t>，</w:t>
      </w:r>
      <w:r>
        <w:rPr>
          <w:rFonts w:ascii="楷体" w:hAnsi="楷体" w:eastAsia="楷体"/>
          <w:sz w:val="24"/>
          <w:highlight w:val="none"/>
        </w:rPr>
        <w:t>采购人应支付给中标</w:t>
      </w:r>
      <w:r>
        <w:rPr>
          <w:rFonts w:hint="eastAsia" w:ascii="楷体" w:hAnsi="楷体" w:eastAsia="楷体"/>
          <w:sz w:val="24"/>
          <w:highlight w:val="none"/>
          <w:lang w:eastAsia="zh-CN"/>
        </w:rPr>
        <w:t>供应商</w:t>
      </w:r>
      <w:r>
        <w:rPr>
          <w:rFonts w:ascii="楷体" w:hAnsi="楷体" w:eastAsia="楷体"/>
          <w:sz w:val="24"/>
          <w:highlight w:val="none"/>
        </w:rPr>
        <w:t>的价格。</w:t>
      </w:r>
    </w:p>
    <w:p w14:paraId="67023A25">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w:t>
      </w:r>
      <w:r>
        <w:rPr>
          <w:rFonts w:ascii="楷体" w:hAnsi="楷体" w:eastAsia="楷体"/>
          <w:sz w:val="24"/>
          <w:highlight w:val="none"/>
        </w:rPr>
        <w:t>1.3 “</w:t>
      </w:r>
      <w:r>
        <w:rPr>
          <w:rFonts w:hint="eastAsia" w:ascii="楷体" w:hAnsi="楷体" w:eastAsia="楷体"/>
          <w:sz w:val="24"/>
          <w:highlight w:val="none"/>
        </w:rPr>
        <w:t>服务</w:t>
      </w:r>
      <w:r>
        <w:rPr>
          <w:rFonts w:ascii="楷体" w:hAnsi="楷体" w:eastAsia="楷体"/>
          <w:sz w:val="24"/>
          <w:highlight w:val="none"/>
        </w:rPr>
        <w:t>”系指</w:t>
      </w:r>
      <w:r>
        <w:rPr>
          <w:rFonts w:hint="eastAsia" w:ascii="楷体" w:hAnsi="楷体" w:eastAsia="楷体"/>
          <w:sz w:val="24"/>
          <w:highlight w:val="none"/>
        </w:rPr>
        <w:t>中标</w:t>
      </w:r>
      <w:r>
        <w:rPr>
          <w:rFonts w:hint="eastAsia" w:ascii="楷体" w:hAnsi="楷体" w:eastAsia="楷体"/>
          <w:sz w:val="24"/>
          <w:highlight w:val="none"/>
          <w:lang w:eastAsia="zh-CN"/>
        </w:rPr>
        <w:t>供应商</w:t>
      </w:r>
      <w:r>
        <w:rPr>
          <w:rFonts w:ascii="楷体" w:hAnsi="楷体" w:eastAsia="楷体"/>
          <w:sz w:val="24"/>
          <w:highlight w:val="none"/>
        </w:rPr>
        <w:t>根据合同约定应向采购人</w:t>
      </w:r>
      <w:r>
        <w:rPr>
          <w:rFonts w:hint="eastAsia" w:ascii="楷体" w:hAnsi="楷体" w:eastAsia="楷体"/>
          <w:sz w:val="24"/>
          <w:highlight w:val="none"/>
        </w:rPr>
        <w:t>履行</w:t>
      </w:r>
      <w:r>
        <w:rPr>
          <w:rFonts w:ascii="楷体" w:hAnsi="楷体" w:eastAsia="楷体"/>
          <w:sz w:val="24"/>
          <w:highlight w:val="none"/>
        </w:rPr>
        <w:t>的</w:t>
      </w:r>
      <w:r>
        <w:rPr>
          <w:rFonts w:hint="eastAsia" w:ascii="楷体" w:hAnsi="楷体" w:eastAsia="楷体"/>
          <w:sz w:val="24"/>
          <w:highlight w:val="none"/>
        </w:rPr>
        <w:t>除货物和工程以外的其他政府采购对象，包括采购人自身需要的服务和向社会公众提供的公共服务。</w:t>
      </w:r>
    </w:p>
    <w:p w14:paraId="433AA238">
      <w:pPr>
        <w:spacing w:line="560" w:lineRule="exact"/>
        <w:ind w:firstLine="480" w:firstLineChars="200"/>
        <w:rPr>
          <w:rFonts w:ascii="楷体" w:hAnsi="楷体" w:eastAsia="楷体"/>
          <w:sz w:val="24"/>
          <w:highlight w:val="none"/>
        </w:rPr>
      </w:pPr>
      <w:bookmarkStart w:id="379" w:name="_Ref467378840"/>
      <w:r>
        <w:rPr>
          <w:rFonts w:hint="eastAsia" w:ascii="楷体" w:hAnsi="楷体" w:eastAsia="楷体"/>
          <w:sz w:val="24"/>
          <w:highlight w:val="none"/>
        </w:rPr>
        <w:t>2.</w:t>
      </w:r>
      <w:r>
        <w:rPr>
          <w:rFonts w:ascii="楷体" w:hAnsi="楷体" w:eastAsia="楷体"/>
          <w:sz w:val="24"/>
          <w:highlight w:val="none"/>
        </w:rPr>
        <w:t>1.</w:t>
      </w:r>
      <w:r>
        <w:rPr>
          <w:rFonts w:hint="eastAsia" w:ascii="楷体" w:hAnsi="楷体" w:eastAsia="楷体"/>
          <w:sz w:val="24"/>
          <w:highlight w:val="none"/>
        </w:rPr>
        <w:t>4</w:t>
      </w:r>
      <w:r>
        <w:rPr>
          <w:rFonts w:ascii="楷体" w:hAnsi="楷体" w:eastAsia="楷体"/>
          <w:sz w:val="24"/>
          <w:highlight w:val="none"/>
        </w:rPr>
        <w:t xml:space="preserve"> “</w:t>
      </w:r>
      <w:r>
        <w:rPr>
          <w:rFonts w:hint="eastAsia" w:ascii="楷体" w:hAnsi="楷体" w:eastAsia="楷体"/>
          <w:sz w:val="24"/>
          <w:highlight w:val="none"/>
        </w:rPr>
        <w:t>甲方</w:t>
      </w:r>
      <w:r>
        <w:rPr>
          <w:rFonts w:ascii="楷体" w:hAnsi="楷体" w:eastAsia="楷体"/>
          <w:sz w:val="24"/>
          <w:highlight w:val="none"/>
        </w:rPr>
        <w:t>”系指与</w:t>
      </w:r>
      <w:r>
        <w:rPr>
          <w:rFonts w:hint="eastAsia" w:ascii="楷体" w:hAnsi="楷体" w:eastAsia="楷体"/>
          <w:sz w:val="24"/>
          <w:highlight w:val="none"/>
        </w:rPr>
        <w:t>中标</w:t>
      </w:r>
      <w:r>
        <w:rPr>
          <w:rFonts w:hint="eastAsia" w:ascii="楷体" w:hAnsi="楷体" w:eastAsia="楷体"/>
          <w:sz w:val="24"/>
          <w:highlight w:val="none"/>
          <w:lang w:eastAsia="zh-CN"/>
        </w:rPr>
        <w:t>供应商</w:t>
      </w:r>
      <w:r>
        <w:rPr>
          <w:rFonts w:ascii="楷体" w:hAnsi="楷体" w:eastAsia="楷体"/>
          <w:sz w:val="24"/>
          <w:highlight w:val="none"/>
        </w:rPr>
        <w:t>签署合同的采购人</w:t>
      </w:r>
      <w:bookmarkEnd w:id="379"/>
      <w:r>
        <w:rPr>
          <w:rFonts w:hint="eastAsia" w:ascii="楷体" w:hAnsi="楷体" w:eastAsia="楷体"/>
          <w:sz w:val="24"/>
          <w:highlight w:val="none"/>
        </w:rPr>
        <w:t>；采购人委托采购代理机构代表其与乙方签订合同的，采购人的授权委托书作为合同附件。</w:t>
      </w:r>
    </w:p>
    <w:p w14:paraId="4BE4DC10">
      <w:pPr>
        <w:spacing w:line="560" w:lineRule="exact"/>
        <w:ind w:firstLine="480" w:firstLineChars="200"/>
        <w:rPr>
          <w:rFonts w:ascii="楷体" w:hAnsi="楷体" w:eastAsia="楷体"/>
          <w:sz w:val="24"/>
          <w:highlight w:val="none"/>
        </w:rPr>
      </w:pPr>
      <w:bookmarkStart w:id="380" w:name="_Ref467379400"/>
      <w:r>
        <w:rPr>
          <w:rFonts w:hint="eastAsia" w:ascii="楷体" w:hAnsi="楷体" w:eastAsia="楷体"/>
          <w:sz w:val="24"/>
          <w:highlight w:val="none"/>
        </w:rPr>
        <w:t>2.</w:t>
      </w:r>
      <w:r>
        <w:rPr>
          <w:rFonts w:ascii="楷体" w:hAnsi="楷体" w:eastAsia="楷体"/>
          <w:sz w:val="24"/>
          <w:highlight w:val="none"/>
        </w:rPr>
        <w:t>1.</w:t>
      </w:r>
      <w:r>
        <w:rPr>
          <w:rFonts w:hint="eastAsia" w:ascii="楷体" w:hAnsi="楷体" w:eastAsia="楷体"/>
          <w:sz w:val="24"/>
          <w:highlight w:val="none"/>
        </w:rPr>
        <w:t>5</w:t>
      </w:r>
      <w:r>
        <w:rPr>
          <w:rFonts w:ascii="楷体" w:hAnsi="楷体" w:eastAsia="楷体"/>
          <w:sz w:val="24"/>
          <w:highlight w:val="none"/>
        </w:rPr>
        <w:t xml:space="preserve"> “乙方”系指根据合同约定提供服务的中标</w:t>
      </w:r>
      <w:bookmarkEnd w:id="380"/>
      <w:r>
        <w:rPr>
          <w:rFonts w:hint="eastAsia" w:ascii="楷体" w:hAnsi="楷体" w:eastAsia="楷体"/>
          <w:sz w:val="24"/>
          <w:highlight w:val="none"/>
          <w:lang w:eastAsia="zh-CN"/>
        </w:rPr>
        <w:t>供应商</w:t>
      </w:r>
      <w:r>
        <w:rPr>
          <w:rFonts w:hint="eastAsia" w:ascii="楷体" w:hAnsi="楷体" w:eastAsia="楷体"/>
          <w:sz w:val="24"/>
          <w:highlight w:val="none"/>
        </w:rPr>
        <w:t>；两个以上的自然人、法人或者其他组织组成一个联合体，以一个</w:t>
      </w:r>
      <w:r>
        <w:rPr>
          <w:rFonts w:hint="eastAsia" w:ascii="楷体" w:hAnsi="楷体" w:eastAsia="楷体"/>
          <w:sz w:val="24"/>
          <w:highlight w:val="none"/>
          <w:lang w:eastAsia="zh-CN"/>
        </w:rPr>
        <w:t>供应商</w:t>
      </w:r>
      <w:r>
        <w:rPr>
          <w:rFonts w:hint="eastAsia" w:ascii="楷体" w:hAnsi="楷体" w:eastAsia="楷体"/>
          <w:sz w:val="24"/>
          <w:highlight w:val="none"/>
        </w:rPr>
        <w:t>的身份共同参加政府采购的，联合体各方均应为乙方或者与乙方相同地位的合同当事人，并就合同约定的事项对甲方承担连带责任。</w:t>
      </w:r>
    </w:p>
    <w:p w14:paraId="00AB62C3">
      <w:pPr>
        <w:spacing w:line="560" w:lineRule="exact"/>
        <w:ind w:firstLine="480" w:firstLineChars="200"/>
        <w:rPr>
          <w:rFonts w:ascii="楷体" w:hAnsi="楷体" w:eastAsia="楷体"/>
          <w:sz w:val="24"/>
          <w:highlight w:val="none"/>
        </w:rPr>
      </w:pPr>
      <w:bookmarkStart w:id="381" w:name="_Ref467379436"/>
      <w:r>
        <w:rPr>
          <w:rFonts w:hint="eastAsia" w:ascii="楷体" w:hAnsi="楷体" w:eastAsia="楷体"/>
          <w:sz w:val="24"/>
          <w:highlight w:val="none"/>
        </w:rPr>
        <w:t>2.</w:t>
      </w:r>
      <w:r>
        <w:rPr>
          <w:rFonts w:ascii="楷体" w:hAnsi="楷体" w:eastAsia="楷体"/>
          <w:sz w:val="24"/>
          <w:highlight w:val="none"/>
        </w:rPr>
        <w:t>1.</w:t>
      </w:r>
      <w:r>
        <w:rPr>
          <w:rFonts w:hint="eastAsia" w:ascii="楷体" w:hAnsi="楷体" w:eastAsia="楷体"/>
          <w:sz w:val="24"/>
          <w:highlight w:val="none"/>
        </w:rPr>
        <w:t>6</w:t>
      </w:r>
      <w:r>
        <w:rPr>
          <w:rFonts w:ascii="楷体" w:hAnsi="楷体" w:eastAsia="楷体"/>
          <w:sz w:val="24"/>
          <w:highlight w:val="none"/>
        </w:rPr>
        <w:t xml:space="preserve"> “现场”系指合同约定提供服务的地点。</w:t>
      </w:r>
      <w:bookmarkEnd w:id="381"/>
    </w:p>
    <w:p w14:paraId="3733CD75">
      <w:pPr>
        <w:spacing w:line="560" w:lineRule="exact"/>
        <w:ind w:firstLine="482" w:firstLineChars="200"/>
        <w:outlineLvl w:val="0"/>
        <w:rPr>
          <w:rFonts w:ascii="楷体" w:hAnsi="楷体" w:eastAsia="楷体"/>
          <w:b/>
          <w:sz w:val="24"/>
          <w:highlight w:val="none"/>
        </w:rPr>
      </w:pPr>
      <w:bookmarkStart w:id="382" w:name="_Toc16752"/>
      <w:bookmarkStart w:id="383" w:name="_Toc487900350"/>
      <w:bookmarkStart w:id="384" w:name="_Toc3769"/>
      <w:bookmarkStart w:id="385" w:name="_Toc19539"/>
      <w:bookmarkStart w:id="386" w:name="_Toc23289"/>
      <w:bookmarkStart w:id="387" w:name="_Toc279701241"/>
      <w:bookmarkStart w:id="388" w:name="_Toc259093670"/>
      <w:bookmarkStart w:id="389" w:name="_Toc31402"/>
      <w:r>
        <w:rPr>
          <w:rFonts w:hint="eastAsia" w:ascii="楷体" w:hAnsi="楷体" w:eastAsia="楷体"/>
          <w:b/>
          <w:sz w:val="24"/>
          <w:highlight w:val="none"/>
        </w:rPr>
        <w:t>2.</w:t>
      </w:r>
      <w:r>
        <w:rPr>
          <w:rFonts w:ascii="楷体" w:hAnsi="楷体" w:eastAsia="楷体"/>
          <w:b/>
          <w:sz w:val="24"/>
          <w:highlight w:val="none"/>
        </w:rPr>
        <w:t>2</w:t>
      </w:r>
      <w:r>
        <w:rPr>
          <w:rFonts w:hint="eastAsia" w:ascii="楷体" w:hAnsi="楷体" w:eastAsia="楷体"/>
          <w:b/>
          <w:sz w:val="24"/>
          <w:highlight w:val="none"/>
        </w:rPr>
        <w:t xml:space="preserve"> </w:t>
      </w:r>
      <w:r>
        <w:rPr>
          <w:rFonts w:ascii="楷体" w:hAnsi="楷体" w:eastAsia="楷体"/>
          <w:b/>
          <w:sz w:val="24"/>
          <w:highlight w:val="none"/>
        </w:rPr>
        <w:t>技术规范</w:t>
      </w:r>
      <w:bookmarkEnd w:id="382"/>
      <w:bookmarkEnd w:id="383"/>
      <w:bookmarkEnd w:id="384"/>
      <w:bookmarkEnd w:id="385"/>
      <w:bookmarkEnd w:id="386"/>
      <w:bookmarkEnd w:id="387"/>
      <w:bookmarkEnd w:id="388"/>
      <w:bookmarkEnd w:id="389"/>
    </w:p>
    <w:p w14:paraId="3D74DA63">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服务</w:t>
      </w:r>
      <w:r>
        <w:rPr>
          <w:rFonts w:ascii="楷体" w:hAnsi="楷体" w:eastAsia="楷体"/>
          <w:sz w:val="24"/>
          <w:highlight w:val="none"/>
        </w:rPr>
        <w:t>所应遵守的技术规范应与采购文件规定的技术规范和技术规范附件(如果有的话)及其技术规范偏差表(如果被甲方接受的话)相一致</w:t>
      </w:r>
      <w:r>
        <w:rPr>
          <w:rFonts w:hint="eastAsia" w:ascii="楷体" w:hAnsi="楷体" w:eastAsia="楷体"/>
          <w:sz w:val="24"/>
          <w:highlight w:val="none"/>
        </w:rPr>
        <w:t>；</w:t>
      </w:r>
      <w:r>
        <w:rPr>
          <w:rFonts w:ascii="楷体" w:hAnsi="楷体" w:eastAsia="楷体"/>
          <w:sz w:val="24"/>
          <w:highlight w:val="none"/>
        </w:rPr>
        <w:t>如果采购文件中没有技术规范的相应说明，那么应以国家有关部门最新颁布的相应标准</w:t>
      </w:r>
      <w:r>
        <w:rPr>
          <w:rFonts w:hint="eastAsia" w:ascii="楷体" w:hAnsi="楷体" w:eastAsia="楷体"/>
          <w:sz w:val="24"/>
          <w:highlight w:val="none"/>
        </w:rPr>
        <w:t>和</w:t>
      </w:r>
      <w:r>
        <w:rPr>
          <w:rFonts w:ascii="楷体" w:hAnsi="楷体" w:eastAsia="楷体"/>
          <w:sz w:val="24"/>
          <w:highlight w:val="none"/>
        </w:rPr>
        <w:t>规范为准。</w:t>
      </w:r>
    </w:p>
    <w:p w14:paraId="22333AB1">
      <w:pPr>
        <w:spacing w:line="560" w:lineRule="exact"/>
        <w:ind w:firstLine="482" w:firstLineChars="200"/>
        <w:outlineLvl w:val="0"/>
        <w:rPr>
          <w:rFonts w:ascii="楷体" w:hAnsi="楷体" w:eastAsia="楷体"/>
          <w:b/>
          <w:sz w:val="24"/>
          <w:highlight w:val="none"/>
        </w:rPr>
      </w:pPr>
      <w:bookmarkStart w:id="390" w:name="_Toc259093671"/>
      <w:bookmarkStart w:id="391" w:name="_Toc487900351"/>
      <w:bookmarkStart w:id="392" w:name="_Toc9161"/>
      <w:bookmarkStart w:id="393" w:name="_Toc13673"/>
      <w:bookmarkStart w:id="394" w:name="_Toc279701242"/>
      <w:bookmarkStart w:id="395" w:name="_Toc27945"/>
      <w:bookmarkStart w:id="396" w:name="_Toc4133"/>
      <w:bookmarkStart w:id="397" w:name="_Toc12412"/>
      <w:r>
        <w:rPr>
          <w:rFonts w:hint="eastAsia" w:ascii="楷体" w:hAnsi="楷体" w:eastAsia="楷体"/>
          <w:b/>
          <w:sz w:val="24"/>
          <w:highlight w:val="none"/>
        </w:rPr>
        <w:t>2.</w:t>
      </w:r>
      <w:r>
        <w:rPr>
          <w:rFonts w:ascii="楷体" w:hAnsi="楷体" w:eastAsia="楷体"/>
          <w:b/>
          <w:sz w:val="24"/>
          <w:highlight w:val="none"/>
        </w:rPr>
        <w:t>3</w:t>
      </w:r>
      <w:r>
        <w:rPr>
          <w:rFonts w:hint="eastAsia" w:ascii="楷体" w:hAnsi="楷体" w:eastAsia="楷体"/>
          <w:b/>
          <w:sz w:val="24"/>
          <w:highlight w:val="none"/>
        </w:rPr>
        <w:t xml:space="preserve"> </w:t>
      </w:r>
      <w:r>
        <w:rPr>
          <w:rFonts w:ascii="楷体" w:hAnsi="楷体" w:eastAsia="楷体"/>
          <w:b/>
          <w:sz w:val="24"/>
          <w:highlight w:val="none"/>
        </w:rPr>
        <w:t>知识产权</w:t>
      </w:r>
      <w:bookmarkEnd w:id="390"/>
      <w:bookmarkEnd w:id="391"/>
      <w:bookmarkEnd w:id="392"/>
      <w:bookmarkEnd w:id="393"/>
      <w:bookmarkEnd w:id="394"/>
      <w:bookmarkEnd w:id="395"/>
      <w:bookmarkEnd w:id="396"/>
      <w:bookmarkEnd w:id="397"/>
    </w:p>
    <w:p w14:paraId="598C7D17">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2.3.1 乙</w:t>
      </w:r>
      <w:r>
        <w:rPr>
          <w:rFonts w:ascii="楷体" w:hAnsi="楷体" w:eastAsia="楷体"/>
          <w:sz w:val="24"/>
          <w:highlight w:val="none"/>
        </w:rPr>
        <w:t>方应保证</w:t>
      </w:r>
      <w:r>
        <w:rPr>
          <w:rFonts w:hint="eastAsia" w:ascii="楷体" w:hAnsi="楷体" w:eastAsia="楷体"/>
          <w:sz w:val="24"/>
          <w:highlight w:val="none"/>
        </w:rPr>
        <w:t>其提供的服务</w:t>
      </w:r>
      <w:r>
        <w:rPr>
          <w:rFonts w:ascii="楷体" w:hAnsi="楷体" w:eastAsia="楷体"/>
          <w:sz w:val="24"/>
          <w:highlight w:val="none"/>
        </w:rPr>
        <w:t>不受任何第三方提出的侵犯其著作权、商标权、专利权等知识产权方面的起诉</w:t>
      </w:r>
      <w:r>
        <w:rPr>
          <w:rFonts w:hint="eastAsia" w:ascii="楷体" w:hAnsi="楷体" w:eastAsia="楷体"/>
          <w:sz w:val="24"/>
          <w:highlight w:val="none"/>
        </w:rPr>
        <w:t>；</w:t>
      </w:r>
      <w:r>
        <w:rPr>
          <w:rFonts w:ascii="楷体" w:hAnsi="楷体" w:eastAsia="楷体"/>
          <w:sz w:val="24"/>
          <w:highlight w:val="none"/>
        </w:rPr>
        <w:t>如果任何第三方提出侵权</w:t>
      </w:r>
      <w:r>
        <w:rPr>
          <w:rFonts w:hint="eastAsia" w:ascii="楷体" w:hAnsi="楷体" w:eastAsia="楷体"/>
          <w:sz w:val="24"/>
          <w:highlight w:val="none"/>
        </w:rPr>
        <w:t>指控</w:t>
      </w:r>
      <w:r>
        <w:rPr>
          <w:rFonts w:ascii="楷体" w:hAnsi="楷体" w:eastAsia="楷体"/>
          <w:sz w:val="24"/>
          <w:highlight w:val="none"/>
        </w:rPr>
        <w:t>，那么乙方须与该第三方交涉并承担由此发生的一切责任、费用和赔偿</w:t>
      </w:r>
      <w:r>
        <w:rPr>
          <w:rFonts w:hint="eastAsia" w:ascii="楷体" w:hAnsi="楷体" w:eastAsia="楷体"/>
          <w:sz w:val="24"/>
          <w:highlight w:val="none"/>
        </w:rPr>
        <w:t>；</w:t>
      </w:r>
    </w:p>
    <w:p w14:paraId="6199C181">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2.3.2 合同涉及技术成果的归属和收益的分成办法的，</w:t>
      </w:r>
      <w:r>
        <w:rPr>
          <w:rFonts w:ascii="楷体" w:hAnsi="楷体" w:eastAsia="楷体"/>
          <w:sz w:val="24"/>
          <w:highlight w:val="none"/>
        </w:rPr>
        <w:t>详见</w:t>
      </w:r>
      <w:r>
        <w:rPr>
          <w:rFonts w:ascii="楷体" w:hAnsi="楷体" w:eastAsia="楷体"/>
          <w:b/>
          <w:i/>
          <w:sz w:val="24"/>
          <w:highlight w:val="none"/>
          <w:u w:val="single"/>
        </w:rPr>
        <w:t>合同专用条款</w:t>
      </w:r>
      <w:r>
        <w:rPr>
          <w:rFonts w:ascii="楷体" w:hAnsi="楷体" w:eastAsia="楷体"/>
          <w:sz w:val="24"/>
          <w:highlight w:val="none"/>
        </w:rPr>
        <w:t>。</w:t>
      </w:r>
    </w:p>
    <w:p w14:paraId="4ABBD7AD">
      <w:pPr>
        <w:spacing w:line="560" w:lineRule="exact"/>
        <w:ind w:firstLine="482" w:firstLineChars="200"/>
        <w:rPr>
          <w:rFonts w:ascii="楷体" w:hAnsi="楷体" w:eastAsia="楷体"/>
          <w:b/>
          <w:sz w:val="24"/>
          <w:highlight w:val="none"/>
        </w:rPr>
      </w:pPr>
      <w:r>
        <w:rPr>
          <w:rFonts w:hint="eastAsia" w:ascii="楷体" w:hAnsi="楷体" w:eastAsia="楷体"/>
          <w:b/>
          <w:sz w:val="24"/>
          <w:highlight w:val="none"/>
        </w:rPr>
        <w:t>2.4 履约检查和问题反馈</w:t>
      </w:r>
    </w:p>
    <w:p w14:paraId="74E147F8">
      <w:pPr>
        <w:spacing w:line="560" w:lineRule="exact"/>
        <w:ind w:firstLine="480" w:firstLineChars="200"/>
        <w:rPr>
          <w:rFonts w:ascii="楷体" w:hAnsi="楷体" w:eastAsia="楷体"/>
          <w:sz w:val="24"/>
          <w:highlight w:val="none"/>
        </w:rPr>
      </w:pPr>
      <w:bookmarkStart w:id="398" w:name="_Ref467379657"/>
      <w:r>
        <w:rPr>
          <w:rFonts w:hint="eastAsia" w:ascii="楷体" w:hAnsi="楷体" w:eastAsia="楷体"/>
          <w:sz w:val="24"/>
          <w:highlight w:val="none"/>
        </w:rPr>
        <w:t>2.4</w:t>
      </w:r>
      <w:r>
        <w:rPr>
          <w:rFonts w:ascii="楷体" w:hAnsi="楷体" w:eastAsia="楷体"/>
          <w:sz w:val="24"/>
          <w:highlight w:val="none"/>
        </w:rPr>
        <w:t>.1</w:t>
      </w:r>
      <w:bookmarkEnd w:id="398"/>
      <w:bookmarkStart w:id="399" w:name="_Toc186431854"/>
      <w:bookmarkStart w:id="400" w:name="_Ref467379807"/>
      <w:bookmarkStart w:id="401" w:name="_Ref467379793"/>
      <w:bookmarkStart w:id="402" w:name="_Toc487900357"/>
      <w:bookmarkStart w:id="403" w:name="_Toc259093676"/>
      <w:bookmarkStart w:id="404" w:name="_Toc279701247"/>
      <w:r>
        <w:rPr>
          <w:rFonts w:ascii="楷体" w:hAnsi="楷体" w:eastAsia="楷体"/>
          <w:sz w:val="24"/>
          <w:highlight w:val="none"/>
        </w:rPr>
        <w:t>甲方</w:t>
      </w:r>
      <w:r>
        <w:rPr>
          <w:rFonts w:hint="eastAsia" w:ascii="楷体" w:hAnsi="楷体" w:eastAsia="楷体"/>
          <w:sz w:val="24"/>
          <w:highlight w:val="none"/>
        </w:rPr>
        <w:t>有权</w:t>
      </w:r>
      <w:r>
        <w:rPr>
          <w:rFonts w:ascii="楷体" w:hAnsi="楷体" w:eastAsia="楷体"/>
          <w:sz w:val="24"/>
          <w:highlight w:val="none"/>
        </w:rPr>
        <w:t>在其认为必要时</w:t>
      </w:r>
      <w:r>
        <w:rPr>
          <w:rFonts w:hint="eastAsia" w:ascii="楷体" w:hAnsi="楷体" w:eastAsia="楷体"/>
          <w:sz w:val="24"/>
          <w:highlight w:val="none"/>
        </w:rPr>
        <w:t>，对乙方是否能够按照合同约定提供服务进行履约检查，以确保乙方所提供的服务能够依约满足甲方之项目需求，但不得因履约检查妨碍乙方的正常工作，乙方应予积极配合；</w:t>
      </w:r>
    </w:p>
    <w:p w14:paraId="285C8871">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2.4.2 合同履行期间，甲方有权将履行过程中出现的问题反馈给乙方，双方当事人应以书面形式约定需要完善和改进的内容</w:t>
      </w:r>
      <w:bookmarkEnd w:id="399"/>
      <w:bookmarkStart w:id="405" w:name="_Toc186431855"/>
      <w:r>
        <w:rPr>
          <w:rFonts w:hint="eastAsia" w:ascii="楷体" w:hAnsi="楷体" w:eastAsia="楷体"/>
          <w:sz w:val="24"/>
          <w:highlight w:val="none"/>
        </w:rPr>
        <w:t>。</w:t>
      </w:r>
    </w:p>
    <w:bookmarkEnd w:id="405"/>
    <w:p w14:paraId="3B918CA3">
      <w:pPr>
        <w:spacing w:line="560" w:lineRule="exact"/>
        <w:ind w:firstLine="482" w:firstLineChars="200"/>
        <w:outlineLvl w:val="0"/>
        <w:rPr>
          <w:rFonts w:ascii="楷体" w:hAnsi="楷体" w:eastAsia="楷体"/>
          <w:b/>
          <w:sz w:val="24"/>
          <w:highlight w:val="none"/>
        </w:rPr>
      </w:pPr>
      <w:bookmarkStart w:id="406" w:name="_Toc31233"/>
      <w:bookmarkStart w:id="407" w:name="_Toc15447"/>
      <w:bookmarkStart w:id="408" w:name="_Toc22011"/>
      <w:bookmarkStart w:id="409" w:name="_Toc32670"/>
      <w:bookmarkStart w:id="410" w:name="_Toc26555"/>
      <w:r>
        <w:rPr>
          <w:rFonts w:hint="eastAsia" w:ascii="楷体" w:hAnsi="楷体" w:eastAsia="楷体"/>
          <w:b/>
          <w:sz w:val="24"/>
          <w:highlight w:val="none"/>
        </w:rPr>
        <w:t xml:space="preserve">2.5 </w:t>
      </w:r>
      <w:r>
        <w:rPr>
          <w:rFonts w:ascii="楷体" w:hAnsi="楷体" w:eastAsia="楷体"/>
          <w:b/>
          <w:sz w:val="24"/>
          <w:highlight w:val="none"/>
        </w:rPr>
        <w:t>结算方式和付款条件</w:t>
      </w:r>
      <w:bookmarkEnd w:id="400"/>
      <w:bookmarkEnd w:id="401"/>
      <w:bookmarkEnd w:id="402"/>
      <w:bookmarkEnd w:id="403"/>
      <w:bookmarkEnd w:id="404"/>
      <w:bookmarkEnd w:id="406"/>
      <w:bookmarkEnd w:id="407"/>
      <w:bookmarkEnd w:id="408"/>
      <w:bookmarkEnd w:id="409"/>
      <w:bookmarkEnd w:id="410"/>
    </w:p>
    <w:p w14:paraId="5C270B22">
      <w:pPr>
        <w:spacing w:line="560" w:lineRule="exact"/>
        <w:ind w:firstLine="480" w:firstLineChars="200"/>
        <w:rPr>
          <w:rFonts w:ascii="楷体" w:hAnsi="楷体" w:eastAsia="楷体"/>
          <w:sz w:val="24"/>
          <w:highlight w:val="none"/>
        </w:rPr>
      </w:pPr>
      <w:r>
        <w:rPr>
          <w:rFonts w:ascii="楷体" w:hAnsi="楷体" w:eastAsia="楷体"/>
          <w:sz w:val="24"/>
          <w:highlight w:val="none"/>
        </w:rPr>
        <w:t>详见</w:t>
      </w:r>
      <w:r>
        <w:rPr>
          <w:rFonts w:ascii="楷体" w:hAnsi="楷体" w:eastAsia="楷体"/>
          <w:b/>
          <w:i/>
          <w:sz w:val="24"/>
          <w:highlight w:val="none"/>
          <w:u w:val="single"/>
        </w:rPr>
        <w:t>合同专用条款</w:t>
      </w:r>
      <w:r>
        <w:rPr>
          <w:rFonts w:ascii="楷体" w:hAnsi="楷体" w:eastAsia="楷体"/>
          <w:sz w:val="24"/>
          <w:highlight w:val="none"/>
        </w:rPr>
        <w:t>。</w:t>
      </w:r>
    </w:p>
    <w:p w14:paraId="2404ADC5">
      <w:pPr>
        <w:spacing w:line="560" w:lineRule="exact"/>
        <w:ind w:firstLine="482" w:firstLineChars="200"/>
        <w:outlineLvl w:val="0"/>
        <w:rPr>
          <w:rFonts w:ascii="楷体" w:hAnsi="楷体" w:eastAsia="楷体"/>
          <w:b/>
          <w:sz w:val="24"/>
          <w:highlight w:val="none"/>
        </w:rPr>
      </w:pPr>
      <w:bookmarkStart w:id="411" w:name="_Toc279701248"/>
      <w:bookmarkStart w:id="412" w:name="_Ref467379852"/>
      <w:bookmarkStart w:id="413" w:name="_Toc259093677"/>
      <w:bookmarkStart w:id="414" w:name="_Ref467379863"/>
      <w:bookmarkStart w:id="415" w:name="_Ref467379923"/>
      <w:bookmarkStart w:id="416" w:name="_Toc487900358"/>
      <w:bookmarkStart w:id="417" w:name="_Toc18990"/>
      <w:bookmarkStart w:id="418" w:name="_Toc13154"/>
      <w:bookmarkStart w:id="419" w:name="_Toc13467"/>
      <w:bookmarkStart w:id="420" w:name="_Toc16163"/>
      <w:bookmarkStart w:id="421" w:name="_Toc30507"/>
      <w:r>
        <w:rPr>
          <w:rFonts w:hint="eastAsia" w:ascii="楷体" w:hAnsi="楷体" w:eastAsia="楷体"/>
          <w:b/>
          <w:sz w:val="24"/>
          <w:highlight w:val="none"/>
        </w:rPr>
        <w:t xml:space="preserve">2.6 </w:t>
      </w:r>
      <w:r>
        <w:rPr>
          <w:rFonts w:ascii="楷体" w:hAnsi="楷体" w:eastAsia="楷体"/>
          <w:b/>
          <w:sz w:val="24"/>
          <w:highlight w:val="none"/>
        </w:rPr>
        <w:t>技术资料</w:t>
      </w:r>
      <w:bookmarkEnd w:id="411"/>
      <w:bookmarkEnd w:id="412"/>
      <w:bookmarkEnd w:id="413"/>
      <w:bookmarkEnd w:id="414"/>
      <w:bookmarkEnd w:id="415"/>
      <w:bookmarkEnd w:id="416"/>
      <w:r>
        <w:rPr>
          <w:rFonts w:ascii="楷体" w:hAnsi="楷体" w:eastAsia="楷体"/>
          <w:b/>
          <w:sz w:val="24"/>
          <w:highlight w:val="none"/>
        </w:rPr>
        <w:t>和保密义务</w:t>
      </w:r>
      <w:bookmarkEnd w:id="417"/>
      <w:bookmarkEnd w:id="418"/>
      <w:bookmarkEnd w:id="419"/>
      <w:bookmarkEnd w:id="420"/>
      <w:bookmarkEnd w:id="421"/>
    </w:p>
    <w:p w14:paraId="6FEEAAEB">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2.6</w:t>
      </w:r>
      <w:r>
        <w:rPr>
          <w:rFonts w:ascii="楷体" w:hAnsi="楷体" w:eastAsia="楷体"/>
          <w:sz w:val="24"/>
          <w:highlight w:val="none"/>
        </w:rPr>
        <w:t>.1</w:t>
      </w:r>
      <w:r>
        <w:rPr>
          <w:rFonts w:hint="eastAsia" w:ascii="楷体" w:hAnsi="楷体" w:eastAsia="楷体"/>
          <w:sz w:val="24"/>
          <w:highlight w:val="none"/>
        </w:rPr>
        <w:t xml:space="preserve"> 乙方有权依据合同约定和项目需要，向甲方了解有关情况，调阅有关资料等，甲方应予积极配合；</w:t>
      </w:r>
    </w:p>
    <w:p w14:paraId="71308F97">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2.6.2 乙方有义务妥善保管和保护由甲方提供的前款信息和资料等；</w:t>
      </w:r>
    </w:p>
    <w:p w14:paraId="0C9B86BC">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2.6</w:t>
      </w:r>
      <w:r>
        <w:rPr>
          <w:rFonts w:ascii="楷体" w:hAnsi="楷体" w:eastAsia="楷体"/>
          <w:sz w:val="24"/>
          <w:highlight w:val="none"/>
        </w:rPr>
        <w:t>.</w:t>
      </w:r>
      <w:r>
        <w:rPr>
          <w:rFonts w:hint="eastAsia" w:ascii="楷体" w:hAnsi="楷体" w:eastAsia="楷体"/>
          <w:sz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sz w:val="24"/>
          <w:highlight w:val="none"/>
        </w:rPr>
        <w:t>技术情报</w:t>
      </w:r>
      <w:r>
        <w:rPr>
          <w:rFonts w:hint="eastAsia" w:ascii="楷体" w:hAnsi="楷体" w:eastAsia="楷体"/>
          <w:sz w:val="24"/>
          <w:highlight w:val="none"/>
        </w:rPr>
        <w:t>、</w:t>
      </w:r>
      <w:r>
        <w:rPr>
          <w:rFonts w:ascii="楷体" w:hAnsi="楷体" w:eastAsia="楷体"/>
          <w:sz w:val="24"/>
          <w:highlight w:val="none"/>
        </w:rPr>
        <w:t>技术资料</w:t>
      </w:r>
      <w:r>
        <w:rPr>
          <w:rFonts w:hint="eastAsia" w:ascii="楷体" w:hAnsi="楷体" w:eastAsia="楷体"/>
          <w:sz w:val="24"/>
          <w:highlight w:val="none"/>
        </w:rPr>
        <w:t>、商业秘密和商业信息等，并采取一切合理和必要措施和方式防止任何第三方接触到对方当事人的上述保密信息和资料。</w:t>
      </w:r>
    </w:p>
    <w:p w14:paraId="7092FC42">
      <w:pPr>
        <w:spacing w:line="560" w:lineRule="exact"/>
        <w:ind w:firstLine="482" w:firstLineChars="200"/>
        <w:outlineLvl w:val="0"/>
        <w:rPr>
          <w:rFonts w:ascii="楷体" w:hAnsi="楷体" w:eastAsia="楷体"/>
          <w:b/>
          <w:sz w:val="24"/>
          <w:highlight w:val="none"/>
        </w:rPr>
      </w:pPr>
      <w:bookmarkStart w:id="422" w:name="_Toc19069"/>
      <w:bookmarkStart w:id="423" w:name="_Toc279701252"/>
      <w:bookmarkStart w:id="424" w:name="_Toc259093681"/>
      <w:bookmarkStart w:id="425" w:name="_Toc487900362"/>
      <w:r>
        <w:rPr>
          <w:rFonts w:hint="eastAsia" w:ascii="楷体" w:hAnsi="楷体" w:eastAsia="楷体"/>
          <w:b/>
          <w:sz w:val="24"/>
          <w:highlight w:val="none"/>
        </w:rPr>
        <w:t>2.7 质量保证</w:t>
      </w:r>
      <w:bookmarkEnd w:id="422"/>
    </w:p>
    <w:p w14:paraId="0B834803">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2.7.1 乙方应建立和完善履行合同的内部质量保证体系，并提供相关内部规章制度给甲方，以便甲方进行监督检查；</w:t>
      </w:r>
    </w:p>
    <w:p w14:paraId="34948548">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2.7.2 乙方应保证履行合同的人员数量和素质、软件和硬件设备的配置、场地、环境和设施等满足全面履行合同的要求，并应接受甲方的监督检查。</w:t>
      </w:r>
    </w:p>
    <w:p w14:paraId="437CF6D6">
      <w:pPr>
        <w:spacing w:line="560" w:lineRule="exact"/>
        <w:ind w:firstLine="482" w:firstLineChars="200"/>
        <w:outlineLvl w:val="0"/>
        <w:rPr>
          <w:rFonts w:ascii="楷体" w:hAnsi="楷体" w:eastAsia="楷体"/>
          <w:b/>
          <w:sz w:val="24"/>
          <w:highlight w:val="none"/>
        </w:rPr>
      </w:pPr>
      <w:bookmarkStart w:id="426" w:name="_Toc22267"/>
      <w:r>
        <w:rPr>
          <w:rFonts w:hint="eastAsia" w:ascii="楷体" w:hAnsi="楷体" w:eastAsia="楷体"/>
          <w:b/>
          <w:sz w:val="24"/>
          <w:highlight w:val="none"/>
        </w:rPr>
        <w:t>2.8 延迟</w:t>
      </w:r>
      <w:bookmarkEnd w:id="423"/>
      <w:bookmarkEnd w:id="424"/>
      <w:bookmarkEnd w:id="425"/>
      <w:r>
        <w:rPr>
          <w:rFonts w:hint="eastAsia" w:ascii="楷体" w:hAnsi="楷体" w:eastAsia="楷体"/>
          <w:b/>
          <w:sz w:val="24"/>
          <w:highlight w:val="none"/>
        </w:rPr>
        <w:t>履行</w:t>
      </w:r>
      <w:bookmarkEnd w:id="426"/>
    </w:p>
    <w:p w14:paraId="4AB3D8A7">
      <w:pPr>
        <w:spacing w:line="560" w:lineRule="exact"/>
        <w:ind w:firstLine="480" w:firstLineChars="200"/>
        <w:rPr>
          <w:rFonts w:ascii="楷体" w:hAnsi="楷体" w:eastAsia="楷体"/>
          <w:sz w:val="24"/>
          <w:highlight w:val="none"/>
        </w:rPr>
      </w:pPr>
      <w:r>
        <w:rPr>
          <w:rFonts w:ascii="楷体" w:hAnsi="楷体" w:eastAsia="楷体"/>
          <w:sz w:val="24"/>
          <w:highlight w:val="none"/>
        </w:rPr>
        <w:t>在合同履行过程中，如果乙方遇到不能按时</w:t>
      </w:r>
      <w:r>
        <w:rPr>
          <w:rFonts w:hint="eastAsia" w:ascii="楷体" w:hAnsi="楷体" w:eastAsia="楷体"/>
          <w:sz w:val="24"/>
          <w:highlight w:val="none"/>
        </w:rPr>
        <w:t>提供服务</w:t>
      </w:r>
      <w:r>
        <w:rPr>
          <w:rFonts w:ascii="楷体" w:hAnsi="楷体" w:eastAsia="楷体"/>
          <w:sz w:val="24"/>
          <w:highlight w:val="none"/>
        </w:rPr>
        <w:t>的情况，应及时以书面形式将不能按时</w:t>
      </w:r>
      <w:r>
        <w:rPr>
          <w:rFonts w:hint="eastAsia" w:ascii="楷体" w:hAnsi="楷体" w:eastAsia="楷体"/>
          <w:sz w:val="24"/>
          <w:highlight w:val="none"/>
        </w:rPr>
        <w:t>提供服务</w:t>
      </w:r>
      <w:r>
        <w:rPr>
          <w:rFonts w:ascii="楷体" w:hAnsi="楷体" w:eastAsia="楷体"/>
          <w:sz w:val="24"/>
          <w:highlight w:val="none"/>
        </w:rPr>
        <w:t>的理由、预期延误时间通知甲方</w:t>
      </w:r>
      <w:r>
        <w:rPr>
          <w:rFonts w:hint="eastAsia" w:ascii="楷体" w:hAnsi="楷体" w:eastAsia="楷体"/>
          <w:sz w:val="24"/>
          <w:highlight w:val="none"/>
        </w:rPr>
        <w:t>；甲</w:t>
      </w:r>
      <w:r>
        <w:rPr>
          <w:rFonts w:ascii="楷体" w:hAnsi="楷体" w:eastAsia="楷体"/>
          <w:sz w:val="24"/>
          <w:highlight w:val="none"/>
        </w:rPr>
        <w:t>方收到乙方通知后，认为其理由正当的，可以书面形式酌情同意乙方可以延长</w:t>
      </w:r>
      <w:r>
        <w:rPr>
          <w:rFonts w:hint="eastAsia" w:ascii="楷体" w:hAnsi="楷体" w:eastAsia="楷体"/>
          <w:sz w:val="24"/>
          <w:highlight w:val="none"/>
        </w:rPr>
        <w:t>履行</w:t>
      </w:r>
      <w:r>
        <w:rPr>
          <w:rFonts w:ascii="楷体" w:hAnsi="楷体" w:eastAsia="楷体"/>
          <w:sz w:val="24"/>
          <w:highlight w:val="none"/>
        </w:rPr>
        <w:t>的具体时间。</w:t>
      </w:r>
    </w:p>
    <w:p w14:paraId="4379D738">
      <w:pPr>
        <w:spacing w:line="560" w:lineRule="exact"/>
        <w:ind w:firstLine="482" w:firstLineChars="200"/>
        <w:outlineLvl w:val="0"/>
        <w:rPr>
          <w:rFonts w:ascii="楷体" w:hAnsi="楷体" w:eastAsia="楷体"/>
          <w:b/>
          <w:sz w:val="24"/>
          <w:highlight w:val="none"/>
        </w:rPr>
      </w:pPr>
      <w:bookmarkStart w:id="427" w:name="_Toc10611"/>
      <w:bookmarkStart w:id="428" w:name="_Toc487900364"/>
      <w:bookmarkStart w:id="429" w:name="_Toc259093683"/>
      <w:bookmarkStart w:id="430" w:name="_Ref467378121"/>
      <w:bookmarkStart w:id="431" w:name="_Toc279701254"/>
      <w:r>
        <w:rPr>
          <w:rFonts w:hint="eastAsia" w:ascii="楷体" w:hAnsi="楷体" w:eastAsia="楷体"/>
          <w:b/>
          <w:sz w:val="24"/>
          <w:highlight w:val="none"/>
        </w:rPr>
        <w:t>2.9 合同变更</w:t>
      </w:r>
      <w:bookmarkEnd w:id="427"/>
    </w:p>
    <w:p w14:paraId="7EA72F45">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2593E1AB">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432" w:name="_Toc279701259"/>
      <w:bookmarkStart w:id="433" w:name="_Toc487900369"/>
      <w:bookmarkStart w:id="434" w:name="_Toc259093688"/>
    </w:p>
    <w:p w14:paraId="5A68A6C0">
      <w:pPr>
        <w:spacing w:line="560" w:lineRule="exact"/>
        <w:ind w:firstLine="482" w:firstLineChars="200"/>
        <w:outlineLvl w:val="0"/>
        <w:rPr>
          <w:rFonts w:ascii="楷体" w:hAnsi="楷体" w:eastAsia="楷体"/>
          <w:b/>
          <w:sz w:val="24"/>
          <w:highlight w:val="none"/>
        </w:rPr>
      </w:pPr>
      <w:bookmarkStart w:id="435" w:name="_Toc26689"/>
      <w:bookmarkStart w:id="436" w:name="_Toc42"/>
      <w:bookmarkStart w:id="437" w:name="_Toc23368"/>
      <w:bookmarkStart w:id="438" w:name="_Toc21830"/>
      <w:bookmarkStart w:id="439" w:name="_Toc10663"/>
      <w:r>
        <w:rPr>
          <w:rFonts w:hint="eastAsia" w:ascii="楷体" w:hAnsi="楷体" w:eastAsia="楷体"/>
          <w:b/>
          <w:sz w:val="24"/>
          <w:highlight w:val="none"/>
        </w:rPr>
        <w:t xml:space="preserve">2.10 </w:t>
      </w:r>
      <w:r>
        <w:rPr>
          <w:rFonts w:ascii="楷体" w:hAnsi="楷体" w:eastAsia="楷体"/>
          <w:b/>
          <w:sz w:val="24"/>
          <w:highlight w:val="none"/>
        </w:rPr>
        <w:t>合同转让</w:t>
      </w:r>
      <w:bookmarkEnd w:id="432"/>
      <w:bookmarkEnd w:id="433"/>
      <w:bookmarkEnd w:id="434"/>
      <w:r>
        <w:rPr>
          <w:rFonts w:ascii="楷体" w:hAnsi="楷体" w:eastAsia="楷体"/>
          <w:b/>
          <w:sz w:val="24"/>
          <w:highlight w:val="none"/>
        </w:rPr>
        <w:t>和分包</w:t>
      </w:r>
      <w:bookmarkEnd w:id="435"/>
      <w:bookmarkEnd w:id="436"/>
      <w:bookmarkEnd w:id="437"/>
      <w:bookmarkEnd w:id="438"/>
      <w:bookmarkEnd w:id="439"/>
    </w:p>
    <w:p w14:paraId="5D06D42A">
      <w:pPr>
        <w:spacing w:line="560" w:lineRule="exact"/>
        <w:ind w:firstLine="480" w:firstLineChars="200"/>
        <w:rPr>
          <w:rFonts w:ascii="楷体" w:hAnsi="楷体" w:eastAsia="楷体"/>
          <w:sz w:val="24"/>
          <w:highlight w:val="none"/>
        </w:rPr>
      </w:pPr>
      <w:r>
        <w:rPr>
          <w:rFonts w:ascii="楷体" w:hAnsi="楷体" w:eastAsia="楷体"/>
          <w:sz w:val="24"/>
          <w:highlight w:val="none"/>
        </w:rPr>
        <w:t>合同的权利义务依法不</w:t>
      </w:r>
      <w:r>
        <w:rPr>
          <w:rFonts w:hint="eastAsia" w:ascii="楷体" w:hAnsi="楷体" w:eastAsia="楷体"/>
          <w:sz w:val="24"/>
          <w:highlight w:val="none"/>
        </w:rPr>
        <w:t>得</w:t>
      </w:r>
      <w:r>
        <w:rPr>
          <w:rFonts w:ascii="楷体" w:hAnsi="楷体" w:eastAsia="楷体"/>
          <w:sz w:val="24"/>
          <w:highlight w:val="none"/>
        </w:rPr>
        <w:t>转让</w:t>
      </w:r>
      <w:r>
        <w:rPr>
          <w:rFonts w:hint="eastAsia" w:ascii="楷体" w:hAnsi="楷体" w:eastAsia="楷体"/>
          <w:sz w:val="24"/>
          <w:highlight w:val="none"/>
        </w:rPr>
        <w:t>，</w:t>
      </w:r>
      <w:r>
        <w:rPr>
          <w:rFonts w:ascii="楷体" w:hAnsi="楷体" w:eastAsia="楷体"/>
          <w:sz w:val="24"/>
          <w:highlight w:val="none"/>
        </w:rPr>
        <w:t>但经甲方</w:t>
      </w:r>
      <w:r>
        <w:rPr>
          <w:rFonts w:hint="eastAsia" w:ascii="楷体" w:hAnsi="楷体" w:eastAsia="楷体"/>
          <w:sz w:val="24"/>
          <w:highlight w:val="none"/>
        </w:rPr>
        <w:t>同意，乙方可以依法采取分包方式履行合同，即：依法可以</w:t>
      </w:r>
      <w:r>
        <w:rPr>
          <w:rFonts w:ascii="楷体" w:hAnsi="楷体" w:eastAsia="楷体"/>
          <w:sz w:val="24"/>
          <w:highlight w:val="none"/>
        </w:rPr>
        <w:t>将合同项下的部分非主体、非关键性工作分包给他人完成</w:t>
      </w:r>
      <w:r>
        <w:rPr>
          <w:rFonts w:hint="eastAsia" w:ascii="楷体" w:hAnsi="楷体" w:eastAsia="楷体"/>
          <w:sz w:val="24"/>
          <w:highlight w:val="none"/>
        </w:rPr>
        <w:t>，</w:t>
      </w:r>
      <w:r>
        <w:rPr>
          <w:rFonts w:ascii="楷体" w:hAnsi="楷体" w:eastAsia="楷体"/>
          <w:sz w:val="24"/>
          <w:highlight w:val="none"/>
        </w:rPr>
        <w:t>接受分包的人应当具备相应的资格条件，并不得再次分包</w:t>
      </w:r>
      <w:r>
        <w:rPr>
          <w:rFonts w:hint="eastAsia" w:ascii="楷体" w:hAnsi="楷体" w:eastAsia="楷体"/>
          <w:sz w:val="24"/>
          <w:highlight w:val="none"/>
        </w:rPr>
        <w:t>，</w:t>
      </w:r>
      <w:r>
        <w:rPr>
          <w:rFonts w:ascii="楷体" w:hAnsi="楷体" w:eastAsia="楷体"/>
          <w:sz w:val="24"/>
          <w:highlight w:val="none"/>
        </w:rPr>
        <w:t>且乙方应就分包项目向甲方负责</w:t>
      </w:r>
      <w:r>
        <w:rPr>
          <w:rFonts w:hint="eastAsia" w:ascii="楷体" w:hAnsi="楷体" w:eastAsia="楷体"/>
          <w:sz w:val="24"/>
          <w:highlight w:val="none"/>
        </w:rPr>
        <w:t>，</w:t>
      </w:r>
      <w:r>
        <w:rPr>
          <w:rFonts w:ascii="楷体" w:hAnsi="楷体" w:eastAsia="楷体"/>
          <w:sz w:val="24"/>
          <w:highlight w:val="none"/>
        </w:rPr>
        <w:t>并</w:t>
      </w:r>
      <w:r>
        <w:rPr>
          <w:rFonts w:hint="eastAsia" w:ascii="楷体" w:hAnsi="楷体" w:eastAsia="楷体"/>
          <w:sz w:val="24"/>
          <w:highlight w:val="none"/>
        </w:rPr>
        <w:t>与分包</w:t>
      </w:r>
      <w:r>
        <w:rPr>
          <w:rFonts w:hint="eastAsia" w:ascii="楷体" w:hAnsi="楷体" w:eastAsia="楷体"/>
          <w:sz w:val="24"/>
          <w:highlight w:val="none"/>
          <w:lang w:eastAsia="zh-CN"/>
        </w:rPr>
        <w:t>供应商</w:t>
      </w:r>
      <w:r>
        <w:rPr>
          <w:rFonts w:hint="eastAsia" w:ascii="楷体" w:hAnsi="楷体" w:eastAsia="楷体"/>
          <w:sz w:val="24"/>
          <w:highlight w:val="none"/>
        </w:rPr>
        <w:t>就分包项目向甲方承担连带责任。</w:t>
      </w:r>
    </w:p>
    <w:p w14:paraId="04A12217">
      <w:pPr>
        <w:spacing w:line="560" w:lineRule="exact"/>
        <w:ind w:firstLine="482" w:firstLineChars="200"/>
        <w:outlineLvl w:val="0"/>
        <w:rPr>
          <w:rFonts w:ascii="楷体" w:hAnsi="楷体" w:eastAsia="楷体"/>
          <w:b/>
          <w:sz w:val="24"/>
          <w:highlight w:val="none"/>
        </w:rPr>
      </w:pPr>
      <w:bookmarkStart w:id="440" w:name="_Toc14371"/>
      <w:bookmarkStart w:id="441" w:name="_Toc32494"/>
      <w:bookmarkStart w:id="442" w:name="_Toc25571"/>
      <w:bookmarkStart w:id="443" w:name="_Toc4720"/>
      <w:bookmarkStart w:id="444" w:name="_Toc26633"/>
      <w:r>
        <w:rPr>
          <w:rFonts w:hint="eastAsia" w:ascii="楷体" w:hAnsi="楷体" w:eastAsia="楷体"/>
          <w:b/>
          <w:sz w:val="24"/>
          <w:highlight w:val="none"/>
        </w:rPr>
        <w:t>2.11</w:t>
      </w:r>
      <w:r>
        <w:rPr>
          <w:rFonts w:ascii="楷体" w:hAnsi="楷体" w:eastAsia="楷体"/>
          <w:b/>
          <w:sz w:val="24"/>
          <w:highlight w:val="none"/>
        </w:rPr>
        <w:t xml:space="preserve"> 不可抗力</w:t>
      </w:r>
      <w:bookmarkEnd w:id="440"/>
      <w:bookmarkEnd w:id="441"/>
      <w:bookmarkEnd w:id="442"/>
      <w:bookmarkEnd w:id="443"/>
      <w:bookmarkEnd w:id="444"/>
    </w:p>
    <w:p w14:paraId="7A9ABC87">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2.11</w:t>
      </w:r>
      <w:r>
        <w:rPr>
          <w:rFonts w:ascii="楷体" w:hAnsi="楷体" w:eastAsia="楷体"/>
          <w:sz w:val="24"/>
          <w:highlight w:val="none"/>
        </w:rPr>
        <w:t>.1如果任何一方遭遇法律规定的不可抗力，致使合同履行受阻时，履行合同的期限应予延长，延长的期限应相当于不可抗力所影响的时间</w:t>
      </w:r>
      <w:r>
        <w:rPr>
          <w:rFonts w:hint="eastAsia" w:ascii="楷体" w:hAnsi="楷体" w:eastAsia="楷体"/>
          <w:sz w:val="24"/>
          <w:highlight w:val="none"/>
        </w:rPr>
        <w:t>；</w:t>
      </w:r>
    </w:p>
    <w:p w14:paraId="54AA42AE">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2.11.2 因不可抗力致使不能实现合同目的的，当事人可以解除合同；</w:t>
      </w:r>
    </w:p>
    <w:p w14:paraId="57BBDFE9">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2.11.3 因</w:t>
      </w:r>
      <w:r>
        <w:rPr>
          <w:rFonts w:ascii="楷体" w:hAnsi="楷体" w:eastAsia="楷体"/>
          <w:sz w:val="24"/>
          <w:highlight w:val="none"/>
        </w:rPr>
        <w:t>不可抗力致使合同有变更必要的，双方当事人应在</w:t>
      </w:r>
      <w:r>
        <w:rPr>
          <w:rFonts w:ascii="楷体" w:hAnsi="楷体" w:eastAsia="楷体"/>
          <w:b/>
          <w:i/>
          <w:sz w:val="24"/>
          <w:highlight w:val="none"/>
          <w:u w:val="single"/>
        </w:rPr>
        <w:t>合同专用条款</w:t>
      </w:r>
      <w:r>
        <w:rPr>
          <w:rFonts w:ascii="楷体" w:hAnsi="楷体" w:eastAsia="楷体"/>
          <w:sz w:val="24"/>
          <w:highlight w:val="none"/>
        </w:rPr>
        <w:t>约定时间内以书面形式变更合同</w:t>
      </w:r>
      <w:r>
        <w:rPr>
          <w:rFonts w:hint="eastAsia" w:ascii="楷体" w:hAnsi="楷体" w:eastAsia="楷体"/>
          <w:sz w:val="24"/>
          <w:highlight w:val="none"/>
        </w:rPr>
        <w:t>；</w:t>
      </w:r>
    </w:p>
    <w:p w14:paraId="780687C4">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2.11</w:t>
      </w:r>
      <w:r>
        <w:rPr>
          <w:rFonts w:ascii="楷体" w:hAnsi="楷体" w:eastAsia="楷体"/>
          <w:sz w:val="24"/>
          <w:highlight w:val="none"/>
        </w:rPr>
        <w:t>.</w:t>
      </w:r>
      <w:r>
        <w:rPr>
          <w:rFonts w:hint="eastAsia" w:ascii="楷体" w:hAnsi="楷体" w:eastAsia="楷体"/>
          <w:sz w:val="24"/>
          <w:highlight w:val="none"/>
        </w:rPr>
        <w:t>4</w:t>
      </w:r>
      <w:r>
        <w:rPr>
          <w:rFonts w:ascii="楷体" w:hAnsi="楷体" w:eastAsia="楷体"/>
          <w:sz w:val="24"/>
          <w:highlight w:val="none"/>
        </w:rPr>
        <w:t>受</w:t>
      </w:r>
      <w:r>
        <w:rPr>
          <w:rFonts w:hint="eastAsia" w:ascii="楷体" w:hAnsi="楷体" w:eastAsia="楷体"/>
          <w:sz w:val="24"/>
          <w:highlight w:val="none"/>
        </w:rPr>
        <w:t>不可抗力</w:t>
      </w:r>
      <w:r>
        <w:rPr>
          <w:rFonts w:ascii="楷体" w:hAnsi="楷体" w:eastAsia="楷体"/>
          <w:sz w:val="24"/>
          <w:highlight w:val="none"/>
        </w:rPr>
        <w:t>影响的一方在不可抗力发生后</w:t>
      </w:r>
      <w:r>
        <w:rPr>
          <w:rFonts w:hint="eastAsia" w:ascii="楷体" w:hAnsi="楷体" w:eastAsia="楷体"/>
          <w:sz w:val="24"/>
          <w:highlight w:val="none"/>
        </w:rPr>
        <w:t>，</w:t>
      </w:r>
      <w:r>
        <w:rPr>
          <w:rFonts w:ascii="楷体" w:hAnsi="楷体" w:eastAsia="楷体"/>
          <w:sz w:val="24"/>
          <w:highlight w:val="none"/>
        </w:rPr>
        <w:t>应在</w:t>
      </w:r>
      <w:r>
        <w:rPr>
          <w:rFonts w:ascii="楷体" w:hAnsi="楷体" w:eastAsia="楷体"/>
          <w:b/>
          <w:i/>
          <w:sz w:val="24"/>
          <w:highlight w:val="none"/>
          <w:u w:val="single"/>
        </w:rPr>
        <w:t>合同专用条款</w:t>
      </w:r>
      <w:r>
        <w:rPr>
          <w:rFonts w:ascii="楷体" w:hAnsi="楷体" w:eastAsia="楷体"/>
          <w:sz w:val="24"/>
          <w:highlight w:val="none"/>
        </w:rPr>
        <w:t>约定时间内以书面形式通知</w:t>
      </w:r>
      <w:r>
        <w:rPr>
          <w:rFonts w:hint="eastAsia" w:ascii="楷体" w:hAnsi="楷体" w:eastAsia="楷体"/>
          <w:sz w:val="24"/>
          <w:highlight w:val="none"/>
        </w:rPr>
        <w:t>对</w:t>
      </w:r>
      <w:r>
        <w:rPr>
          <w:rFonts w:ascii="楷体" w:hAnsi="楷体" w:eastAsia="楷体"/>
          <w:sz w:val="24"/>
          <w:highlight w:val="none"/>
        </w:rPr>
        <w:t>方当事人，并在</w:t>
      </w:r>
      <w:r>
        <w:rPr>
          <w:rFonts w:ascii="楷体" w:hAnsi="楷体" w:eastAsia="楷体"/>
          <w:b/>
          <w:i/>
          <w:sz w:val="24"/>
          <w:highlight w:val="none"/>
          <w:u w:val="single"/>
        </w:rPr>
        <w:t>合同专用条款</w:t>
      </w:r>
      <w:r>
        <w:rPr>
          <w:rFonts w:ascii="楷体" w:hAnsi="楷体" w:eastAsia="楷体"/>
          <w:sz w:val="24"/>
          <w:highlight w:val="none"/>
        </w:rPr>
        <w:t>约定时间内，将有关部门出具的证明文件送达</w:t>
      </w:r>
      <w:r>
        <w:rPr>
          <w:rFonts w:hint="eastAsia" w:ascii="楷体" w:hAnsi="楷体" w:eastAsia="楷体"/>
          <w:sz w:val="24"/>
          <w:highlight w:val="none"/>
        </w:rPr>
        <w:t>对方当事人</w:t>
      </w:r>
      <w:r>
        <w:rPr>
          <w:rFonts w:ascii="楷体" w:hAnsi="楷体" w:eastAsia="楷体"/>
          <w:sz w:val="24"/>
          <w:highlight w:val="none"/>
        </w:rPr>
        <w:t>。</w:t>
      </w:r>
    </w:p>
    <w:p w14:paraId="33085BCE">
      <w:pPr>
        <w:spacing w:line="560" w:lineRule="exact"/>
        <w:ind w:firstLine="482" w:firstLineChars="200"/>
        <w:outlineLvl w:val="0"/>
        <w:rPr>
          <w:rFonts w:ascii="楷体" w:hAnsi="楷体" w:eastAsia="楷体"/>
          <w:b/>
          <w:sz w:val="24"/>
          <w:highlight w:val="none"/>
        </w:rPr>
      </w:pPr>
      <w:bookmarkStart w:id="445" w:name="_Toc23854"/>
      <w:bookmarkStart w:id="446" w:name="_Toc14115"/>
      <w:bookmarkStart w:id="447" w:name="_Toc3638"/>
      <w:bookmarkStart w:id="448" w:name="_Toc487900365"/>
      <w:bookmarkStart w:id="449" w:name="_Toc25783"/>
      <w:bookmarkStart w:id="450" w:name="_Toc259093684"/>
      <w:bookmarkStart w:id="451" w:name="_Toc279701255"/>
      <w:bookmarkStart w:id="452" w:name="_Toc24465"/>
      <w:r>
        <w:rPr>
          <w:rFonts w:hint="eastAsia" w:ascii="楷体" w:hAnsi="楷体" w:eastAsia="楷体"/>
          <w:b/>
          <w:sz w:val="24"/>
          <w:highlight w:val="none"/>
        </w:rPr>
        <w:t>2.</w:t>
      </w:r>
      <w:r>
        <w:rPr>
          <w:rFonts w:ascii="楷体" w:hAnsi="楷体" w:eastAsia="楷体"/>
          <w:b/>
          <w:sz w:val="24"/>
          <w:highlight w:val="none"/>
        </w:rPr>
        <w:t>1</w:t>
      </w:r>
      <w:r>
        <w:rPr>
          <w:rFonts w:hint="eastAsia" w:ascii="楷体" w:hAnsi="楷体" w:eastAsia="楷体"/>
          <w:b/>
          <w:sz w:val="24"/>
          <w:highlight w:val="none"/>
        </w:rPr>
        <w:t xml:space="preserve">2 </w:t>
      </w:r>
      <w:r>
        <w:rPr>
          <w:rFonts w:ascii="楷体" w:hAnsi="楷体" w:eastAsia="楷体"/>
          <w:b/>
          <w:sz w:val="24"/>
          <w:highlight w:val="none"/>
        </w:rPr>
        <w:t>税费</w:t>
      </w:r>
      <w:bookmarkEnd w:id="445"/>
      <w:bookmarkEnd w:id="446"/>
      <w:bookmarkEnd w:id="447"/>
      <w:bookmarkEnd w:id="448"/>
      <w:bookmarkEnd w:id="449"/>
      <w:bookmarkEnd w:id="450"/>
      <w:bookmarkEnd w:id="451"/>
      <w:bookmarkEnd w:id="452"/>
    </w:p>
    <w:p w14:paraId="172B0804">
      <w:pPr>
        <w:spacing w:line="560" w:lineRule="exact"/>
        <w:ind w:firstLine="480" w:firstLineChars="200"/>
        <w:rPr>
          <w:rFonts w:ascii="楷体" w:hAnsi="楷体" w:eastAsia="楷体"/>
          <w:sz w:val="24"/>
          <w:highlight w:val="none"/>
        </w:rPr>
      </w:pPr>
      <w:r>
        <w:rPr>
          <w:rFonts w:ascii="楷体" w:hAnsi="楷体" w:eastAsia="楷体"/>
          <w:sz w:val="24"/>
          <w:highlight w:val="none"/>
        </w:rPr>
        <w:t>与合同有关的一切税费</w:t>
      </w:r>
      <w:r>
        <w:rPr>
          <w:rFonts w:hint="eastAsia" w:ascii="楷体" w:hAnsi="楷体" w:eastAsia="楷体"/>
          <w:sz w:val="24"/>
          <w:highlight w:val="none"/>
        </w:rPr>
        <w:t>，</w:t>
      </w:r>
      <w:r>
        <w:rPr>
          <w:rFonts w:ascii="楷体" w:hAnsi="楷体" w:eastAsia="楷体"/>
          <w:sz w:val="24"/>
          <w:highlight w:val="none"/>
        </w:rPr>
        <w:t>均按照中华人民共和国法律的相关规定缴纳。</w:t>
      </w:r>
    </w:p>
    <w:p w14:paraId="396E2AE1">
      <w:pPr>
        <w:spacing w:line="560" w:lineRule="exact"/>
        <w:ind w:firstLine="482" w:firstLineChars="200"/>
        <w:outlineLvl w:val="0"/>
        <w:rPr>
          <w:rFonts w:ascii="楷体" w:hAnsi="楷体" w:eastAsia="楷体"/>
          <w:b/>
          <w:sz w:val="24"/>
          <w:highlight w:val="none"/>
        </w:rPr>
      </w:pPr>
      <w:bookmarkStart w:id="453" w:name="_Toc25525"/>
      <w:bookmarkStart w:id="454" w:name="_Toc7315"/>
      <w:bookmarkStart w:id="455" w:name="_Toc30105"/>
      <w:bookmarkStart w:id="456" w:name="_Toc487900368"/>
      <w:bookmarkStart w:id="457" w:name="_Toc279701258"/>
      <w:bookmarkStart w:id="458" w:name="_Toc259093687"/>
      <w:bookmarkStart w:id="459" w:name="_Toc14814"/>
      <w:bookmarkStart w:id="460" w:name="_Toc26883"/>
      <w:r>
        <w:rPr>
          <w:rFonts w:hint="eastAsia" w:ascii="楷体" w:hAnsi="楷体" w:eastAsia="楷体"/>
          <w:b/>
          <w:sz w:val="24"/>
          <w:highlight w:val="none"/>
        </w:rPr>
        <w:t>2.</w:t>
      </w:r>
      <w:r>
        <w:rPr>
          <w:rFonts w:ascii="楷体" w:hAnsi="楷体" w:eastAsia="楷体"/>
          <w:b/>
          <w:sz w:val="24"/>
          <w:highlight w:val="none"/>
        </w:rPr>
        <w:t>1</w:t>
      </w:r>
      <w:r>
        <w:rPr>
          <w:rFonts w:hint="eastAsia" w:ascii="楷体" w:hAnsi="楷体" w:eastAsia="楷体"/>
          <w:b/>
          <w:sz w:val="24"/>
          <w:highlight w:val="none"/>
        </w:rPr>
        <w:t xml:space="preserve">3 </w:t>
      </w:r>
      <w:r>
        <w:rPr>
          <w:rFonts w:ascii="楷体" w:hAnsi="楷体" w:eastAsia="楷体"/>
          <w:b/>
          <w:sz w:val="24"/>
          <w:highlight w:val="none"/>
        </w:rPr>
        <w:t>乙方破产</w:t>
      </w:r>
      <w:bookmarkEnd w:id="453"/>
      <w:bookmarkEnd w:id="454"/>
      <w:bookmarkEnd w:id="455"/>
      <w:bookmarkEnd w:id="456"/>
      <w:bookmarkEnd w:id="457"/>
      <w:bookmarkEnd w:id="458"/>
      <w:bookmarkEnd w:id="459"/>
      <w:bookmarkEnd w:id="460"/>
    </w:p>
    <w:p w14:paraId="097027D1">
      <w:pPr>
        <w:spacing w:line="560" w:lineRule="exact"/>
        <w:ind w:firstLine="480" w:firstLineChars="200"/>
        <w:rPr>
          <w:rFonts w:ascii="楷体" w:hAnsi="楷体" w:eastAsia="楷体"/>
          <w:sz w:val="24"/>
          <w:highlight w:val="none"/>
        </w:rPr>
      </w:pPr>
      <w:r>
        <w:rPr>
          <w:rFonts w:ascii="楷体" w:hAnsi="楷体" w:eastAsia="楷体"/>
          <w:sz w:val="24"/>
          <w:highlight w:val="none"/>
        </w:rPr>
        <w:t>如果乙方破产导致合同无法履行时，甲方可以书面形式通知乙方终止合同且不给予乙方任何补偿和赔偿</w:t>
      </w:r>
      <w:r>
        <w:rPr>
          <w:rFonts w:hint="eastAsia" w:ascii="楷体" w:hAnsi="楷体" w:eastAsia="楷体"/>
          <w:sz w:val="24"/>
          <w:highlight w:val="none"/>
        </w:rPr>
        <w:t>，但合同的</w:t>
      </w:r>
      <w:r>
        <w:rPr>
          <w:rFonts w:ascii="楷体" w:hAnsi="楷体" w:eastAsia="楷体"/>
          <w:sz w:val="24"/>
          <w:highlight w:val="none"/>
        </w:rPr>
        <w:t>终止不损害或不影响甲方已经采取或将要采取的任何要求乙方支付违约金</w:t>
      </w:r>
      <w:r>
        <w:rPr>
          <w:rFonts w:hint="eastAsia" w:ascii="楷体" w:hAnsi="楷体" w:eastAsia="楷体"/>
          <w:sz w:val="24"/>
          <w:highlight w:val="none"/>
        </w:rPr>
        <w:t>、</w:t>
      </w:r>
      <w:r>
        <w:rPr>
          <w:rFonts w:ascii="楷体" w:hAnsi="楷体" w:eastAsia="楷体"/>
          <w:sz w:val="24"/>
          <w:highlight w:val="none"/>
        </w:rPr>
        <w:t>赔偿损失等的行动或补救措施的权利</w:t>
      </w:r>
      <w:r>
        <w:rPr>
          <w:rFonts w:hint="eastAsia" w:ascii="楷体" w:hAnsi="楷体" w:eastAsia="楷体"/>
          <w:sz w:val="24"/>
          <w:highlight w:val="none"/>
        </w:rPr>
        <w:t>。</w:t>
      </w:r>
    </w:p>
    <w:p w14:paraId="3AC68612">
      <w:pPr>
        <w:spacing w:line="560" w:lineRule="exact"/>
        <w:ind w:firstLine="482" w:firstLineChars="200"/>
        <w:outlineLvl w:val="0"/>
        <w:rPr>
          <w:rFonts w:ascii="楷体" w:hAnsi="楷体" w:eastAsia="楷体"/>
          <w:b/>
          <w:sz w:val="24"/>
          <w:highlight w:val="none"/>
        </w:rPr>
      </w:pPr>
      <w:bookmarkStart w:id="461" w:name="_Toc2016"/>
      <w:bookmarkStart w:id="462" w:name="_Toc23323"/>
      <w:bookmarkStart w:id="463" w:name="_Toc1123"/>
      <w:r>
        <w:rPr>
          <w:rFonts w:ascii="楷体" w:hAnsi="楷体" w:eastAsia="楷体"/>
          <w:b/>
          <w:sz w:val="24"/>
          <w:highlight w:val="none"/>
        </w:rPr>
        <w:t>2.14 合同中止、终止</w:t>
      </w:r>
      <w:bookmarkEnd w:id="461"/>
      <w:bookmarkEnd w:id="462"/>
      <w:bookmarkEnd w:id="463"/>
    </w:p>
    <w:p w14:paraId="06145144">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2.14.1 双方当事人不得擅自中止或者终止合同；</w:t>
      </w:r>
    </w:p>
    <w:p w14:paraId="42D0B127">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2.14.2合同继续履行将损害国家利益和社会公共利益的，双方当事人应当中止或者终止合同。有过错的一方应当承担赔偿责任，双方当事人都有过错的，各自承担相应的责任。</w:t>
      </w:r>
    </w:p>
    <w:p w14:paraId="2C89C225">
      <w:pPr>
        <w:spacing w:line="560" w:lineRule="exact"/>
        <w:ind w:firstLine="482" w:firstLineChars="200"/>
        <w:outlineLvl w:val="0"/>
        <w:rPr>
          <w:rFonts w:ascii="楷体" w:hAnsi="楷体" w:eastAsia="楷体"/>
          <w:b/>
          <w:sz w:val="24"/>
          <w:highlight w:val="none"/>
        </w:rPr>
      </w:pPr>
      <w:bookmarkStart w:id="464" w:name="_Toc17363"/>
      <w:bookmarkStart w:id="465" w:name="_Toc14525"/>
      <w:bookmarkStart w:id="466" w:name="_Toc1969"/>
      <w:r>
        <w:rPr>
          <w:rFonts w:ascii="楷体" w:hAnsi="楷体" w:eastAsia="楷体"/>
          <w:b/>
          <w:sz w:val="24"/>
          <w:highlight w:val="none"/>
        </w:rPr>
        <w:t>2.15 检验和验收</w:t>
      </w:r>
      <w:bookmarkEnd w:id="464"/>
      <w:bookmarkEnd w:id="465"/>
      <w:bookmarkEnd w:id="466"/>
    </w:p>
    <w:p w14:paraId="32762DB5">
      <w:pPr>
        <w:tabs>
          <w:tab w:val="left" w:pos="360"/>
          <w:tab w:val="left" w:pos="540"/>
          <w:tab w:val="left" w:pos="1080"/>
        </w:tabs>
        <w:spacing w:line="560" w:lineRule="exact"/>
        <w:ind w:firstLine="480" w:firstLineChars="200"/>
        <w:rPr>
          <w:rFonts w:ascii="楷体" w:hAnsi="楷体" w:eastAsia="楷体"/>
          <w:sz w:val="24"/>
          <w:highlight w:val="none"/>
        </w:rPr>
      </w:pPr>
      <w:r>
        <w:rPr>
          <w:rFonts w:hint="eastAsia" w:ascii="楷体" w:hAnsi="楷体" w:eastAsia="楷体"/>
          <w:sz w:val="24"/>
          <w:highlight w:val="none"/>
        </w:rPr>
        <w:t>2.</w:t>
      </w:r>
      <w:r>
        <w:rPr>
          <w:rFonts w:ascii="楷体" w:hAnsi="楷体" w:eastAsia="楷体"/>
          <w:sz w:val="24"/>
          <w:highlight w:val="none"/>
        </w:rPr>
        <w:t>1</w:t>
      </w:r>
      <w:r>
        <w:rPr>
          <w:rFonts w:hint="eastAsia" w:ascii="楷体" w:hAnsi="楷体" w:eastAsia="楷体"/>
          <w:sz w:val="24"/>
          <w:highlight w:val="none"/>
        </w:rPr>
        <w:t>5</w:t>
      </w:r>
      <w:r>
        <w:rPr>
          <w:rFonts w:ascii="楷体" w:hAnsi="楷体" w:eastAsia="楷体"/>
          <w:sz w:val="24"/>
          <w:highlight w:val="none"/>
        </w:rPr>
        <w:t>.</w:t>
      </w:r>
      <w:r>
        <w:rPr>
          <w:rFonts w:hint="eastAsia" w:ascii="楷体" w:hAnsi="楷体" w:eastAsia="楷体"/>
          <w:sz w:val="24"/>
          <w:highlight w:val="none"/>
        </w:rPr>
        <w:t>1 乙方按照</w:t>
      </w:r>
      <w:r>
        <w:rPr>
          <w:rFonts w:ascii="楷体" w:hAnsi="楷体" w:eastAsia="楷体"/>
          <w:b/>
          <w:i/>
          <w:sz w:val="24"/>
          <w:highlight w:val="none"/>
          <w:u w:val="single"/>
        </w:rPr>
        <w:t>合同专用条款</w:t>
      </w:r>
      <w:r>
        <w:rPr>
          <w:rFonts w:ascii="楷体" w:hAnsi="楷体" w:eastAsia="楷体"/>
          <w:sz w:val="24"/>
          <w:highlight w:val="none"/>
        </w:rPr>
        <w:t>的约定</w:t>
      </w:r>
      <w:r>
        <w:rPr>
          <w:rFonts w:hint="eastAsia" w:ascii="楷体" w:hAnsi="楷体" w:eastAsia="楷体"/>
          <w:sz w:val="24"/>
          <w:highlight w:val="none"/>
        </w:rPr>
        <w:t>，</w:t>
      </w:r>
      <w:r>
        <w:rPr>
          <w:rFonts w:ascii="楷体" w:hAnsi="楷体" w:eastAsia="楷体"/>
          <w:sz w:val="24"/>
          <w:highlight w:val="none"/>
        </w:rPr>
        <w:t>定期提交服务报告</w:t>
      </w:r>
      <w:r>
        <w:rPr>
          <w:rFonts w:hint="eastAsia" w:ascii="楷体" w:hAnsi="楷体" w:eastAsia="楷体"/>
          <w:sz w:val="24"/>
          <w:highlight w:val="none"/>
        </w:rPr>
        <w:t>，甲方按照</w:t>
      </w:r>
      <w:r>
        <w:rPr>
          <w:rFonts w:ascii="楷体" w:hAnsi="楷体" w:eastAsia="楷体"/>
          <w:b/>
          <w:i/>
          <w:sz w:val="24"/>
          <w:highlight w:val="none"/>
          <w:u w:val="single"/>
        </w:rPr>
        <w:t>合同专用条款</w:t>
      </w:r>
      <w:r>
        <w:rPr>
          <w:rFonts w:ascii="楷体" w:hAnsi="楷体" w:eastAsia="楷体"/>
          <w:sz w:val="24"/>
          <w:highlight w:val="none"/>
        </w:rPr>
        <w:t>的约定进行定期验收</w:t>
      </w:r>
      <w:r>
        <w:rPr>
          <w:rFonts w:hint="eastAsia" w:ascii="楷体" w:hAnsi="楷体" w:eastAsia="楷体"/>
          <w:sz w:val="24"/>
          <w:highlight w:val="none"/>
        </w:rPr>
        <w:t>；</w:t>
      </w:r>
    </w:p>
    <w:p w14:paraId="4C639FF2">
      <w:pPr>
        <w:tabs>
          <w:tab w:val="left" w:pos="360"/>
          <w:tab w:val="left" w:pos="540"/>
          <w:tab w:val="left" w:pos="1080"/>
        </w:tabs>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6604A3">
      <w:pPr>
        <w:tabs>
          <w:tab w:val="left" w:pos="360"/>
          <w:tab w:val="left" w:pos="540"/>
          <w:tab w:val="left" w:pos="1080"/>
        </w:tabs>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2.15.3 检验和验收标准、程序等具体内容以及前述验收书的效力详见</w:t>
      </w:r>
      <w:r>
        <w:rPr>
          <w:rFonts w:ascii="楷体" w:hAnsi="楷体" w:eastAsia="楷体"/>
          <w:b/>
          <w:i/>
          <w:sz w:val="24"/>
          <w:highlight w:val="none"/>
          <w:u w:val="single"/>
        </w:rPr>
        <w:t>合同专用条款</w:t>
      </w:r>
      <w:r>
        <w:rPr>
          <w:rFonts w:hint="eastAsia" w:ascii="楷体" w:hAnsi="楷体" w:eastAsia="楷体"/>
          <w:i/>
          <w:sz w:val="24"/>
          <w:highlight w:val="none"/>
        </w:rPr>
        <w:t>。</w:t>
      </w:r>
    </w:p>
    <w:bookmarkEnd w:id="428"/>
    <w:bookmarkEnd w:id="429"/>
    <w:bookmarkEnd w:id="430"/>
    <w:bookmarkEnd w:id="431"/>
    <w:p w14:paraId="6C10DD39">
      <w:pPr>
        <w:spacing w:line="560" w:lineRule="exact"/>
        <w:ind w:firstLine="482" w:firstLineChars="200"/>
        <w:outlineLvl w:val="0"/>
        <w:rPr>
          <w:rFonts w:ascii="楷体" w:hAnsi="楷体" w:eastAsia="楷体"/>
          <w:b/>
          <w:sz w:val="24"/>
          <w:highlight w:val="none"/>
        </w:rPr>
      </w:pPr>
      <w:bookmarkStart w:id="467" w:name="_Toc259093690"/>
      <w:bookmarkStart w:id="468" w:name="_Toc279701261"/>
      <w:bookmarkStart w:id="469" w:name="_Toc487900371"/>
      <w:bookmarkStart w:id="470" w:name="_Toc12666"/>
      <w:bookmarkStart w:id="471" w:name="_Toc2308"/>
      <w:bookmarkStart w:id="472" w:name="_Toc25198"/>
      <w:bookmarkStart w:id="473" w:name="_Toc31892"/>
      <w:bookmarkStart w:id="474" w:name="_Toc9808"/>
      <w:r>
        <w:rPr>
          <w:rFonts w:hint="eastAsia" w:ascii="楷体" w:hAnsi="楷体" w:eastAsia="楷体"/>
          <w:b/>
          <w:sz w:val="24"/>
          <w:highlight w:val="none"/>
        </w:rPr>
        <w:t xml:space="preserve">2.16 </w:t>
      </w:r>
      <w:r>
        <w:rPr>
          <w:rFonts w:ascii="楷体" w:hAnsi="楷体" w:eastAsia="楷体"/>
          <w:b/>
          <w:sz w:val="24"/>
          <w:highlight w:val="none"/>
        </w:rPr>
        <w:t>通知</w:t>
      </w:r>
      <w:bookmarkEnd w:id="467"/>
      <w:bookmarkEnd w:id="468"/>
      <w:bookmarkEnd w:id="469"/>
      <w:r>
        <w:rPr>
          <w:rFonts w:ascii="楷体" w:hAnsi="楷体" w:eastAsia="楷体"/>
          <w:b/>
          <w:sz w:val="24"/>
          <w:highlight w:val="none"/>
        </w:rPr>
        <w:t>和送达</w:t>
      </w:r>
      <w:bookmarkEnd w:id="470"/>
      <w:bookmarkEnd w:id="471"/>
      <w:bookmarkEnd w:id="472"/>
      <w:bookmarkEnd w:id="473"/>
      <w:bookmarkEnd w:id="474"/>
    </w:p>
    <w:p w14:paraId="0F3910B2">
      <w:pPr>
        <w:spacing w:line="560" w:lineRule="exact"/>
        <w:ind w:firstLine="480" w:firstLineChars="200"/>
        <w:rPr>
          <w:rFonts w:ascii="楷体" w:hAnsi="楷体" w:eastAsia="楷体"/>
          <w:sz w:val="24"/>
          <w:highlight w:val="none"/>
        </w:rPr>
      </w:pPr>
      <w:bookmarkStart w:id="475" w:name="_Toc29220"/>
      <w:bookmarkStart w:id="476" w:name="_Toc7073"/>
      <w:bookmarkStart w:id="477" w:name="_Toc259093691"/>
      <w:bookmarkStart w:id="478" w:name="_Toc279701262"/>
      <w:bookmarkStart w:id="479" w:name="_Toc487900372"/>
      <w:r>
        <w:rPr>
          <w:rFonts w:hint="eastAsia" w:ascii="楷体" w:hAnsi="楷体" w:eastAsia="楷体"/>
          <w:sz w:val="24"/>
          <w:highlight w:val="none"/>
        </w:rPr>
        <w:t>2.16.1 任何一方因履行合同而以合同第一部分尾部所列明的</w:t>
      </w:r>
      <w:r>
        <w:rPr>
          <w:rFonts w:hint="eastAsia" w:ascii="楷体" w:hAnsi="楷体" w:eastAsia="楷体"/>
          <w:sz w:val="24"/>
          <w:highlight w:val="none"/>
          <w:u w:val="single"/>
        </w:rPr>
        <w:t xml:space="preserve">          </w:t>
      </w:r>
      <w:r>
        <w:rPr>
          <w:rFonts w:hint="eastAsia" w:ascii="楷体" w:hAnsi="楷体" w:eastAsia="楷体"/>
          <w:sz w:val="24"/>
          <w:highlight w:val="none"/>
        </w:rPr>
        <w:t>发出的所有通知、文件、材料，均视为已向对方当事人送达；任何一方变更上述送达方式或者地址的，应于</w:t>
      </w:r>
      <w:r>
        <w:rPr>
          <w:rFonts w:hint="eastAsia" w:ascii="楷体" w:hAnsi="楷体" w:eastAsia="楷体"/>
          <w:sz w:val="24"/>
          <w:highlight w:val="none"/>
          <w:u w:val="single"/>
        </w:rPr>
        <w:t xml:space="preserve">   </w:t>
      </w:r>
      <w:r>
        <w:rPr>
          <w:rFonts w:hint="eastAsia" w:ascii="楷体" w:hAnsi="楷体" w:eastAsia="楷体"/>
          <w:sz w:val="24"/>
          <w:highlight w:val="none"/>
        </w:rPr>
        <w:t>个工作日内书面通知对方当事人，在对方当事人收到有关变更通知之前，变更前的约定送达方式或者地址仍视为有效。</w:t>
      </w:r>
      <w:bookmarkEnd w:id="475"/>
      <w:bookmarkEnd w:id="476"/>
    </w:p>
    <w:p w14:paraId="36451608">
      <w:pPr>
        <w:spacing w:line="560" w:lineRule="exact"/>
        <w:ind w:firstLine="480" w:firstLineChars="200"/>
        <w:rPr>
          <w:rFonts w:ascii="楷体" w:hAnsi="楷体" w:eastAsia="楷体"/>
          <w:sz w:val="24"/>
          <w:highlight w:val="none"/>
        </w:rPr>
      </w:pPr>
      <w:bookmarkStart w:id="480" w:name="_Toc18401"/>
      <w:bookmarkStart w:id="481" w:name="_Toc27674"/>
      <w:r>
        <w:rPr>
          <w:rFonts w:hint="eastAsia" w:ascii="楷体" w:hAnsi="楷体" w:eastAsia="楷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0"/>
      <w:bookmarkEnd w:id="481"/>
    </w:p>
    <w:bookmarkEnd w:id="477"/>
    <w:bookmarkEnd w:id="478"/>
    <w:bookmarkEnd w:id="479"/>
    <w:p w14:paraId="65206304">
      <w:pPr>
        <w:spacing w:line="560" w:lineRule="exact"/>
        <w:ind w:firstLine="482" w:firstLineChars="200"/>
        <w:outlineLvl w:val="0"/>
        <w:rPr>
          <w:rFonts w:ascii="楷体" w:hAnsi="楷体" w:eastAsia="楷体"/>
          <w:b/>
          <w:sz w:val="24"/>
          <w:highlight w:val="none"/>
        </w:rPr>
      </w:pPr>
      <w:bookmarkStart w:id="482" w:name="_Toc27644"/>
      <w:bookmarkStart w:id="483" w:name="_Toc20808"/>
      <w:bookmarkStart w:id="484" w:name="_Toc487900373"/>
      <w:bookmarkStart w:id="485" w:name="_Toc28906"/>
      <w:bookmarkStart w:id="486" w:name="_Toc279701263"/>
      <w:bookmarkStart w:id="487" w:name="_Toc259093692"/>
      <w:bookmarkStart w:id="488" w:name="_Toc5063"/>
      <w:bookmarkStart w:id="489" w:name="_Toc12254"/>
      <w:r>
        <w:rPr>
          <w:rFonts w:hint="eastAsia" w:ascii="楷体" w:hAnsi="楷体" w:eastAsia="楷体"/>
          <w:b/>
          <w:sz w:val="24"/>
          <w:highlight w:val="none"/>
        </w:rPr>
        <w:t>2.17 合同使用的文字和</w:t>
      </w:r>
      <w:r>
        <w:rPr>
          <w:rFonts w:ascii="楷体" w:hAnsi="楷体" w:eastAsia="楷体"/>
          <w:b/>
          <w:sz w:val="24"/>
          <w:highlight w:val="none"/>
        </w:rPr>
        <w:t>适用的法律</w:t>
      </w:r>
      <w:bookmarkEnd w:id="482"/>
      <w:bookmarkEnd w:id="483"/>
      <w:bookmarkEnd w:id="484"/>
      <w:bookmarkEnd w:id="485"/>
      <w:bookmarkEnd w:id="486"/>
      <w:bookmarkEnd w:id="487"/>
      <w:bookmarkEnd w:id="488"/>
      <w:bookmarkEnd w:id="489"/>
    </w:p>
    <w:p w14:paraId="5FAF0F69">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2.17</w:t>
      </w:r>
      <w:r>
        <w:rPr>
          <w:rFonts w:ascii="楷体" w:hAnsi="楷体" w:eastAsia="楷体"/>
          <w:sz w:val="24"/>
          <w:highlight w:val="none"/>
        </w:rPr>
        <w:t>.1</w:t>
      </w:r>
      <w:r>
        <w:rPr>
          <w:rFonts w:hint="eastAsia" w:ascii="楷体" w:hAnsi="楷体" w:eastAsia="楷体"/>
          <w:sz w:val="24"/>
          <w:highlight w:val="none"/>
        </w:rPr>
        <w:t xml:space="preserve"> </w:t>
      </w:r>
      <w:r>
        <w:rPr>
          <w:rFonts w:ascii="楷体" w:hAnsi="楷体" w:eastAsia="楷体"/>
          <w:sz w:val="24"/>
          <w:highlight w:val="none"/>
        </w:rPr>
        <w:t>合同使用汉语书就</w:t>
      </w:r>
      <w:r>
        <w:rPr>
          <w:rFonts w:hint="eastAsia" w:ascii="楷体" w:hAnsi="楷体" w:eastAsia="楷体"/>
          <w:sz w:val="24"/>
          <w:highlight w:val="none"/>
        </w:rPr>
        <w:t>、</w:t>
      </w:r>
      <w:r>
        <w:rPr>
          <w:rFonts w:ascii="楷体" w:hAnsi="楷体" w:eastAsia="楷体"/>
          <w:sz w:val="24"/>
          <w:highlight w:val="none"/>
        </w:rPr>
        <w:t>变更和解释</w:t>
      </w:r>
      <w:r>
        <w:rPr>
          <w:rFonts w:hint="eastAsia" w:ascii="楷体" w:hAnsi="楷体" w:eastAsia="楷体"/>
          <w:sz w:val="24"/>
          <w:highlight w:val="none"/>
        </w:rPr>
        <w:t>；</w:t>
      </w:r>
    </w:p>
    <w:p w14:paraId="46E12A33">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2.17.2 合同适用</w:t>
      </w:r>
      <w:r>
        <w:rPr>
          <w:rFonts w:ascii="楷体" w:hAnsi="楷体" w:eastAsia="楷体"/>
          <w:sz w:val="24"/>
          <w:highlight w:val="none"/>
        </w:rPr>
        <w:t>中华人民共和国法律。</w:t>
      </w:r>
    </w:p>
    <w:p w14:paraId="2E977113">
      <w:pPr>
        <w:spacing w:line="560" w:lineRule="exact"/>
        <w:ind w:firstLine="482" w:firstLineChars="200"/>
        <w:outlineLvl w:val="0"/>
        <w:rPr>
          <w:rFonts w:hint="eastAsia" w:ascii="楷体" w:hAnsi="楷体" w:eastAsia="楷体"/>
          <w:b/>
          <w:sz w:val="24"/>
          <w:highlight w:val="none"/>
          <w:lang w:eastAsia="zh-CN"/>
        </w:rPr>
      </w:pPr>
      <w:bookmarkStart w:id="490" w:name="_Toc1492"/>
      <w:bookmarkStart w:id="491" w:name="_Toc27403"/>
      <w:bookmarkStart w:id="492" w:name="_Toc22266"/>
      <w:bookmarkStart w:id="493" w:name="_Toc27127"/>
      <w:bookmarkStart w:id="494" w:name="_Toc279701264"/>
      <w:bookmarkStart w:id="495" w:name="_Toc30096"/>
      <w:bookmarkStart w:id="496" w:name="_Toc259093693"/>
      <w:bookmarkStart w:id="497" w:name="_Toc487900374"/>
      <w:r>
        <w:rPr>
          <w:rFonts w:hint="eastAsia" w:ascii="楷体" w:hAnsi="楷体" w:eastAsia="楷体"/>
          <w:b/>
          <w:sz w:val="24"/>
          <w:highlight w:val="none"/>
        </w:rPr>
        <w:t xml:space="preserve">2.18 </w:t>
      </w:r>
      <w:r>
        <w:rPr>
          <w:rFonts w:ascii="楷体" w:hAnsi="楷体" w:eastAsia="楷体"/>
          <w:b/>
          <w:sz w:val="24"/>
          <w:highlight w:val="none"/>
        </w:rPr>
        <w:t>履约保证金</w:t>
      </w:r>
      <w:bookmarkEnd w:id="490"/>
      <w:bookmarkEnd w:id="491"/>
      <w:bookmarkEnd w:id="492"/>
      <w:bookmarkEnd w:id="493"/>
      <w:bookmarkEnd w:id="494"/>
      <w:bookmarkEnd w:id="495"/>
      <w:bookmarkEnd w:id="496"/>
      <w:r>
        <w:rPr>
          <w:rFonts w:hint="eastAsia" w:ascii="楷体" w:hAnsi="楷体" w:eastAsia="楷体"/>
          <w:b/>
          <w:sz w:val="24"/>
          <w:highlight w:val="none"/>
          <w:lang w:eastAsia="zh-CN"/>
        </w:rPr>
        <w:t>（不收取）</w:t>
      </w:r>
    </w:p>
    <w:p w14:paraId="380F4C1A">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2.18.1 采购文件要求乙方提交履约保证金的，乙方</w:t>
      </w:r>
      <w:r>
        <w:rPr>
          <w:rFonts w:ascii="楷体" w:hAnsi="楷体" w:eastAsia="楷体"/>
          <w:sz w:val="24"/>
          <w:highlight w:val="none"/>
        </w:rPr>
        <w:t>应按</w:t>
      </w:r>
      <w:r>
        <w:rPr>
          <w:rFonts w:ascii="楷体" w:hAnsi="楷体" w:eastAsia="楷体"/>
          <w:b/>
          <w:i/>
          <w:sz w:val="24"/>
          <w:highlight w:val="none"/>
          <w:u w:val="single"/>
        </w:rPr>
        <w:t>合同专用条款</w:t>
      </w:r>
      <w:r>
        <w:rPr>
          <w:rFonts w:ascii="楷体" w:hAnsi="楷体" w:eastAsia="楷体"/>
          <w:sz w:val="24"/>
          <w:highlight w:val="none"/>
        </w:rPr>
        <w:t>约定的方式</w:t>
      </w:r>
      <w:r>
        <w:rPr>
          <w:rFonts w:hint="eastAsia" w:ascii="楷体" w:hAnsi="楷体" w:eastAsia="楷体"/>
          <w:sz w:val="24"/>
          <w:highlight w:val="none"/>
        </w:rPr>
        <w:t>，以支票、汇票、本票或者金融机构、担保机构出具的保函等非现金形式，提交不超过合同价10%的履约保证金；</w:t>
      </w:r>
    </w:p>
    <w:p w14:paraId="6373C4D6">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2.18</w:t>
      </w:r>
      <w:r>
        <w:rPr>
          <w:rFonts w:ascii="楷体" w:hAnsi="楷体" w:eastAsia="楷体"/>
          <w:sz w:val="24"/>
          <w:highlight w:val="none"/>
        </w:rPr>
        <w:t>.2</w:t>
      </w:r>
      <w:r>
        <w:rPr>
          <w:rFonts w:hint="eastAsia" w:ascii="楷体" w:hAnsi="楷体" w:eastAsia="楷体"/>
          <w:sz w:val="24"/>
          <w:highlight w:val="none"/>
        </w:rPr>
        <w:t xml:space="preserve"> </w:t>
      </w:r>
      <w:r>
        <w:rPr>
          <w:rFonts w:ascii="楷体" w:hAnsi="楷体" w:eastAsia="楷体"/>
          <w:sz w:val="24"/>
          <w:highlight w:val="none"/>
        </w:rPr>
        <w:t>履约保证金在</w:t>
      </w:r>
      <w:r>
        <w:rPr>
          <w:rFonts w:ascii="楷体" w:hAnsi="楷体" w:eastAsia="楷体"/>
          <w:b/>
          <w:i/>
          <w:sz w:val="24"/>
          <w:highlight w:val="none"/>
          <w:u w:val="single"/>
        </w:rPr>
        <w:t>合同专用条款</w:t>
      </w:r>
      <w:r>
        <w:rPr>
          <w:rFonts w:ascii="楷体" w:hAnsi="楷体" w:eastAsia="楷体"/>
          <w:sz w:val="24"/>
          <w:highlight w:val="none"/>
        </w:rPr>
        <w:t>约定期间</w:t>
      </w:r>
      <w:r>
        <w:rPr>
          <w:rFonts w:hint="eastAsia" w:ascii="楷体" w:hAnsi="楷体" w:eastAsia="楷体"/>
          <w:sz w:val="24"/>
          <w:highlight w:val="none"/>
        </w:rPr>
        <w:t>内</w:t>
      </w:r>
      <w:r>
        <w:rPr>
          <w:rFonts w:ascii="楷体" w:hAnsi="楷体" w:eastAsia="楷体"/>
          <w:sz w:val="24"/>
          <w:highlight w:val="none"/>
        </w:rPr>
        <w:t>不予退还或者应完全有效</w:t>
      </w:r>
      <w:r>
        <w:rPr>
          <w:rFonts w:hint="eastAsia" w:ascii="楷体" w:hAnsi="楷体" w:eastAsia="楷体"/>
          <w:sz w:val="24"/>
          <w:highlight w:val="none"/>
        </w:rPr>
        <w:t>，前述约定期间</w:t>
      </w:r>
      <w:r>
        <w:rPr>
          <w:rFonts w:ascii="楷体" w:hAnsi="楷体" w:eastAsia="楷体"/>
          <w:sz w:val="24"/>
          <w:highlight w:val="none"/>
        </w:rPr>
        <w:t>届满之日起</w:t>
      </w:r>
      <w:r>
        <w:rPr>
          <w:rFonts w:hint="eastAsia" w:ascii="楷体" w:hAnsi="楷体" w:eastAsia="楷体"/>
          <w:sz w:val="24"/>
          <w:highlight w:val="none"/>
          <w:u w:val="single"/>
        </w:rPr>
        <w:t xml:space="preserve">  2  </w:t>
      </w:r>
      <w:r>
        <w:rPr>
          <w:rFonts w:hint="eastAsia" w:ascii="楷体" w:hAnsi="楷体" w:eastAsia="楷体"/>
          <w:sz w:val="24"/>
          <w:highlight w:val="none"/>
        </w:rPr>
        <w:t>个</w:t>
      </w:r>
      <w:r>
        <w:rPr>
          <w:rFonts w:ascii="楷体" w:hAnsi="楷体" w:eastAsia="楷体"/>
          <w:sz w:val="24"/>
          <w:highlight w:val="none"/>
        </w:rPr>
        <w:t>工作日内，甲方应将履约保证金退还乙方</w:t>
      </w:r>
      <w:r>
        <w:rPr>
          <w:rFonts w:hint="eastAsia" w:ascii="楷体" w:hAnsi="楷体" w:eastAsia="楷体"/>
          <w:sz w:val="24"/>
          <w:highlight w:val="none"/>
        </w:rPr>
        <w:t>；</w:t>
      </w:r>
    </w:p>
    <w:p w14:paraId="360512BD">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 xml:space="preserve">2.18.3 </w:t>
      </w:r>
      <w:r>
        <w:rPr>
          <w:rFonts w:ascii="楷体" w:hAnsi="楷体" w:eastAsia="楷体"/>
          <w:sz w:val="24"/>
          <w:highlight w:val="none"/>
        </w:rPr>
        <w:t>如果乙方不履行合同</w:t>
      </w:r>
      <w:r>
        <w:rPr>
          <w:rFonts w:hint="eastAsia" w:ascii="楷体" w:hAnsi="楷体" w:eastAsia="楷体"/>
          <w:sz w:val="24"/>
          <w:highlight w:val="none"/>
        </w:rPr>
        <w:t>，履约保证金不予退还；如果乙方</w:t>
      </w:r>
      <w:r>
        <w:rPr>
          <w:rFonts w:ascii="楷体" w:hAnsi="楷体" w:eastAsia="楷体"/>
          <w:sz w:val="24"/>
          <w:highlight w:val="none"/>
        </w:rPr>
        <w:t>未能按合同</w:t>
      </w:r>
      <w:r>
        <w:rPr>
          <w:rFonts w:hint="eastAsia" w:ascii="楷体" w:hAnsi="楷体" w:eastAsia="楷体"/>
          <w:sz w:val="24"/>
          <w:highlight w:val="none"/>
        </w:rPr>
        <w:t>约</w:t>
      </w:r>
      <w:r>
        <w:rPr>
          <w:rFonts w:ascii="楷体" w:hAnsi="楷体" w:eastAsia="楷体"/>
          <w:sz w:val="24"/>
          <w:highlight w:val="none"/>
        </w:rPr>
        <w:t>定全面履行义务，那么甲方有权从履约保证金中取得补偿或赔偿</w:t>
      </w:r>
      <w:r>
        <w:rPr>
          <w:rFonts w:hint="eastAsia" w:ascii="楷体" w:hAnsi="楷体" w:eastAsia="楷体"/>
          <w:sz w:val="24"/>
          <w:highlight w:val="none"/>
        </w:rPr>
        <w:t>，同时不影响甲方要求乙方承担合同约定的超过履约保证金的违约责任的权利。</w:t>
      </w:r>
    </w:p>
    <w:bookmarkEnd w:id="497"/>
    <w:p w14:paraId="5234878B">
      <w:pPr>
        <w:spacing w:line="560" w:lineRule="exact"/>
        <w:ind w:firstLine="482" w:firstLineChars="200"/>
        <w:rPr>
          <w:rFonts w:ascii="楷体" w:hAnsi="楷体" w:eastAsia="楷体"/>
          <w:b/>
          <w:sz w:val="24"/>
          <w:highlight w:val="none"/>
        </w:rPr>
      </w:pPr>
      <w:r>
        <w:rPr>
          <w:rFonts w:hint="eastAsia" w:ascii="楷体" w:hAnsi="楷体" w:eastAsia="楷体"/>
          <w:b/>
          <w:sz w:val="24"/>
          <w:highlight w:val="none"/>
        </w:rPr>
        <w:t>2.19 合同份数</w:t>
      </w:r>
    </w:p>
    <w:p w14:paraId="22179FE4">
      <w:pPr>
        <w:spacing w:line="560" w:lineRule="exact"/>
        <w:ind w:firstLine="480" w:firstLineChars="200"/>
        <w:rPr>
          <w:rFonts w:ascii="楷体" w:hAnsi="楷体" w:eastAsia="楷体"/>
          <w:sz w:val="24"/>
          <w:highlight w:val="none"/>
        </w:rPr>
      </w:pPr>
      <w:r>
        <w:rPr>
          <w:rFonts w:ascii="楷体" w:hAnsi="楷体" w:eastAsia="楷体"/>
          <w:sz w:val="24"/>
          <w:highlight w:val="none"/>
        </w:rPr>
        <w:t>合同份数按</w:t>
      </w:r>
      <w:r>
        <w:rPr>
          <w:rFonts w:ascii="楷体" w:hAnsi="楷体" w:eastAsia="楷体"/>
          <w:b/>
          <w:i/>
          <w:sz w:val="24"/>
          <w:highlight w:val="none"/>
          <w:u w:val="single"/>
        </w:rPr>
        <w:t>合同专用条款</w:t>
      </w:r>
      <w:r>
        <w:rPr>
          <w:rFonts w:ascii="楷体" w:hAnsi="楷体" w:eastAsia="楷体"/>
          <w:sz w:val="24"/>
          <w:highlight w:val="none"/>
        </w:rPr>
        <w:t>规定</w:t>
      </w:r>
      <w:r>
        <w:rPr>
          <w:rFonts w:hint="eastAsia" w:ascii="楷体" w:hAnsi="楷体" w:eastAsia="楷体"/>
          <w:sz w:val="24"/>
          <w:highlight w:val="none"/>
        </w:rPr>
        <w:t>，</w:t>
      </w:r>
      <w:r>
        <w:rPr>
          <w:rFonts w:ascii="楷体" w:hAnsi="楷体" w:eastAsia="楷体"/>
          <w:sz w:val="24"/>
          <w:highlight w:val="none"/>
        </w:rPr>
        <w:t>每份均具有同等法律效力</w:t>
      </w:r>
      <w:r>
        <w:rPr>
          <w:rFonts w:hint="eastAsia" w:ascii="楷体" w:hAnsi="楷体" w:eastAsia="楷体"/>
          <w:sz w:val="24"/>
          <w:highlight w:val="none"/>
        </w:rPr>
        <w:t>。</w:t>
      </w:r>
    </w:p>
    <w:p w14:paraId="1F31898F">
      <w:pPr>
        <w:pStyle w:val="51"/>
        <w:spacing w:line="560" w:lineRule="exact"/>
        <w:ind w:firstLine="0"/>
        <w:jc w:val="center"/>
        <w:rPr>
          <w:rFonts w:ascii="楷体" w:hAnsi="楷体" w:eastAsia="楷体"/>
          <w:b/>
          <w:szCs w:val="24"/>
          <w:highlight w:val="none"/>
        </w:rPr>
      </w:pPr>
      <w:r>
        <w:rPr>
          <w:rFonts w:ascii="楷体" w:hAnsi="楷体" w:eastAsia="楷体"/>
          <w:szCs w:val="24"/>
          <w:highlight w:val="none"/>
        </w:rPr>
        <w:br w:type="page"/>
      </w:r>
      <w:bookmarkStart w:id="498" w:name="_Toc331685784"/>
      <w:r>
        <w:rPr>
          <w:rFonts w:hint="eastAsia" w:ascii="楷体" w:hAnsi="楷体" w:eastAsia="楷体"/>
          <w:b/>
          <w:szCs w:val="24"/>
          <w:highlight w:val="none"/>
        </w:rPr>
        <w:t>第三部分  合同专用条款</w:t>
      </w:r>
      <w:bookmarkEnd w:id="498"/>
    </w:p>
    <w:p w14:paraId="39DAE7D6">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本部分</w:t>
      </w:r>
      <w:r>
        <w:rPr>
          <w:rFonts w:ascii="楷体" w:hAnsi="楷体" w:eastAsia="楷体"/>
          <w:sz w:val="24"/>
          <w:highlight w:val="none"/>
        </w:rPr>
        <w:t>是对</w:t>
      </w:r>
      <w:r>
        <w:rPr>
          <w:rFonts w:hint="eastAsia" w:ascii="楷体" w:hAnsi="楷体" w:eastAsia="楷体"/>
          <w:sz w:val="24"/>
          <w:highlight w:val="none"/>
        </w:rPr>
        <w:t>前两</w:t>
      </w:r>
      <w:r>
        <w:rPr>
          <w:rFonts w:ascii="楷体" w:hAnsi="楷体" w:eastAsia="楷体"/>
          <w:sz w:val="24"/>
          <w:highlight w:val="none"/>
        </w:rPr>
        <w:t>部分的补充和修改</w:t>
      </w:r>
      <w:r>
        <w:rPr>
          <w:rFonts w:hint="eastAsia" w:ascii="楷体" w:hAnsi="楷体" w:eastAsia="楷体"/>
          <w:sz w:val="24"/>
          <w:highlight w:val="none"/>
        </w:rPr>
        <w:t>，</w:t>
      </w:r>
      <w:r>
        <w:rPr>
          <w:rFonts w:ascii="楷体" w:hAnsi="楷体" w:eastAsia="楷体"/>
          <w:sz w:val="24"/>
          <w:highlight w:val="none"/>
        </w:rPr>
        <w:t>如果</w:t>
      </w:r>
      <w:r>
        <w:rPr>
          <w:rFonts w:hint="eastAsia" w:ascii="楷体" w:hAnsi="楷体" w:eastAsia="楷体"/>
          <w:sz w:val="24"/>
          <w:highlight w:val="none"/>
        </w:rPr>
        <w:t>前两</w:t>
      </w:r>
      <w:r>
        <w:rPr>
          <w:rFonts w:ascii="楷体" w:hAnsi="楷体" w:eastAsia="楷体"/>
          <w:sz w:val="24"/>
          <w:highlight w:val="none"/>
        </w:rPr>
        <w:t>部分和本部分的约定不一致</w:t>
      </w:r>
      <w:r>
        <w:rPr>
          <w:rFonts w:hint="eastAsia" w:ascii="楷体" w:hAnsi="楷体" w:eastAsia="楷体"/>
          <w:sz w:val="24"/>
          <w:highlight w:val="none"/>
        </w:rPr>
        <w:t>，</w:t>
      </w:r>
      <w:r>
        <w:rPr>
          <w:rFonts w:ascii="楷体" w:hAnsi="楷体" w:eastAsia="楷体"/>
          <w:sz w:val="24"/>
          <w:highlight w:val="none"/>
        </w:rPr>
        <w:t>应以本部分的约定为准</w:t>
      </w:r>
      <w:r>
        <w:rPr>
          <w:rFonts w:hint="eastAsia" w:ascii="楷体" w:hAnsi="楷体" w:eastAsia="楷体"/>
          <w:sz w:val="24"/>
          <w:highlight w:val="none"/>
        </w:rPr>
        <w:t>。</w:t>
      </w:r>
      <w:r>
        <w:rPr>
          <w:rFonts w:ascii="楷体" w:hAnsi="楷体" w:eastAsia="楷体"/>
          <w:sz w:val="24"/>
          <w:highlight w:val="none"/>
        </w:rPr>
        <w:t>本部分的条款号应与</w:t>
      </w:r>
      <w:r>
        <w:rPr>
          <w:rFonts w:hint="eastAsia" w:ascii="楷体" w:hAnsi="楷体" w:eastAsia="楷体"/>
          <w:sz w:val="24"/>
          <w:highlight w:val="none"/>
        </w:rPr>
        <w:t>前两部分</w:t>
      </w:r>
      <w:r>
        <w:rPr>
          <w:rFonts w:ascii="楷体" w:hAnsi="楷体" w:eastAsia="楷体"/>
          <w:sz w:val="24"/>
          <w:highlight w:val="none"/>
        </w:rPr>
        <w:t>的条款号保持对应</w:t>
      </w:r>
      <w:r>
        <w:rPr>
          <w:rFonts w:hint="eastAsia" w:ascii="楷体" w:hAnsi="楷体" w:eastAsia="楷体"/>
          <w:sz w:val="24"/>
          <w:highlight w:val="none"/>
        </w:rPr>
        <w:t>；与前两部分</w:t>
      </w:r>
      <w:r>
        <w:rPr>
          <w:rFonts w:ascii="楷体" w:hAnsi="楷体" w:eastAsia="楷体"/>
          <w:sz w:val="24"/>
          <w:highlight w:val="none"/>
        </w:rPr>
        <w:t>无对应关系的内容可另行编制条款号</w:t>
      </w:r>
      <w:r>
        <w:rPr>
          <w:rFonts w:hint="eastAsia" w:ascii="楷体" w:hAnsi="楷体" w:eastAsia="楷体"/>
          <w:sz w:val="24"/>
          <w:highlight w:val="none"/>
        </w:rPr>
        <w:t>。</w:t>
      </w:r>
    </w:p>
    <w:tbl>
      <w:tblPr>
        <w:tblStyle w:val="2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9E19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35B3BAF">
            <w:pPr>
              <w:spacing w:line="560" w:lineRule="exact"/>
              <w:jc w:val="center"/>
              <w:rPr>
                <w:rFonts w:ascii="楷体" w:hAnsi="楷体" w:eastAsia="楷体"/>
                <w:b/>
                <w:sz w:val="24"/>
                <w:highlight w:val="none"/>
              </w:rPr>
            </w:pPr>
            <w:r>
              <w:rPr>
                <w:rFonts w:ascii="楷体" w:hAnsi="楷体" w:eastAsia="楷体"/>
                <w:b/>
                <w:sz w:val="24"/>
                <w:highlight w:val="none"/>
              </w:rPr>
              <w:t>条款号</w:t>
            </w:r>
          </w:p>
        </w:tc>
        <w:tc>
          <w:tcPr>
            <w:tcW w:w="7633" w:type="dxa"/>
            <w:noWrap w:val="0"/>
            <w:vAlign w:val="center"/>
          </w:tcPr>
          <w:p w14:paraId="2E3E2152">
            <w:pPr>
              <w:spacing w:line="560" w:lineRule="exact"/>
              <w:jc w:val="center"/>
              <w:rPr>
                <w:rFonts w:ascii="楷体" w:hAnsi="楷体" w:eastAsia="楷体"/>
                <w:b/>
                <w:sz w:val="24"/>
                <w:highlight w:val="none"/>
              </w:rPr>
            </w:pPr>
            <w:r>
              <w:rPr>
                <w:rFonts w:ascii="楷体" w:hAnsi="楷体" w:eastAsia="楷体"/>
                <w:b/>
                <w:sz w:val="24"/>
                <w:highlight w:val="none"/>
              </w:rPr>
              <w:t>约定内容</w:t>
            </w:r>
          </w:p>
        </w:tc>
      </w:tr>
      <w:tr w14:paraId="5B335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6EE89150">
            <w:pPr>
              <w:spacing w:line="560" w:lineRule="exact"/>
              <w:rPr>
                <w:rFonts w:ascii="楷体" w:hAnsi="楷体" w:eastAsia="楷体"/>
                <w:sz w:val="24"/>
                <w:highlight w:val="none"/>
              </w:rPr>
            </w:pPr>
          </w:p>
        </w:tc>
        <w:tc>
          <w:tcPr>
            <w:tcW w:w="7633" w:type="dxa"/>
            <w:noWrap w:val="0"/>
            <w:vAlign w:val="center"/>
          </w:tcPr>
          <w:p w14:paraId="72B4E026">
            <w:pPr>
              <w:spacing w:line="560" w:lineRule="exact"/>
              <w:rPr>
                <w:rFonts w:ascii="楷体" w:hAnsi="楷体" w:eastAsia="楷体"/>
                <w:sz w:val="24"/>
                <w:highlight w:val="none"/>
              </w:rPr>
            </w:pPr>
          </w:p>
        </w:tc>
      </w:tr>
      <w:tr w14:paraId="0E5C9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A340C92">
            <w:pPr>
              <w:spacing w:line="560" w:lineRule="exact"/>
              <w:rPr>
                <w:rFonts w:ascii="楷体" w:hAnsi="楷体" w:eastAsia="楷体"/>
                <w:sz w:val="24"/>
                <w:highlight w:val="none"/>
              </w:rPr>
            </w:pPr>
          </w:p>
        </w:tc>
        <w:tc>
          <w:tcPr>
            <w:tcW w:w="7633" w:type="dxa"/>
            <w:noWrap w:val="0"/>
            <w:vAlign w:val="center"/>
          </w:tcPr>
          <w:p w14:paraId="3367E61A">
            <w:pPr>
              <w:spacing w:line="560" w:lineRule="exact"/>
              <w:rPr>
                <w:rFonts w:ascii="楷体" w:hAnsi="楷体" w:eastAsia="楷体"/>
                <w:sz w:val="24"/>
                <w:highlight w:val="none"/>
              </w:rPr>
            </w:pPr>
          </w:p>
        </w:tc>
      </w:tr>
      <w:tr w14:paraId="12F68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C5C4BE3">
            <w:pPr>
              <w:spacing w:line="560" w:lineRule="exact"/>
              <w:rPr>
                <w:rFonts w:ascii="楷体" w:hAnsi="楷体" w:eastAsia="楷体"/>
                <w:sz w:val="24"/>
                <w:highlight w:val="none"/>
              </w:rPr>
            </w:pPr>
          </w:p>
        </w:tc>
        <w:tc>
          <w:tcPr>
            <w:tcW w:w="7633" w:type="dxa"/>
            <w:noWrap w:val="0"/>
            <w:vAlign w:val="center"/>
          </w:tcPr>
          <w:p w14:paraId="45FFC5A2">
            <w:pPr>
              <w:spacing w:line="560" w:lineRule="exact"/>
              <w:rPr>
                <w:rFonts w:ascii="楷体" w:hAnsi="楷体" w:eastAsia="楷体"/>
                <w:sz w:val="24"/>
                <w:highlight w:val="none"/>
              </w:rPr>
            </w:pPr>
          </w:p>
        </w:tc>
      </w:tr>
      <w:tr w14:paraId="3727A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663FCF7">
            <w:pPr>
              <w:spacing w:line="560" w:lineRule="exact"/>
              <w:rPr>
                <w:rFonts w:ascii="楷体" w:hAnsi="楷体" w:eastAsia="楷体"/>
                <w:sz w:val="24"/>
                <w:highlight w:val="none"/>
              </w:rPr>
            </w:pPr>
          </w:p>
        </w:tc>
        <w:tc>
          <w:tcPr>
            <w:tcW w:w="7633" w:type="dxa"/>
            <w:noWrap w:val="0"/>
            <w:vAlign w:val="center"/>
          </w:tcPr>
          <w:p w14:paraId="13EC4898">
            <w:pPr>
              <w:spacing w:line="560" w:lineRule="exact"/>
              <w:rPr>
                <w:rFonts w:ascii="楷体" w:hAnsi="楷体" w:eastAsia="楷体"/>
                <w:sz w:val="24"/>
                <w:highlight w:val="none"/>
              </w:rPr>
            </w:pPr>
          </w:p>
        </w:tc>
      </w:tr>
      <w:tr w14:paraId="4DF1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0E907AB">
            <w:pPr>
              <w:spacing w:line="560" w:lineRule="exact"/>
              <w:rPr>
                <w:rFonts w:ascii="楷体" w:hAnsi="楷体" w:eastAsia="楷体"/>
                <w:sz w:val="24"/>
                <w:highlight w:val="none"/>
              </w:rPr>
            </w:pPr>
          </w:p>
        </w:tc>
        <w:tc>
          <w:tcPr>
            <w:tcW w:w="7633" w:type="dxa"/>
            <w:noWrap w:val="0"/>
            <w:vAlign w:val="center"/>
          </w:tcPr>
          <w:p w14:paraId="11FE6275">
            <w:pPr>
              <w:spacing w:line="560" w:lineRule="exact"/>
              <w:rPr>
                <w:rFonts w:ascii="楷体" w:hAnsi="楷体" w:eastAsia="楷体"/>
                <w:sz w:val="24"/>
                <w:highlight w:val="none"/>
                <w:u w:val="single"/>
              </w:rPr>
            </w:pPr>
          </w:p>
        </w:tc>
      </w:tr>
      <w:tr w14:paraId="2A752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CEBE89B">
            <w:pPr>
              <w:spacing w:line="560" w:lineRule="exact"/>
              <w:rPr>
                <w:rFonts w:ascii="楷体" w:hAnsi="楷体" w:eastAsia="楷体"/>
                <w:sz w:val="24"/>
                <w:highlight w:val="none"/>
              </w:rPr>
            </w:pPr>
          </w:p>
        </w:tc>
        <w:tc>
          <w:tcPr>
            <w:tcW w:w="7633" w:type="dxa"/>
            <w:noWrap w:val="0"/>
            <w:vAlign w:val="center"/>
          </w:tcPr>
          <w:p w14:paraId="23A7B33D">
            <w:pPr>
              <w:spacing w:line="560" w:lineRule="exact"/>
              <w:rPr>
                <w:rFonts w:ascii="楷体" w:hAnsi="楷体" w:eastAsia="楷体"/>
                <w:sz w:val="24"/>
                <w:highlight w:val="none"/>
              </w:rPr>
            </w:pPr>
          </w:p>
        </w:tc>
      </w:tr>
      <w:tr w14:paraId="235C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5AFEAB2">
            <w:pPr>
              <w:spacing w:line="560" w:lineRule="exact"/>
              <w:rPr>
                <w:rFonts w:ascii="楷体" w:hAnsi="楷体" w:eastAsia="楷体"/>
                <w:sz w:val="24"/>
                <w:highlight w:val="none"/>
              </w:rPr>
            </w:pPr>
          </w:p>
        </w:tc>
        <w:tc>
          <w:tcPr>
            <w:tcW w:w="7633" w:type="dxa"/>
            <w:noWrap w:val="0"/>
            <w:vAlign w:val="center"/>
          </w:tcPr>
          <w:p w14:paraId="16E59F0F">
            <w:pPr>
              <w:spacing w:line="560" w:lineRule="exact"/>
              <w:rPr>
                <w:rFonts w:ascii="楷体" w:hAnsi="楷体" w:eastAsia="楷体"/>
                <w:sz w:val="24"/>
                <w:highlight w:val="none"/>
                <w:u w:val="single"/>
              </w:rPr>
            </w:pPr>
          </w:p>
        </w:tc>
      </w:tr>
      <w:tr w14:paraId="6827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4B20E5F">
            <w:pPr>
              <w:spacing w:line="560" w:lineRule="exact"/>
              <w:rPr>
                <w:rFonts w:ascii="楷体" w:hAnsi="楷体" w:eastAsia="楷体"/>
                <w:sz w:val="24"/>
                <w:highlight w:val="none"/>
              </w:rPr>
            </w:pPr>
          </w:p>
        </w:tc>
        <w:tc>
          <w:tcPr>
            <w:tcW w:w="7633" w:type="dxa"/>
            <w:noWrap w:val="0"/>
            <w:vAlign w:val="center"/>
          </w:tcPr>
          <w:p w14:paraId="5F0899B4">
            <w:pPr>
              <w:spacing w:line="560" w:lineRule="exact"/>
              <w:rPr>
                <w:rFonts w:ascii="楷体" w:hAnsi="楷体" w:eastAsia="楷体"/>
                <w:sz w:val="24"/>
                <w:highlight w:val="none"/>
              </w:rPr>
            </w:pPr>
          </w:p>
        </w:tc>
      </w:tr>
      <w:tr w14:paraId="47C65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411FA90">
            <w:pPr>
              <w:spacing w:line="560" w:lineRule="exact"/>
              <w:rPr>
                <w:rFonts w:ascii="楷体" w:hAnsi="楷体" w:eastAsia="楷体"/>
                <w:sz w:val="24"/>
                <w:highlight w:val="none"/>
              </w:rPr>
            </w:pPr>
          </w:p>
        </w:tc>
        <w:tc>
          <w:tcPr>
            <w:tcW w:w="7633" w:type="dxa"/>
            <w:noWrap w:val="0"/>
            <w:vAlign w:val="center"/>
          </w:tcPr>
          <w:p w14:paraId="6E65F00A">
            <w:pPr>
              <w:spacing w:line="560" w:lineRule="exact"/>
              <w:rPr>
                <w:rFonts w:ascii="楷体" w:hAnsi="楷体" w:eastAsia="楷体"/>
                <w:sz w:val="24"/>
                <w:highlight w:val="none"/>
              </w:rPr>
            </w:pPr>
          </w:p>
        </w:tc>
      </w:tr>
      <w:tr w14:paraId="2D9B9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BAE1318">
            <w:pPr>
              <w:spacing w:line="560" w:lineRule="exact"/>
              <w:rPr>
                <w:rFonts w:ascii="楷体" w:hAnsi="楷体" w:eastAsia="楷体"/>
                <w:sz w:val="24"/>
                <w:highlight w:val="none"/>
              </w:rPr>
            </w:pPr>
          </w:p>
        </w:tc>
        <w:tc>
          <w:tcPr>
            <w:tcW w:w="7633" w:type="dxa"/>
            <w:noWrap w:val="0"/>
            <w:vAlign w:val="center"/>
          </w:tcPr>
          <w:p w14:paraId="2BB5C080">
            <w:pPr>
              <w:spacing w:line="560" w:lineRule="exact"/>
              <w:rPr>
                <w:rFonts w:ascii="楷体" w:hAnsi="楷体" w:eastAsia="楷体"/>
                <w:sz w:val="24"/>
                <w:highlight w:val="none"/>
              </w:rPr>
            </w:pPr>
          </w:p>
        </w:tc>
      </w:tr>
      <w:tr w14:paraId="463AC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64FF6260">
            <w:pPr>
              <w:spacing w:line="560" w:lineRule="exact"/>
              <w:rPr>
                <w:rFonts w:ascii="楷体" w:hAnsi="楷体" w:eastAsia="楷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59AFE266">
            <w:pPr>
              <w:spacing w:line="560" w:lineRule="exact"/>
              <w:rPr>
                <w:rFonts w:ascii="楷体" w:hAnsi="楷体" w:eastAsia="楷体"/>
                <w:sz w:val="24"/>
                <w:highlight w:val="none"/>
              </w:rPr>
            </w:pPr>
          </w:p>
        </w:tc>
      </w:tr>
    </w:tbl>
    <w:p w14:paraId="7937E59D">
      <w:pPr>
        <w:spacing w:after="156" w:line="560" w:lineRule="exact"/>
        <w:ind w:firstLine="480"/>
        <w:rPr>
          <w:highlight w:val="none"/>
        </w:rPr>
      </w:pPr>
    </w:p>
    <w:p w14:paraId="7544FFF6">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注：该合同格式仅供参考，以最终双方签订合同条款为准。</w:t>
      </w:r>
    </w:p>
    <w:p w14:paraId="19CB5019">
      <w:pPr>
        <w:keepNext w:val="0"/>
        <w:keepLines w:val="0"/>
        <w:pageBreakBefore/>
        <w:widowControl/>
        <w:kinsoku/>
        <w:wordWrap/>
        <w:overflowPunct/>
        <w:topLinePunct w:val="0"/>
        <w:autoSpaceDE/>
        <w:autoSpaceDN/>
        <w:bidi w:val="0"/>
        <w:adjustRightInd/>
        <w:snapToGrid/>
        <w:spacing w:before="120" w:beforeLines="50" w:after="120" w:afterLines="50"/>
        <w:jc w:val="center"/>
        <w:textAlignment w:val="auto"/>
        <w:outlineLvl w:val="0"/>
        <w:rPr>
          <w:rFonts w:ascii="宋体" w:hAnsi="宋体" w:eastAsia="宋体" w:cs="宋体"/>
          <w:b/>
          <w:color w:val="auto"/>
          <w:sz w:val="44"/>
          <w:szCs w:val="22"/>
          <w:highlight w:val="none"/>
        </w:rPr>
      </w:pPr>
      <w:bookmarkStart w:id="499" w:name="_Toc16509"/>
      <w:bookmarkStart w:id="500" w:name="_Toc1066"/>
      <w:r>
        <w:rPr>
          <w:rFonts w:hint="eastAsia" w:ascii="宋体" w:hAnsi="宋体" w:eastAsia="宋体" w:cs="宋体"/>
          <w:b/>
          <w:color w:val="auto"/>
          <w:sz w:val="44"/>
          <w:szCs w:val="22"/>
          <w:highlight w:val="none"/>
        </w:rPr>
        <w:t xml:space="preserve">第五章 </w:t>
      </w:r>
      <w:r>
        <w:rPr>
          <w:rFonts w:hint="eastAsia" w:ascii="宋体" w:hAnsi="宋体" w:eastAsia="宋体" w:cs="宋体"/>
          <w:b/>
          <w:color w:val="auto"/>
          <w:sz w:val="44"/>
          <w:szCs w:val="22"/>
          <w:highlight w:val="none"/>
          <w:lang w:val="en-US" w:eastAsia="zh-CN"/>
        </w:rPr>
        <w:t xml:space="preserve"> </w:t>
      </w:r>
      <w:r>
        <w:rPr>
          <w:rFonts w:hint="eastAsia" w:ascii="宋体" w:hAnsi="宋体" w:eastAsia="宋体" w:cs="宋体"/>
          <w:b/>
          <w:color w:val="auto"/>
          <w:sz w:val="44"/>
          <w:szCs w:val="22"/>
          <w:highlight w:val="none"/>
        </w:rPr>
        <w:t>磋商办法</w:t>
      </w:r>
      <w:bookmarkEnd w:id="499"/>
      <w:bookmarkEnd w:id="500"/>
    </w:p>
    <w:p w14:paraId="68BD9BC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8"/>
          <w:szCs w:val="28"/>
          <w:highlight w:val="none"/>
        </w:rPr>
        <w:t>评标办法前附表</w:t>
      </w:r>
    </w:p>
    <w:tbl>
      <w:tblPr>
        <w:tblStyle w:val="27"/>
        <w:tblW w:w="53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1"/>
        <w:gridCol w:w="779"/>
        <w:gridCol w:w="375"/>
        <w:gridCol w:w="1385"/>
        <w:gridCol w:w="122"/>
        <w:gridCol w:w="6325"/>
      </w:tblGrid>
      <w:tr w14:paraId="4E66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5" w:type="pct"/>
            <w:gridSpan w:val="3"/>
            <w:vAlign w:val="center"/>
          </w:tcPr>
          <w:p w14:paraId="58F5A5C7">
            <w:pPr>
              <w:spacing w:before="10" w:after="10" w:line="380" w:lineRule="exact"/>
              <w:jc w:val="center"/>
              <w:outlineLvl w:val="1"/>
              <w:rPr>
                <w:rFonts w:ascii="宋体" w:hAnsi="宋体" w:eastAsia="宋体" w:cs="宋体"/>
                <w:b/>
                <w:color w:val="auto"/>
                <w:sz w:val="21"/>
                <w:szCs w:val="21"/>
                <w:highlight w:val="none"/>
              </w:rPr>
            </w:pPr>
            <w:bookmarkStart w:id="501" w:name="_Toc465160115"/>
            <w:bookmarkStart w:id="502" w:name="_Toc390723341"/>
            <w:bookmarkStart w:id="503" w:name="_Toc372804019"/>
            <w:bookmarkStart w:id="504" w:name="_Toc458878045"/>
            <w:bookmarkStart w:id="505" w:name="_Toc447619199"/>
            <w:r>
              <w:rPr>
                <w:rFonts w:hint="eastAsia" w:ascii="宋体" w:hAnsi="宋体" w:eastAsia="宋体" w:cs="宋体"/>
                <w:b/>
                <w:color w:val="auto"/>
                <w:sz w:val="21"/>
                <w:szCs w:val="21"/>
                <w:highlight w:val="none"/>
              </w:rPr>
              <w:t>条款号</w:t>
            </w:r>
            <w:bookmarkEnd w:id="501"/>
            <w:bookmarkEnd w:id="502"/>
            <w:bookmarkEnd w:id="503"/>
            <w:bookmarkEnd w:id="504"/>
            <w:bookmarkEnd w:id="505"/>
          </w:p>
        </w:tc>
        <w:tc>
          <w:tcPr>
            <w:tcW w:w="897" w:type="pct"/>
            <w:gridSpan w:val="2"/>
            <w:vAlign w:val="center"/>
          </w:tcPr>
          <w:p w14:paraId="6FBE073C">
            <w:pPr>
              <w:spacing w:before="10" w:after="10" w:line="380" w:lineRule="exact"/>
              <w:jc w:val="center"/>
              <w:outlineLvl w:val="1"/>
              <w:rPr>
                <w:rFonts w:ascii="宋体" w:hAnsi="宋体" w:eastAsia="宋体" w:cs="宋体"/>
                <w:b/>
                <w:color w:val="auto"/>
                <w:sz w:val="21"/>
                <w:szCs w:val="21"/>
                <w:highlight w:val="none"/>
              </w:rPr>
            </w:pPr>
            <w:bookmarkStart w:id="506" w:name="_Toc465160116"/>
            <w:bookmarkStart w:id="507" w:name="_Toc447619200"/>
            <w:bookmarkStart w:id="508" w:name="_Toc390723342"/>
            <w:bookmarkStart w:id="509" w:name="_Toc372804020"/>
            <w:bookmarkStart w:id="510" w:name="_Toc458878046"/>
            <w:r>
              <w:rPr>
                <w:rFonts w:hint="eastAsia" w:ascii="宋体" w:hAnsi="宋体" w:eastAsia="宋体" w:cs="宋体"/>
                <w:b/>
                <w:color w:val="auto"/>
                <w:sz w:val="21"/>
                <w:szCs w:val="21"/>
                <w:highlight w:val="none"/>
              </w:rPr>
              <w:t>评审因素</w:t>
            </w:r>
            <w:bookmarkEnd w:id="506"/>
            <w:bookmarkEnd w:id="507"/>
            <w:bookmarkEnd w:id="508"/>
            <w:bookmarkEnd w:id="509"/>
            <w:bookmarkEnd w:id="510"/>
          </w:p>
        </w:tc>
        <w:tc>
          <w:tcPr>
            <w:tcW w:w="3286" w:type="pct"/>
            <w:gridSpan w:val="2"/>
            <w:vAlign w:val="center"/>
          </w:tcPr>
          <w:p w14:paraId="27634BC5">
            <w:pPr>
              <w:spacing w:before="10" w:after="10" w:line="380" w:lineRule="exact"/>
              <w:jc w:val="center"/>
              <w:outlineLvl w:val="1"/>
              <w:rPr>
                <w:rFonts w:ascii="宋体" w:hAnsi="宋体" w:eastAsia="宋体" w:cs="宋体"/>
                <w:b/>
                <w:color w:val="auto"/>
                <w:sz w:val="21"/>
                <w:szCs w:val="21"/>
                <w:highlight w:val="none"/>
              </w:rPr>
            </w:pPr>
            <w:bookmarkStart w:id="511" w:name="_Toc372804021"/>
            <w:bookmarkStart w:id="512" w:name="_Toc447619201"/>
            <w:bookmarkStart w:id="513" w:name="_Toc458878047"/>
            <w:bookmarkStart w:id="514" w:name="_Toc390723343"/>
            <w:bookmarkStart w:id="515" w:name="_Toc465160117"/>
            <w:r>
              <w:rPr>
                <w:rFonts w:hint="eastAsia" w:ascii="宋体" w:hAnsi="宋体" w:eastAsia="宋体" w:cs="宋体"/>
                <w:b/>
                <w:color w:val="auto"/>
                <w:sz w:val="21"/>
                <w:szCs w:val="21"/>
                <w:highlight w:val="none"/>
              </w:rPr>
              <w:t>评审标准</w:t>
            </w:r>
            <w:bookmarkEnd w:id="511"/>
            <w:bookmarkEnd w:id="512"/>
            <w:bookmarkEnd w:id="513"/>
            <w:bookmarkEnd w:id="514"/>
            <w:bookmarkEnd w:id="515"/>
          </w:p>
        </w:tc>
      </w:tr>
      <w:tr w14:paraId="6F7E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restart"/>
            <w:vAlign w:val="center"/>
          </w:tcPr>
          <w:p w14:paraId="50B408E7">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413" w:type="pct"/>
            <w:gridSpan w:val="2"/>
            <w:vMerge w:val="restart"/>
            <w:vAlign w:val="center"/>
          </w:tcPr>
          <w:p w14:paraId="0E47BC2F">
            <w:pPr>
              <w:spacing w:before="10" w:after="10" w:line="380" w:lineRule="exact"/>
              <w:ind w:left="-27" w:leftChars="-120" w:right="-155" w:rightChars="-86" w:hanging="189" w:hangingChars="9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01D97C77">
            <w:pPr>
              <w:spacing w:before="10" w:after="10" w:line="380" w:lineRule="exact"/>
              <w:ind w:left="-27" w:leftChars="-120" w:right="-155" w:rightChars="-86" w:hanging="189" w:hangingChars="9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56F8AD25">
            <w:pPr>
              <w:spacing w:before="10" w:after="10" w:line="380" w:lineRule="exact"/>
              <w:ind w:left="-27" w:leftChars="-120" w:right="-155" w:rightChars="-86" w:hanging="189" w:hangingChars="9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897" w:type="pct"/>
            <w:gridSpan w:val="2"/>
            <w:vAlign w:val="center"/>
          </w:tcPr>
          <w:p w14:paraId="07DF50FD">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86" w:type="pct"/>
            <w:gridSpan w:val="2"/>
            <w:vAlign w:val="center"/>
          </w:tcPr>
          <w:p w14:paraId="037FEEB1">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符合本项目资格要求的有效营业执照</w:t>
            </w:r>
          </w:p>
        </w:tc>
      </w:tr>
      <w:tr w14:paraId="5238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vAlign w:val="center"/>
          </w:tcPr>
          <w:p w14:paraId="4AFC28D9">
            <w:pPr>
              <w:spacing w:before="10" w:after="10" w:line="380" w:lineRule="exact"/>
              <w:jc w:val="center"/>
              <w:rPr>
                <w:rFonts w:ascii="宋体" w:hAnsi="宋体" w:eastAsia="宋体" w:cs="宋体"/>
                <w:color w:val="auto"/>
                <w:sz w:val="21"/>
                <w:szCs w:val="21"/>
                <w:highlight w:val="none"/>
              </w:rPr>
            </w:pPr>
          </w:p>
        </w:tc>
        <w:tc>
          <w:tcPr>
            <w:tcW w:w="413" w:type="pct"/>
            <w:gridSpan w:val="2"/>
            <w:vMerge w:val="continue"/>
            <w:vAlign w:val="center"/>
          </w:tcPr>
          <w:p w14:paraId="7CCAC267">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3EF5514F">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3286" w:type="pct"/>
            <w:gridSpan w:val="2"/>
            <w:vAlign w:val="center"/>
          </w:tcPr>
          <w:p w14:paraId="3E95D8BE">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68F9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vAlign w:val="center"/>
          </w:tcPr>
          <w:p w14:paraId="3E5B2C00">
            <w:pPr>
              <w:spacing w:before="10" w:after="10" w:line="380" w:lineRule="exact"/>
              <w:jc w:val="center"/>
              <w:rPr>
                <w:rFonts w:ascii="宋体" w:hAnsi="宋体" w:eastAsia="宋体" w:cs="宋体"/>
                <w:color w:val="auto"/>
                <w:sz w:val="21"/>
                <w:szCs w:val="21"/>
                <w:highlight w:val="none"/>
              </w:rPr>
            </w:pPr>
          </w:p>
        </w:tc>
        <w:tc>
          <w:tcPr>
            <w:tcW w:w="413" w:type="pct"/>
            <w:gridSpan w:val="2"/>
            <w:vMerge w:val="continue"/>
            <w:vAlign w:val="center"/>
          </w:tcPr>
          <w:p w14:paraId="027710EA">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6562C2EE">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3286" w:type="pct"/>
            <w:gridSpan w:val="2"/>
            <w:vAlign w:val="center"/>
          </w:tcPr>
          <w:p w14:paraId="190A619C">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67FF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restart"/>
            <w:vAlign w:val="center"/>
          </w:tcPr>
          <w:p w14:paraId="74A89FF8">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413" w:type="pct"/>
            <w:gridSpan w:val="2"/>
            <w:vMerge w:val="restart"/>
            <w:vAlign w:val="center"/>
          </w:tcPr>
          <w:p w14:paraId="3778454D">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w:t>
            </w:r>
          </w:p>
          <w:p w14:paraId="6AEDE85D">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4837A0D6">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897" w:type="pct"/>
            <w:gridSpan w:val="2"/>
            <w:vAlign w:val="center"/>
          </w:tcPr>
          <w:p w14:paraId="3ADACD65">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3286" w:type="pct"/>
            <w:gridSpan w:val="2"/>
            <w:vAlign w:val="center"/>
          </w:tcPr>
          <w:p w14:paraId="512FDE7A">
            <w:pPr>
              <w:spacing w:before="10" w:after="10" w:line="380" w:lineRule="exact"/>
              <w:rPr>
                <w:rFonts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与营业执照一致</w:t>
            </w:r>
          </w:p>
        </w:tc>
      </w:tr>
      <w:tr w14:paraId="39EC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14D88A38">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08ED025D">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30641FF4">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w:t>
            </w:r>
          </w:p>
        </w:tc>
        <w:tc>
          <w:tcPr>
            <w:tcW w:w="3286" w:type="pct"/>
            <w:gridSpan w:val="2"/>
            <w:vAlign w:val="center"/>
          </w:tcPr>
          <w:p w14:paraId="4D519CA8">
            <w:pPr>
              <w:spacing w:before="10" w:after="10" w:line="380" w:lineRule="exact"/>
              <w:rPr>
                <w:rFonts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符合第六章“响应文件格式”的签署要求</w:t>
            </w:r>
          </w:p>
        </w:tc>
      </w:tr>
      <w:tr w14:paraId="398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2AC417FC">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7A02740F">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3B4F5EDB">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响应文件格式</w:t>
            </w:r>
          </w:p>
        </w:tc>
        <w:tc>
          <w:tcPr>
            <w:tcW w:w="3286" w:type="pct"/>
            <w:gridSpan w:val="2"/>
            <w:vAlign w:val="center"/>
          </w:tcPr>
          <w:p w14:paraId="45EC48AC">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符合第六章“响应文件格式”的要求</w:t>
            </w:r>
          </w:p>
        </w:tc>
      </w:tr>
      <w:tr w14:paraId="0736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065BD360">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0BFE5FC6">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10F9F5D9">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3286" w:type="pct"/>
            <w:gridSpan w:val="2"/>
            <w:vAlign w:val="center"/>
          </w:tcPr>
          <w:p w14:paraId="09DFAAC9">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163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0F8F3393">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16E6B18A">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7F0167AD">
            <w:pPr>
              <w:spacing w:before="10" w:after="10"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合同履行期限</w:t>
            </w:r>
          </w:p>
        </w:tc>
        <w:tc>
          <w:tcPr>
            <w:tcW w:w="3286" w:type="pct"/>
            <w:gridSpan w:val="2"/>
            <w:vAlign w:val="center"/>
          </w:tcPr>
          <w:p w14:paraId="02ADEE3F">
            <w:pPr>
              <w:spacing w:before="10" w:after="10" w:line="380" w:lineRule="exact"/>
              <w:rPr>
                <w:rFonts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33CE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2" w:type="pct"/>
            <w:vMerge w:val="continue"/>
          </w:tcPr>
          <w:p w14:paraId="41025670">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7E5A59B3">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346DB29F">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286" w:type="pct"/>
            <w:gridSpan w:val="2"/>
            <w:vAlign w:val="center"/>
          </w:tcPr>
          <w:p w14:paraId="57AAE402">
            <w:pPr>
              <w:spacing w:before="10" w:after="10" w:line="380" w:lineRule="exact"/>
              <w:rPr>
                <w:rFonts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48D7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08129E99">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2BFF2ED4">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0EECBFBD">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286" w:type="pct"/>
            <w:gridSpan w:val="2"/>
            <w:vAlign w:val="center"/>
          </w:tcPr>
          <w:p w14:paraId="6193D492">
            <w:pPr>
              <w:spacing w:before="10" w:after="10" w:line="380" w:lineRule="exact"/>
              <w:rPr>
                <w:rFonts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w:t>
            </w:r>
          </w:p>
        </w:tc>
      </w:tr>
      <w:tr w14:paraId="21E2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2" w:type="pct"/>
            <w:vMerge w:val="continue"/>
          </w:tcPr>
          <w:p w14:paraId="3EA1BBD7">
            <w:pPr>
              <w:spacing w:before="10" w:after="10" w:line="380" w:lineRule="exact"/>
              <w:rPr>
                <w:rFonts w:ascii="宋体" w:hAnsi="宋体" w:eastAsia="宋体" w:cs="宋体"/>
                <w:color w:val="auto"/>
                <w:sz w:val="21"/>
                <w:szCs w:val="21"/>
                <w:highlight w:val="none"/>
              </w:rPr>
            </w:pPr>
          </w:p>
        </w:tc>
        <w:tc>
          <w:tcPr>
            <w:tcW w:w="413" w:type="pct"/>
            <w:gridSpan w:val="2"/>
            <w:vMerge w:val="continue"/>
            <w:vAlign w:val="center"/>
          </w:tcPr>
          <w:p w14:paraId="3D6DA140">
            <w:pPr>
              <w:spacing w:before="10" w:after="10" w:line="380" w:lineRule="exact"/>
              <w:jc w:val="center"/>
              <w:rPr>
                <w:rFonts w:ascii="宋体" w:hAnsi="宋体" w:eastAsia="宋体" w:cs="宋体"/>
                <w:color w:val="auto"/>
                <w:sz w:val="21"/>
                <w:szCs w:val="21"/>
                <w:highlight w:val="none"/>
              </w:rPr>
            </w:pPr>
          </w:p>
        </w:tc>
        <w:tc>
          <w:tcPr>
            <w:tcW w:w="897" w:type="pct"/>
            <w:gridSpan w:val="2"/>
            <w:vAlign w:val="center"/>
          </w:tcPr>
          <w:p w14:paraId="044A3135">
            <w:pPr>
              <w:spacing w:before="10" w:after="10" w:line="3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286" w:type="pct"/>
            <w:gridSpan w:val="2"/>
            <w:vAlign w:val="center"/>
          </w:tcPr>
          <w:p w14:paraId="42723C02">
            <w:pPr>
              <w:spacing w:before="10" w:after="10" w:line="38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投标报价不得高于预算金额或低于项目成本价</w:t>
            </w:r>
          </w:p>
        </w:tc>
      </w:tr>
      <w:tr w14:paraId="4089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gridSpan w:val="2"/>
            <w:vAlign w:val="center"/>
          </w:tcPr>
          <w:p w14:paraId="7189C315">
            <w:pPr>
              <w:keepNext w:val="0"/>
              <w:keepLines w:val="0"/>
              <w:pageBreakBefore w:val="0"/>
              <w:widowControl w:val="0"/>
              <w:kinsoku/>
              <w:wordWrap/>
              <w:overflowPunct/>
              <w:topLinePunct w:val="0"/>
              <w:bidi w:val="0"/>
              <w:snapToGrid/>
              <w:spacing w:after="0" w:line="394" w:lineRule="exact"/>
              <w:jc w:val="center"/>
              <w:textAlignment w:val="auto"/>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2.2.1</w:t>
            </w:r>
          </w:p>
        </w:tc>
        <w:tc>
          <w:tcPr>
            <w:tcW w:w="588" w:type="pct"/>
            <w:gridSpan w:val="2"/>
            <w:vAlign w:val="center"/>
          </w:tcPr>
          <w:p w14:paraId="65D9597A">
            <w:pPr>
              <w:keepNext w:val="0"/>
              <w:keepLines w:val="0"/>
              <w:pageBreakBefore w:val="0"/>
              <w:widowControl w:val="0"/>
              <w:kinsoku/>
              <w:wordWrap/>
              <w:overflowPunct/>
              <w:topLinePunct w:val="0"/>
              <w:bidi w:val="0"/>
              <w:snapToGrid/>
              <w:spacing w:after="0" w:line="394"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78E86CFD">
            <w:pPr>
              <w:keepNext w:val="0"/>
              <w:keepLines w:val="0"/>
              <w:pageBreakBefore w:val="0"/>
              <w:widowControl w:val="0"/>
              <w:kinsoku/>
              <w:wordWrap/>
              <w:overflowPunct/>
              <w:topLinePunct w:val="0"/>
              <w:bidi w:val="0"/>
              <w:snapToGrid/>
              <w:spacing w:after="0" w:line="394"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3992" w:type="pct"/>
            <w:gridSpan w:val="3"/>
            <w:vAlign w:val="center"/>
          </w:tcPr>
          <w:p w14:paraId="14A3D1D4">
            <w:pPr>
              <w:keepNext w:val="0"/>
              <w:keepLines w:val="0"/>
              <w:pageBreakBefore w:val="0"/>
              <w:widowControl w:val="0"/>
              <w:kinsoku/>
              <w:wordWrap/>
              <w:overflowPunct/>
              <w:topLinePunct w:val="0"/>
              <w:bidi w:val="0"/>
              <w:snapToGrid/>
              <w:spacing w:after="0" w:line="394" w:lineRule="exact"/>
              <w:ind w:firstLine="105" w:firstLineChars="5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5B667B50">
            <w:pPr>
              <w:keepNext w:val="0"/>
              <w:keepLines w:val="0"/>
              <w:pageBreakBefore w:val="0"/>
              <w:widowControl w:val="0"/>
              <w:kinsoku/>
              <w:wordWrap/>
              <w:overflowPunct/>
              <w:topLinePunct w:val="0"/>
              <w:bidi w:val="0"/>
              <w:snapToGrid/>
              <w:spacing w:after="0" w:line="394" w:lineRule="exact"/>
              <w:ind w:firstLine="105" w:firstLineChars="5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228A3CEF">
            <w:pPr>
              <w:keepNext w:val="0"/>
              <w:keepLines w:val="0"/>
              <w:pageBreakBefore w:val="0"/>
              <w:widowControl w:val="0"/>
              <w:kinsoku/>
              <w:wordWrap/>
              <w:overflowPunct/>
              <w:topLinePunct w:val="0"/>
              <w:bidi w:val="0"/>
              <w:snapToGrid/>
              <w:spacing w:after="0" w:line="394" w:lineRule="exact"/>
              <w:ind w:firstLine="105" w:firstLineChars="5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商务部分：63分</w:t>
            </w:r>
          </w:p>
        </w:tc>
      </w:tr>
      <w:tr w14:paraId="23FC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8" w:type="pct"/>
            <w:gridSpan w:val="2"/>
            <w:vAlign w:val="center"/>
          </w:tcPr>
          <w:p w14:paraId="18BA5535">
            <w:pPr>
              <w:keepNext w:val="0"/>
              <w:keepLines w:val="0"/>
              <w:pageBreakBefore w:val="0"/>
              <w:widowControl w:val="0"/>
              <w:kinsoku/>
              <w:wordWrap/>
              <w:overflowPunct/>
              <w:topLinePunct w:val="0"/>
              <w:bidi w:val="0"/>
              <w:snapToGrid/>
              <w:spacing w:after="0" w:line="394"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588" w:type="pct"/>
            <w:gridSpan w:val="2"/>
            <w:vAlign w:val="center"/>
          </w:tcPr>
          <w:p w14:paraId="7073E5A0">
            <w:pPr>
              <w:keepNext w:val="0"/>
              <w:keepLines w:val="0"/>
              <w:pageBreakBefore w:val="0"/>
              <w:widowControl w:val="0"/>
              <w:kinsoku/>
              <w:wordWrap/>
              <w:overflowPunct/>
              <w:topLinePunct w:val="0"/>
              <w:bidi w:val="0"/>
              <w:snapToGrid/>
              <w:spacing w:after="0" w:line="394"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203F2831">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3992" w:type="pct"/>
            <w:gridSpan w:val="3"/>
            <w:vAlign w:val="center"/>
          </w:tcPr>
          <w:p w14:paraId="13A9CBFE">
            <w:pPr>
              <w:keepNext w:val="0"/>
              <w:keepLines w:val="0"/>
              <w:pageBreakBefore w:val="0"/>
              <w:widowControl w:val="0"/>
              <w:kinsoku/>
              <w:wordWrap/>
              <w:overflowPunct/>
              <w:topLinePunct w:val="0"/>
              <w:bidi w:val="0"/>
              <w:snapToGrid/>
              <w:spacing w:after="0" w:line="394"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综合评分法中的价格分统一采用低价优先法计算，即满足磋商文件要求且最后报价最低的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的价格为磋商基准价，其价格分为满分。其他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的价格分统一按照下列公式计算：</w:t>
            </w:r>
          </w:p>
          <w:p w14:paraId="77B563FF">
            <w:pPr>
              <w:keepNext w:val="0"/>
              <w:keepLines w:val="0"/>
              <w:pageBreakBefore w:val="0"/>
              <w:widowControl w:val="0"/>
              <w:kinsoku/>
              <w:wordWrap/>
              <w:overflowPunct/>
              <w:topLinePunct w:val="0"/>
              <w:bidi w:val="0"/>
              <w:snapToGrid/>
              <w:spacing w:after="0" w:line="394" w:lineRule="exact"/>
              <w:ind w:firstLine="105" w:firstLineChars="50"/>
              <w:jc w:val="left"/>
              <w:textAlignment w:val="auto"/>
              <w:rPr>
                <w:rFonts w:hint="default" w:eastAsia="宋体"/>
                <w:lang w:val="en-US" w:eastAsia="zh-CN"/>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%×100。</w:t>
            </w:r>
          </w:p>
        </w:tc>
      </w:tr>
      <w:tr w14:paraId="02B7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8" w:type="pct"/>
            <w:gridSpan w:val="2"/>
            <w:vMerge w:val="restart"/>
            <w:vAlign w:val="center"/>
          </w:tcPr>
          <w:p w14:paraId="6FA5094C">
            <w:pPr>
              <w:keepNext w:val="0"/>
              <w:keepLines w:val="0"/>
              <w:pageBreakBefore w:val="0"/>
              <w:widowControl w:val="0"/>
              <w:kinsoku/>
              <w:wordWrap/>
              <w:overflowPunct/>
              <w:topLinePunct w:val="0"/>
              <w:bidi w:val="0"/>
              <w:snapToGrid/>
              <w:spacing w:after="0" w:line="394"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588" w:type="pct"/>
            <w:gridSpan w:val="2"/>
            <w:vMerge w:val="restart"/>
            <w:vAlign w:val="center"/>
          </w:tcPr>
          <w:p w14:paraId="594AB932">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商务评审</w:t>
            </w:r>
          </w:p>
          <w:p w14:paraId="38F49D67">
            <w:pPr>
              <w:pStyle w:val="3"/>
              <w:jc w:val="center"/>
              <w:rPr>
                <w:rFonts w:hint="default"/>
                <w:highlight w:val="none"/>
                <w:lang w:val="en-US" w:eastAsia="zh-CN"/>
              </w:rPr>
            </w:pPr>
            <w:r>
              <w:rPr>
                <w:rFonts w:hint="eastAsia" w:ascii="宋体" w:hAnsi="宋体" w:eastAsia="宋体" w:cs="宋体"/>
                <w:color w:val="auto"/>
                <w:sz w:val="21"/>
                <w:szCs w:val="21"/>
                <w:highlight w:val="none"/>
                <w:lang w:val="en-US" w:eastAsia="zh-CN"/>
              </w:rPr>
              <w:t>（63分）</w:t>
            </w:r>
          </w:p>
        </w:tc>
        <w:tc>
          <w:tcPr>
            <w:tcW w:w="768" w:type="pct"/>
            <w:gridSpan w:val="2"/>
            <w:vAlign w:val="center"/>
          </w:tcPr>
          <w:p w14:paraId="710A359C">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业绩</w:t>
            </w:r>
          </w:p>
          <w:p w14:paraId="42EC4769">
            <w:pPr>
              <w:pStyle w:val="2"/>
              <w:ind w:left="0" w:leftChars="0" w:firstLine="0" w:firstLineChars="0"/>
              <w:jc w:val="center"/>
              <w:rPr>
                <w:rFonts w:hint="eastAsia"/>
                <w:lang w:val="en-US" w:eastAsia="zh-CN"/>
              </w:rPr>
            </w:pPr>
            <w:r>
              <w:rPr>
                <w:rFonts w:hint="eastAsia" w:ascii="宋体" w:hAnsi="宋体" w:eastAsia="宋体" w:cs="宋体"/>
                <w:bCs/>
                <w:color w:val="auto"/>
                <w:sz w:val="21"/>
                <w:szCs w:val="21"/>
                <w:highlight w:val="none"/>
                <w:lang w:val="en-US" w:eastAsia="zh-CN"/>
              </w:rPr>
              <w:t>（18分）</w:t>
            </w:r>
          </w:p>
        </w:tc>
        <w:tc>
          <w:tcPr>
            <w:tcW w:w="3224" w:type="pct"/>
            <w:vAlign w:val="top"/>
          </w:tcPr>
          <w:p w14:paraId="7E898E6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vertAlign w:val="baseline"/>
                <w:lang w:eastAsia="zh-CN"/>
              </w:rPr>
              <w:t>供应商</w:t>
            </w:r>
            <w:r>
              <w:rPr>
                <w:rFonts w:hint="eastAsia" w:ascii="宋体" w:hAnsi="宋体" w:eastAsia="宋体" w:cs="宋体"/>
                <w:sz w:val="21"/>
                <w:szCs w:val="21"/>
                <w:vertAlign w:val="baseline"/>
              </w:rPr>
              <w:t>提供20</w:t>
            </w:r>
            <w:r>
              <w:rPr>
                <w:rFonts w:hint="eastAsia" w:ascii="宋体" w:hAnsi="宋体" w:eastAsia="宋体" w:cs="宋体"/>
                <w:sz w:val="21"/>
                <w:szCs w:val="21"/>
                <w:vertAlign w:val="baseline"/>
                <w:lang w:val="en-US" w:eastAsia="zh-CN"/>
              </w:rPr>
              <w:t>23</w:t>
            </w:r>
            <w:r>
              <w:rPr>
                <w:rFonts w:hint="eastAsia" w:ascii="宋体" w:hAnsi="宋体" w:eastAsia="宋体" w:cs="宋体"/>
                <w:sz w:val="21"/>
                <w:szCs w:val="21"/>
                <w:vertAlign w:val="baseline"/>
              </w:rPr>
              <w:t>年01月01日以来类似项目业绩，每有一项得</w:t>
            </w: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vertAlign w:val="baseline"/>
              </w:rPr>
              <w:t>分，最多得</w:t>
            </w:r>
            <w:r>
              <w:rPr>
                <w:rFonts w:hint="eastAsia" w:ascii="宋体" w:hAnsi="宋体" w:eastAsia="宋体" w:cs="宋体"/>
                <w:sz w:val="21"/>
                <w:szCs w:val="21"/>
                <w:vertAlign w:val="baseline"/>
                <w:lang w:val="en-US" w:eastAsia="zh-CN"/>
              </w:rPr>
              <w:t>18</w:t>
            </w:r>
            <w:r>
              <w:rPr>
                <w:rFonts w:hint="eastAsia" w:ascii="宋体" w:hAnsi="宋体" w:eastAsia="宋体" w:cs="宋体"/>
                <w:sz w:val="21"/>
                <w:szCs w:val="21"/>
                <w:vertAlign w:val="baseline"/>
              </w:rPr>
              <w:t>分。（须附中标通知书及合同</w:t>
            </w:r>
            <w:r>
              <w:rPr>
                <w:rFonts w:hint="eastAsia" w:ascii="宋体" w:hAnsi="宋体" w:eastAsia="宋体" w:cs="宋体"/>
                <w:sz w:val="21"/>
                <w:szCs w:val="21"/>
                <w:vertAlign w:val="baseline"/>
                <w:lang w:val="en-US" w:eastAsia="zh-CN"/>
              </w:rPr>
              <w:t>复印件</w:t>
            </w:r>
            <w:r>
              <w:rPr>
                <w:rFonts w:hint="eastAsia" w:ascii="宋体" w:hAnsi="宋体" w:eastAsia="宋体" w:cs="宋体"/>
                <w:sz w:val="21"/>
                <w:szCs w:val="21"/>
                <w:vertAlign w:val="baseline"/>
              </w:rPr>
              <w:t>，否则不得分）</w:t>
            </w:r>
          </w:p>
        </w:tc>
      </w:tr>
      <w:tr w14:paraId="393D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418" w:type="pct"/>
            <w:gridSpan w:val="2"/>
            <w:vMerge w:val="continue"/>
            <w:vAlign w:val="center"/>
          </w:tcPr>
          <w:p w14:paraId="069248F5">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val="en-US" w:eastAsia="zh-CN"/>
              </w:rPr>
            </w:pPr>
          </w:p>
        </w:tc>
        <w:tc>
          <w:tcPr>
            <w:tcW w:w="588" w:type="pct"/>
            <w:gridSpan w:val="2"/>
            <w:vMerge w:val="continue"/>
            <w:vAlign w:val="center"/>
          </w:tcPr>
          <w:p w14:paraId="3916437C">
            <w:pPr>
              <w:pStyle w:val="3"/>
              <w:jc w:val="center"/>
              <w:rPr>
                <w:rFonts w:hint="eastAsia" w:ascii="宋体" w:hAnsi="宋体" w:eastAsia="宋体" w:cs="宋体"/>
                <w:color w:val="auto"/>
                <w:sz w:val="21"/>
                <w:szCs w:val="21"/>
                <w:highlight w:val="none"/>
                <w:lang w:val="en-US" w:eastAsia="zh-CN"/>
              </w:rPr>
            </w:pPr>
          </w:p>
        </w:tc>
        <w:tc>
          <w:tcPr>
            <w:tcW w:w="768" w:type="pct"/>
            <w:gridSpan w:val="2"/>
            <w:vAlign w:val="center"/>
          </w:tcPr>
          <w:p w14:paraId="45D1704E">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人员</w:t>
            </w:r>
          </w:p>
          <w:p w14:paraId="7F2B192F">
            <w:pPr>
              <w:pStyle w:val="2"/>
              <w:ind w:left="0" w:leftChars="0" w:firstLine="0" w:firstLineChars="0"/>
              <w:jc w:val="center"/>
              <w:rPr>
                <w:rFonts w:hint="eastAsia"/>
                <w:lang w:val="en-US" w:eastAsia="zh-CN"/>
              </w:rPr>
            </w:pPr>
            <w:r>
              <w:rPr>
                <w:rFonts w:hint="eastAsia" w:ascii="宋体" w:hAnsi="宋体" w:eastAsia="宋体" w:cs="宋体"/>
                <w:bCs/>
                <w:color w:val="auto"/>
                <w:sz w:val="21"/>
                <w:szCs w:val="21"/>
                <w:highlight w:val="none"/>
                <w:lang w:val="en-US" w:eastAsia="zh-CN"/>
              </w:rPr>
              <w:t>（12分）</w:t>
            </w:r>
          </w:p>
        </w:tc>
        <w:tc>
          <w:tcPr>
            <w:tcW w:w="3224" w:type="pct"/>
            <w:vAlign w:val="top"/>
          </w:tcPr>
          <w:p w14:paraId="0E42B594">
            <w:pP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拟投入的专职保洁人员在《磋商文件》要求的最低（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、及至少</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船员）基础上，每增加1</w:t>
            </w:r>
            <w:r>
              <w:rPr>
                <w:rFonts w:hint="eastAsia" w:ascii="宋体" w:hAnsi="宋体" w:eastAsia="宋体" w:cs="宋体"/>
                <w:color w:val="auto"/>
                <w:sz w:val="21"/>
                <w:szCs w:val="21"/>
                <w:highlight w:val="none"/>
                <w:lang w:eastAsia="zh-CN"/>
              </w:rPr>
              <w:t>名有船员资格的专职保洁人员得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分；响应文件中提供劳动合同</w:t>
            </w:r>
            <w:r>
              <w:rPr>
                <w:rFonts w:hint="eastAsia" w:ascii="宋体" w:hAnsi="宋体" w:eastAsia="宋体" w:cs="宋体"/>
                <w:color w:val="auto"/>
                <w:sz w:val="21"/>
                <w:szCs w:val="21"/>
                <w:highlight w:val="none"/>
                <w:lang w:eastAsia="zh-CN"/>
              </w:rPr>
              <w:t>、船员证</w:t>
            </w:r>
            <w:r>
              <w:rPr>
                <w:rFonts w:hint="eastAsia" w:ascii="宋体" w:hAnsi="宋体" w:eastAsia="宋体" w:cs="宋体"/>
                <w:color w:val="auto"/>
                <w:sz w:val="21"/>
                <w:szCs w:val="21"/>
                <w:highlight w:val="none"/>
              </w:rPr>
              <w:t>及人身意外保险保单</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，否则不得分。</w:t>
            </w:r>
          </w:p>
        </w:tc>
      </w:tr>
      <w:tr w14:paraId="138A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418" w:type="pct"/>
            <w:gridSpan w:val="2"/>
            <w:vMerge w:val="continue"/>
            <w:vAlign w:val="center"/>
          </w:tcPr>
          <w:p w14:paraId="679F963A">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val="en-US" w:eastAsia="zh-CN"/>
              </w:rPr>
            </w:pPr>
          </w:p>
        </w:tc>
        <w:tc>
          <w:tcPr>
            <w:tcW w:w="588" w:type="pct"/>
            <w:gridSpan w:val="2"/>
            <w:vMerge w:val="continue"/>
            <w:vAlign w:val="center"/>
          </w:tcPr>
          <w:p w14:paraId="1B13E52B">
            <w:pPr>
              <w:pStyle w:val="3"/>
              <w:jc w:val="center"/>
              <w:rPr>
                <w:rFonts w:hint="eastAsia" w:ascii="宋体" w:hAnsi="宋体" w:eastAsia="宋体" w:cs="宋体"/>
                <w:color w:val="auto"/>
                <w:sz w:val="21"/>
                <w:szCs w:val="21"/>
                <w:highlight w:val="none"/>
                <w:lang w:val="en-US" w:eastAsia="zh-CN"/>
              </w:rPr>
            </w:pPr>
          </w:p>
        </w:tc>
        <w:tc>
          <w:tcPr>
            <w:tcW w:w="768" w:type="pct"/>
            <w:gridSpan w:val="2"/>
            <w:vAlign w:val="center"/>
          </w:tcPr>
          <w:p w14:paraId="4A833102">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船只</w:t>
            </w:r>
          </w:p>
          <w:p w14:paraId="16891C14">
            <w:pPr>
              <w:pStyle w:val="2"/>
              <w:ind w:left="0" w:leftChars="0" w:firstLine="0" w:firstLineChars="0"/>
              <w:jc w:val="center"/>
              <w:rPr>
                <w:rFonts w:hint="eastAsia"/>
                <w:lang w:val="en-US" w:eastAsia="zh-CN"/>
              </w:rPr>
            </w:pPr>
            <w:r>
              <w:rPr>
                <w:rFonts w:hint="eastAsia" w:ascii="宋体" w:hAnsi="宋体" w:eastAsia="宋体" w:cs="宋体"/>
                <w:bCs/>
                <w:color w:val="auto"/>
                <w:sz w:val="21"/>
                <w:szCs w:val="21"/>
                <w:highlight w:val="none"/>
                <w:lang w:val="en-US" w:eastAsia="zh-CN"/>
              </w:rPr>
              <w:t>（30分）</w:t>
            </w:r>
          </w:p>
        </w:tc>
        <w:tc>
          <w:tcPr>
            <w:tcW w:w="3224" w:type="pct"/>
            <w:vAlign w:val="top"/>
          </w:tcPr>
          <w:p w14:paraId="0C6164EC">
            <w:pPr>
              <w:widowControl w:val="0"/>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拟投入的作业船只</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《磋商文件》要求的</w:t>
            </w:r>
            <w:r>
              <w:rPr>
                <w:rFonts w:hint="eastAsia" w:ascii="宋体" w:hAnsi="宋体" w:eastAsia="宋体" w:cs="宋体"/>
                <w:color w:val="auto"/>
                <w:sz w:val="21"/>
                <w:szCs w:val="21"/>
                <w:highlight w:val="none"/>
                <w:lang w:eastAsia="zh-CN"/>
              </w:rPr>
              <w:t>最低（</w:t>
            </w:r>
            <w:r>
              <w:rPr>
                <w:rFonts w:hint="eastAsia" w:ascii="宋体" w:hAnsi="宋体" w:eastAsia="宋体" w:cs="宋体"/>
                <w:color w:val="auto"/>
                <w:sz w:val="21"/>
                <w:szCs w:val="21"/>
                <w:highlight w:val="none"/>
              </w:rPr>
              <w:t>1艘有除草、打捞垃圾功能</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专业自动（全自动或半自动）打捞垃圾船及1艘小船</w:t>
            </w:r>
            <w:r>
              <w:rPr>
                <w:rFonts w:hint="eastAsia" w:ascii="宋体" w:hAnsi="宋体" w:eastAsia="宋体" w:cs="宋体"/>
                <w:color w:val="auto"/>
                <w:sz w:val="21"/>
                <w:szCs w:val="21"/>
                <w:highlight w:val="none"/>
                <w:lang w:eastAsia="zh-CN"/>
              </w:rPr>
              <w:t>）基础上</w:t>
            </w:r>
            <w:r>
              <w:rPr>
                <w:rFonts w:hint="eastAsia" w:ascii="宋体" w:hAnsi="宋体" w:eastAsia="宋体" w:cs="宋体"/>
                <w:color w:val="auto"/>
                <w:sz w:val="21"/>
                <w:szCs w:val="21"/>
                <w:highlight w:val="none"/>
              </w:rPr>
              <w:t>，每增加1艘</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分；响应文件中提供船只购置发票</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，否则不得分。</w:t>
            </w:r>
          </w:p>
          <w:p w14:paraId="0BFA4DD0">
            <w:pPr>
              <w:widowControl w:val="0"/>
              <w:numPr>
                <w:ilvl w:val="0"/>
                <w:numId w:val="1"/>
              </w:numPr>
              <w:snapToGri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拟投入的作业船只能够提供</w:t>
            </w:r>
            <w:r>
              <w:rPr>
                <w:rFonts w:hint="eastAsia" w:ascii="宋体" w:hAnsi="宋体" w:eastAsia="宋体" w:cs="宋体"/>
                <w:color w:val="auto"/>
                <w:sz w:val="21"/>
                <w:szCs w:val="21"/>
                <w:highlight w:val="none"/>
                <w:lang w:eastAsia="zh-CN"/>
              </w:rPr>
              <w:t>船只</w:t>
            </w:r>
            <w:r>
              <w:rPr>
                <w:rFonts w:hint="eastAsia" w:ascii="宋体" w:hAnsi="宋体" w:eastAsia="宋体" w:cs="宋体"/>
                <w:color w:val="auto"/>
                <w:sz w:val="21"/>
                <w:szCs w:val="21"/>
                <w:highlight w:val="none"/>
              </w:rPr>
              <w:t>出厂合格证的</w:t>
            </w:r>
            <w:r>
              <w:rPr>
                <w:rFonts w:hint="eastAsia" w:ascii="宋体" w:hAnsi="宋体" w:eastAsia="宋体" w:cs="宋体"/>
                <w:color w:val="auto"/>
                <w:sz w:val="21"/>
                <w:szCs w:val="21"/>
                <w:highlight w:val="none"/>
                <w:lang w:eastAsia="zh-CN"/>
              </w:rPr>
              <w:t>，每提供</w:t>
            </w:r>
            <w:r>
              <w:rPr>
                <w:rFonts w:hint="eastAsia" w:ascii="宋体" w:hAnsi="宋体" w:eastAsia="宋体" w:cs="宋体"/>
                <w:color w:val="auto"/>
                <w:sz w:val="21"/>
                <w:szCs w:val="21"/>
                <w:highlight w:val="none"/>
                <w:lang w:val="en-US" w:eastAsia="zh-CN"/>
              </w:rPr>
              <w:t>1艘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，最多得</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；响应文件中提供出厂合格证</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，否则不得分。</w:t>
            </w:r>
          </w:p>
        </w:tc>
      </w:tr>
      <w:tr w14:paraId="5D0E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18" w:type="pct"/>
            <w:gridSpan w:val="2"/>
            <w:vMerge w:val="continue"/>
            <w:vAlign w:val="center"/>
          </w:tcPr>
          <w:p w14:paraId="709F0797">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val="en-US" w:eastAsia="zh-CN"/>
              </w:rPr>
            </w:pPr>
          </w:p>
        </w:tc>
        <w:tc>
          <w:tcPr>
            <w:tcW w:w="588" w:type="pct"/>
            <w:gridSpan w:val="2"/>
            <w:vMerge w:val="continue"/>
            <w:vAlign w:val="center"/>
          </w:tcPr>
          <w:p w14:paraId="68BDB576">
            <w:pPr>
              <w:pStyle w:val="3"/>
              <w:jc w:val="center"/>
              <w:rPr>
                <w:rFonts w:hint="eastAsia" w:ascii="宋体" w:hAnsi="宋体" w:eastAsia="宋体" w:cs="宋体"/>
                <w:color w:val="auto"/>
                <w:sz w:val="21"/>
                <w:szCs w:val="21"/>
                <w:highlight w:val="none"/>
                <w:lang w:val="en-US" w:eastAsia="zh-CN"/>
              </w:rPr>
            </w:pPr>
          </w:p>
        </w:tc>
        <w:tc>
          <w:tcPr>
            <w:tcW w:w="768" w:type="pct"/>
            <w:gridSpan w:val="2"/>
            <w:vAlign w:val="center"/>
          </w:tcPr>
          <w:p w14:paraId="7D1ED70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服务承诺</w:t>
            </w:r>
          </w:p>
          <w:p w14:paraId="50E55E5F">
            <w:pPr>
              <w:pStyle w:val="2"/>
              <w:ind w:left="0" w:leftChars="0" w:firstLine="0" w:firstLineChars="0"/>
              <w:jc w:val="center"/>
              <w:rPr>
                <w:rFonts w:hint="eastAsia" w:eastAsia="宋体"/>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color w:val="auto"/>
                <w:sz w:val="21"/>
                <w:szCs w:val="21"/>
                <w:highlight w:val="none"/>
                <w:lang w:eastAsia="zh-CN"/>
              </w:rPr>
              <w:t>）</w:t>
            </w:r>
          </w:p>
        </w:tc>
        <w:tc>
          <w:tcPr>
            <w:tcW w:w="3224" w:type="pct"/>
            <w:vAlign w:val="top"/>
          </w:tcPr>
          <w:p w14:paraId="62B5329A">
            <w:pPr>
              <w:widowControl w:val="0"/>
              <w:numPr>
                <w:ilvl w:val="0"/>
                <w:numId w:val="0"/>
              </w:numPr>
              <w:snapToGrid w:val="0"/>
              <w:spacing w:line="360" w:lineRule="auto"/>
              <w:ind w:left="0" w:leftChars="0"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根据供应商提供的除本项目要求外有利于采购人的其他实质性优惠条件、履职尽责服务承诺、随时配合采购人承诺等进行评分，每项承诺得1分，最多得3分。</w:t>
            </w:r>
          </w:p>
        </w:tc>
      </w:tr>
      <w:tr w14:paraId="0BEB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18" w:type="pct"/>
            <w:gridSpan w:val="2"/>
            <w:vMerge w:val="restart"/>
            <w:vAlign w:val="center"/>
          </w:tcPr>
          <w:p w14:paraId="2B2EC667">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p>
        </w:tc>
        <w:tc>
          <w:tcPr>
            <w:tcW w:w="588" w:type="pct"/>
            <w:gridSpan w:val="2"/>
            <w:vMerge w:val="restart"/>
            <w:vAlign w:val="center"/>
          </w:tcPr>
          <w:p w14:paraId="582C1749">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p>
          <w:p w14:paraId="4DA7F7F4">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768" w:type="pct"/>
            <w:gridSpan w:val="2"/>
            <w:vAlign w:val="center"/>
          </w:tcPr>
          <w:p w14:paraId="4344EC11">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河道保洁实施方案</w:t>
            </w:r>
          </w:p>
          <w:p w14:paraId="4ED81C6C">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（3分）</w:t>
            </w:r>
          </w:p>
        </w:tc>
        <w:tc>
          <w:tcPr>
            <w:tcW w:w="3224" w:type="pct"/>
            <w:vAlign w:val="top"/>
          </w:tcPr>
          <w:p w14:paraId="064E98DC">
            <w:pPr>
              <w:keepNext w:val="0"/>
              <w:keepLines w:val="0"/>
              <w:pageBreakBefore w:val="0"/>
              <w:widowControl w:val="0"/>
              <w:kinsoku/>
              <w:wordWrap/>
              <w:overflowPunct/>
              <w:topLinePunct w:val="0"/>
              <w:bidi w:val="0"/>
              <w:snapToGrid/>
              <w:spacing w:after="0" w:line="394"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根据供应商提供的河道保洁的具体实施方案：方案全面，安排合理、详细，</w:t>
            </w:r>
            <w:r>
              <w:rPr>
                <w:rFonts w:hint="eastAsia" w:ascii="宋体" w:hAnsi="宋体" w:eastAsia="宋体" w:cs="宋体"/>
                <w:color w:val="auto"/>
                <w:kern w:val="2"/>
                <w:sz w:val="21"/>
                <w:szCs w:val="21"/>
                <w:highlight w:val="none"/>
                <w:lang w:val="zh-CN" w:eastAsia="zh-CN" w:bidi="ar-SA"/>
              </w:rPr>
              <w:t>完全满足项目要求的得</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方案全面，安排</w:t>
            </w:r>
            <w:r>
              <w:rPr>
                <w:rFonts w:hint="eastAsia" w:ascii="宋体" w:hAnsi="宋体" w:eastAsia="宋体" w:cs="宋体"/>
                <w:color w:val="auto"/>
                <w:kern w:val="2"/>
                <w:sz w:val="21"/>
                <w:szCs w:val="21"/>
                <w:highlight w:val="none"/>
                <w:lang w:val="zh-CN" w:eastAsia="zh-CN" w:bidi="ar-SA"/>
              </w:rPr>
              <w:t>较</w:t>
            </w:r>
            <w:r>
              <w:rPr>
                <w:rFonts w:hint="eastAsia" w:ascii="宋体" w:hAnsi="宋体" w:eastAsia="宋体"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zh-CN" w:eastAsia="zh-CN" w:bidi="ar-SA"/>
              </w:rPr>
              <w:t>较</w:t>
            </w:r>
            <w:r>
              <w:rPr>
                <w:rFonts w:hint="eastAsia" w:ascii="宋体" w:hAnsi="宋体" w:eastAsia="宋体" w:cs="宋体"/>
                <w:color w:val="auto"/>
                <w:kern w:val="2"/>
                <w:sz w:val="21"/>
                <w:szCs w:val="21"/>
                <w:highlight w:val="none"/>
                <w:lang w:val="en-US" w:eastAsia="zh-CN" w:bidi="ar-SA"/>
              </w:rPr>
              <w:t>详细，</w:t>
            </w:r>
            <w:r>
              <w:rPr>
                <w:rFonts w:hint="eastAsia" w:ascii="宋体" w:hAnsi="宋体" w:eastAsia="宋体" w:cs="宋体"/>
                <w:color w:val="auto"/>
                <w:kern w:val="2"/>
                <w:sz w:val="21"/>
                <w:szCs w:val="21"/>
                <w:highlight w:val="none"/>
                <w:lang w:val="zh-CN" w:eastAsia="zh-CN" w:bidi="ar-SA"/>
              </w:rPr>
              <w:t>较好满足项目要求的得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方案有缺失或安排</w:t>
            </w:r>
            <w:r>
              <w:rPr>
                <w:rFonts w:hint="eastAsia" w:ascii="宋体" w:hAnsi="宋体" w:eastAsia="宋体" w:cs="宋体"/>
                <w:color w:val="auto"/>
                <w:kern w:val="2"/>
                <w:sz w:val="21"/>
                <w:szCs w:val="21"/>
                <w:highlight w:val="none"/>
                <w:lang w:val="zh-CN" w:eastAsia="zh-CN" w:bidi="ar-SA"/>
              </w:rPr>
              <w:t>一般</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不太</w:t>
            </w:r>
            <w:r>
              <w:rPr>
                <w:rFonts w:hint="eastAsia" w:ascii="宋体" w:hAnsi="宋体" w:eastAsia="宋体" w:cs="宋体"/>
                <w:color w:val="auto"/>
                <w:kern w:val="2"/>
                <w:sz w:val="21"/>
                <w:szCs w:val="21"/>
                <w:highlight w:val="none"/>
                <w:lang w:val="en-US" w:eastAsia="zh-CN" w:bidi="ar-SA"/>
              </w:rPr>
              <w:t>详细</w:t>
            </w:r>
            <w:r>
              <w:rPr>
                <w:rFonts w:hint="eastAsia" w:ascii="宋体" w:hAnsi="宋体" w:eastAsia="宋体" w:cs="宋体"/>
                <w:color w:val="auto"/>
                <w:kern w:val="2"/>
                <w:sz w:val="21"/>
                <w:szCs w:val="21"/>
                <w:highlight w:val="none"/>
                <w:lang w:val="zh-CN" w:eastAsia="zh-CN" w:bidi="ar-SA"/>
              </w:rPr>
              <w:t>，基本满足项目要求的得</w:t>
            </w:r>
            <w:r>
              <w:rPr>
                <w:rFonts w:hint="eastAsia" w:ascii="宋体" w:hAnsi="宋体" w:eastAsia="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缺项不得分。</w:t>
            </w:r>
          </w:p>
        </w:tc>
      </w:tr>
      <w:tr w14:paraId="211A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18" w:type="pct"/>
            <w:gridSpan w:val="2"/>
            <w:vMerge w:val="continue"/>
            <w:vAlign w:val="center"/>
          </w:tcPr>
          <w:p w14:paraId="2799843A">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rPr>
            </w:pPr>
          </w:p>
        </w:tc>
        <w:tc>
          <w:tcPr>
            <w:tcW w:w="588" w:type="pct"/>
            <w:gridSpan w:val="2"/>
            <w:vMerge w:val="continue"/>
            <w:vAlign w:val="center"/>
          </w:tcPr>
          <w:p w14:paraId="2FEC90EE">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val="en-US" w:eastAsia="zh-CN"/>
              </w:rPr>
            </w:pPr>
          </w:p>
        </w:tc>
        <w:tc>
          <w:tcPr>
            <w:tcW w:w="768" w:type="pct"/>
            <w:gridSpan w:val="2"/>
            <w:vAlign w:val="center"/>
          </w:tcPr>
          <w:p w14:paraId="21396984">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拟投入人员及设备计划</w:t>
            </w:r>
          </w:p>
          <w:p w14:paraId="368C0A04">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（3分）</w:t>
            </w:r>
          </w:p>
        </w:tc>
        <w:tc>
          <w:tcPr>
            <w:tcW w:w="3224" w:type="pct"/>
            <w:vAlign w:val="center"/>
          </w:tcPr>
          <w:p w14:paraId="5EA0E498">
            <w:pPr>
              <w:keepNext w:val="0"/>
              <w:keepLines w:val="0"/>
              <w:pageBreakBefore w:val="0"/>
              <w:widowControl w:val="0"/>
              <w:kinsoku/>
              <w:wordWrap/>
              <w:overflowPunct/>
              <w:topLinePunct w:val="0"/>
              <w:bidi w:val="0"/>
              <w:snapToGrid/>
              <w:spacing w:after="0" w:line="394"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根据供应商提供的拟投入人员及设备计划：拟投入人员及设备充裕，符合项目实际、科学合理得3分，符合项目实际、较为合理得1分；基本符合项目实际、基本合理得0.5分；缺项不得分。</w:t>
            </w:r>
          </w:p>
        </w:tc>
      </w:tr>
      <w:tr w14:paraId="77B7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18" w:type="pct"/>
            <w:gridSpan w:val="2"/>
            <w:vMerge w:val="continue"/>
            <w:vAlign w:val="center"/>
          </w:tcPr>
          <w:p w14:paraId="3E310409">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rPr>
            </w:pPr>
          </w:p>
        </w:tc>
        <w:tc>
          <w:tcPr>
            <w:tcW w:w="588" w:type="pct"/>
            <w:gridSpan w:val="2"/>
            <w:vMerge w:val="continue"/>
            <w:vAlign w:val="center"/>
          </w:tcPr>
          <w:p w14:paraId="21C706B6">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val="en-US" w:eastAsia="zh-CN"/>
              </w:rPr>
            </w:pPr>
          </w:p>
        </w:tc>
        <w:tc>
          <w:tcPr>
            <w:tcW w:w="768" w:type="pct"/>
            <w:gridSpan w:val="2"/>
            <w:vAlign w:val="center"/>
          </w:tcPr>
          <w:p w14:paraId="076A7D71">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文明作业及安全作业保障措施</w:t>
            </w:r>
          </w:p>
          <w:p w14:paraId="5E03E712">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3224" w:type="pct"/>
            <w:vAlign w:val="center"/>
          </w:tcPr>
          <w:p w14:paraId="1A40E6DA">
            <w:pPr>
              <w:keepNext w:val="0"/>
              <w:keepLines w:val="0"/>
              <w:pageBreakBefore w:val="0"/>
              <w:widowControl w:val="0"/>
              <w:kinsoku/>
              <w:wordWrap/>
              <w:overflowPunct/>
              <w:topLinePunct w:val="0"/>
              <w:bidi w:val="0"/>
              <w:snapToGrid/>
              <w:spacing w:after="0" w:line="394"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根据供应商提供的文明作业及安全作业保障措施：符合项目实际、科学合理得2分；符合项目实际、较为合理得1分；基本符合项目实际、基本合理得0.5分；缺项不得分。</w:t>
            </w:r>
          </w:p>
        </w:tc>
      </w:tr>
      <w:tr w14:paraId="3A26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18" w:type="pct"/>
            <w:gridSpan w:val="2"/>
            <w:vMerge w:val="continue"/>
            <w:vAlign w:val="center"/>
          </w:tcPr>
          <w:p w14:paraId="0E8E0812">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rPr>
            </w:pPr>
          </w:p>
        </w:tc>
        <w:tc>
          <w:tcPr>
            <w:tcW w:w="588" w:type="pct"/>
            <w:gridSpan w:val="2"/>
            <w:vMerge w:val="continue"/>
            <w:vAlign w:val="center"/>
          </w:tcPr>
          <w:p w14:paraId="5E7EA8F0">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val="en-US" w:eastAsia="zh-CN"/>
              </w:rPr>
            </w:pPr>
          </w:p>
        </w:tc>
        <w:tc>
          <w:tcPr>
            <w:tcW w:w="768" w:type="pct"/>
            <w:gridSpan w:val="2"/>
            <w:vAlign w:val="center"/>
          </w:tcPr>
          <w:p w14:paraId="15F429B6">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应急预案</w:t>
            </w:r>
          </w:p>
          <w:p w14:paraId="6FE0773B">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3224" w:type="pct"/>
            <w:vAlign w:val="center"/>
          </w:tcPr>
          <w:p w14:paraId="62EE5066">
            <w:pPr>
              <w:keepNext w:val="0"/>
              <w:keepLines w:val="0"/>
              <w:pageBreakBefore w:val="0"/>
              <w:widowControl w:val="0"/>
              <w:kinsoku/>
              <w:wordWrap/>
              <w:overflowPunct/>
              <w:topLinePunct w:val="0"/>
              <w:bidi w:val="0"/>
              <w:snapToGrid/>
              <w:spacing w:after="0" w:line="394"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根据供应商提供的应急预案：符合项目实际、科学合理得2分；符合项目实际、较为合理得1分；基本符合项目实际、基本合理得0.5分；缺项不得分。</w:t>
            </w:r>
          </w:p>
        </w:tc>
      </w:tr>
      <w:tr w14:paraId="7A97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18" w:type="pct"/>
            <w:gridSpan w:val="2"/>
            <w:vMerge w:val="continue"/>
            <w:vAlign w:val="center"/>
          </w:tcPr>
          <w:p w14:paraId="2B561E27">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rPr>
            </w:pPr>
          </w:p>
        </w:tc>
        <w:tc>
          <w:tcPr>
            <w:tcW w:w="588" w:type="pct"/>
            <w:gridSpan w:val="2"/>
            <w:vMerge w:val="continue"/>
            <w:vAlign w:val="center"/>
          </w:tcPr>
          <w:p w14:paraId="133459D9">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val="en-US" w:eastAsia="zh-CN"/>
              </w:rPr>
            </w:pPr>
          </w:p>
        </w:tc>
        <w:tc>
          <w:tcPr>
            <w:tcW w:w="768" w:type="pct"/>
            <w:gridSpan w:val="2"/>
            <w:vAlign w:val="center"/>
          </w:tcPr>
          <w:p w14:paraId="79780044">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服务质量保证措施</w:t>
            </w:r>
          </w:p>
          <w:p w14:paraId="390A24DE">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p w14:paraId="3241B287">
            <w:pPr>
              <w:keepNext w:val="0"/>
              <w:keepLines w:val="0"/>
              <w:pageBreakBefore w:val="0"/>
              <w:widowControl w:val="0"/>
              <w:kinsoku/>
              <w:wordWrap/>
              <w:overflowPunct/>
              <w:topLinePunct w:val="0"/>
              <w:bidi w:val="0"/>
              <w:snapToGrid/>
              <w:spacing w:after="0" w:line="394" w:lineRule="exact"/>
              <w:ind w:firstLine="105" w:firstLineChars="50"/>
              <w:jc w:val="center"/>
              <w:textAlignment w:val="auto"/>
              <w:rPr>
                <w:rFonts w:hint="eastAsia" w:ascii="宋体" w:hAnsi="宋体" w:eastAsia="宋体" w:cs="宋体"/>
                <w:color w:val="auto"/>
                <w:kern w:val="2"/>
                <w:sz w:val="21"/>
                <w:szCs w:val="21"/>
                <w:highlight w:val="none"/>
                <w:lang w:val="en-US" w:eastAsia="zh-CN" w:bidi="ar-SA"/>
              </w:rPr>
            </w:pPr>
          </w:p>
        </w:tc>
        <w:tc>
          <w:tcPr>
            <w:tcW w:w="3224" w:type="pct"/>
            <w:vAlign w:val="center"/>
          </w:tcPr>
          <w:p w14:paraId="7EC03858">
            <w:pPr>
              <w:keepNext w:val="0"/>
              <w:keepLines w:val="0"/>
              <w:pageBreakBefore w:val="0"/>
              <w:widowControl w:val="0"/>
              <w:kinsoku/>
              <w:wordWrap/>
              <w:overflowPunct/>
              <w:topLinePunct w:val="0"/>
              <w:bidi w:val="0"/>
              <w:snapToGrid/>
              <w:spacing w:after="0" w:line="394"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根据供应商提供的服务质量保证措施：符合项目实际、科学合理得2分；符合项目实际、较为合理得1分；基本符合项目实际、基本合理得0.5分；缺项不得分。</w:t>
            </w:r>
          </w:p>
        </w:tc>
      </w:tr>
      <w:tr w14:paraId="3FFE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18" w:type="pct"/>
            <w:gridSpan w:val="2"/>
            <w:vMerge w:val="continue"/>
            <w:vAlign w:val="center"/>
          </w:tcPr>
          <w:p w14:paraId="3B622884">
            <w:pPr>
              <w:keepNext w:val="0"/>
              <w:keepLines w:val="0"/>
              <w:pageBreakBefore w:val="0"/>
              <w:widowControl w:val="0"/>
              <w:kinsoku/>
              <w:wordWrap/>
              <w:overflowPunct/>
              <w:topLinePunct w:val="0"/>
              <w:bidi w:val="0"/>
              <w:snapToGrid/>
              <w:spacing w:after="0" w:line="394" w:lineRule="exact"/>
              <w:jc w:val="center"/>
              <w:textAlignment w:val="auto"/>
              <w:rPr>
                <w:rFonts w:hint="eastAsia" w:ascii="宋体" w:hAnsi="宋体" w:eastAsia="宋体" w:cs="宋体"/>
                <w:color w:val="auto"/>
                <w:sz w:val="21"/>
                <w:szCs w:val="21"/>
                <w:highlight w:val="none"/>
              </w:rPr>
            </w:pPr>
          </w:p>
        </w:tc>
        <w:tc>
          <w:tcPr>
            <w:tcW w:w="588" w:type="pct"/>
            <w:gridSpan w:val="2"/>
            <w:vMerge w:val="continue"/>
            <w:vAlign w:val="center"/>
          </w:tcPr>
          <w:p w14:paraId="09B13A47">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eastAsia" w:ascii="宋体" w:hAnsi="宋体" w:eastAsia="宋体" w:cs="宋体"/>
                <w:color w:val="auto"/>
                <w:sz w:val="21"/>
                <w:szCs w:val="21"/>
                <w:highlight w:val="none"/>
                <w:lang w:val="en-US" w:eastAsia="zh-CN"/>
              </w:rPr>
            </w:pPr>
          </w:p>
        </w:tc>
        <w:tc>
          <w:tcPr>
            <w:tcW w:w="3992" w:type="pct"/>
            <w:gridSpan w:val="3"/>
            <w:vAlign w:val="center"/>
          </w:tcPr>
          <w:p w14:paraId="58315CC4">
            <w:pPr>
              <w:keepNext w:val="0"/>
              <w:keepLines w:val="0"/>
              <w:pageBreakBefore w:val="0"/>
              <w:widowControl w:val="0"/>
              <w:kinsoku/>
              <w:wordWrap/>
              <w:overflowPunct/>
              <w:topLinePunct w:val="0"/>
              <w:bidi w:val="0"/>
              <w:snapToGrid/>
              <w:spacing w:after="0" w:line="394" w:lineRule="exact"/>
              <w:ind w:firstLine="105" w:firstLineChars="5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注：以上技术方案如有缺漏项，则对应项为</w:t>
            </w:r>
            <w:r>
              <w:rPr>
                <w:rFonts w:hint="eastAsia" w:ascii="宋体" w:hAnsi="宋体" w:eastAsia="宋体" w:cs="宋体"/>
                <w:color w:val="auto"/>
                <w:sz w:val="21"/>
                <w:szCs w:val="21"/>
                <w:highlight w:val="none"/>
                <w:lang w:val="en-US" w:eastAsia="zh-CN"/>
              </w:rPr>
              <w:t>0分。</w:t>
            </w:r>
          </w:p>
        </w:tc>
      </w:tr>
    </w:tbl>
    <w:p w14:paraId="315E95B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1.如磋商小组一致认为最低报价明显不合理，有降低质量、不能诚信履约的可能时，磋商小组有权通知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进行解释。如</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未能在规定期限内作出解释，或所作解释不合理，经磋商小组取得一致意见后，对该</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将不予推荐。</w:t>
      </w:r>
    </w:p>
    <w:p w14:paraId="1842BB3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.评审过程中，所有数值计算均保留小数点后两位（四舍五入），计算的最终结果保留小数点后二位（四舍五入）。</w:t>
      </w:r>
    </w:p>
    <w:p w14:paraId="791F2C3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30"/>
          <w:szCs w:val="30"/>
          <w:highlight w:val="none"/>
        </w:rPr>
      </w:pPr>
      <w:r>
        <w:rPr>
          <w:rFonts w:hint="eastAsia" w:ascii="宋体" w:hAnsi="宋体" w:eastAsia="宋体" w:cs="宋体"/>
          <w:b/>
          <w:color w:val="auto"/>
          <w:sz w:val="28"/>
          <w:szCs w:val="28"/>
          <w:highlight w:val="none"/>
        </w:rPr>
        <w:t>磋商办法</w:t>
      </w:r>
    </w:p>
    <w:p w14:paraId="0518A03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经磋商确定最终采购需求和提交最后报价的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后，由磋商小组采用综合评分法对提交最后报价的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的响应文件和最后报价进行综合评分。</w:t>
      </w:r>
    </w:p>
    <w:p w14:paraId="3A4879AC">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满足磋商文件实质性要求的响应文件，按照本章评标办法规定的评分标准进行综合评审得分，按得分由高到低顺序推荐3名中标候选人，但投标报价低于其成本的除外。评审得分相同的，按照最后报价由低到高的顺序推荐；评审得分且最后报价相同的按照技术部分优劣顺序推荐。</w:t>
      </w:r>
    </w:p>
    <w:p w14:paraId="74533D5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
          <w:color w:val="auto"/>
          <w:sz w:val="30"/>
          <w:szCs w:val="30"/>
          <w:highlight w:val="none"/>
        </w:rPr>
      </w:pPr>
      <w:r>
        <w:rPr>
          <w:rFonts w:hint="eastAsia" w:ascii="宋体" w:hAnsi="宋体" w:eastAsia="宋体" w:cs="宋体"/>
          <w:b/>
          <w:color w:val="auto"/>
          <w:sz w:val="28"/>
          <w:szCs w:val="28"/>
          <w:highlight w:val="none"/>
        </w:rPr>
        <w:t>磋商纪律</w:t>
      </w:r>
    </w:p>
    <w:p w14:paraId="5714B03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为了加强政府采购的管理和监督，保证磋商工作严肃有序地进行，磋商小组成员、采购人及工作人员应共同遵照执行以下纪律：</w:t>
      </w:r>
    </w:p>
    <w:p w14:paraId="5BBFDD9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1.磋商小组成员如与磋商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有私人或经济关系的应当回避。</w:t>
      </w:r>
    </w:p>
    <w:p w14:paraId="58818C2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2.磋商小组成员应当客观、公正的履行职责，遵守职业道德，对所提出的评审意见承担责任。</w:t>
      </w:r>
    </w:p>
    <w:p w14:paraId="0E935F7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3.磋商小组成员不得与任何磋商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或与采购结果有利害关系的人私下接触，不得收受磋商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、中介人及其它利害关系人的财物或其它好处。</w:t>
      </w:r>
    </w:p>
    <w:p w14:paraId="3E972D3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4.磋商小组成员和参与评审活动有关的工作人员不得透漏对磋商文件的评审和比较、成交候选人的推荐情况以及与评审有关的其它情况。不应将评审资料带出评审会场。</w:t>
      </w:r>
    </w:p>
    <w:p w14:paraId="0C5B5C3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5.为确保评审工作顺利进行，磋商小组全体成员应关闭通讯工具；在评审工作结束前，磋商小组全体成员不得单独行动。</w:t>
      </w:r>
    </w:p>
    <w:p w14:paraId="05C4DDB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6.磋商小组不向落标方解释落标原因。</w:t>
      </w:r>
    </w:p>
    <w:p w14:paraId="4CF429BB">
      <w:pPr>
        <w:pageBreakBefore/>
        <w:spacing w:before="120" w:beforeLines="50" w:after="240" w:afterLines="100"/>
        <w:jc w:val="center"/>
        <w:outlineLvl w:val="0"/>
        <w:rPr>
          <w:rFonts w:ascii="宋体" w:hAnsi="宋体" w:eastAsia="宋体" w:cs="宋体"/>
          <w:b/>
          <w:color w:val="auto"/>
          <w:sz w:val="44"/>
          <w:szCs w:val="44"/>
          <w:highlight w:val="none"/>
        </w:rPr>
      </w:pPr>
      <w:bookmarkStart w:id="516" w:name="_Toc32542"/>
      <w:bookmarkStart w:id="517" w:name="_Toc16840"/>
      <w:r>
        <w:rPr>
          <w:rFonts w:hint="eastAsia" w:ascii="宋体" w:hAnsi="宋体" w:eastAsia="宋体" w:cs="宋体"/>
          <w:b/>
          <w:color w:val="auto"/>
          <w:sz w:val="44"/>
          <w:szCs w:val="22"/>
          <w:highlight w:val="none"/>
        </w:rPr>
        <w:t xml:space="preserve">第六章  </w:t>
      </w:r>
      <w:r>
        <w:rPr>
          <w:rFonts w:hint="eastAsia" w:ascii="宋体" w:hAnsi="宋体" w:eastAsia="宋体" w:cs="宋体"/>
          <w:b/>
          <w:color w:val="auto"/>
          <w:sz w:val="44"/>
          <w:szCs w:val="44"/>
          <w:highlight w:val="none"/>
        </w:rPr>
        <w:t>响应文件格式</w:t>
      </w:r>
      <w:bookmarkEnd w:id="516"/>
      <w:bookmarkEnd w:id="517"/>
    </w:p>
    <w:p w14:paraId="0942BE00">
      <w:pPr>
        <w:pStyle w:val="5"/>
        <w:ind w:firstLine="1590" w:firstLineChars="495"/>
        <w:rPr>
          <w:rFonts w:ascii="宋体" w:hAnsi="宋体" w:eastAsia="宋体" w:cs="宋体"/>
          <w:b/>
          <w:color w:val="auto"/>
          <w:spacing w:val="0"/>
          <w:sz w:val="32"/>
          <w:szCs w:val="32"/>
          <w:highlight w:val="none"/>
        </w:rPr>
      </w:pPr>
    </w:p>
    <w:p w14:paraId="6C03A145">
      <w:pPr>
        <w:spacing w:line="480" w:lineRule="auto"/>
        <w:ind w:left="630" w:leftChars="350" w:firstLine="614" w:firstLineChars="192"/>
        <w:rPr>
          <w:rFonts w:ascii="宋体" w:hAnsi="宋体" w:eastAsia="宋体" w:cs="宋体"/>
          <w:color w:val="auto"/>
          <w:sz w:val="32"/>
          <w:highlight w:val="none"/>
          <w:u w:val="single"/>
        </w:rPr>
      </w:pP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（项目名称）</w:t>
      </w:r>
    </w:p>
    <w:p w14:paraId="550EB76E">
      <w:pPr>
        <w:pStyle w:val="5"/>
        <w:ind w:firstLine="0" w:firstLineChars="0"/>
        <w:jc w:val="center"/>
        <w:rPr>
          <w:rFonts w:ascii="宋体" w:hAnsi="宋体" w:eastAsia="宋体" w:cs="宋体"/>
          <w:b/>
          <w:color w:val="auto"/>
          <w:sz w:val="52"/>
          <w:szCs w:val="52"/>
          <w:highlight w:val="none"/>
        </w:rPr>
      </w:pPr>
    </w:p>
    <w:p w14:paraId="6CCD925E">
      <w:pPr>
        <w:pStyle w:val="5"/>
        <w:ind w:firstLine="0" w:firstLineChars="0"/>
        <w:jc w:val="center"/>
        <w:rPr>
          <w:rFonts w:ascii="宋体" w:hAnsi="宋体" w:eastAsia="宋体" w:cs="宋体"/>
          <w:b/>
          <w:color w:val="auto"/>
          <w:sz w:val="56"/>
          <w:szCs w:val="56"/>
          <w:highlight w:val="none"/>
        </w:rPr>
      </w:pPr>
      <w:r>
        <w:rPr>
          <w:rFonts w:hint="eastAsia" w:ascii="宋体" w:hAnsi="宋体" w:eastAsia="宋体" w:cs="宋体"/>
          <w:b/>
          <w:color w:val="auto"/>
          <w:sz w:val="72"/>
          <w:szCs w:val="72"/>
          <w:highlight w:val="none"/>
        </w:rPr>
        <w:t>响应文件</w:t>
      </w:r>
    </w:p>
    <w:p w14:paraId="0C0589EE">
      <w:pPr>
        <w:ind w:firstLine="2811" w:firstLineChars="10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采购编号：</w:t>
      </w:r>
    </w:p>
    <w:p w14:paraId="6D0DF221">
      <w:pPr>
        <w:jc w:val="center"/>
        <w:rPr>
          <w:rFonts w:ascii="宋体" w:hAnsi="宋体" w:eastAsia="宋体" w:cs="宋体"/>
          <w:b/>
          <w:color w:val="auto"/>
          <w:sz w:val="28"/>
          <w:szCs w:val="28"/>
          <w:highlight w:val="none"/>
        </w:rPr>
      </w:pPr>
    </w:p>
    <w:p w14:paraId="6DB34A7A">
      <w:pPr>
        <w:pStyle w:val="5"/>
        <w:ind w:firstLine="1076" w:firstLineChars="348"/>
        <w:rPr>
          <w:rFonts w:ascii="宋体" w:hAnsi="宋体" w:eastAsia="宋体" w:cs="宋体"/>
          <w:b/>
          <w:color w:val="auto"/>
          <w:sz w:val="30"/>
          <w:szCs w:val="30"/>
          <w:highlight w:val="none"/>
        </w:rPr>
      </w:pPr>
    </w:p>
    <w:p w14:paraId="5CF95464">
      <w:pPr>
        <w:pStyle w:val="5"/>
        <w:ind w:firstLine="1076" w:firstLineChars="348"/>
        <w:rPr>
          <w:rFonts w:ascii="宋体" w:hAnsi="宋体" w:eastAsia="宋体" w:cs="宋体"/>
          <w:b/>
          <w:color w:val="auto"/>
          <w:sz w:val="30"/>
          <w:szCs w:val="30"/>
          <w:highlight w:val="none"/>
        </w:rPr>
      </w:pPr>
    </w:p>
    <w:p w14:paraId="2ADBF7F8">
      <w:pPr>
        <w:pStyle w:val="5"/>
        <w:ind w:left="0" w:leftChars="0" w:firstLine="0" w:firstLineChars="0"/>
        <w:rPr>
          <w:rFonts w:ascii="宋体" w:hAnsi="宋体" w:eastAsia="宋体" w:cs="宋体"/>
          <w:b/>
          <w:color w:val="auto"/>
          <w:sz w:val="30"/>
          <w:szCs w:val="30"/>
          <w:highlight w:val="none"/>
        </w:rPr>
      </w:pPr>
    </w:p>
    <w:p w14:paraId="27A662F3">
      <w:pPr>
        <w:pStyle w:val="5"/>
        <w:ind w:firstLine="1076" w:firstLineChars="348"/>
        <w:rPr>
          <w:rFonts w:ascii="宋体" w:hAnsi="宋体" w:eastAsia="宋体" w:cs="宋体"/>
          <w:b/>
          <w:color w:val="auto"/>
          <w:sz w:val="30"/>
          <w:szCs w:val="30"/>
          <w:highlight w:val="none"/>
        </w:rPr>
      </w:pPr>
    </w:p>
    <w:p w14:paraId="5AA43A60">
      <w:pPr>
        <w:pStyle w:val="5"/>
        <w:ind w:firstLine="1076" w:firstLineChars="348"/>
        <w:rPr>
          <w:rFonts w:ascii="宋体" w:hAnsi="宋体" w:eastAsia="宋体" w:cs="宋体"/>
          <w:b/>
          <w:color w:val="auto"/>
          <w:sz w:val="30"/>
          <w:szCs w:val="30"/>
          <w:highlight w:val="none"/>
        </w:rPr>
      </w:pPr>
    </w:p>
    <w:p w14:paraId="5ED1A219">
      <w:pPr>
        <w:spacing w:line="500" w:lineRule="exact"/>
        <w:ind w:firstLine="700" w:firstLineChars="250"/>
        <w:jc w:val="center"/>
        <w:rPr>
          <w:rFonts w:ascii="宋体" w:hAnsi="宋体" w:eastAsia="宋体" w:cs="宋体"/>
          <w:color w:val="auto"/>
          <w:sz w:val="28"/>
          <w:szCs w:val="28"/>
          <w:highlight w:val="none"/>
        </w:rPr>
      </w:pPr>
      <w:bookmarkStart w:id="518" w:name="_Toc421698823"/>
      <w:bookmarkStart w:id="519" w:name="_Toc435864414"/>
      <w:bookmarkStart w:id="520" w:name="_Toc446254761"/>
      <w:bookmarkStart w:id="521" w:name="_Toc409627469"/>
      <w:bookmarkStart w:id="522" w:name="_Toc380758974"/>
      <w:bookmarkStart w:id="523" w:name="_Toc396673353"/>
    </w:p>
    <w:p w14:paraId="14A59798">
      <w:pPr>
        <w:spacing w:line="500" w:lineRule="exact"/>
        <w:ind w:firstLine="700" w:firstLineChars="25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(单位盖章)</w:t>
      </w:r>
    </w:p>
    <w:p w14:paraId="0C1B5ADA">
      <w:pPr>
        <w:spacing w:line="500" w:lineRule="exact"/>
        <w:ind w:firstLine="700" w:firstLineChars="25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(签字或盖章)</w:t>
      </w:r>
    </w:p>
    <w:p w14:paraId="602A3ABF">
      <w:pPr>
        <w:spacing w:line="500" w:lineRule="exact"/>
        <w:ind w:firstLine="700" w:firstLineChars="25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bookmarkEnd w:id="518"/>
    <w:bookmarkEnd w:id="519"/>
    <w:bookmarkEnd w:id="520"/>
    <w:bookmarkEnd w:id="521"/>
    <w:bookmarkEnd w:id="522"/>
    <w:bookmarkEnd w:id="523"/>
    <w:p w14:paraId="1BA45969">
      <w:pPr>
        <w:keepNext w:val="0"/>
        <w:keepLines w:val="0"/>
        <w:jc w:val="center"/>
        <w:outlineLvl w:val="9"/>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592CB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资格</w:t>
      </w:r>
      <w:r>
        <w:rPr>
          <w:rFonts w:hint="eastAsia" w:ascii="宋体" w:hAnsi="宋体" w:eastAsia="宋体" w:cs="宋体"/>
          <w:b/>
          <w:sz w:val="21"/>
          <w:szCs w:val="21"/>
          <w:highlight w:val="none"/>
          <w:lang w:eastAsia="zh-CN"/>
        </w:rPr>
        <w:t>证明材料</w:t>
      </w:r>
    </w:p>
    <w:p w14:paraId="7E8CD4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.法定代表人身份证明书</w:t>
      </w:r>
      <w:r>
        <w:rPr>
          <w:rFonts w:hint="eastAsia" w:ascii="宋体" w:hAnsi="宋体" w:eastAsia="宋体" w:cs="宋体"/>
          <w:bCs/>
          <w:color w:val="000000"/>
          <w:sz w:val="21"/>
          <w:szCs w:val="21"/>
          <w:highlight w:val="none"/>
        </w:rPr>
        <w:t>………………………………………</w:t>
      </w:r>
      <w:r>
        <w:rPr>
          <w:rFonts w:hint="eastAsia" w:ascii="宋体" w:hAnsi="宋体" w:eastAsia="宋体" w:cs="宋体"/>
          <w:sz w:val="21"/>
          <w:szCs w:val="21"/>
          <w:highlight w:val="none"/>
        </w:rPr>
        <w:t>……</w:t>
      </w:r>
      <w:r>
        <w:rPr>
          <w:rFonts w:hint="eastAsia" w:ascii="宋体" w:hAnsi="宋体" w:eastAsia="宋体" w:cs="宋体"/>
          <w:bCs/>
          <w:color w:val="000000"/>
          <w:sz w:val="21"/>
          <w:szCs w:val="21"/>
          <w:highlight w:val="none"/>
        </w:rPr>
        <w:t>页码</w:t>
      </w:r>
    </w:p>
    <w:p w14:paraId="325FD0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.法定代表人授权委托书</w:t>
      </w:r>
      <w:r>
        <w:rPr>
          <w:rFonts w:hint="eastAsia" w:ascii="宋体" w:hAnsi="宋体" w:eastAsia="宋体" w:cs="宋体"/>
          <w:sz w:val="21"/>
          <w:szCs w:val="21"/>
          <w:highlight w:val="none"/>
        </w:rPr>
        <w:t>……………………………………………</w:t>
      </w:r>
    </w:p>
    <w:p w14:paraId="1D1497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.供应商基本情况表</w:t>
      </w:r>
      <w:r>
        <w:rPr>
          <w:rFonts w:hint="eastAsia" w:ascii="宋体" w:hAnsi="宋体" w:eastAsia="宋体" w:cs="宋体"/>
          <w:sz w:val="21"/>
          <w:szCs w:val="21"/>
          <w:highlight w:val="none"/>
        </w:rPr>
        <w:t>………………………</w:t>
      </w:r>
    </w:p>
    <w:p w14:paraId="6D0A81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4.特定资格要求 </w:t>
      </w:r>
      <w:r>
        <w:rPr>
          <w:rFonts w:hint="eastAsia" w:ascii="宋体" w:hAnsi="宋体" w:eastAsia="宋体" w:cs="宋体"/>
          <w:sz w:val="21"/>
          <w:szCs w:val="21"/>
          <w:highlight w:val="none"/>
        </w:rPr>
        <w:t>………………………………………………………</w:t>
      </w:r>
    </w:p>
    <w:p w14:paraId="318E43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5.投标保证金承诺函 </w:t>
      </w:r>
      <w:r>
        <w:rPr>
          <w:rFonts w:hint="eastAsia" w:ascii="宋体" w:hAnsi="宋体" w:eastAsia="宋体" w:cs="宋体"/>
          <w:sz w:val="21"/>
          <w:szCs w:val="21"/>
          <w:highlight w:val="none"/>
        </w:rPr>
        <w:t>…………………………………………………</w:t>
      </w:r>
    </w:p>
    <w:p w14:paraId="6BE46F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6.反商业贿赂承诺书</w:t>
      </w:r>
      <w:r>
        <w:rPr>
          <w:rFonts w:hint="eastAsia" w:ascii="宋体" w:hAnsi="宋体" w:eastAsia="宋体" w:cs="宋体"/>
          <w:sz w:val="21"/>
          <w:szCs w:val="21"/>
          <w:highlight w:val="none"/>
        </w:rPr>
        <w:t>…………………………………………………</w:t>
      </w:r>
    </w:p>
    <w:p w14:paraId="57E2B2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7.供应商认为需要提供的其他资格文件</w:t>
      </w:r>
      <w:r>
        <w:rPr>
          <w:rFonts w:hint="eastAsia" w:ascii="宋体" w:hAnsi="宋体" w:eastAsia="宋体" w:cs="宋体"/>
          <w:sz w:val="21"/>
          <w:szCs w:val="21"/>
          <w:highlight w:val="none"/>
        </w:rPr>
        <w:t>……………………………</w:t>
      </w:r>
    </w:p>
    <w:p w14:paraId="69C50A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eastAsia="zh-CN"/>
        </w:rPr>
        <w:t>商务技术</w:t>
      </w:r>
      <w:r>
        <w:rPr>
          <w:rFonts w:hint="eastAsia" w:ascii="宋体" w:hAnsi="宋体" w:eastAsia="宋体" w:cs="宋体"/>
          <w:b/>
          <w:sz w:val="21"/>
          <w:szCs w:val="21"/>
          <w:highlight w:val="none"/>
          <w:lang w:val="en-US" w:eastAsia="zh-CN"/>
        </w:rPr>
        <w:t>响应文件</w:t>
      </w:r>
    </w:p>
    <w:p w14:paraId="6DEFD37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1.报价函………………………………………………………………页码</w:t>
      </w:r>
    </w:p>
    <w:p w14:paraId="26F374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2.供应商近三年业绩情况一览表……………………………………</w:t>
      </w:r>
    </w:p>
    <w:p w14:paraId="63E88D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3.技术方案……………………………………………………………</w:t>
      </w:r>
    </w:p>
    <w:p w14:paraId="08F3C08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4.响应偏差表</w:t>
      </w:r>
      <w:r>
        <w:rPr>
          <w:rFonts w:hint="eastAsia" w:ascii="宋体" w:hAnsi="宋体" w:eastAsia="宋体" w:cs="宋体"/>
          <w:sz w:val="21"/>
          <w:szCs w:val="21"/>
          <w:highlight w:val="none"/>
        </w:rPr>
        <w:t>…………………………………………………</w:t>
      </w:r>
    </w:p>
    <w:p w14:paraId="63DA20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5.竞争性磋商文件内容确认书</w:t>
      </w:r>
      <w:r>
        <w:rPr>
          <w:rFonts w:hint="eastAsia" w:ascii="宋体" w:hAnsi="宋体" w:eastAsia="宋体" w:cs="宋体"/>
          <w:sz w:val="21"/>
          <w:szCs w:val="21"/>
          <w:highlight w:val="none"/>
        </w:rPr>
        <w:t>…………………………………………………</w:t>
      </w:r>
    </w:p>
    <w:p w14:paraId="4C2C07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6.履约承诺书</w:t>
      </w:r>
      <w:r>
        <w:rPr>
          <w:rFonts w:hint="eastAsia" w:ascii="宋体" w:hAnsi="宋体" w:eastAsia="宋体" w:cs="宋体"/>
          <w:sz w:val="21"/>
          <w:szCs w:val="21"/>
          <w:highlight w:val="none"/>
        </w:rPr>
        <w:t>…………………………………………………</w:t>
      </w:r>
    </w:p>
    <w:p w14:paraId="528001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7.供应商认为需补充的其它资料或说明…</w:t>
      </w:r>
      <w:r>
        <w:rPr>
          <w:rFonts w:hint="eastAsia" w:ascii="宋体" w:hAnsi="宋体" w:eastAsia="宋体" w:cs="宋体"/>
          <w:sz w:val="21"/>
          <w:szCs w:val="21"/>
          <w:highlight w:val="none"/>
        </w:rPr>
        <w:t>…………………………</w:t>
      </w:r>
    </w:p>
    <w:p w14:paraId="6AA3CE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b/>
          <w:sz w:val="21"/>
          <w:szCs w:val="21"/>
          <w:highlight w:val="none"/>
          <w:lang w:eastAsia="zh-CN"/>
        </w:rPr>
        <w:t>报价要求响应文件</w:t>
      </w:r>
    </w:p>
    <w:p w14:paraId="337BFB06">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报价一览表（一次）</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…………………………………………………页码</w:t>
      </w:r>
    </w:p>
    <w:p w14:paraId="29ADB4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2.分项报价表……………………………………………………</w:t>
      </w:r>
    </w:p>
    <w:p w14:paraId="70B16D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rPr>
        <w:t>注：响应文件目录按照上述顺序编制，包括但不限以上内容。</w:t>
      </w:r>
    </w:p>
    <w:p w14:paraId="1F536439">
      <w:pPr>
        <w:pStyle w:val="11"/>
        <w:ind w:left="0" w:leftChars="0" w:firstLine="0" w:firstLineChars="0"/>
        <w:jc w:val="center"/>
        <w:rPr>
          <w:rFonts w:hint="eastAsia" w:ascii="宋体" w:hAnsi="宋体" w:eastAsia="宋体" w:cs="宋体"/>
          <w:b/>
          <w:kern w:val="2"/>
          <w:sz w:val="21"/>
          <w:szCs w:val="21"/>
          <w:highlight w:val="none"/>
          <w:lang w:val="en-US" w:eastAsia="zh-CN" w:bidi="ar-SA"/>
        </w:rPr>
        <w:sectPr>
          <w:pgSz w:w="11906" w:h="16838"/>
          <w:pgMar w:top="2155" w:right="1418" w:bottom="2041" w:left="1531" w:header="851" w:footer="992" w:gutter="0"/>
          <w:pgNumType w:fmt="decimal"/>
          <w:cols w:space="720" w:num="1"/>
          <w:docGrid w:linePitch="312" w:charSpace="0"/>
        </w:sectPr>
      </w:pPr>
      <w:bookmarkStart w:id="524" w:name="_Toc364091844"/>
    </w:p>
    <w:p w14:paraId="75DBBC78">
      <w:pPr>
        <w:pStyle w:val="11"/>
        <w:ind w:left="0" w:leftChars="0" w:firstLine="0" w:firstLineChars="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资格文件</w:t>
      </w:r>
    </w:p>
    <w:p w14:paraId="6D141F8B">
      <w:pPr>
        <w:pStyle w:val="11"/>
        <w:ind w:left="0" w:leftChars="0" w:firstLine="0" w:firstLineChars="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1</w:t>
      </w:r>
    </w:p>
    <w:p w14:paraId="72E2364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宋体"/>
          <w:b/>
          <w:bCs/>
          <w:color w:val="000000"/>
          <w:sz w:val="28"/>
          <w:szCs w:val="28"/>
          <w:highlight w:val="none"/>
        </w:rPr>
      </w:pPr>
      <w:bookmarkStart w:id="525" w:name="_Toc4092_WPSOffice_Level1"/>
      <w:r>
        <w:rPr>
          <w:rFonts w:hint="eastAsia" w:ascii="宋体" w:hAnsi="宋体" w:eastAsia="宋体" w:cs="宋体"/>
          <w:b/>
          <w:bCs/>
          <w:color w:val="000000"/>
          <w:sz w:val="28"/>
          <w:szCs w:val="28"/>
          <w:highlight w:val="none"/>
        </w:rPr>
        <w:t>法定代表人身份证明书</w:t>
      </w:r>
    </w:p>
    <w:p w14:paraId="7AC7DA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p w14:paraId="2E88D5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单位性质：                                       </w:t>
      </w:r>
    </w:p>
    <w:p w14:paraId="1BC81F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p>
    <w:p w14:paraId="2ED07B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成立时间：    年    月    日</w:t>
      </w:r>
    </w:p>
    <w:p w14:paraId="5DC1D1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p>
    <w:p w14:paraId="02059F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    名：              性  别：         </w:t>
      </w:r>
    </w:p>
    <w:p w14:paraId="214933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身份证号：              职  务： </w:t>
      </w:r>
    </w:p>
    <w:p w14:paraId="1FB35D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系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名称）          的法定代表人。</w:t>
      </w:r>
    </w:p>
    <w:p w14:paraId="228BA1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特此证明。   </w:t>
      </w:r>
    </w:p>
    <w:p w14:paraId="008AB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附法定代表人有效的身份证正反两面</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6DE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4615" w:type="dxa"/>
            <w:noWrap w:val="0"/>
            <w:vAlign w:val="top"/>
          </w:tcPr>
          <w:p w14:paraId="76ED5F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p>
        </w:tc>
        <w:tc>
          <w:tcPr>
            <w:tcW w:w="4615" w:type="dxa"/>
            <w:noWrap w:val="0"/>
            <w:vAlign w:val="top"/>
          </w:tcPr>
          <w:p w14:paraId="3ADA5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p>
        </w:tc>
      </w:tr>
    </w:tbl>
    <w:p w14:paraId="2D077D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注：1．法定代表人参加本次磋商的应签署本</w:t>
      </w:r>
      <w:r>
        <w:rPr>
          <w:rFonts w:hint="eastAsia" w:ascii="宋体" w:hAnsi="宋体" w:eastAsia="宋体" w:cs="宋体"/>
          <w:sz w:val="21"/>
          <w:szCs w:val="21"/>
          <w:highlight w:val="none"/>
          <w:lang w:val="en-US" w:eastAsia="zh-CN"/>
        </w:rPr>
        <w:t>证明书</w:t>
      </w:r>
      <w:r>
        <w:rPr>
          <w:rFonts w:hint="eastAsia" w:ascii="宋体" w:hAnsi="宋体" w:eastAsia="宋体" w:cs="宋体"/>
          <w:sz w:val="21"/>
          <w:szCs w:val="21"/>
          <w:highlight w:val="none"/>
        </w:rPr>
        <w:t>并附本人身份证；</w:t>
      </w:r>
    </w:p>
    <w:p w14:paraId="18E6E9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2．如法定代表人不参加本次磋商，应签署本</w:t>
      </w:r>
      <w:r>
        <w:rPr>
          <w:rFonts w:hint="eastAsia" w:ascii="宋体" w:hAnsi="宋体" w:eastAsia="宋体" w:cs="宋体"/>
          <w:sz w:val="21"/>
          <w:szCs w:val="21"/>
          <w:highlight w:val="none"/>
          <w:lang w:val="en-US" w:eastAsia="zh-CN"/>
        </w:rPr>
        <w:t>证明书</w:t>
      </w:r>
      <w:r>
        <w:rPr>
          <w:rFonts w:hint="eastAsia" w:ascii="宋体" w:hAnsi="宋体" w:eastAsia="宋体" w:cs="宋体"/>
          <w:sz w:val="21"/>
          <w:szCs w:val="21"/>
          <w:highlight w:val="none"/>
        </w:rPr>
        <w:t>及《法定代表人授权委托书》。</w:t>
      </w:r>
    </w:p>
    <w:p w14:paraId="1902FFD7">
      <w:pPr>
        <w:keepNext w:val="0"/>
        <w:keepLines w:val="0"/>
        <w:pageBreakBefore w:val="0"/>
        <w:widowControl w:val="0"/>
        <w:kinsoku/>
        <w:wordWrap/>
        <w:overflowPunct/>
        <w:topLinePunct w:val="0"/>
        <w:autoSpaceDE/>
        <w:autoSpaceDN/>
        <w:bidi w:val="0"/>
        <w:adjustRightInd/>
        <w:snapToGrid/>
        <w:spacing w:line="360" w:lineRule="auto"/>
        <w:ind w:firstLine="5481" w:firstLineChars="2600"/>
        <w:jc w:val="both"/>
        <w:textAlignment w:val="auto"/>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lang w:eastAsia="zh-CN"/>
        </w:rPr>
        <w:t>供应商名</w:t>
      </w:r>
      <w:r>
        <w:rPr>
          <w:rFonts w:hint="eastAsia" w:ascii="宋体" w:hAnsi="宋体" w:eastAsia="宋体" w:cs="宋体"/>
          <w:b/>
          <w:sz w:val="21"/>
          <w:szCs w:val="21"/>
          <w:highlight w:val="none"/>
        </w:rPr>
        <w:t>称（</w:t>
      </w:r>
      <w:r>
        <w:rPr>
          <w:rFonts w:hint="eastAsia" w:ascii="宋体" w:hAnsi="宋体" w:eastAsia="宋体" w:cs="宋体"/>
          <w:b/>
          <w:sz w:val="21"/>
          <w:szCs w:val="21"/>
          <w:highlight w:val="none"/>
          <w:lang w:eastAsia="zh-CN"/>
        </w:rPr>
        <w:t>加盖</w:t>
      </w:r>
      <w:r>
        <w:rPr>
          <w:rFonts w:hint="eastAsia" w:ascii="宋体" w:hAnsi="宋体" w:eastAsia="宋体" w:cs="宋体"/>
          <w:b/>
          <w:sz w:val="21"/>
          <w:szCs w:val="21"/>
          <w:highlight w:val="none"/>
        </w:rPr>
        <w:t>公章）：</w:t>
      </w:r>
      <w:r>
        <w:rPr>
          <w:rFonts w:hint="eastAsia" w:ascii="宋体" w:hAnsi="宋体" w:eastAsia="宋体" w:cs="宋体"/>
          <w:b/>
          <w:sz w:val="21"/>
          <w:szCs w:val="21"/>
          <w:highlight w:val="none"/>
          <w:u w:val="single"/>
        </w:rPr>
        <w:t xml:space="preserve">      </w:t>
      </w:r>
    </w:p>
    <w:p w14:paraId="384DFA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签署日期：</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日</w:t>
      </w:r>
    </w:p>
    <w:bookmarkEnd w:id="525"/>
    <w:p w14:paraId="72A92CF0">
      <w:pP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2</w:t>
      </w:r>
    </w:p>
    <w:p w14:paraId="5157FEE6">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宋体" w:hAnsi="宋体" w:eastAsia="宋体" w:cs="宋体"/>
          <w:b/>
          <w:bCs/>
          <w:color w:val="000000"/>
          <w:sz w:val="28"/>
          <w:szCs w:val="28"/>
          <w:highlight w:val="none"/>
        </w:rPr>
      </w:pPr>
      <w:bookmarkStart w:id="526" w:name="_Toc8487_WPSOffice_Level1"/>
      <w:r>
        <w:rPr>
          <w:rFonts w:hint="eastAsia" w:ascii="宋体" w:hAnsi="宋体" w:eastAsia="宋体" w:cs="宋体"/>
          <w:b/>
          <w:bCs/>
          <w:color w:val="000000"/>
          <w:sz w:val="28"/>
          <w:szCs w:val="28"/>
          <w:highlight w:val="none"/>
        </w:rPr>
        <w:t>法定代表人授权委托书</w:t>
      </w:r>
      <w:bookmarkEnd w:id="526"/>
    </w:p>
    <w:p w14:paraId="294D7EA0">
      <w:pPr>
        <w:keepNext w:val="0"/>
        <w:keepLines w:val="0"/>
        <w:pageBreakBefore w:val="0"/>
        <w:kinsoku/>
        <w:wordWrap/>
        <w:overflowPunct/>
        <w:topLinePunct w:val="0"/>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本人</w:t>
      </w:r>
      <w:r>
        <w:rPr>
          <w:rFonts w:hint="eastAsia" w:ascii="宋体" w:hAnsi="宋体" w:eastAsia="宋体" w:cs="宋体"/>
          <w:sz w:val="21"/>
          <w:szCs w:val="21"/>
          <w:highlight w:val="none"/>
          <w:u w:val="single"/>
        </w:rPr>
        <w:t xml:space="preserve">  姓名  </w:t>
      </w:r>
      <w:r>
        <w:rPr>
          <w:rFonts w:hint="eastAsia" w:ascii="宋体" w:hAnsi="宋体" w:eastAsia="宋体" w:cs="宋体"/>
          <w:sz w:val="21"/>
          <w:szCs w:val="21"/>
          <w:highlight w:val="none"/>
        </w:rPr>
        <w:t>是</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供应商</w:t>
      </w:r>
      <w:r>
        <w:rPr>
          <w:rFonts w:hint="eastAsia" w:ascii="宋体" w:hAnsi="宋体" w:eastAsia="宋体" w:cs="宋体"/>
          <w:sz w:val="21"/>
          <w:szCs w:val="21"/>
          <w:highlight w:val="none"/>
          <w:u w:val="single"/>
        </w:rPr>
        <w:t xml:space="preserve">名称  </w:t>
      </w:r>
      <w:r>
        <w:rPr>
          <w:rFonts w:hint="eastAsia" w:ascii="宋体" w:hAnsi="宋体" w:eastAsia="宋体" w:cs="宋体"/>
          <w:sz w:val="21"/>
          <w:szCs w:val="21"/>
          <w:highlight w:val="none"/>
        </w:rPr>
        <w:t>的法定代表人，现授权</w:t>
      </w:r>
      <w:r>
        <w:rPr>
          <w:rFonts w:hint="eastAsia" w:ascii="宋体" w:hAnsi="宋体" w:eastAsia="宋体" w:cs="宋体"/>
          <w:sz w:val="21"/>
          <w:szCs w:val="21"/>
          <w:highlight w:val="none"/>
          <w:u w:val="single"/>
        </w:rPr>
        <w:t xml:space="preserve">  单位名称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姓名 </w:t>
      </w:r>
      <w:r>
        <w:rPr>
          <w:rFonts w:hint="eastAsia" w:ascii="宋体" w:hAnsi="宋体" w:eastAsia="宋体" w:cs="宋体"/>
          <w:sz w:val="21"/>
          <w:szCs w:val="21"/>
          <w:highlight w:val="none"/>
        </w:rPr>
        <w:t>为我公司全权代理人，以我单位名义参加</w:t>
      </w:r>
      <w:r>
        <w:rPr>
          <w:rFonts w:hint="eastAsia" w:ascii="宋体" w:hAnsi="宋体" w:eastAsia="宋体" w:cs="宋体"/>
          <w:sz w:val="21"/>
          <w:szCs w:val="21"/>
          <w:highlight w:val="none"/>
          <w:lang w:eastAsia="zh-CN"/>
        </w:rPr>
        <w:t>河南普米工程管理服务有限公司</w:t>
      </w:r>
      <w:r>
        <w:rPr>
          <w:rFonts w:hint="eastAsia" w:ascii="宋体" w:hAnsi="宋体" w:eastAsia="宋体" w:cs="宋体"/>
          <w:sz w:val="21"/>
          <w:szCs w:val="21"/>
          <w:highlight w:val="none"/>
        </w:rPr>
        <w:t>组织的</w:t>
      </w:r>
      <w:r>
        <w:rPr>
          <w:rFonts w:hint="eastAsia" w:ascii="宋体" w:hAnsi="宋体" w:eastAsia="宋体" w:cs="宋体"/>
          <w:sz w:val="21"/>
          <w:szCs w:val="21"/>
          <w:highlight w:val="none"/>
          <w:u w:val="single"/>
        </w:rPr>
        <w:t xml:space="preserve">     项目名称、项目编号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的采购活动。代理人可全权代表我签署本次响应文件，处理响应文件开启、评审、澄清过程中的一切事项，签订采购合同，并处理与本次采购项目有关的一切事务，我均予以承认。</w:t>
      </w:r>
    </w:p>
    <w:p w14:paraId="6B520F07">
      <w:pPr>
        <w:keepNext w:val="0"/>
        <w:keepLines w:val="0"/>
        <w:pageBreakBefore w:val="0"/>
        <w:widowControl/>
        <w:kinsoku/>
        <w:wordWrap/>
        <w:overflowPunct/>
        <w:topLinePunct w:val="0"/>
        <w:autoSpaceDE w:val="0"/>
        <w:autoSpaceDN w:val="0"/>
        <w:bidi w:val="0"/>
        <w:adjustRightInd/>
        <w:snapToGrid/>
        <w:spacing w:line="500" w:lineRule="exact"/>
        <w:ind w:firstLine="420" w:firstLineChars="200"/>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全权代理人无转委托权。</w:t>
      </w:r>
    </w:p>
    <w:p w14:paraId="24B500A9">
      <w:pPr>
        <w:keepNext w:val="0"/>
        <w:keepLines w:val="0"/>
        <w:pageBreakBefore w:val="0"/>
        <w:kinsoku/>
        <w:wordWrap/>
        <w:overflowPunct/>
        <w:topLinePunct w:val="0"/>
        <w:bidi w:val="0"/>
        <w:adjustRightInd/>
        <w:snapToGrid/>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0EAD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noWrap w:val="0"/>
            <w:vAlign w:val="center"/>
          </w:tcPr>
          <w:p w14:paraId="5D0E47A1">
            <w:pPr>
              <w:spacing w:line="360" w:lineRule="auto"/>
              <w:ind w:firstLine="55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w:t>
            </w:r>
          </w:p>
          <w:p w14:paraId="5FD66211">
            <w:pPr>
              <w:spacing w:line="360" w:lineRule="auto"/>
              <w:ind w:firstLine="55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（正反两面）</w:t>
            </w:r>
          </w:p>
        </w:tc>
        <w:tc>
          <w:tcPr>
            <w:tcW w:w="540" w:type="dxa"/>
            <w:tcBorders>
              <w:top w:val="nil"/>
              <w:left w:val="single" w:color="auto" w:sz="4" w:space="0"/>
              <w:bottom w:val="nil"/>
              <w:right w:val="single" w:color="auto" w:sz="4" w:space="0"/>
            </w:tcBorders>
            <w:noWrap w:val="0"/>
            <w:vAlign w:val="center"/>
          </w:tcPr>
          <w:p w14:paraId="6AD8FFB4">
            <w:pPr>
              <w:spacing w:line="360" w:lineRule="auto"/>
              <w:jc w:val="center"/>
              <w:rPr>
                <w:rFonts w:hint="eastAsia" w:ascii="宋体" w:hAnsi="宋体" w:eastAsia="宋体" w:cs="宋体"/>
                <w:sz w:val="21"/>
                <w:szCs w:val="21"/>
                <w:highlight w:val="none"/>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3A0C5A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全权代理人身份证</w:t>
            </w:r>
          </w:p>
          <w:p w14:paraId="6C6BC7A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（正反两面）</w:t>
            </w:r>
          </w:p>
        </w:tc>
      </w:tr>
    </w:tbl>
    <w:p w14:paraId="443D0BAD">
      <w:pPr>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注：应附法定代表人和全权代理人身份证</w:t>
      </w:r>
    </w:p>
    <w:p w14:paraId="4B326F1F">
      <w:pPr>
        <w:spacing w:line="360" w:lineRule="auto"/>
        <w:ind w:firstLine="3057" w:firstLineChars="1450"/>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rPr>
        <w:t>法定代表人：</w:t>
      </w:r>
      <w:r>
        <w:rPr>
          <w:rFonts w:hint="eastAsia" w:ascii="宋体" w:hAnsi="宋体" w:eastAsia="宋体" w:cs="宋体"/>
          <w:b/>
          <w:sz w:val="21"/>
          <w:szCs w:val="21"/>
          <w:highlight w:val="none"/>
          <w:u w:val="single"/>
        </w:rPr>
        <w:t xml:space="preserve"> </w:t>
      </w:r>
      <w:r>
        <w:rPr>
          <w:rFonts w:hint="eastAsia" w:ascii="宋体" w:hAnsi="宋体" w:eastAsia="宋体" w:cs="宋体"/>
          <w:b/>
          <w:bCs/>
          <w:sz w:val="21"/>
          <w:szCs w:val="21"/>
          <w:highlight w:val="none"/>
          <w:u w:val="single"/>
        </w:rPr>
        <w:t>签字或</w:t>
      </w:r>
      <w:r>
        <w:rPr>
          <w:rFonts w:hint="eastAsia" w:ascii="宋体" w:hAnsi="宋体" w:eastAsia="宋体" w:cs="宋体"/>
          <w:b/>
          <w:bCs/>
          <w:sz w:val="21"/>
          <w:szCs w:val="21"/>
          <w:highlight w:val="none"/>
          <w:u w:val="single"/>
          <w:lang w:eastAsia="zh-CN"/>
        </w:rPr>
        <w:t>签章</w:t>
      </w:r>
      <w:r>
        <w:rPr>
          <w:rFonts w:hint="eastAsia" w:ascii="宋体" w:hAnsi="宋体" w:eastAsia="宋体" w:cs="宋体"/>
          <w:b/>
          <w:sz w:val="21"/>
          <w:szCs w:val="21"/>
          <w:highlight w:val="none"/>
          <w:u w:val="single"/>
        </w:rPr>
        <w:t xml:space="preserve">   </w:t>
      </w:r>
    </w:p>
    <w:p w14:paraId="68679ED1">
      <w:pPr>
        <w:spacing w:line="360" w:lineRule="auto"/>
        <w:ind w:firstLine="105" w:firstLineChars="5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全权代理</w:t>
      </w:r>
      <w:r>
        <w:rPr>
          <w:rFonts w:hint="eastAsia" w:ascii="宋体" w:hAnsi="宋体" w:eastAsia="宋体" w:cs="宋体"/>
          <w:b/>
          <w:sz w:val="21"/>
          <w:szCs w:val="21"/>
          <w:highlight w:val="none"/>
        </w:rPr>
        <w:t>人：</w:t>
      </w:r>
      <w:r>
        <w:rPr>
          <w:rFonts w:hint="eastAsia" w:ascii="宋体" w:hAnsi="宋体" w:eastAsia="宋体" w:cs="宋体"/>
          <w:b/>
          <w:bCs w:val="0"/>
          <w:sz w:val="21"/>
          <w:szCs w:val="21"/>
          <w:highlight w:val="none"/>
          <w:u w:val="single"/>
        </w:rPr>
        <w:t xml:space="preserve">        签字或</w:t>
      </w:r>
      <w:r>
        <w:rPr>
          <w:rFonts w:hint="eastAsia" w:ascii="宋体" w:hAnsi="宋体" w:eastAsia="宋体" w:cs="宋体"/>
          <w:b/>
          <w:bCs w:val="0"/>
          <w:sz w:val="21"/>
          <w:szCs w:val="21"/>
          <w:highlight w:val="none"/>
          <w:u w:val="single"/>
          <w:lang w:eastAsia="zh-CN"/>
        </w:rPr>
        <w:t>签章</w:t>
      </w:r>
      <w:r>
        <w:rPr>
          <w:rFonts w:hint="eastAsia" w:ascii="宋体" w:hAnsi="宋体" w:eastAsia="宋体" w:cs="宋体"/>
          <w:b/>
          <w:bCs w:val="0"/>
          <w:sz w:val="21"/>
          <w:szCs w:val="21"/>
          <w:highlight w:val="none"/>
          <w:u w:val="single"/>
        </w:rPr>
        <w:t xml:space="preserve">  </w:t>
      </w:r>
    </w:p>
    <w:p w14:paraId="4E782556">
      <w:pPr>
        <w:spacing w:line="360" w:lineRule="auto"/>
        <w:ind w:firstLine="3057" w:firstLineChars="1450"/>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供应商名</w:t>
      </w:r>
      <w:r>
        <w:rPr>
          <w:rFonts w:hint="eastAsia" w:ascii="宋体" w:hAnsi="宋体" w:eastAsia="宋体" w:cs="宋体"/>
          <w:b/>
          <w:sz w:val="21"/>
          <w:szCs w:val="21"/>
          <w:highlight w:val="none"/>
        </w:rPr>
        <w:t>称（</w:t>
      </w:r>
      <w:r>
        <w:rPr>
          <w:rFonts w:hint="eastAsia" w:ascii="宋体" w:hAnsi="宋体" w:eastAsia="宋体" w:cs="宋体"/>
          <w:b/>
          <w:sz w:val="21"/>
          <w:szCs w:val="21"/>
          <w:highlight w:val="none"/>
          <w:lang w:eastAsia="zh-CN"/>
        </w:rPr>
        <w:t>加盖</w:t>
      </w:r>
      <w:r>
        <w:rPr>
          <w:rFonts w:hint="eastAsia" w:ascii="宋体" w:hAnsi="宋体" w:eastAsia="宋体" w:cs="宋体"/>
          <w:b/>
          <w:sz w:val="21"/>
          <w:szCs w:val="21"/>
          <w:highlight w:val="none"/>
        </w:rPr>
        <w:t>公章）：</w:t>
      </w:r>
      <w:r>
        <w:rPr>
          <w:rFonts w:hint="eastAsia" w:ascii="宋体" w:hAnsi="宋体" w:eastAsia="宋体" w:cs="宋体"/>
          <w:b/>
          <w:sz w:val="21"/>
          <w:szCs w:val="21"/>
          <w:highlight w:val="none"/>
          <w:u w:val="single"/>
        </w:rPr>
        <w:t xml:space="preserve">               </w:t>
      </w:r>
    </w:p>
    <w:p w14:paraId="55454F7F">
      <w:pPr>
        <w:spacing w:line="360" w:lineRule="auto"/>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签署日期：</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日</w:t>
      </w:r>
    </w:p>
    <w:p w14:paraId="0B409C58">
      <w:pPr>
        <w:spacing w:line="360" w:lineRule="auto"/>
        <w:rPr>
          <w:rFonts w:hint="eastAsia" w:ascii="宋体" w:hAnsi="宋体" w:eastAsia="宋体" w:cs="宋体"/>
          <w:b/>
          <w:color w:val="000000"/>
          <w:sz w:val="21"/>
          <w:szCs w:val="21"/>
          <w:highlight w:val="none"/>
          <w:lang w:val="en-US" w:eastAsia="zh-CN"/>
        </w:rPr>
      </w:pPr>
      <w:r>
        <w:rPr>
          <w:rFonts w:hint="eastAsia" w:ascii="宋体" w:hAnsi="宋体" w:eastAsia="宋体" w:cs="宋体"/>
          <w:sz w:val="21"/>
          <w:szCs w:val="21"/>
          <w:highlight w:val="none"/>
        </w:rPr>
        <w:br w:type="page"/>
      </w: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3</w:t>
      </w:r>
    </w:p>
    <w:p w14:paraId="3EDD3E08">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供应商基本情况表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748"/>
        <w:gridCol w:w="378"/>
        <w:gridCol w:w="788"/>
        <w:gridCol w:w="1369"/>
        <w:gridCol w:w="1175"/>
        <w:gridCol w:w="847"/>
        <w:gridCol w:w="1958"/>
      </w:tblGrid>
      <w:tr w14:paraId="5570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816" w:type="dxa"/>
            <w:noWrap w:val="0"/>
            <w:vAlign w:val="center"/>
          </w:tcPr>
          <w:p w14:paraId="187AB84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7263" w:type="dxa"/>
            <w:gridSpan w:val="7"/>
            <w:noWrap w:val="0"/>
            <w:vAlign w:val="center"/>
          </w:tcPr>
          <w:p w14:paraId="4DC2B322">
            <w:pPr>
              <w:spacing w:line="360" w:lineRule="auto"/>
              <w:jc w:val="center"/>
              <w:rPr>
                <w:rFonts w:hint="eastAsia" w:ascii="宋体" w:hAnsi="宋体" w:eastAsia="宋体" w:cs="宋体"/>
                <w:sz w:val="21"/>
                <w:szCs w:val="21"/>
              </w:rPr>
            </w:pPr>
          </w:p>
        </w:tc>
      </w:tr>
      <w:tr w14:paraId="5AFD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816" w:type="dxa"/>
            <w:noWrap w:val="0"/>
            <w:vAlign w:val="center"/>
          </w:tcPr>
          <w:p w14:paraId="03CAE1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283" w:type="dxa"/>
            <w:gridSpan w:val="4"/>
            <w:noWrap w:val="0"/>
            <w:vAlign w:val="center"/>
          </w:tcPr>
          <w:p w14:paraId="7BFC546C">
            <w:pPr>
              <w:spacing w:line="360" w:lineRule="auto"/>
              <w:jc w:val="center"/>
              <w:rPr>
                <w:rFonts w:hint="eastAsia" w:ascii="宋体" w:hAnsi="宋体" w:eastAsia="宋体" w:cs="宋体"/>
                <w:sz w:val="21"/>
                <w:szCs w:val="21"/>
              </w:rPr>
            </w:pPr>
          </w:p>
        </w:tc>
        <w:tc>
          <w:tcPr>
            <w:tcW w:w="2022" w:type="dxa"/>
            <w:gridSpan w:val="2"/>
            <w:noWrap w:val="0"/>
            <w:vAlign w:val="center"/>
          </w:tcPr>
          <w:p w14:paraId="536A8C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958" w:type="dxa"/>
            <w:noWrap w:val="0"/>
            <w:vAlign w:val="center"/>
          </w:tcPr>
          <w:p w14:paraId="0B1C9684">
            <w:pPr>
              <w:spacing w:line="360" w:lineRule="auto"/>
              <w:jc w:val="center"/>
              <w:rPr>
                <w:rFonts w:hint="eastAsia" w:ascii="宋体" w:hAnsi="宋体" w:eastAsia="宋体" w:cs="宋体"/>
                <w:sz w:val="21"/>
                <w:szCs w:val="21"/>
              </w:rPr>
            </w:pPr>
          </w:p>
        </w:tc>
      </w:tr>
      <w:tr w14:paraId="182F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816" w:type="dxa"/>
            <w:vMerge w:val="restart"/>
            <w:noWrap w:val="0"/>
            <w:vAlign w:val="center"/>
          </w:tcPr>
          <w:p w14:paraId="2C0502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1126" w:type="dxa"/>
            <w:gridSpan w:val="2"/>
            <w:noWrap w:val="0"/>
            <w:vAlign w:val="center"/>
          </w:tcPr>
          <w:p w14:paraId="5E72900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157" w:type="dxa"/>
            <w:gridSpan w:val="2"/>
            <w:noWrap w:val="0"/>
            <w:vAlign w:val="center"/>
          </w:tcPr>
          <w:p w14:paraId="2963C356">
            <w:pPr>
              <w:spacing w:line="360" w:lineRule="auto"/>
              <w:jc w:val="center"/>
              <w:rPr>
                <w:rFonts w:hint="eastAsia" w:ascii="宋体" w:hAnsi="宋体" w:eastAsia="宋体" w:cs="宋体"/>
                <w:sz w:val="21"/>
                <w:szCs w:val="21"/>
              </w:rPr>
            </w:pPr>
          </w:p>
        </w:tc>
        <w:tc>
          <w:tcPr>
            <w:tcW w:w="2022" w:type="dxa"/>
            <w:gridSpan w:val="2"/>
            <w:noWrap w:val="0"/>
            <w:vAlign w:val="center"/>
          </w:tcPr>
          <w:p w14:paraId="4C69DA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958" w:type="dxa"/>
            <w:noWrap w:val="0"/>
            <w:vAlign w:val="center"/>
          </w:tcPr>
          <w:p w14:paraId="280A0691">
            <w:pPr>
              <w:spacing w:line="360" w:lineRule="auto"/>
              <w:jc w:val="center"/>
              <w:rPr>
                <w:rFonts w:hint="eastAsia" w:ascii="宋体" w:hAnsi="宋体" w:eastAsia="宋体" w:cs="宋体"/>
                <w:sz w:val="21"/>
                <w:szCs w:val="21"/>
              </w:rPr>
            </w:pPr>
          </w:p>
        </w:tc>
      </w:tr>
      <w:tr w14:paraId="2A07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16" w:type="dxa"/>
            <w:vMerge w:val="continue"/>
            <w:noWrap w:val="0"/>
            <w:vAlign w:val="center"/>
          </w:tcPr>
          <w:p w14:paraId="3B060B4A">
            <w:pPr>
              <w:spacing w:line="360" w:lineRule="auto"/>
              <w:jc w:val="center"/>
              <w:rPr>
                <w:rFonts w:hint="eastAsia" w:ascii="宋体" w:hAnsi="宋体" w:eastAsia="宋体" w:cs="宋体"/>
                <w:sz w:val="21"/>
                <w:szCs w:val="21"/>
              </w:rPr>
            </w:pPr>
          </w:p>
        </w:tc>
        <w:tc>
          <w:tcPr>
            <w:tcW w:w="1126" w:type="dxa"/>
            <w:gridSpan w:val="2"/>
            <w:noWrap w:val="0"/>
            <w:vAlign w:val="center"/>
          </w:tcPr>
          <w:p w14:paraId="28E5490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传真</w:t>
            </w:r>
          </w:p>
        </w:tc>
        <w:tc>
          <w:tcPr>
            <w:tcW w:w="2157" w:type="dxa"/>
            <w:gridSpan w:val="2"/>
            <w:noWrap w:val="0"/>
            <w:vAlign w:val="center"/>
          </w:tcPr>
          <w:p w14:paraId="61DC2470">
            <w:pPr>
              <w:spacing w:line="360" w:lineRule="auto"/>
              <w:jc w:val="center"/>
              <w:rPr>
                <w:rFonts w:hint="eastAsia" w:ascii="宋体" w:hAnsi="宋体" w:eastAsia="宋体" w:cs="宋体"/>
                <w:sz w:val="21"/>
                <w:szCs w:val="21"/>
              </w:rPr>
            </w:pPr>
          </w:p>
        </w:tc>
        <w:tc>
          <w:tcPr>
            <w:tcW w:w="2022" w:type="dxa"/>
            <w:gridSpan w:val="2"/>
            <w:noWrap w:val="0"/>
            <w:vAlign w:val="center"/>
          </w:tcPr>
          <w:p w14:paraId="2C812E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网址</w:t>
            </w:r>
          </w:p>
        </w:tc>
        <w:tc>
          <w:tcPr>
            <w:tcW w:w="1958" w:type="dxa"/>
            <w:noWrap w:val="0"/>
            <w:vAlign w:val="center"/>
          </w:tcPr>
          <w:p w14:paraId="369B3061">
            <w:pPr>
              <w:spacing w:line="360" w:lineRule="auto"/>
              <w:jc w:val="center"/>
              <w:rPr>
                <w:rFonts w:hint="eastAsia" w:ascii="宋体" w:hAnsi="宋体" w:eastAsia="宋体" w:cs="宋体"/>
                <w:sz w:val="21"/>
                <w:szCs w:val="21"/>
              </w:rPr>
            </w:pPr>
          </w:p>
        </w:tc>
      </w:tr>
      <w:tr w14:paraId="435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16" w:type="dxa"/>
            <w:noWrap w:val="0"/>
            <w:vAlign w:val="center"/>
          </w:tcPr>
          <w:p w14:paraId="029215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748" w:type="dxa"/>
            <w:noWrap w:val="0"/>
            <w:vAlign w:val="center"/>
          </w:tcPr>
          <w:p w14:paraId="660F8E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66" w:type="dxa"/>
            <w:gridSpan w:val="2"/>
            <w:noWrap w:val="0"/>
            <w:vAlign w:val="center"/>
          </w:tcPr>
          <w:p w14:paraId="53161EEA">
            <w:pPr>
              <w:spacing w:line="360" w:lineRule="auto"/>
              <w:jc w:val="center"/>
              <w:rPr>
                <w:rFonts w:hint="eastAsia" w:ascii="宋体" w:hAnsi="宋体" w:eastAsia="宋体" w:cs="宋体"/>
                <w:sz w:val="21"/>
                <w:szCs w:val="21"/>
              </w:rPr>
            </w:pPr>
          </w:p>
        </w:tc>
        <w:tc>
          <w:tcPr>
            <w:tcW w:w="1369" w:type="dxa"/>
            <w:noWrap w:val="0"/>
            <w:vAlign w:val="center"/>
          </w:tcPr>
          <w:p w14:paraId="12E4268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175" w:type="dxa"/>
            <w:noWrap w:val="0"/>
            <w:vAlign w:val="center"/>
          </w:tcPr>
          <w:p w14:paraId="31D0C443">
            <w:pPr>
              <w:spacing w:line="360" w:lineRule="auto"/>
              <w:jc w:val="center"/>
              <w:rPr>
                <w:rFonts w:hint="eastAsia" w:ascii="宋体" w:hAnsi="宋体" w:eastAsia="宋体" w:cs="宋体"/>
                <w:sz w:val="21"/>
                <w:szCs w:val="21"/>
              </w:rPr>
            </w:pPr>
          </w:p>
        </w:tc>
        <w:tc>
          <w:tcPr>
            <w:tcW w:w="847" w:type="dxa"/>
            <w:noWrap w:val="0"/>
            <w:vAlign w:val="center"/>
          </w:tcPr>
          <w:p w14:paraId="211FF2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w:t>
            </w:r>
          </w:p>
        </w:tc>
        <w:tc>
          <w:tcPr>
            <w:tcW w:w="1958" w:type="dxa"/>
            <w:noWrap w:val="0"/>
            <w:vAlign w:val="center"/>
          </w:tcPr>
          <w:p w14:paraId="0E37700B">
            <w:pPr>
              <w:spacing w:line="360" w:lineRule="auto"/>
              <w:jc w:val="center"/>
              <w:rPr>
                <w:rFonts w:hint="eastAsia" w:ascii="宋体" w:hAnsi="宋体" w:eastAsia="宋体" w:cs="宋体"/>
                <w:sz w:val="21"/>
                <w:szCs w:val="21"/>
              </w:rPr>
            </w:pPr>
          </w:p>
        </w:tc>
      </w:tr>
      <w:tr w14:paraId="223D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564" w:type="dxa"/>
            <w:gridSpan w:val="2"/>
            <w:noWrap w:val="0"/>
            <w:vAlign w:val="center"/>
          </w:tcPr>
          <w:p w14:paraId="53D87ED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535" w:type="dxa"/>
            <w:gridSpan w:val="3"/>
            <w:noWrap w:val="0"/>
            <w:vAlign w:val="center"/>
          </w:tcPr>
          <w:p w14:paraId="7804541A">
            <w:pPr>
              <w:spacing w:line="360" w:lineRule="auto"/>
              <w:jc w:val="center"/>
              <w:rPr>
                <w:rFonts w:hint="eastAsia" w:ascii="宋体" w:hAnsi="宋体" w:eastAsia="宋体" w:cs="宋体"/>
                <w:sz w:val="21"/>
                <w:szCs w:val="21"/>
              </w:rPr>
            </w:pPr>
          </w:p>
        </w:tc>
        <w:tc>
          <w:tcPr>
            <w:tcW w:w="2022" w:type="dxa"/>
            <w:gridSpan w:val="2"/>
            <w:noWrap w:val="0"/>
            <w:vAlign w:val="center"/>
          </w:tcPr>
          <w:p w14:paraId="618D8F1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员工总人数：</w:t>
            </w:r>
          </w:p>
        </w:tc>
        <w:tc>
          <w:tcPr>
            <w:tcW w:w="1958" w:type="dxa"/>
            <w:noWrap w:val="0"/>
            <w:vAlign w:val="center"/>
          </w:tcPr>
          <w:p w14:paraId="266006CF">
            <w:pPr>
              <w:spacing w:line="360" w:lineRule="auto"/>
              <w:jc w:val="center"/>
              <w:rPr>
                <w:rFonts w:hint="eastAsia" w:ascii="宋体" w:hAnsi="宋体" w:eastAsia="宋体" w:cs="宋体"/>
                <w:sz w:val="21"/>
                <w:szCs w:val="21"/>
              </w:rPr>
            </w:pPr>
          </w:p>
        </w:tc>
      </w:tr>
      <w:tr w14:paraId="650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564" w:type="dxa"/>
            <w:gridSpan w:val="2"/>
            <w:noWrap w:val="0"/>
            <w:vAlign w:val="center"/>
          </w:tcPr>
          <w:p w14:paraId="1C4783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6515" w:type="dxa"/>
            <w:gridSpan w:val="6"/>
            <w:noWrap w:val="0"/>
            <w:vAlign w:val="center"/>
          </w:tcPr>
          <w:p w14:paraId="5C933B57">
            <w:pPr>
              <w:spacing w:line="360" w:lineRule="auto"/>
              <w:jc w:val="center"/>
              <w:rPr>
                <w:rFonts w:hint="eastAsia" w:ascii="宋体" w:hAnsi="宋体" w:eastAsia="宋体" w:cs="宋体"/>
                <w:sz w:val="21"/>
                <w:szCs w:val="21"/>
              </w:rPr>
            </w:pPr>
          </w:p>
        </w:tc>
      </w:tr>
      <w:tr w14:paraId="5FC3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trPr>
        <w:tc>
          <w:tcPr>
            <w:tcW w:w="2564" w:type="dxa"/>
            <w:gridSpan w:val="2"/>
            <w:noWrap w:val="0"/>
            <w:vAlign w:val="center"/>
          </w:tcPr>
          <w:p w14:paraId="6FAAC7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6515" w:type="dxa"/>
            <w:gridSpan w:val="6"/>
            <w:noWrap w:val="0"/>
            <w:vAlign w:val="center"/>
          </w:tcPr>
          <w:p w14:paraId="1149E8FF">
            <w:pPr>
              <w:spacing w:line="360" w:lineRule="auto"/>
              <w:jc w:val="center"/>
              <w:rPr>
                <w:rFonts w:hint="eastAsia" w:ascii="宋体" w:hAnsi="宋体" w:eastAsia="宋体" w:cs="宋体"/>
                <w:sz w:val="21"/>
                <w:szCs w:val="21"/>
              </w:rPr>
            </w:pPr>
          </w:p>
        </w:tc>
      </w:tr>
      <w:tr w14:paraId="115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564" w:type="dxa"/>
            <w:gridSpan w:val="2"/>
            <w:noWrap w:val="0"/>
            <w:vAlign w:val="center"/>
          </w:tcPr>
          <w:p w14:paraId="76E2BB6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6515" w:type="dxa"/>
            <w:gridSpan w:val="6"/>
            <w:noWrap w:val="0"/>
            <w:vAlign w:val="center"/>
          </w:tcPr>
          <w:p w14:paraId="498B7F0D">
            <w:pPr>
              <w:spacing w:line="360" w:lineRule="auto"/>
              <w:jc w:val="center"/>
              <w:rPr>
                <w:rFonts w:hint="eastAsia" w:ascii="宋体" w:hAnsi="宋体" w:eastAsia="宋体" w:cs="宋体"/>
                <w:sz w:val="21"/>
                <w:szCs w:val="21"/>
              </w:rPr>
            </w:pPr>
          </w:p>
        </w:tc>
      </w:tr>
      <w:tr w14:paraId="7F3D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564" w:type="dxa"/>
            <w:gridSpan w:val="2"/>
            <w:noWrap w:val="0"/>
            <w:vAlign w:val="center"/>
          </w:tcPr>
          <w:p w14:paraId="5D8A8A1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账号</w:t>
            </w:r>
          </w:p>
        </w:tc>
        <w:tc>
          <w:tcPr>
            <w:tcW w:w="6515" w:type="dxa"/>
            <w:gridSpan w:val="6"/>
            <w:noWrap w:val="0"/>
            <w:vAlign w:val="center"/>
          </w:tcPr>
          <w:p w14:paraId="4E4F8298">
            <w:pPr>
              <w:spacing w:line="360" w:lineRule="auto"/>
              <w:jc w:val="center"/>
              <w:rPr>
                <w:rFonts w:hint="eastAsia" w:ascii="宋体" w:hAnsi="宋体" w:eastAsia="宋体" w:cs="宋体"/>
                <w:sz w:val="21"/>
                <w:szCs w:val="21"/>
              </w:rPr>
            </w:pPr>
          </w:p>
        </w:tc>
      </w:tr>
      <w:tr w14:paraId="3726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564" w:type="dxa"/>
            <w:gridSpan w:val="2"/>
            <w:noWrap w:val="0"/>
            <w:vAlign w:val="center"/>
          </w:tcPr>
          <w:p w14:paraId="20FE52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6515" w:type="dxa"/>
            <w:gridSpan w:val="6"/>
            <w:noWrap w:val="0"/>
            <w:vAlign w:val="center"/>
          </w:tcPr>
          <w:p w14:paraId="49A94140">
            <w:pPr>
              <w:spacing w:line="360" w:lineRule="auto"/>
              <w:jc w:val="center"/>
              <w:rPr>
                <w:rFonts w:hint="eastAsia" w:ascii="宋体" w:hAnsi="宋体" w:eastAsia="宋体" w:cs="宋体"/>
                <w:sz w:val="21"/>
                <w:szCs w:val="21"/>
              </w:rPr>
            </w:pPr>
          </w:p>
        </w:tc>
      </w:tr>
      <w:tr w14:paraId="3F0D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2564" w:type="dxa"/>
            <w:gridSpan w:val="2"/>
            <w:noWrap w:val="0"/>
            <w:vAlign w:val="center"/>
          </w:tcPr>
          <w:p w14:paraId="691F07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c>
          <w:tcPr>
            <w:tcW w:w="6515" w:type="dxa"/>
            <w:gridSpan w:val="6"/>
            <w:noWrap w:val="0"/>
            <w:vAlign w:val="center"/>
          </w:tcPr>
          <w:p w14:paraId="0D27B505">
            <w:pPr>
              <w:spacing w:line="360" w:lineRule="auto"/>
              <w:jc w:val="center"/>
              <w:rPr>
                <w:rFonts w:hint="eastAsia" w:ascii="宋体" w:hAnsi="宋体" w:eastAsia="宋体" w:cs="宋体"/>
                <w:sz w:val="21"/>
                <w:szCs w:val="21"/>
              </w:rPr>
            </w:pPr>
          </w:p>
        </w:tc>
      </w:tr>
    </w:tbl>
    <w:p w14:paraId="194E9EAA">
      <w:pPr>
        <w:pStyle w:val="2"/>
        <w:rPr>
          <w:rFonts w:hint="eastAsia"/>
          <w:lang w:val="en-US" w:eastAsia="zh-CN"/>
        </w:rPr>
      </w:pPr>
    </w:p>
    <w:p w14:paraId="48A8D6D3">
      <w:pPr>
        <w:spacing w:line="360" w:lineRule="auto"/>
        <w:rPr>
          <w:rFonts w:hint="eastAsia" w:ascii="宋体" w:hAnsi="宋体" w:eastAsia="宋体" w:cs="宋体"/>
          <w:b/>
          <w:color w:val="000000"/>
          <w:sz w:val="21"/>
          <w:szCs w:val="21"/>
          <w:highlight w:val="none"/>
        </w:rPr>
        <w:sectPr>
          <w:pgSz w:w="11906" w:h="16838"/>
          <w:pgMar w:top="2155" w:right="1418" w:bottom="2041" w:left="1531" w:header="851" w:footer="992" w:gutter="0"/>
          <w:pgNumType w:fmt="decimal"/>
          <w:cols w:space="720" w:num="1"/>
          <w:docGrid w:linePitch="312" w:charSpace="0"/>
        </w:sectPr>
      </w:pPr>
    </w:p>
    <w:p w14:paraId="019791DD">
      <w:pPr>
        <w:spacing w:line="360" w:lineRule="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4</w:t>
      </w:r>
    </w:p>
    <w:p w14:paraId="03B6A1A6">
      <w:pPr>
        <w:keepNext w:val="0"/>
        <w:keepLines w:val="0"/>
        <w:pageBreakBefore w:val="0"/>
        <w:widowControl w:val="0"/>
        <w:kinsoku/>
        <w:wordWrap/>
        <w:overflowPunct/>
        <w:topLinePunct w:val="0"/>
        <w:autoSpaceDE/>
        <w:autoSpaceDN/>
        <w:bidi w:val="0"/>
        <w:adjustRightInd/>
        <w:spacing w:before="120" w:after="120" w:line="500" w:lineRule="exact"/>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特定资格要求</w:t>
      </w:r>
    </w:p>
    <w:p w14:paraId="5188A82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具有独立承担民事责任的能力。■提供营业执照或事业单位法人证书或其他相应业务或经营范围登记证照，■提供税务登记证（三证合一的只需提供三证合一的营业执照）。</w:t>
      </w:r>
    </w:p>
    <w:p w14:paraId="76FDDFDF">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具有良好的商业信誉和健全的财务会计制度。■提供银行出具的近1年内资信证明（法人为基本开户行）或2022年度以来（任意一年）经审计的财务报告。</w:t>
      </w:r>
    </w:p>
    <w:p w14:paraId="36938B4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具有履行合同所必需的设备和专业技术能力。■提供相关设备或设施的购置发票或单据（任一）；■提供本单位人员的船员证（任一人）。</w:t>
      </w:r>
    </w:p>
    <w:p w14:paraId="75856E1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14:paraId="656225F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参加政府采购活动前三年内，在经营活动中没有重大违法记录。■提供供应商书面声明；供应商自行承诺并承担后果，声明函不实的，按《政府采购法》有关提供虚假材料的规定给予处罚。</w:t>
      </w:r>
    </w:p>
    <w:p w14:paraId="27AC7BC6">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 xml:space="preserve">法律、行政法规规定的其他条件。■提供供应商书面声明；供应商自行承诺并承担后果，声明函不实的，按《政府采购法》有关提供虚假材料的规定给予处罚。 </w:t>
      </w:r>
    </w:p>
    <w:p w14:paraId="31C29A3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根据《关于在政府采购活动中查询及使用信用记录有关问题的通知》（财库【2016】125 号）的规定，对列入“失信被执行人（中国执行信息公开网）”、重大税收违法失信主体、政府采购严重违法失信行为记录名单 的响应人，拒绝参与本项目政府采购活动；【查询渠道 ： “ 信 用 中 国 ” 网 站 （ www.creditchina.gov.cn ） 、 中国政府采购网（www.ccgp.gov.cn）】；</w:t>
      </w:r>
    </w:p>
    <w:p w14:paraId="2486366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单位负责人为同一人或者存在直接控股、管理关系的不同供应商，不得参加本合同项下的政府采购活动。供应商自行承诺并承担后果，声明函不实的，按《政府采购法》有关提供虚假材料的有关规定给予处罚。■提供供应商书面声明。</w:t>
      </w:r>
    </w:p>
    <w:p w14:paraId="0469B772">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为本招标项目提供整体设计、规范编制或者项目管理、监理、检测等服务的供应商，不得再参加本招标项目。供应商自行承诺并承担后果，声明函不实的，按《政府采购法》有关提供虚假材料的有关规定给予处罚。■提供供应商书面声明。</w:t>
      </w:r>
    </w:p>
    <w:p w14:paraId="17D52AE5">
      <w:pPr>
        <w:pStyle w:val="2"/>
        <w:rPr>
          <w:rFonts w:hint="default"/>
          <w:lang w:val="en-US" w:eastAsia="zh-CN"/>
        </w:rPr>
      </w:pPr>
      <w:r>
        <w:rPr>
          <w:rFonts w:hint="eastAsia" w:ascii="宋体" w:hAnsi="宋体" w:eastAsia="宋体" w:cs="宋体"/>
          <w:bCs/>
          <w:kern w:val="0"/>
          <w:sz w:val="21"/>
          <w:szCs w:val="21"/>
          <w:highlight w:val="none"/>
          <w:lang w:val="en-US" w:eastAsia="zh-CN"/>
        </w:rPr>
        <w:t>上述材料格式自拟，但承诺书、书面声明、相关材料复印件均需加盖公章。</w:t>
      </w:r>
    </w:p>
    <w:p w14:paraId="79AFC0A8">
      <w:pPr>
        <w:spacing w:line="360" w:lineRule="auto"/>
        <w:rPr>
          <w:rFonts w:hint="eastAsia" w:ascii="宋体" w:hAnsi="宋体" w:eastAsia="宋体" w:cs="宋体"/>
          <w:b/>
          <w:color w:val="000000"/>
          <w:sz w:val="21"/>
          <w:szCs w:val="21"/>
          <w:highlight w:val="none"/>
          <w:lang w:val="en-US" w:eastAsia="zh-CN"/>
        </w:rPr>
        <w:sectPr>
          <w:pgSz w:w="11906" w:h="16838"/>
          <w:pgMar w:top="2155" w:right="1418" w:bottom="2041" w:left="1531" w:header="851" w:footer="992" w:gutter="0"/>
          <w:pgNumType w:fmt="decimal"/>
          <w:cols w:space="720" w:num="1"/>
          <w:docGrid w:linePitch="312" w:charSpace="0"/>
        </w:sectPr>
      </w:pPr>
    </w:p>
    <w:p w14:paraId="0D1DE9D3">
      <w:pPr>
        <w:pStyle w:val="4"/>
        <w:rPr>
          <w:rFonts w:hint="eastAsia"/>
          <w:lang w:val="en-US" w:eastAsia="zh-CN"/>
        </w:rPr>
      </w:pPr>
    </w:p>
    <w:p w14:paraId="7CFA9F5D">
      <w:pPr>
        <w:spacing w:line="360" w:lineRule="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5</w:t>
      </w:r>
    </w:p>
    <w:p w14:paraId="7EC5139F">
      <w:pPr>
        <w:jc w:val="center"/>
        <w:outlineLvl w:val="1"/>
        <w:rPr>
          <w:rFonts w:ascii="宋体" w:hAnsi="宋体" w:eastAsia="宋体" w:cs="宋体"/>
          <w:color w:val="auto"/>
          <w:sz w:val="32"/>
          <w:szCs w:val="32"/>
          <w:highlight w:val="none"/>
        </w:rPr>
      </w:pPr>
      <w:bookmarkStart w:id="527" w:name="_Toc9963"/>
      <w:bookmarkStart w:id="528" w:name="_Toc18807"/>
      <w:r>
        <w:rPr>
          <w:rFonts w:hint="eastAsia" w:ascii="宋体" w:hAnsi="宋体" w:eastAsia="宋体" w:cs="宋体"/>
          <w:b/>
          <w:color w:val="auto"/>
          <w:sz w:val="32"/>
          <w:szCs w:val="32"/>
          <w:highlight w:val="none"/>
        </w:rPr>
        <w:t>投标保证金承诺函</w:t>
      </w:r>
      <w:bookmarkEnd w:id="527"/>
      <w:bookmarkEnd w:id="528"/>
    </w:p>
    <w:p w14:paraId="79D2343F">
      <w:pPr>
        <w:keepNext w:val="0"/>
        <w:keepLines w:val="0"/>
        <w:pageBreakBefore w:val="0"/>
        <w:widowControl w:val="0"/>
        <w:tabs>
          <w:tab w:val="left" w:pos="9365"/>
        </w:tabs>
        <w:kinsoku/>
        <w:wordWrap/>
        <w:overflowPunct/>
        <w:topLinePunct w:val="0"/>
        <w:autoSpaceDE/>
        <w:autoSpaceDN/>
        <w:bidi w:val="0"/>
        <w:adjustRightInd/>
        <w:snapToGrid/>
        <w:spacing w:line="360" w:lineRule="auto"/>
        <w:ind w:right="0"/>
        <w:jc w:val="left"/>
        <w:textAlignment w:val="top"/>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11"/>
          <w:sz w:val="21"/>
          <w:szCs w:val="21"/>
          <w:u w:val="single"/>
        </w:rPr>
        <w:t xml:space="preserve">(采购人名称） </w:t>
      </w:r>
    </w:p>
    <w:p w14:paraId="7F61A0A9">
      <w:pPr>
        <w:keepNext w:val="0"/>
        <w:keepLines w:val="0"/>
        <w:pageBreakBefore w:val="0"/>
        <w:widowControl w:val="0"/>
        <w:tabs>
          <w:tab w:val="left" w:pos="65"/>
        </w:tabs>
        <w:kinsoku/>
        <w:wordWrap/>
        <w:overflowPunct/>
        <w:topLinePunct w:val="0"/>
        <w:autoSpaceDE/>
        <w:autoSpaceDN/>
        <w:bidi w:val="0"/>
        <w:adjustRightInd/>
        <w:snapToGrid/>
        <w:spacing w:line="460" w:lineRule="atLeast"/>
        <w:ind w:righ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在项目编号为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val="en-US" w:eastAsia="zh-CN"/>
        </w:rPr>
        <w:t>的</w:t>
      </w:r>
      <w:r>
        <w:rPr>
          <w:rFonts w:hint="eastAsia" w:ascii="宋体" w:hAnsi="宋体" w:eastAsia="宋体" w:cs="宋体"/>
          <w:color w:val="auto"/>
          <w:sz w:val="21"/>
          <w:szCs w:val="21"/>
          <w:u w:val="single"/>
        </w:rPr>
        <w:t xml:space="preserve">（项目名称）  </w:t>
      </w:r>
      <w:r>
        <w:rPr>
          <w:rFonts w:hint="eastAsia" w:ascii="宋体" w:hAnsi="宋体" w:eastAsia="宋体" w:cs="宋体"/>
          <w:color w:val="auto"/>
          <w:sz w:val="21"/>
          <w:szCs w:val="21"/>
        </w:rPr>
        <w:t>采购活动中，我单位承诺：</w:t>
      </w:r>
    </w:p>
    <w:p w14:paraId="1ED1B379">
      <w:pPr>
        <w:keepNext w:val="0"/>
        <w:keepLines w:val="0"/>
        <w:pageBreakBefore w:val="0"/>
        <w:widowControl w:val="0"/>
        <w:tabs>
          <w:tab w:val="left" w:pos="65"/>
        </w:tabs>
        <w:kinsoku/>
        <w:wordWrap/>
        <w:overflowPunct/>
        <w:topLinePunct w:val="0"/>
        <w:autoSpaceDE/>
        <w:autoSpaceDN/>
        <w:bidi w:val="0"/>
        <w:adjustRightInd/>
        <w:snapToGrid/>
        <w:spacing w:line="460" w:lineRule="atLeas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一、遵循公开、公平、公正和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"http://www.so.com/s?q=%E8%AF%9A%E5%AE%9E%E4%BF%A1%E7%94%A8&amp;ie=utf-8&amp;src=internal_wenda_recommend_textn" \t "https://wenda.so.com/q/_blank" </w:instrText>
      </w:r>
      <w:r>
        <w:rPr>
          <w:rFonts w:hint="eastAsia" w:ascii="宋体" w:hAnsi="宋体" w:eastAsia="宋体" w:cs="宋体"/>
          <w:sz w:val="21"/>
          <w:szCs w:val="21"/>
        </w:rPr>
        <w:fldChar w:fldCharType="separate"/>
      </w:r>
      <w:r>
        <w:rPr>
          <w:rFonts w:hint="eastAsia" w:ascii="宋体" w:hAnsi="宋体" w:eastAsia="宋体" w:cs="宋体"/>
          <w:color w:val="auto"/>
          <w:sz w:val="21"/>
          <w:szCs w:val="21"/>
        </w:rPr>
        <w:t>诚实信用</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的原则自愿参加本项目投标；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二、在政府采购活动中提供真实、准确、有效、合法的材料，不</w:t>
      </w:r>
      <w:r>
        <w:rPr>
          <w:rFonts w:hint="eastAsia" w:ascii="宋体" w:hAnsi="宋体" w:eastAsia="宋体" w:cs="宋体"/>
          <w:color w:val="auto"/>
          <w:sz w:val="21"/>
          <w:szCs w:val="21"/>
          <w:lang w:val="zh-CN"/>
        </w:rPr>
        <w:t>提供虚假材料；</w:t>
      </w:r>
    </w:p>
    <w:p w14:paraId="792F6FDC">
      <w:pPr>
        <w:keepNext w:val="0"/>
        <w:keepLines w:val="0"/>
        <w:pageBreakBefore w:val="0"/>
        <w:widowControl w:val="0"/>
        <w:tabs>
          <w:tab w:val="left" w:pos="65"/>
        </w:tabs>
        <w:kinsoku/>
        <w:wordWrap/>
        <w:overflowPunct/>
        <w:topLinePunct w:val="0"/>
        <w:autoSpaceDE/>
        <w:autoSpaceDN/>
        <w:bidi w:val="0"/>
        <w:adjustRightInd/>
        <w:snapToGrid/>
        <w:spacing w:line="460" w:lineRule="atLeast"/>
        <w:ind w:righ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三、</w:t>
      </w:r>
      <w:r>
        <w:rPr>
          <w:rFonts w:hint="eastAsia" w:ascii="宋体" w:hAnsi="宋体" w:eastAsia="宋体" w:cs="宋体"/>
          <w:color w:val="auto"/>
          <w:sz w:val="21"/>
          <w:szCs w:val="21"/>
          <w:lang w:val="zh-CN"/>
        </w:rPr>
        <w:t>按照</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文件规定，在提交响应文件截止时间后，在</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文件规定的投标有效期限内不撤回响应文件；</w:t>
      </w:r>
    </w:p>
    <w:p w14:paraId="4448D186">
      <w:pPr>
        <w:widowControl w:val="0"/>
        <w:tabs>
          <w:tab w:val="left" w:pos="65"/>
        </w:tabs>
        <w:spacing w:line="460" w:lineRule="atLeas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四、不</w:t>
      </w:r>
      <w:r>
        <w:rPr>
          <w:rFonts w:hint="eastAsia" w:ascii="宋体" w:hAnsi="宋体" w:eastAsia="宋体" w:cs="宋体"/>
          <w:color w:val="auto"/>
          <w:sz w:val="21"/>
          <w:szCs w:val="21"/>
          <w:lang w:val="zh-CN"/>
        </w:rPr>
        <w:t>与其他供应商、采购人或采购代理机构串通或恶意串通。</w:t>
      </w:r>
    </w:p>
    <w:p w14:paraId="68E4B977">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五、如我单位中标，</w:t>
      </w:r>
      <w:r>
        <w:rPr>
          <w:rFonts w:hint="eastAsia" w:ascii="宋体" w:hAnsi="宋体" w:eastAsia="宋体" w:cs="宋体"/>
          <w:color w:val="auto"/>
          <w:sz w:val="21"/>
          <w:szCs w:val="21"/>
          <w:lang w:val="zh-CN"/>
        </w:rPr>
        <w:t>除不可抗拒力或</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文件认可的情形外</w:t>
      </w:r>
      <w:r>
        <w:rPr>
          <w:rFonts w:hint="eastAsia" w:ascii="宋体" w:hAnsi="宋体" w:eastAsia="宋体" w:cs="宋体"/>
          <w:color w:val="auto"/>
          <w:sz w:val="21"/>
          <w:szCs w:val="21"/>
        </w:rPr>
        <w:t>，我单位承诺及时领取中标通知书，</w:t>
      </w:r>
      <w:r>
        <w:rPr>
          <w:rFonts w:hint="eastAsia" w:ascii="宋体" w:hAnsi="宋体" w:eastAsia="宋体" w:cs="宋体"/>
          <w:color w:val="auto"/>
          <w:sz w:val="21"/>
          <w:szCs w:val="21"/>
          <w:lang w:val="zh-CN"/>
        </w:rPr>
        <w:t>在成交通知书规定时间、地点与采购人签订合同；</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六、</w:t>
      </w:r>
      <w:r>
        <w:rPr>
          <w:rFonts w:hint="eastAsia" w:ascii="宋体" w:hAnsi="宋体" w:eastAsia="宋体" w:cs="宋体"/>
          <w:color w:val="auto"/>
          <w:sz w:val="21"/>
          <w:szCs w:val="21"/>
          <w:lang w:val="zh-CN"/>
        </w:rPr>
        <w:t>遵守法律法规及</w:t>
      </w:r>
      <w:r>
        <w:rPr>
          <w:rFonts w:hint="eastAsia" w:ascii="宋体" w:hAnsi="宋体" w:eastAsia="宋体" w:cs="宋体"/>
          <w:color w:val="auto"/>
          <w:sz w:val="21"/>
          <w:szCs w:val="21"/>
        </w:rPr>
        <w:t>磋商</w:t>
      </w:r>
      <w:r>
        <w:rPr>
          <w:rFonts w:hint="eastAsia" w:ascii="宋体" w:hAnsi="宋体" w:eastAsia="宋体" w:cs="宋体"/>
          <w:color w:val="auto"/>
          <w:sz w:val="21"/>
          <w:szCs w:val="21"/>
          <w:lang w:val="zh-CN"/>
        </w:rPr>
        <w:t>文件规定的其他情况；</w:t>
      </w:r>
    </w:p>
    <w:p w14:paraId="30098E2E">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七、按磋商文件规定及时缴纳中标服务费。</w:t>
      </w:r>
    </w:p>
    <w:p w14:paraId="7B5056C5">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八、违背上述承诺事项的，我单位无条件接受以下责任追究：</w:t>
      </w:r>
    </w:p>
    <w:p w14:paraId="1714279A">
      <w:pPr>
        <w:widowControl w:val="0"/>
        <w:tabs>
          <w:tab w:val="left" w:pos="65"/>
        </w:tabs>
        <w:spacing w:line="460" w:lineRule="atLeas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（一）法定责任：</w:t>
      </w:r>
      <w:r>
        <w:rPr>
          <w:rFonts w:hint="eastAsia" w:ascii="宋体" w:hAnsi="宋体" w:eastAsia="宋体" w:cs="宋体"/>
          <w:color w:val="auto"/>
          <w:sz w:val="21"/>
          <w:szCs w:val="21"/>
        </w:rPr>
        <w:t>按照政府采购相关法规，</w:t>
      </w:r>
      <w:r>
        <w:rPr>
          <w:rFonts w:hint="eastAsia" w:ascii="宋体" w:hAnsi="宋体" w:eastAsia="宋体" w:cs="宋体"/>
          <w:color w:val="auto"/>
          <w:sz w:val="21"/>
          <w:szCs w:val="21"/>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696C32C4">
      <w:pPr>
        <w:widowControl w:val="0"/>
        <w:tabs>
          <w:tab w:val="left" w:pos="65"/>
        </w:tabs>
        <w:spacing w:line="460" w:lineRule="atLeas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给采购人及他人造成损失的，愿承担相应的赔偿责任。</w:t>
      </w:r>
    </w:p>
    <w:p w14:paraId="76B0A592">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（二）违约责任：</w:t>
      </w:r>
      <w:r>
        <w:rPr>
          <w:rFonts w:hint="eastAsia" w:ascii="宋体" w:hAnsi="宋体" w:eastAsia="宋体" w:cs="宋体"/>
          <w:color w:val="auto"/>
          <w:sz w:val="21"/>
          <w:szCs w:val="21"/>
        </w:rPr>
        <w:t xml:space="preserve"> </w:t>
      </w:r>
    </w:p>
    <w:p w14:paraId="56D8CFB9">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1、已中标的，中标（成交）无效；</w:t>
      </w:r>
    </w:p>
    <w:p w14:paraId="224C19EF">
      <w:pPr>
        <w:widowControl w:val="0"/>
        <w:tabs>
          <w:tab w:val="left" w:pos="65"/>
        </w:tabs>
        <w:spacing w:line="4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2、支付采购人违约标的预算金额2%的</w:t>
      </w:r>
      <w:r>
        <w:rPr>
          <w:rFonts w:hint="eastAsia" w:ascii="宋体" w:hAnsi="宋体" w:eastAsia="宋体" w:cs="宋体"/>
          <w:color w:val="auto"/>
          <w:sz w:val="21"/>
          <w:szCs w:val="21"/>
          <w:lang w:val="zh-CN"/>
        </w:rPr>
        <w:t>违约金</w:t>
      </w:r>
      <w:r>
        <w:rPr>
          <w:rFonts w:hint="eastAsia" w:ascii="宋体" w:hAnsi="宋体" w:eastAsia="宋体" w:cs="宋体"/>
          <w:color w:val="auto"/>
          <w:sz w:val="21"/>
          <w:szCs w:val="21"/>
        </w:rPr>
        <w:t>；</w:t>
      </w:r>
    </w:p>
    <w:p w14:paraId="2FBF3980">
      <w:pPr>
        <w:widowControl w:val="0"/>
        <w:tabs>
          <w:tab w:val="left" w:pos="65"/>
        </w:tabs>
        <w:spacing w:line="460" w:lineRule="atLeas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3、中标后未缴中标服务费的，作为违约及违背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"http://www.so.com/s?q=%E8%AF%9A%E5%AE%9E%E4%BF%A1%E7%94%A8&amp;ie=utf-8&amp;src=internal_wenda_recommend_textn" \t "https://wenda.so.com/q/_blank" </w:instrText>
      </w:r>
      <w:r>
        <w:rPr>
          <w:rFonts w:hint="eastAsia" w:ascii="宋体" w:hAnsi="宋体" w:eastAsia="宋体" w:cs="宋体"/>
          <w:sz w:val="21"/>
          <w:szCs w:val="21"/>
        </w:rPr>
        <w:fldChar w:fldCharType="separate"/>
      </w:r>
      <w:r>
        <w:rPr>
          <w:rFonts w:hint="eastAsia" w:ascii="宋体" w:hAnsi="宋体" w:eastAsia="宋体" w:cs="宋体"/>
          <w:color w:val="auto"/>
          <w:sz w:val="21"/>
          <w:szCs w:val="21"/>
        </w:rPr>
        <w:t>诚实信用</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原则，在履行承诺前，代理机构将视我单位为失信企业、不予办理其后相关业务。</w:t>
      </w:r>
    </w:p>
    <w:p w14:paraId="32DEDBC8">
      <w:pPr>
        <w:topLinePunct/>
        <w:snapToGrid w:val="0"/>
        <w:spacing w:line="360" w:lineRule="auto"/>
        <w:ind w:firstLine="452" w:firstLineChars="200"/>
        <w:rPr>
          <w:rFonts w:hint="eastAsia" w:ascii="宋体" w:hAnsi="宋体" w:eastAsia="宋体" w:cs="宋体"/>
          <w:spacing w:val="8"/>
          <w:kern w:val="0"/>
          <w:sz w:val="21"/>
          <w:szCs w:val="21"/>
        </w:rPr>
      </w:pPr>
    </w:p>
    <w:p w14:paraId="50B6EC81">
      <w:pPr>
        <w:topLinePunct/>
        <w:snapToGrid w:val="0"/>
        <w:spacing w:line="360" w:lineRule="auto"/>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       </w:t>
      </w:r>
    </w:p>
    <w:p w14:paraId="0FFE7388">
      <w:pPr>
        <w:topLinePunct/>
        <w:snapToGrid w:val="0"/>
        <w:spacing w:line="360" w:lineRule="auto"/>
        <w:ind w:firstLine="420" w:firstLineChars="200"/>
        <w:rPr>
          <w:rFonts w:hint="eastAsia" w:ascii="宋体" w:hAnsi="宋体" w:eastAsia="宋体" w:cs="宋体"/>
          <w:spacing w:val="8"/>
          <w:kern w:val="0"/>
          <w:sz w:val="21"/>
          <w:szCs w:val="21"/>
        </w:rPr>
      </w:pPr>
      <w:r>
        <w:rPr>
          <w:rFonts w:hint="eastAsia" w:ascii="宋体" w:hAnsi="宋体" w:eastAsia="宋体" w:cs="宋体"/>
          <w:sz w:val="21"/>
          <w:szCs w:val="21"/>
        </w:rPr>
        <w:t>供应商</w:t>
      </w:r>
      <w:r>
        <w:rPr>
          <w:rFonts w:hint="eastAsia" w:ascii="宋体" w:hAnsi="宋体" w:eastAsia="宋体" w:cs="宋体"/>
          <w:spacing w:val="8"/>
          <w:kern w:val="0"/>
          <w:sz w:val="21"/>
          <w:szCs w:val="21"/>
        </w:rPr>
        <w:t>名称：</w:t>
      </w:r>
      <w:r>
        <w:rPr>
          <w:rFonts w:hint="eastAsia" w:ascii="宋体" w:hAnsi="宋体" w:eastAsia="宋体" w:cs="宋体"/>
          <w:spacing w:val="8"/>
          <w:kern w:val="0"/>
          <w:sz w:val="21"/>
          <w:szCs w:val="21"/>
          <w:u w:val="single"/>
        </w:rPr>
        <w:t>               </w:t>
      </w:r>
      <w:r>
        <w:rPr>
          <w:rFonts w:hint="eastAsia" w:ascii="宋体" w:hAnsi="宋体" w:eastAsia="宋体" w:cs="宋体"/>
          <w:spacing w:val="8"/>
          <w:kern w:val="0"/>
          <w:sz w:val="21"/>
          <w:szCs w:val="21"/>
        </w:rPr>
        <w:t>（盖章）</w:t>
      </w:r>
    </w:p>
    <w:p w14:paraId="7B3B1518">
      <w:pPr>
        <w:topLinePunct/>
        <w:snapToGrid w:val="0"/>
        <w:spacing w:line="360" w:lineRule="auto"/>
        <w:ind w:firstLine="452" w:firstLineChars="200"/>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法定代表人或授权代表：</w:t>
      </w:r>
      <w:r>
        <w:rPr>
          <w:rFonts w:hint="eastAsia" w:ascii="宋体" w:hAnsi="宋体" w:eastAsia="宋体" w:cs="宋体"/>
          <w:spacing w:val="8"/>
          <w:kern w:val="0"/>
          <w:sz w:val="21"/>
          <w:szCs w:val="21"/>
          <w:u w:val="single"/>
        </w:rPr>
        <w:t>        </w:t>
      </w:r>
      <w:r>
        <w:rPr>
          <w:rFonts w:hint="eastAsia" w:ascii="宋体" w:hAnsi="宋体" w:eastAsia="宋体" w:cs="宋体"/>
          <w:spacing w:val="8"/>
          <w:kern w:val="0"/>
          <w:sz w:val="21"/>
          <w:szCs w:val="21"/>
        </w:rPr>
        <w:t>（签字或盖章）</w:t>
      </w:r>
    </w:p>
    <w:p w14:paraId="58F1ED31">
      <w:pPr>
        <w:topLinePunct/>
        <w:snapToGrid w:val="0"/>
        <w:spacing w:line="360" w:lineRule="auto"/>
        <w:ind w:firstLine="452" w:firstLineChars="200"/>
        <w:rPr>
          <w:rFonts w:hint="eastAsia" w:ascii="宋体" w:hAnsi="宋体" w:eastAsia="宋体" w:cs="宋体"/>
          <w:b/>
          <w:sz w:val="21"/>
          <w:szCs w:val="21"/>
        </w:rPr>
      </w:pPr>
      <w:r>
        <w:rPr>
          <w:rFonts w:hint="eastAsia" w:ascii="宋体" w:hAnsi="宋体" w:eastAsia="宋体" w:cs="宋体"/>
          <w:spacing w:val="8"/>
          <w:kern w:val="0"/>
          <w:sz w:val="21"/>
          <w:szCs w:val="21"/>
        </w:rPr>
        <w:t>日期：</w:t>
      </w:r>
      <w:r>
        <w:rPr>
          <w:rFonts w:hint="eastAsia" w:ascii="宋体" w:hAnsi="宋体" w:eastAsia="宋体" w:cs="宋体"/>
          <w:spacing w:val="8"/>
          <w:kern w:val="0"/>
          <w:sz w:val="21"/>
          <w:szCs w:val="21"/>
          <w:u w:val="single"/>
        </w:rPr>
        <w:t>              </w:t>
      </w:r>
    </w:p>
    <w:p w14:paraId="59651C09">
      <w:pPr>
        <w:rPr>
          <w:rFonts w:hint="eastAsia" w:ascii="宋体" w:hAnsi="宋体" w:eastAsia="宋体" w:cs="宋体"/>
          <w:color w:val="auto"/>
          <w:sz w:val="21"/>
          <w:szCs w:val="21"/>
          <w:highlight w:val="none"/>
        </w:rPr>
      </w:pPr>
    </w:p>
    <w:p w14:paraId="5D4E96AA">
      <w:pPr>
        <w:spacing w:line="360" w:lineRule="auto"/>
        <w:rPr>
          <w:rFonts w:hint="eastAsia" w:ascii="宋体" w:hAnsi="宋体" w:eastAsia="宋体" w:cs="宋体"/>
          <w:b/>
          <w:color w:val="000000"/>
          <w:sz w:val="21"/>
          <w:szCs w:val="21"/>
          <w:highlight w:val="none"/>
        </w:rPr>
        <w:sectPr>
          <w:pgSz w:w="11906" w:h="16838"/>
          <w:pgMar w:top="2155" w:right="1418" w:bottom="2041" w:left="1531" w:header="851" w:footer="992" w:gutter="0"/>
          <w:pgNumType w:fmt="decimal"/>
          <w:cols w:space="720" w:num="1"/>
          <w:docGrid w:linePitch="312" w:charSpace="0"/>
        </w:sectPr>
      </w:pPr>
    </w:p>
    <w:p w14:paraId="3799DE5D">
      <w:pPr>
        <w:spacing w:line="360" w:lineRule="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6</w:t>
      </w:r>
    </w:p>
    <w:p w14:paraId="5BAD11B5">
      <w:pPr>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反商业贿赂承诺书</w:t>
      </w:r>
    </w:p>
    <w:p w14:paraId="1FC80BDE">
      <w:pPr>
        <w:widowControl/>
        <w:spacing w:line="360" w:lineRule="auto"/>
        <w:ind w:firstLine="420" w:firstLineChars="200"/>
        <w:rPr>
          <w:rFonts w:hint="eastAsia" w:ascii="宋体" w:hAnsi="宋体" w:eastAsia="宋体" w:cs="宋体"/>
          <w:bCs/>
          <w:kern w:val="0"/>
          <w:sz w:val="21"/>
          <w:szCs w:val="21"/>
        </w:rPr>
      </w:pPr>
    </w:p>
    <w:p w14:paraId="6E34EB3D">
      <w:pPr>
        <w:widowControl/>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我方承诺：</w:t>
      </w:r>
    </w:p>
    <w:p w14:paraId="2CFF6B04">
      <w:pPr>
        <w:widowControl/>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在</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 xml:space="preserve"> 项目（招标编号：</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）采购活动中，我方保证做到：</w:t>
      </w:r>
    </w:p>
    <w:p w14:paraId="1A325CC5">
      <w:pPr>
        <w:widowControl/>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一、公平竞争参加本次采购活动。</w:t>
      </w:r>
    </w:p>
    <w:p w14:paraId="33F6AAB6">
      <w:pPr>
        <w:widowControl/>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739F6A46">
      <w:pPr>
        <w:widowControl/>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三、若出现上述行为，我方及参与投标的工作人员愿意接受按照国家法律法规等有关规定给予的处罚。</w:t>
      </w:r>
    </w:p>
    <w:p w14:paraId="3817E404">
      <w:pPr>
        <w:widowControl/>
        <w:spacing w:line="360" w:lineRule="auto"/>
        <w:ind w:firstLine="420" w:firstLineChars="200"/>
        <w:rPr>
          <w:rFonts w:hint="eastAsia" w:ascii="宋体" w:hAnsi="宋体" w:eastAsia="宋体" w:cs="宋体"/>
          <w:bCs/>
          <w:kern w:val="0"/>
          <w:sz w:val="21"/>
          <w:szCs w:val="21"/>
        </w:rPr>
      </w:pPr>
    </w:p>
    <w:p w14:paraId="7DA35C0E">
      <w:pPr>
        <w:spacing w:line="40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供应商（盖章）： </w:t>
      </w:r>
    </w:p>
    <w:p w14:paraId="2F2B32EE">
      <w:pPr>
        <w:spacing w:line="40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40849375">
      <w:pPr>
        <w:pStyle w:val="2"/>
        <w:rPr>
          <w:rFonts w:hint="eastAsia" w:ascii="宋体" w:hAnsi="宋体" w:eastAsia="宋体" w:cs="宋体"/>
          <w:sz w:val="21"/>
          <w:szCs w:val="21"/>
          <w:lang w:val="en-US"/>
        </w:rPr>
        <w:sectPr>
          <w:pgSz w:w="11906" w:h="16838"/>
          <w:pgMar w:top="2155" w:right="1418" w:bottom="2041" w:left="1531" w:header="851" w:footer="992" w:gutter="0"/>
          <w:pgNumType w:fmt="decimal"/>
          <w:cols w:space="720" w:num="1"/>
          <w:docGrid w:linePitch="312" w:charSpace="0"/>
        </w:sectPr>
      </w:pPr>
      <w:r>
        <w:rPr>
          <w:rFonts w:hint="eastAsia" w:ascii="宋体" w:hAnsi="宋体" w:eastAsia="宋体" w:cs="宋体"/>
          <w:sz w:val="21"/>
          <w:szCs w:val="21"/>
        </w:rPr>
        <w:t>日期：</w:t>
      </w:r>
    </w:p>
    <w:p w14:paraId="0C88EFAC">
      <w:pPr>
        <w:pStyle w:val="4"/>
        <w:rPr>
          <w:rFonts w:hint="default"/>
          <w:lang w:val="en-US"/>
        </w:rPr>
      </w:pPr>
    </w:p>
    <w:p w14:paraId="126B6AAB">
      <w:pPr>
        <w:spacing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供应商认为需要提供的其他资格文件</w:t>
      </w:r>
    </w:p>
    <w:p w14:paraId="505A6A89">
      <w:pPr>
        <w:keepNext/>
        <w:keepLines/>
        <w:numPr>
          <w:ilvl w:val="0"/>
          <w:numId w:val="0"/>
        </w:numPr>
        <w:tabs>
          <w:tab w:val="left" w:pos="840"/>
        </w:tabs>
        <w:spacing w:before="120" w:after="12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1.其他供应商需补充事项（如有）</w:t>
      </w:r>
    </w:p>
    <w:p w14:paraId="6984312A">
      <w:pPr>
        <w:spacing w:line="360" w:lineRule="auto"/>
        <w:jc w:val="center"/>
        <w:rPr>
          <w:rFonts w:hint="eastAsia" w:ascii="宋体" w:hAnsi="宋体" w:eastAsia="宋体" w:cs="宋体"/>
          <w:b/>
          <w:sz w:val="21"/>
          <w:szCs w:val="21"/>
          <w:highlight w:val="none"/>
          <w:lang w:eastAsia="zh-CN"/>
        </w:rPr>
        <w:sectPr>
          <w:pgSz w:w="11906" w:h="16838"/>
          <w:pgMar w:top="2155" w:right="1418" w:bottom="2041" w:left="1531" w:header="851" w:footer="992" w:gutter="0"/>
          <w:pgNumType w:fmt="decimal"/>
          <w:cols w:space="720" w:num="1"/>
          <w:docGrid w:linePitch="312" w:charSpace="0"/>
        </w:sectPr>
      </w:pPr>
    </w:p>
    <w:p w14:paraId="7A28A308">
      <w:pPr>
        <w:spacing w:line="360" w:lineRule="auto"/>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eastAsia="zh-CN"/>
        </w:rPr>
        <w:t>商务技术</w:t>
      </w:r>
      <w:r>
        <w:rPr>
          <w:rFonts w:hint="eastAsia" w:ascii="宋体" w:hAnsi="宋体" w:eastAsia="宋体" w:cs="宋体"/>
          <w:b/>
          <w:sz w:val="21"/>
          <w:szCs w:val="21"/>
          <w:highlight w:val="none"/>
          <w:lang w:val="en-US" w:eastAsia="zh-CN"/>
        </w:rPr>
        <w:t>响应文件</w:t>
      </w:r>
    </w:p>
    <w:p w14:paraId="73401403">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1</w:t>
      </w:r>
    </w:p>
    <w:p w14:paraId="3250BB64">
      <w:pPr>
        <w:keepNext w:val="0"/>
        <w:keepLines w:val="0"/>
        <w:pageBreakBefore w:val="0"/>
        <w:widowControl w:val="0"/>
        <w:kinsoku/>
        <w:wordWrap/>
        <w:overflowPunct/>
        <w:topLinePunct w:val="0"/>
        <w:autoSpaceDE/>
        <w:autoSpaceDN/>
        <w:bidi w:val="0"/>
        <w:adjustRightInd/>
        <w:spacing w:line="500" w:lineRule="exact"/>
        <w:ind w:firstLine="643" w:firstLineChars="20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报</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eastAsia="zh-CN"/>
        </w:rPr>
        <w:t>价</w:t>
      </w:r>
      <w:r>
        <w:rPr>
          <w:rFonts w:hint="eastAsia" w:ascii="宋体" w:hAnsi="宋体" w:eastAsia="宋体" w:cs="宋体"/>
          <w:b/>
          <w:bCs/>
          <w:sz w:val="32"/>
          <w:szCs w:val="32"/>
          <w:highlight w:val="none"/>
        </w:rPr>
        <w:t xml:space="preserve">  函</w:t>
      </w:r>
    </w:p>
    <w:p w14:paraId="60975A83">
      <w:pPr>
        <w:keepNext w:val="0"/>
        <w:keepLines w:val="0"/>
        <w:pageBreakBefore w:val="0"/>
        <w:widowControl w:val="0"/>
        <w:kinsoku/>
        <w:wordWrap/>
        <w:overflowPunct/>
        <w:topLinePunct w:val="0"/>
        <w:autoSpaceDE/>
        <w:autoSpaceDN/>
        <w:bidi w:val="0"/>
        <w:adjustRightInd/>
        <w:spacing w:line="50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河南普米工程管理服务有限公司</w:t>
      </w:r>
      <w:r>
        <w:rPr>
          <w:rFonts w:hint="eastAsia" w:ascii="宋体" w:hAnsi="宋体" w:eastAsia="宋体" w:cs="宋体"/>
          <w:b/>
          <w:bCs/>
          <w:sz w:val="21"/>
          <w:szCs w:val="21"/>
          <w:highlight w:val="none"/>
        </w:rPr>
        <w:t>：</w:t>
      </w:r>
    </w:p>
    <w:p w14:paraId="4883A3D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授权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eastAsia="zh-CN"/>
        </w:rPr>
        <w:t>（全权代理人</w:t>
      </w:r>
      <w:r>
        <w:rPr>
          <w:rFonts w:hint="eastAsia" w:ascii="宋体" w:hAnsi="宋体" w:eastAsia="宋体" w:cs="宋体"/>
          <w:sz w:val="21"/>
          <w:szCs w:val="21"/>
          <w:highlight w:val="none"/>
        </w:rPr>
        <w:t>姓名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职务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为我方代表，参加贵公司组织的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项目名称、项目编号</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的有关活动，并对此项目进行</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。为此：</w:t>
      </w:r>
    </w:p>
    <w:p w14:paraId="495123CA">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1、我方同意在本项目磋商文件中规定的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日历天有效期内（自递交</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文件之日起计算）遵守本</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文件中的承诺且在此期限期满之前均具有约束力。</w:t>
      </w:r>
    </w:p>
    <w:p w14:paraId="65DD3BC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项目总报价金额：（大写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2DCDD26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2、我方承诺已经具备《中华人民共和国政府采购法》中规定的参加政府采购活动的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应当具备的全部条件和本磋商文件规定的特定资质要求。</w:t>
      </w:r>
    </w:p>
    <w:p w14:paraId="03235DC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3、提供供应商须知规定的响应文件</w:t>
      </w:r>
    </w:p>
    <w:p w14:paraId="3F87708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、我方承诺：完全理解投标报价超过开标后公布的预算金额时，导致投标无效。</w:t>
      </w:r>
    </w:p>
    <w:p w14:paraId="6A2F8B5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、保证忠实地执行双方所签订的合同，并承担合同规定的责任和义务。</w:t>
      </w:r>
    </w:p>
    <w:p w14:paraId="2336E56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、承诺完全满足和响应磋商文件中的各项商务和技术要求，若有偏差，已在</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文件中予以明确特别说明。</w:t>
      </w:r>
    </w:p>
    <w:p w14:paraId="1E9EBBC7">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、保证遵守磋商文件的所有规定。</w:t>
      </w:r>
    </w:p>
    <w:p w14:paraId="7F52C21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、保证在</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截止时间前，对所递交的</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文件进行补充、修改或者撤回时，我方会以书面形式通知</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，否则可视为无效。</w:t>
      </w:r>
    </w:p>
    <w:p w14:paraId="33E8DF7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、对贵方以书面(包括书面材料、信函、传真、电子邮件等)或以在本次</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公告刊登的媒体上发布的公告或与本项目有关的通知，我方会立即予以回复确认。若因登记有误或线路故障等其他原因导致通知延迟送达或无法送达，责任由我方自负。</w:t>
      </w:r>
    </w:p>
    <w:p w14:paraId="43B00BF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、如果在开标后规定的</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有效期内撤回投标，我方的</w:t>
      </w:r>
      <w:r>
        <w:rPr>
          <w:rFonts w:hint="eastAsia" w:ascii="宋体" w:hAnsi="宋体" w:eastAsia="宋体" w:cs="宋体"/>
          <w:sz w:val="21"/>
          <w:szCs w:val="21"/>
          <w:highlight w:val="none"/>
          <w:lang w:eastAsia="zh-CN"/>
        </w:rPr>
        <w:t>承担相应不良后果</w:t>
      </w:r>
      <w:r>
        <w:rPr>
          <w:rFonts w:hint="eastAsia" w:ascii="宋体" w:hAnsi="宋体" w:eastAsia="宋体" w:cs="宋体"/>
          <w:sz w:val="21"/>
          <w:szCs w:val="21"/>
          <w:highlight w:val="none"/>
        </w:rPr>
        <w:t>。</w:t>
      </w:r>
    </w:p>
    <w:p w14:paraId="4F1E6CF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、我方完全理解贵方不一定接受最低价的投标或收到的任何投标。</w:t>
      </w:r>
    </w:p>
    <w:p w14:paraId="7A63076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、我方愿意向贵方提供任何与本项</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有关的数据、情况和技术资料。若贵方需要，我方愿意提供我方做出的一切承诺的证明材料。</w:t>
      </w:r>
    </w:p>
    <w:p w14:paraId="76760E7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、我方已详细审核全部响应文件，包括响应文件修改书（如有的话）、参考资料及有关附件，确认无误。</w:t>
      </w:r>
    </w:p>
    <w:p w14:paraId="61C82154">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、我方承诺：采购人若需追加采购本项目磋商文件所列相关服务的，在不改变合同其他实质性条款的前提下，按相同或更优惠的折扣率保证</w:t>
      </w:r>
      <w:r>
        <w:rPr>
          <w:rFonts w:hint="eastAsia" w:ascii="宋体" w:hAnsi="宋体" w:eastAsia="宋体" w:cs="宋体"/>
          <w:sz w:val="21"/>
          <w:szCs w:val="21"/>
          <w:highlight w:val="none"/>
          <w:lang w:val="en-US" w:eastAsia="zh-CN"/>
        </w:rPr>
        <w:t>服务质量</w:t>
      </w:r>
      <w:r>
        <w:rPr>
          <w:rFonts w:hint="eastAsia" w:ascii="宋体" w:hAnsi="宋体" w:eastAsia="宋体" w:cs="宋体"/>
          <w:sz w:val="21"/>
          <w:szCs w:val="21"/>
          <w:highlight w:val="none"/>
        </w:rPr>
        <w:t>。</w:t>
      </w:r>
    </w:p>
    <w:p w14:paraId="33585D77">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、我方承诺接受磋商文件中《合同原则》的全部条款且无任何异议。</w:t>
      </w:r>
    </w:p>
    <w:p w14:paraId="7288394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、我方将严格遵守《中华人民共和国政府采购法》的有关规定，若有下列情形之一的，将</w:t>
      </w:r>
      <w:r>
        <w:rPr>
          <w:rFonts w:hint="eastAsia" w:ascii="宋体" w:hAnsi="宋体" w:eastAsia="宋体" w:cs="宋体"/>
          <w:sz w:val="21"/>
          <w:szCs w:val="21"/>
          <w:highlight w:val="none"/>
          <w:lang w:eastAsia="zh-CN"/>
        </w:rPr>
        <w:t>承担相应法律责任</w:t>
      </w:r>
      <w:r>
        <w:rPr>
          <w:rFonts w:hint="eastAsia" w:ascii="宋体" w:hAnsi="宋体" w:eastAsia="宋体" w:cs="宋体"/>
          <w:sz w:val="21"/>
          <w:szCs w:val="21"/>
          <w:highlight w:val="none"/>
        </w:rPr>
        <w:t>：</w:t>
      </w:r>
    </w:p>
    <w:p w14:paraId="7C91B63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（1）提供虚假材料谋取</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 xml:space="preserve">的； </w:t>
      </w:r>
    </w:p>
    <w:p w14:paraId="3C5040B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（2）采取不正当手段诋毁、排挤其他</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的； </w:t>
      </w:r>
    </w:p>
    <w:p w14:paraId="6ECBEF16">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（3）与采购人、其他</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恶意串通的； </w:t>
      </w:r>
    </w:p>
    <w:p w14:paraId="7B936F5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（4）开标后撤回投标的；</w:t>
      </w:r>
    </w:p>
    <w:p w14:paraId="6A29EBB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（5）在评标期间，影响</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或评标委员会正常履行职责的；</w:t>
      </w:r>
    </w:p>
    <w:p w14:paraId="24D2F4E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 xml:space="preserve">后未按本磋商文件规定签约或与采购人订立背离合同实质性内容的其它协议的； </w:t>
      </w:r>
    </w:p>
    <w:p w14:paraId="2CE438E3">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未按磋商文件规定和合同约定履行义务的；</w:t>
      </w:r>
    </w:p>
    <w:p w14:paraId="55BD846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（8）违</w:t>
      </w:r>
      <w:r>
        <w:rPr>
          <w:rFonts w:hint="eastAsia" w:ascii="宋体" w:hAnsi="宋体" w:eastAsia="宋体" w:cs="宋体"/>
          <w:sz w:val="21"/>
          <w:szCs w:val="21"/>
          <w:highlight w:val="none"/>
          <w:lang w:val="en-US" w:eastAsia="zh-CN"/>
        </w:rPr>
        <w:t>反</w:t>
      </w:r>
      <w:r>
        <w:rPr>
          <w:rFonts w:hint="eastAsia" w:ascii="宋体" w:hAnsi="宋体" w:eastAsia="宋体" w:cs="宋体"/>
          <w:sz w:val="21"/>
          <w:szCs w:val="21"/>
          <w:highlight w:val="none"/>
        </w:rPr>
        <w:t>法律法规规定的其他行为。</w:t>
      </w:r>
    </w:p>
    <w:p w14:paraId="455B68EC">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所有有关本</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的一切往来联系方式为：</w:t>
      </w:r>
    </w:p>
    <w:p w14:paraId="396A6E1D">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邮编：</w:t>
      </w:r>
      <w:r>
        <w:rPr>
          <w:rFonts w:hint="eastAsia" w:ascii="宋体" w:hAnsi="宋体" w:eastAsia="宋体" w:cs="宋体"/>
          <w:sz w:val="21"/>
          <w:szCs w:val="21"/>
          <w:highlight w:val="none"/>
        </w:rPr>
        <w:tab/>
      </w:r>
    </w:p>
    <w:p w14:paraId="5FC13F3D">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传真：</w:t>
      </w:r>
    </w:p>
    <w:p w14:paraId="4D48F799">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全权代理人</w:t>
      </w:r>
      <w:r>
        <w:rPr>
          <w:rFonts w:hint="eastAsia" w:ascii="宋体" w:hAnsi="宋体" w:eastAsia="宋体" w:cs="宋体"/>
          <w:sz w:val="21"/>
          <w:szCs w:val="21"/>
          <w:highlight w:val="none"/>
        </w:rPr>
        <w:t>姓名：</w:t>
      </w:r>
    </w:p>
    <w:p w14:paraId="33F0A5EC">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全权代理人</w:t>
      </w:r>
      <w:r>
        <w:rPr>
          <w:rFonts w:hint="eastAsia" w:ascii="宋体" w:hAnsi="宋体" w:eastAsia="宋体" w:cs="宋体"/>
          <w:sz w:val="21"/>
          <w:szCs w:val="21"/>
          <w:highlight w:val="none"/>
        </w:rPr>
        <w:t>联系电话：      （办公）           （手机）</w:t>
      </w:r>
    </w:p>
    <w:p w14:paraId="754BD83B">
      <w:pPr>
        <w:keepNext w:val="0"/>
        <w:keepLines w:val="0"/>
        <w:pageBreakBefore w:val="0"/>
        <w:widowControl w:val="0"/>
        <w:kinsoku/>
        <w:wordWrap/>
        <w:overflowPunct/>
        <w:topLinePunct w:val="0"/>
        <w:autoSpaceDE/>
        <w:autoSpaceDN/>
        <w:bidi w:val="0"/>
        <w:adjustRightInd/>
        <w:snapToGrid w:val="0"/>
        <w:spacing w:line="500" w:lineRule="exact"/>
        <w:ind w:right="0" w:righ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E-mail：</w:t>
      </w:r>
    </w:p>
    <w:p w14:paraId="5F3D5AAD">
      <w:pPr>
        <w:keepNext w:val="0"/>
        <w:keepLines w:val="0"/>
        <w:pageBreakBefore w:val="0"/>
        <w:widowControl w:val="0"/>
        <w:kinsoku/>
        <w:wordWrap/>
        <w:overflowPunct/>
        <w:topLinePunct w:val="0"/>
        <w:autoSpaceDE/>
        <w:autoSpaceDN/>
        <w:bidi w:val="0"/>
        <w:adjustRightInd/>
        <w:spacing w:line="500" w:lineRule="exact"/>
        <w:ind w:firstLine="2951" w:firstLineChars="1400"/>
        <w:textAlignment w:val="auto"/>
        <w:rPr>
          <w:rFonts w:hint="eastAsia" w:ascii="宋体" w:hAnsi="宋体" w:eastAsia="宋体" w:cs="宋体"/>
          <w:b/>
          <w:color w:val="000000"/>
          <w:sz w:val="21"/>
          <w:szCs w:val="21"/>
          <w:highlight w:val="none"/>
        </w:rPr>
      </w:pPr>
    </w:p>
    <w:p w14:paraId="36B21194">
      <w:pPr>
        <w:keepNext w:val="0"/>
        <w:keepLines w:val="0"/>
        <w:pageBreakBefore w:val="0"/>
        <w:widowControl w:val="0"/>
        <w:kinsoku/>
        <w:wordWrap/>
        <w:overflowPunct/>
        <w:topLinePunct w:val="0"/>
        <w:autoSpaceDE/>
        <w:autoSpaceDN/>
        <w:bidi w:val="0"/>
        <w:adjustRightInd/>
        <w:spacing w:line="500" w:lineRule="exact"/>
        <w:ind w:firstLine="2951" w:firstLineChars="1400"/>
        <w:textAlignment w:val="auto"/>
        <w:rPr>
          <w:rFonts w:hint="eastAsia" w:ascii="宋体" w:hAnsi="宋体" w:eastAsia="宋体" w:cs="宋体"/>
          <w:b/>
          <w:color w:val="000000"/>
          <w:sz w:val="21"/>
          <w:szCs w:val="21"/>
          <w:highlight w:val="none"/>
        </w:rPr>
      </w:pPr>
    </w:p>
    <w:p w14:paraId="06F94C4C">
      <w:pPr>
        <w:keepNext w:val="0"/>
        <w:keepLines w:val="0"/>
        <w:pageBreakBefore w:val="0"/>
        <w:widowControl w:val="0"/>
        <w:kinsoku/>
        <w:wordWrap/>
        <w:overflowPunct/>
        <w:topLinePunct w:val="0"/>
        <w:autoSpaceDE/>
        <w:autoSpaceDN/>
        <w:bidi w:val="0"/>
        <w:adjustRightInd/>
        <w:spacing w:line="500" w:lineRule="exact"/>
        <w:ind w:firstLine="2951" w:firstLineChars="1400"/>
        <w:textAlignment w:val="auto"/>
        <w:rPr>
          <w:rFonts w:hint="eastAsia" w:ascii="宋体" w:hAnsi="宋体" w:eastAsia="宋体" w:cs="宋体"/>
          <w:b/>
          <w:color w:val="000000"/>
          <w:sz w:val="21"/>
          <w:szCs w:val="21"/>
          <w:highlight w:val="none"/>
        </w:rPr>
      </w:pPr>
      <w:r>
        <w:rPr>
          <w:rFonts w:hint="eastAsia" w:ascii="宋体" w:hAnsi="宋体" w:eastAsia="宋体" w:cs="宋体"/>
          <w:b/>
          <w:sz w:val="21"/>
          <w:szCs w:val="21"/>
          <w:highlight w:val="none"/>
          <w:lang w:eastAsia="zh-CN"/>
        </w:rPr>
        <w:t>供应商名</w:t>
      </w:r>
      <w:r>
        <w:rPr>
          <w:rFonts w:hint="eastAsia" w:ascii="宋体" w:hAnsi="宋体" w:eastAsia="宋体" w:cs="宋体"/>
          <w:b/>
          <w:sz w:val="21"/>
          <w:szCs w:val="21"/>
          <w:highlight w:val="none"/>
        </w:rPr>
        <w:t>称（</w:t>
      </w:r>
      <w:r>
        <w:rPr>
          <w:rFonts w:hint="eastAsia" w:ascii="宋体" w:hAnsi="宋体" w:eastAsia="宋体" w:cs="宋体"/>
          <w:b/>
          <w:sz w:val="21"/>
          <w:szCs w:val="21"/>
          <w:highlight w:val="none"/>
          <w:lang w:eastAsia="zh-CN"/>
        </w:rPr>
        <w:t>加盖</w:t>
      </w:r>
      <w:r>
        <w:rPr>
          <w:rFonts w:hint="eastAsia" w:ascii="宋体" w:hAnsi="宋体" w:eastAsia="宋体" w:cs="宋体"/>
          <w:b/>
          <w:sz w:val="21"/>
          <w:szCs w:val="21"/>
          <w:highlight w:val="none"/>
        </w:rPr>
        <w:t>公章）</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rPr>
        <w:t xml:space="preserve"> </w:t>
      </w:r>
    </w:p>
    <w:p w14:paraId="44275B8E">
      <w:pPr>
        <w:keepNext w:val="0"/>
        <w:keepLines w:val="0"/>
        <w:pageBreakBefore w:val="0"/>
        <w:widowControl w:val="0"/>
        <w:kinsoku/>
        <w:wordWrap/>
        <w:overflowPunct/>
        <w:topLinePunct w:val="0"/>
        <w:autoSpaceDE/>
        <w:autoSpaceDN/>
        <w:bidi w:val="0"/>
        <w:adjustRightInd/>
        <w:spacing w:line="500" w:lineRule="exact"/>
        <w:ind w:firstLine="2530" w:firstLineChars="1200"/>
        <w:textAlignment w:val="auto"/>
        <w:rPr>
          <w:rFonts w:hint="eastAsia" w:ascii="宋体" w:hAnsi="宋体" w:eastAsia="宋体" w:cs="宋体"/>
          <w:b/>
          <w:color w:val="000000"/>
          <w:sz w:val="21"/>
          <w:szCs w:val="21"/>
          <w:highlight w:val="none"/>
          <w:u w:val="single"/>
        </w:rPr>
      </w:pPr>
      <w:r>
        <w:rPr>
          <w:rFonts w:hint="eastAsia" w:ascii="宋体" w:hAnsi="宋体" w:eastAsia="宋体" w:cs="宋体"/>
          <w:b/>
          <w:color w:val="000000"/>
          <w:sz w:val="21"/>
          <w:szCs w:val="21"/>
          <w:highlight w:val="none"/>
        </w:rPr>
        <w:t>法定代表人或全权代理人：</w:t>
      </w:r>
      <w:r>
        <w:rPr>
          <w:rFonts w:hint="eastAsia" w:ascii="宋体" w:hAnsi="宋体" w:eastAsia="宋体" w:cs="宋体"/>
          <w:b/>
          <w:color w:val="000000"/>
          <w:sz w:val="21"/>
          <w:szCs w:val="21"/>
          <w:highlight w:val="none"/>
          <w:u w:val="single"/>
        </w:rPr>
        <w:t xml:space="preserve"> （签字或</w:t>
      </w:r>
      <w:r>
        <w:rPr>
          <w:rFonts w:hint="eastAsia" w:ascii="宋体" w:hAnsi="宋体" w:eastAsia="宋体" w:cs="宋体"/>
          <w:b/>
          <w:color w:val="000000"/>
          <w:sz w:val="21"/>
          <w:szCs w:val="21"/>
          <w:highlight w:val="none"/>
          <w:u w:val="single"/>
          <w:lang w:eastAsia="zh-CN"/>
        </w:rPr>
        <w:t>签章</w:t>
      </w:r>
      <w:r>
        <w:rPr>
          <w:rFonts w:hint="eastAsia" w:ascii="宋体" w:hAnsi="宋体" w:eastAsia="宋体" w:cs="宋体"/>
          <w:b/>
          <w:color w:val="000000"/>
          <w:sz w:val="21"/>
          <w:szCs w:val="21"/>
          <w:highlight w:val="none"/>
          <w:u w:val="single"/>
        </w:rPr>
        <w:t xml:space="preserve">） </w:t>
      </w:r>
    </w:p>
    <w:p w14:paraId="52E73DB0">
      <w:pPr>
        <w:keepNext w:val="0"/>
        <w:keepLines w:val="0"/>
        <w:pageBreakBefore w:val="0"/>
        <w:widowControl w:val="0"/>
        <w:kinsoku/>
        <w:wordWrap/>
        <w:overflowPunct/>
        <w:topLinePunct w:val="0"/>
        <w:autoSpaceDE/>
        <w:autoSpaceDN/>
        <w:bidi w:val="0"/>
        <w:adjustRightInd/>
        <w:snapToGrid/>
        <w:spacing w:line="500" w:lineRule="exact"/>
        <w:ind w:right="0" w:rightChars="0" w:firstLine="2951" w:firstLineChars="1400"/>
        <w:jc w:val="both"/>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签署日期：</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日</w:t>
      </w:r>
    </w:p>
    <w:p w14:paraId="2449C57E">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highlight w:val="none"/>
        </w:rPr>
      </w:pPr>
    </w:p>
    <w:p w14:paraId="29E940A4">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w:t>
      </w:r>
    </w:p>
    <w:p w14:paraId="54167528">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除可填报项目外，对本</w:t>
      </w:r>
      <w:r>
        <w:rPr>
          <w:rFonts w:hint="eastAsia" w:ascii="宋体" w:hAnsi="宋体" w:eastAsia="宋体" w:cs="宋体"/>
          <w:b/>
          <w:bCs/>
          <w:sz w:val="21"/>
          <w:szCs w:val="21"/>
          <w:highlight w:val="none"/>
          <w:lang w:eastAsia="zh-CN"/>
        </w:rPr>
        <w:t>报价</w:t>
      </w:r>
      <w:r>
        <w:rPr>
          <w:rFonts w:hint="eastAsia" w:ascii="宋体" w:hAnsi="宋体" w:eastAsia="宋体" w:cs="宋体"/>
          <w:b/>
          <w:bCs/>
          <w:sz w:val="21"/>
          <w:szCs w:val="21"/>
          <w:highlight w:val="none"/>
        </w:rPr>
        <w:t>函的任何实质性修改将导致投标无效。</w:t>
      </w:r>
    </w:p>
    <w:p w14:paraId="6F153E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eastAsia="zh-CN"/>
        </w:rPr>
      </w:pPr>
    </w:p>
    <w:p w14:paraId="5651D4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eastAsia="zh-CN"/>
        </w:rPr>
      </w:pPr>
    </w:p>
    <w:p w14:paraId="2B17C113">
      <w:pPr>
        <w:spacing w:line="360" w:lineRule="auto"/>
        <w:rPr>
          <w:rFonts w:hint="eastAsia" w:ascii="宋体" w:hAnsi="宋体" w:eastAsia="宋体" w:cs="宋体"/>
          <w:b/>
          <w:color w:val="000000"/>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2</w:t>
      </w:r>
    </w:p>
    <w:p w14:paraId="694054FF">
      <w:pPr>
        <w:pStyle w:val="54"/>
        <w:ind w:left="0" w:leftChars="0" w:firstLine="0" w:firstLineChars="0"/>
        <w:rPr>
          <w:rFonts w:hint="eastAsia" w:ascii="宋体" w:hAnsi="宋体" w:eastAsia="宋体" w:cs="宋体"/>
          <w:b/>
          <w:color w:val="000000"/>
          <w:sz w:val="21"/>
          <w:szCs w:val="21"/>
          <w:highlight w:val="none"/>
          <w:lang w:val="en-US" w:eastAsia="zh-CN"/>
        </w:rPr>
      </w:pPr>
    </w:p>
    <w:p w14:paraId="609C7D86">
      <w:pPr>
        <w:pStyle w:val="54"/>
        <w:ind w:left="0" w:leftChars="0" w:firstLine="0" w:firstLineChars="0"/>
        <w:jc w:val="center"/>
        <w:rPr>
          <w:rFonts w:hint="eastAsia" w:ascii="宋体" w:hAnsi="宋体" w:eastAsia="宋体" w:cs="宋体"/>
          <w:sz w:val="32"/>
          <w:szCs w:val="32"/>
          <w:highlight w:val="none"/>
          <w:lang w:val="en-US" w:eastAsia="zh-CN"/>
        </w:rPr>
      </w:pPr>
      <w:r>
        <w:rPr>
          <w:rFonts w:hint="eastAsia" w:hAnsi="宋体" w:cs="宋体"/>
          <w:b/>
          <w:color w:val="000000"/>
          <w:sz w:val="32"/>
          <w:szCs w:val="32"/>
          <w:highlight w:val="none"/>
          <w:lang w:val="en-US" w:eastAsia="zh-CN"/>
        </w:rPr>
        <w:t>供应商</w:t>
      </w:r>
      <w:r>
        <w:rPr>
          <w:rFonts w:hint="eastAsia" w:ascii="宋体" w:hAnsi="宋体" w:eastAsia="宋体" w:cs="宋体"/>
          <w:b/>
          <w:color w:val="000000"/>
          <w:sz w:val="32"/>
          <w:szCs w:val="32"/>
          <w:highlight w:val="none"/>
          <w:lang w:val="en-US" w:eastAsia="zh-CN"/>
        </w:rPr>
        <w:t>近业绩情况一览表</w:t>
      </w:r>
      <w:r>
        <w:rPr>
          <w:rFonts w:hint="eastAsia" w:hAnsi="宋体" w:cs="宋体"/>
          <w:b/>
          <w:color w:val="000000"/>
          <w:sz w:val="32"/>
          <w:szCs w:val="32"/>
          <w:highlight w:val="none"/>
          <w:lang w:val="en-US" w:eastAsia="zh-CN"/>
        </w:rPr>
        <w:t>（2023年1月1日以来）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272"/>
        <w:gridCol w:w="1279"/>
        <w:gridCol w:w="1623"/>
        <w:gridCol w:w="1501"/>
        <w:gridCol w:w="1310"/>
        <w:gridCol w:w="1310"/>
      </w:tblGrid>
      <w:tr w14:paraId="3C3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14:paraId="7E190D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序号</w:t>
            </w:r>
          </w:p>
        </w:tc>
        <w:tc>
          <w:tcPr>
            <w:tcW w:w="1272" w:type="dxa"/>
            <w:noWrap w:val="0"/>
            <w:vAlign w:val="center"/>
          </w:tcPr>
          <w:p w14:paraId="02318B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业绩名称</w:t>
            </w:r>
          </w:p>
        </w:tc>
        <w:tc>
          <w:tcPr>
            <w:tcW w:w="1279" w:type="dxa"/>
            <w:noWrap w:val="0"/>
            <w:vAlign w:val="center"/>
          </w:tcPr>
          <w:p w14:paraId="30867B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eastAsia="zh-CN"/>
              </w:rPr>
              <w:t>采购</w:t>
            </w:r>
            <w:r>
              <w:rPr>
                <w:rFonts w:hint="eastAsia" w:ascii="宋体" w:hAnsi="宋体" w:eastAsia="宋体" w:cs="宋体"/>
                <w:b/>
                <w:bCs/>
                <w:kern w:val="0"/>
                <w:sz w:val="21"/>
                <w:szCs w:val="21"/>
                <w:highlight w:val="none"/>
              </w:rPr>
              <w:t>单位</w:t>
            </w:r>
          </w:p>
        </w:tc>
        <w:tc>
          <w:tcPr>
            <w:tcW w:w="1623" w:type="dxa"/>
            <w:noWrap w:val="0"/>
            <w:vAlign w:val="center"/>
          </w:tcPr>
          <w:p w14:paraId="04F61A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采购单位</w:t>
            </w:r>
          </w:p>
          <w:p w14:paraId="4372C6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联系人</w:t>
            </w:r>
          </w:p>
        </w:tc>
        <w:tc>
          <w:tcPr>
            <w:tcW w:w="1501" w:type="dxa"/>
            <w:noWrap w:val="0"/>
            <w:vAlign w:val="center"/>
          </w:tcPr>
          <w:p w14:paraId="567892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采购单位</w:t>
            </w:r>
          </w:p>
          <w:p w14:paraId="6A7DFF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联系电话</w:t>
            </w:r>
          </w:p>
        </w:tc>
        <w:tc>
          <w:tcPr>
            <w:tcW w:w="1310" w:type="dxa"/>
            <w:noWrap w:val="0"/>
            <w:vAlign w:val="center"/>
          </w:tcPr>
          <w:p w14:paraId="6BDFB0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合同</w:t>
            </w:r>
          </w:p>
          <w:p w14:paraId="4172DD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rPr>
              <w:t>金额</w:t>
            </w:r>
          </w:p>
        </w:tc>
        <w:tc>
          <w:tcPr>
            <w:tcW w:w="1310" w:type="dxa"/>
            <w:noWrap w:val="0"/>
            <w:vAlign w:val="center"/>
          </w:tcPr>
          <w:p w14:paraId="2E7AF8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合同签</w:t>
            </w:r>
          </w:p>
          <w:p w14:paraId="0B017C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署日期</w:t>
            </w:r>
          </w:p>
        </w:tc>
      </w:tr>
      <w:tr w14:paraId="5862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14:paraId="06AA836B">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1272" w:type="dxa"/>
            <w:noWrap w:val="0"/>
            <w:vAlign w:val="top"/>
          </w:tcPr>
          <w:p w14:paraId="26F85CFD">
            <w:pPr>
              <w:spacing w:line="560" w:lineRule="exact"/>
              <w:rPr>
                <w:rFonts w:hint="eastAsia" w:ascii="宋体" w:hAnsi="宋体" w:eastAsia="宋体" w:cs="宋体"/>
                <w:sz w:val="21"/>
                <w:szCs w:val="21"/>
                <w:highlight w:val="none"/>
                <w:vertAlign w:val="baseline"/>
              </w:rPr>
            </w:pPr>
          </w:p>
        </w:tc>
        <w:tc>
          <w:tcPr>
            <w:tcW w:w="1279" w:type="dxa"/>
            <w:noWrap w:val="0"/>
            <w:vAlign w:val="top"/>
          </w:tcPr>
          <w:p w14:paraId="310856B8">
            <w:pPr>
              <w:spacing w:line="560" w:lineRule="exact"/>
              <w:rPr>
                <w:rFonts w:hint="eastAsia" w:ascii="宋体" w:hAnsi="宋体" w:eastAsia="宋体" w:cs="宋体"/>
                <w:sz w:val="21"/>
                <w:szCs w:val="21"/>
                <w:highlight w:val="none"/>
                <w:vertAlign w:val="baseline"/>
              </w:rPr>
            </w:pPr>
          </w:p>
        </w:tc>
        <w:tc>
          <w:tcPr>
            <w:tcW w:w="1623" w:type="dxa"/>
            <w:noWrap w:val="0"/>
            <w:vAlign w:val="top"/>
          </w:tcPr>
          <w:p w14:paraId="3B91DEE4">
            <w:pPr>
              <w:spacing w:line="560" w:lineRule="exact"/>
              <w:rPr>
                <w:rFonts w:hint="eastAsia" w:ascii="宋体" w:hAnsi="宋体" w:eastAsia="宋体" w:cs="宋体"/>
                <w:sz w:val="21"/>
                <w:szCs w:val="21"/>
                <w:highlight w:val="none"/>
                <w:vertAlign w:val="baseline"/>
              </w:rPr>
            </w:pPr>
          </w:p>
        </w:tc>
        <w:tc>
          <w:tcPr>
            <w:tcW w:w="1501" w:type="dxa"/>
            <w:noWrap w:val="0"/>
            <w:vAlign w:val="top"/>
          </w:tcPr>
          <w:p w14:paraId="653BB527">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5D06A50B">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3904D0B0">
            <w:pPr>
              <w:spacing w:line="560" w:lineRule="exact"/>
              <w:rPr>
                <w:rFonts w:hint="eastAsia" w:ascii="宋体" w:hAnsi="宋体" w:eastAsia="宋体" w:cs="宋体"/>
                <w:sz w:val="21"/>
                <w:szCs w:val="21"/>
                <w:highlight w:val="none"/>
                <w:vertAlign w:val="baseline"/>
              </w:rPr>
            </w:pPr>
          </w:p>
        </w:tc>
      </w:tr>
      <w:tr w14:paraId="48E8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14:paraId="60B05C54">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w:t>
            </w:r>
          </w:p>
        </w:tc>
        <w:tc>
          <w:tcPr>
            <w:tcW w:w="1272" w:type="dxa"/>
            <w:noWrap w:val="0"/>
            <w:vAlign w:val="top"/>
          </w:tcPr>
          <w:p w14:paraId="13F586B4">
            <w:pPr>
              <w:spacing w:line="560" w:lineRule="exact"/>
              <w:rPr>
                <w:rFonts w:hint="eastAsia" w:ascii="宋体" w:hAnsi="宋体" w:eastAsia="宋体" w:cs="宋体"/>
                <w:sz w:val="21"/>
                <w:szCs w:val="21"/>
                <w:highlight w:val="none"/>
                <w:vertAlign w:val="baseline"/>
              </w:rPr>
            </w:pPr>
          </w:p>
        </w:tc>
        <w:tc>
          <w:tcPr>
            <w:tcW w:w="1279" w:type="dxa"/>
            <w:noWrap w:val="0"/>
            <w:vAlign w:val="top"/>
          </w:tcPr>
          <w:p w14:paraId="14D4582C">
            <w:pPr>
              <w:spacing w:line="560" w:lineRule="exact"/>
              <w:rPr>
                <w:rFonts w:hint="eastAsia" w:ascii="宋体" w:hAnsi="宋体" w:eastAsia="宋体" w:cs="宋体"/>
                <w:sz w:val="21"/>
                <w:szCs w:val="21"/>
                <w:highlight w:val="none"/>
                <w:vertAlign w:val="baseline"/>
              </w:rPr>
            </w:pPr>
          </w:p>
        </w:tc>
        <w:tc>
          <w:tcPr>
            <w:tcW w:w="1623" w:type="dxa"/>
            <w:noWrap w:val="0"/>
            <w:vAlign w:val="top"/>
          </w:tcPr>
          <w:p w14:paraId="47A8B7C4">
            <w:pPr>
              <w:spacing w:line="560" w:lineRule="exact"/>
              <w:rPr>
                <w:rFonts w:hint="eastAsia" w:ascii="宋体" w:hAnsi="宋体" w:eastAsia="宋体" w:cs="宋体"/>
                <w:sz w:val="21"/>
                <w:szCs w:val="21"/>
                <w:highlight w:val="none"/>
                <w:vertAlign w:val="baseline"/>
              </w:rPr>
            </w:pPr>
          </w:p>
        </w:tc>
        <w:tc>
          <w:tcPr>
            <w:tcW w:w="1501" w:type="dxa"/>
            <w:noWrap w:val="0"/>
            <w:vAlign w:val="top"/>
          </w:tcPr>
          <w:p w14:paraId="49822DA5">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7A11DE36">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566ED839">
            <w:pPr>
              <w:spacing w:line="560" w:lineRule="exact"/>
              <w:rPr>
                <w:rFonts w:hint="eastAsia" w:ascii="宋体" w:hAnsi="宋体" w:eastAsia="宋体" w:cs="宋体"/>
                <w:sz w:val="21"/>
                <w:szCs w:val="21"/>
                <w:highlight w:val="none"/>
                <w:vertAlign w:val="baseline"/>
              </w:rPr>
            </w:pPr>
          </w:p>
        </w:tc>
      </w:tr>
      <w:tr w14:paraId="582B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14:paraId="50517802">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w:t>
            </w:r>
          </w:p>
        </w:tc>
        <w:tc>
          <w:tcPr>
            <w:tcW w:w="1272" w:type="dxa"/>
            <w:noWrap w:val="0"/>
            <w:vAlign w:val="top"/>
          </w:tcPr>
          <w:p w14:paraId="288984B1">
            <w:pPr>
              <w:spacing w:line="560" w:lineRule="exact"/>
              <w:rPr>
                <w:rFonts w:hint="eastAsia" w:ascii="宋体" w:hAnsi="宋体" w:eastAsia="宋体" w:cs="宋体"/>
                <w:sz w:val="21"/>
                <w:szCs w:val="21"/>
                <w:highlight w:val="none"/>
                <w:vertAlign w:val="baseline"/>
              </w:rPr>
            </w:pPr>
          </w:p>
        </w:tc>
        <w:tc>
          <w:tcPr>
            <w:tcW w:w="1279" w:type="dxa"/>
            <w:noWrap w:val="0"/>
            <w:vAlign w:val="top"/>
          </w:tcPr>
          <w:p w14:paraId="4D95C1CB">
            <w:pPr>
              <w:spacing w:line="560" w:lineRule="exact"/>
              <w:rPr>
                <w:rFonts w:hint="eastAsia" w:ascii="宋体" w:hAnsi="宋体" w:eastAsia="宋体" w:cs="宋体"/>
                <w:sz w:val="21"/>
                <w:szCs w:val="21"/>
                <w:highlight w:val="none"/>
                <w:vertAlign w:val="baseline"/>
              </w:rPr>
            </w:pPr>
          </w:p>
        </w:tc>
        <w:tc>
          <w:tcPr>
            <w:tcW w:w="1623" w:type="dxa"/>
            <w:noWrap w:val="0"/>
            <w:vAlign w:val="top"/>
          </w:tcPr>
          <w:p w14:paraId="4C743BA8">
            <w:pPr>
              <w:spacing w:line="560" w:lineRule="exact"/>
              <w:rPr>
                <w:rFonts w:hint="eastAsia" w:ascii="宋体" w:hAnsi="宋体" w:eastAsia="宋体" w:cs="宋体"/>
                <w:sz w:val="21"/>
                <w:szCs w:val="21"/>
                <w:highlight w:val="none"/>
                <w:vertAlign w:val="baseline"/>
              </w:rPr>
            </w:pPr>
          </w:p>
        </w:tc>
        <w:tc>
          <w:tcPr>
            <w:tcW w:w="1501" w:type="dxa"/>
            <w:noWrap w:val="0"/>
            <w:vAlign w:val="top"/>
          </w:tcPr>
          <w:p w14:paraId="1A18CD12">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3C433EB7">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143BBC16">
            <w:pPr>
              <w:spacing w:line="560" w:lineRule="exact"/>
              <w:rPr>
                <w:rFonts w:hint="eastAsia" w:ascii="宋体" w:hAnsi="宋体" w:eastAsia="宋体" w:cs="宋体"/>
                <w:sz w:val="21"/>
                <w:szCs w:val="21"/>
                <w:highlight w:val="none"/>
                <w:vertAlign w:val="baseline"/>
              </w:rPr>
            </w:pPr>
          </w:p>
        </w:tc>
      </w:tr>
      <w:tr w14:paraId="0A03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noWrap w:val="0"/>
            <w:vAlign w:val="center"/>
          </w:tcPr>
          <w:p w14:paraId="1704FB53">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w:t>
            </w:r>
          </w:p>
        </w:tc>
        <w:tc>
          <w:tcPr>
            <w:tcW w:w="1272" w:type="dxa"/>
            <w:noWrap w:val="0"/>
            <w:vAlign w:val="top"/>
          </w:tcPr>
          <w:p w14:paraId="7FE69181">
            <w:pPr>
              <w:spacing w:line="560" w:lineRule="exact"/>
              <w:rPr>
                <w:rFonts w:hint="eastAsia" w:ascii="宋体" w:hAnsi="宋体" w:eastAsia="宋体" w:cs="宋体"/>
                <w:sz w:val="21"/>
                <w:szCs w:val="21"/>
                <w:highlight w:val="none"/>
                <w:vertAlign w:val="baseline"/>
              </w:rPr>
            </w:pPr>
          </w:p>
        </w:tc>
        <w:tc>
          <w:tcPr>
            <w:tcW w:w="1279" w:type="dxa"/>
            <w:noWrap w:val="0"/>
            <w:vAlign w:val="top"/>
          </w:tcPr>
          <w:p w14:paraId="5098076A">
            <w:pPr>
              <w:spacing w:line="560" w:lineRule="exact"/>
              <w:rPr>
                <w:rFonts w:hint="eastAsia" w:ascii="宋体" w:hAnsi="宋体" w:eastAsia="宋体" w:cs="宋体"/>
                <w:sz w:val="21"/>
                <w:szCs w:val="21"/>
                <w:highlight w:val="none"/>
                <w:vertAlign w:val="baseline"/>
              </w:rPr>
            </w:pPr>
          </w:p>
        </w:tc>
        <w:tc>
          <w:tcPr>
            <w:tcW w:w="1623" w:type="dxa"/>
            <w:noWrap w:val="0"/>
            <w:vAlign w:val="top"/>
          </w:tcPr>
          <w:p w14:paraId="7D848F47">
            <w:pPr>
              <w:spacing w:line="560" w:lineRule="exact"/>
              <w:rPr>
                <w:rFonts w:hint="eastAsia" w:ascii="宋体" w:hAnsi="宋体" w:eastAsia="宋体" w:cs="宋体"/>
                <w:sz w:val="21"/>
                <w:szCs w:val="21"/>
                <w:highlight w:val="none"/>
                <w:vertAlign w:val="baseline"/>
              </w:rPr>
            </w:pPr>
          </w:p>
        </w:tc>
        <w:tc>
          <w:tcPr>
            <w:tcW w:w="1501" w:type="dxa"/>
            <w:noWrap w:val="0"/>
            <w:vAlign w:val="top"/>
          </w:tcPr>
          <w:p w14:paraId="41BB6EC1">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3729E62A">
            <w:pPr>
              <w:spacing w:line="560" w:lineRule="exact"/>
              <w:rPr>
                <w:rFonts w:hint="eastAsia" w:ascii="宋体" w:hAnsi="宋体" w:eastAsia="宋体" w:cs="宋体"/>
                <w:sz w:val="21"/>
                <w:szCs w:val="21"/>
                <w:highlight w:val="none"/>
                <w:vertAlign w:val="baseline"/>
              </w:rPr>
            </w:pPr>
          </w:p>
        </w:tc>
        <w:tc>
          <w:tcPr>
            <w:tcW w:w="1310" w:type="dxa"/>
            <w:noWrap w:val="0"/>
            <w:vAlign w:val="top"/>
          </w:tcPr>
          <w:p w14:paraId="13963538">
            <w:pPr>
              <w:spacing w:line="560" w:lineRule="exact"/>
              <w:rPr>
                <w:rFonts w:hint="eastAsia" w:ascii="宋体" w:hAnsi="宋体" w:eastAsia="宋体" w:cs="宋体"/>
                <w:sz w:val="21"/>
                <w:szCs w:val="21"/>
                <w:highlight w:val="none"/>
                <w:vertAlign w:val="baseline"/>
              </w:rPr>
            </w:pPr>
          </w:p>
        </w:tc>
      </w:tr>
    </w:tbl>
    <w:p w14:paraId="3B51E4A6">
      <w:pPr>
        <w:bidi w:val="0"/>
        <w:rPr>
          <w:rFonts w:hint="eastAsia" w:ascii="宋体" w:hAnsi="宋体" w:eastAsia="宋体" w:cs="宋体"/>
          <w:sz w:val="21"/>
          <w:szCs w:val="21"/>
          <w:highlight w:val="none"/>
          <w:lang w:eastAsia="zh-CN"/>
        </w:rPr>
      </w:pPr>
    </w:p>
    <w:p w14:paraId="095252B2">
      <w:pPr>
        <w:ind w:firstLine="210" w:firstLineChars="100"/>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注：1</w:t>
      </w:r>
      <w:r>
        <w:rPr>
          <w:rFonts w:hint="eastAsia" w:ascii="宋体" w:hAnsi="宋体" w:eastAsia="宋体" w:cs="宋体"/>
          <w:color w:val="auto"/>
          <w:sz w:val="21"/>
          <w:szCs w:val="21"/>
          <w:highlight w:val="none"/>
        </w:rPr>
        <w:t>．须附中标通知书及合同</w:t>
      </w:r>
      <w:r>
        <w:rPr>
          <w:rFonts w:hint="eastAsia" w:ascii="宋体" w:hAnsi="宋体" w:eastAsia="宋体" w:cs="宋体"/>
          <w:color w:val="auto"/>
          <w:sz w:val="21"/>
          <w:szCs w:val="21"/>
          <w:highlight w:val="none"/>
          <w:lang w:val="en-US" w:eastAsia="zh-CN"/>
        </w:rPr>
        <w:t>复印件加盖公章</w:t>
      </w:r>
    </w:p>
    <w:p w14:paraId="12F62B81">
      <w:pPr>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2．此表如填写不下，可另附页。</w:t>
      </w:r>
    </w:p>
    <w:p w14:paraId="7170209A">
      <w:pPr>
        <w:spacing w:line="360" w:lineRule="auto"/>
        <w:ind w:firstLine="2741" w:firstLineChars="1300"/>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lang w:val="en-US" w:eastAsia="zh-CN"/>
        </w:rPr>
        <w:t>名</w:t>
      </w:r>
      <w:r>
        <w:rPr>
          <w:rFonts w:hint="eastAsia" w:ascii="宋体" w:hAnsi="宋体" w:eastAsia="宋体" w:cs="宋体"/>
          <w:b/>
          <w:sz w:val="21"/>
          <w:szCs w:val="21"/>
          <w:highlight w:val="none"/>
        </w:rPr>
        <w:t>称（</w:t>
      </w:r>
      <w:r>
        <w:rPr>
          <w:rFonts w:hint="eastAsia" w:ascii="宋体" w:hAnsi="宋体" w:eastAsia="宋体" w:cs="宋体"/>
          <w:b/>
          <w:sz w:val="21"/>
          <w:szCs w:val="21"/>
          <w:highlight w:val="none"/>
          <w:lang w:val="en-US" w:eastAsia="zh-CN"/>
        </w:rPr>
        <w:t>加盖</w:t>
      </w:r>
      <w:r>
        <w:rPr>
          <w:rFonts w:hint="eastAsia" w:ascii="宋体" w:hAnsi="宋体" w:eastAsia="宋体" w:cs="宋体"/>
          <w:b/>
          <w:sz w:val="21"/>
          <w:szCs w:val="21"/>
          <w:highlight w:val="none"/>
        </w:rPr>
        <w:t>公章）：</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 xml:space="preserve"> </w:t>
      </w:r>
    </w:p>
    <w:p w14:paraId="169230AF">
      <w:pPr>
        <w:wordWrap w:val="0"/>
        <w:spacing w:line="360" w:lineRule="auto"/>
        <w:ind w:right="120"/>
        <w:jc w:val="right"/>
        <w:rPr>
          <w:rFonts w:hint="eastAsia" w:ascii="宋体" w:hAnsi="宋体" w:eastAsia="宋体" w:cs="宋体"/>
          <w:sz w:val="21"/>
          <w:szCs w:val="21"/>
          <w:highlight w:val="none"/>
          <w:lang w:val="en-US" w:eastAsia="zh-CN"/>
        </w:rPr>
        <w:sectPr>
          <w:pgSz w:w="11906" w:h="16838"/>
          <w:pgMar w:top="2155" w:right="1418" w:bottom="2041" w:left="1531" w:header="851" w:footer="992" w:gutter="0"/>
          <w:pgNumType w:fmt="decimal"/>
          <w:cols w:space="720" w:num="1"/>
          <w:docGrid w:linePitch="312" w:charSpace="0"/>
        </w:sectPr>
      </w:pP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签署日期：</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u w:val="none"/>
          <w:lang w:val="en-US" w:eastAsia="zh-CN"/>
        </w:rPr>
        <w:t>日</w:t>
      </w:r>
    </w:p>
    <w:p w14:paraId="67C106FC">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附件</w:t>
      </w:r>
      <w:r>
        <w:rPr>
          <w:rFonts w:hint="eastAsia" w:ascii="宋体" w:hAnsi="宋体" w:eastAsia="宋体" w:cs="宋体"/>
          <w:b/>
          <w:sz w:val="21"/>
          <w:szCs w:val="21"/>
          <w:highlight w:val="none"/>
          <w:lang w:val="en-US" w:eastAsia="zh-CN"/>
        </w:rPr>
        <w:t>3</w:t>
      </w:r>
    </w:p>
    <w:p w14:paraId="2291639D">
      <w:pPr>
        <w:spacing w:line="360" w:lineRule="auto"/>
        <w:jc w:val="center"/>
        <w:rPr>
          <w:rFonts w:hint="eastAsia" w:ascii="宋体" w:hAnsi="宋体" w:eastAsia="宋体" w:cs="宋体"/>
          <w:b/>
          <w:spacing w:val="-8"/>
          <w:sz w:val="32"/>
          <w:szCs w:val="32"/>
          <w:highlight w:val="none"/>
        </w:rPr>
      </w:pPr>
      <w:r>
        <w:rPr>
          <w:rFonts w:hint="eastAsia" w:ascii="宋体" w:hAnsi="宋体" w:eastAsia="宋体" w:cs="宋体"/>
          <w:b/>
          <w:spacing w:val="-8"/>
          <w:sz w:val="32"/>
          <w:szCs w:val="32"/>
          <w:highlight w:val="none"/>
          <w:lang w:eastAsia="zh-CN"/>
        </w:rPr>
        <w:t>技术</w:t>
      </w:r>
      <w:r>
        <w:rPr>
          <w:rFonts w:hint="eastAsia" w:ascii="宋体" w:hAnsi="宋体" w:eastAsia="宋体" w:cs="宋体"/>
          <w:b/>
          <w:spacing w:val="-8"/>
          <w:sz w:val="32"/>
          <w:szCs w:val="32"/>
          <w:highlight w:val="none"/>
        </w:rPr>
        <w:t>方案</w:t>
      </w:r>
    </w:p>
    <w:p w14:paraId="0F45AFDD">
      <w:pPr>
        <w:spacing w:line="36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格式自拟</w:t>
      </w:r>
    </w:p>
    <w:p w14:paraId="06DDA748">
      <w:pPr>
        <w:spacing w:line="360" w:lineRule="auto"/>
        <w:rPr>
          <w:rFonts w:hint="eastAsia" w:ascii="宋体" w:hAnsi="宋体" w:eastAsia="宋体" w:cs="宋体"/>
          <w:color w:val="000000"/>
          <w:sz w:val="21"/>
          <w:szCs w:val="21"/>
          <w:highlight w:val="none"/>
          <w:lang w:eastAsia="zh-CN"/>
        </w:rPr>
      </w:pPr>
    </w:p>
    <w:p w14:paraId="1968CE62">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技术</w:t>
      </w:r>
      <w:r>
        <w:rPr>
          <w:rFonts w:hint="eastAsia" w:ascii="宋体" w:hAnsi="宋体" w:eastAsia="宋体" w:cs="宋体"/>
          <w:color w:val="000000"/>
          <w:sz w:val="21"/>
          <w:szCs w:val="21"/>
          <w:highlight w:val="none"/>
        </w:rPr>
        <w:t>方案详细说明内容：</w:t>
      </w:r>
    </w:p>
    <w:p w14:paraId="6641388C">
      <w:pPr>
        <w:spacing w:before="100" w:beforeAutospacing="1" w:after="100" w:afterAutospacing="1"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格式自拟，内容参照但不限于评审办法技术评审内容</w:t>
      </w:r>
    </w:p>
    <w:p w14:paraId="54B5B165">
      <w:pPr>
        <w:spacing w:before="100" w:beforeAutospacing="1" w:after="100" w:afterAutospacing="1"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应根据自身情况据实详细填写，本项内容将作为</w:t>
      </w:r>
      <w:r>
        <w:rPr>
          <w:rFonts w:hint="eastAsia" w:ascii="宋体" w:hAnsi="宋体" w:eastAsia="宋体" w:cs="宋体"/>
          <w:sz w:val="21"/>
          <w:szCs w:val="21"/>
          <w:highlight w:val="none"/>
          <w:lang w:eastAsia="zh-CN"/>
        </w:rPr>
        <w:t>磋商小组</w:t>
      </w:r>
      <w:r>
        <w:rPr>
          <w:rFonts w:hint="eastAsia" w:ascii="宋体" w:hAnsi="宋体" w:eastAsia="宋体" w:cs="宋体"/>
          <w:sz w:val="21"/>
          <w:szCs w:val="21"/>
          <w:highlight w:val="none"/>
        </w:rPr>
        <w:t>评审、评分的重要依据之一。</w:t>
      </w:r>
    </w:p>
    <w:p w14:paraId="4D2515E5">
      <w:pPr>
        <w:spacing w:before="100" w:beforeAutospacing="1" w:after="100" w:afterAutospacing="1" w:line="300" w:lineRule="exact"/>
        <w:ind w:firstLine="3247" w:firstLineChars="1540"/>
        <w:rPr>
          <w:rFonts w:hint="eastAsia" w:ascii="宋体" w:hAnsi="宋体" w:eastAsia="宋体" w:cs="宋体"/>
          <w:b/>
          <w:sz w:val="21"/>
          <w:szCs w:val="21"/>
          <w:highlight w:val="none"/>
        </w:rPr>
      </w:pPr>
    </w:p>
    <w:p w14:paraId="423D60AA">
      <w:pPr>
        <w:spacing w:line="360" w:lineRule="auto"/>
        <w:ind w:firstLine="2403" w:firstLineChars="1140"/>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供应商名称（加盖公章）</w:t>
      </w:r>
      <w:r>
        <w:rPr>
          <w:rFonts w:hint="eastAsia" w:ascii="宋体" w:hAnsi="宋体" w:eastAsia="宋体" w:cs="宋体"/>
          <w:b/>
          <w:sz w:val="21"/>
          <w:szCs w:val="21"/>
          <w:highlight w:val="none"/>
        </w:rPr>
        <w:t>：</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 xml:space="preserve"> </w:t>
      </w:r>
    </w:p>
    <w:p w14:paraId="1247A607">
      <w:pPr>
        <w:spacing w:line="360" w:lineRule="auto"/>
        <w:ind w:firstLine="2319" w:firstLineChars="1100"/>
        <w:rPr>
          <w:rFonts w:hint="eastAsia" w:ascii="宋体" w:hAnsi="宋体" w:eastAsia="宋体" w:cs="宋体"/>
          <w:b/>
          <w:color w:val="000000"/>
          <w:sz w:val="21"/>
          <w:szCs w:val="21"/>
          <w:highlight w:val="none"/>
        </w:rPr>
      </w:pPr>
      <w:r>
        <w:rPr>
          <w:rFonts w:hint="eastAsia" w:ascii="宋体" w:hAnsi="宋体" w:eastAsia="宋体" w:cs="宋体"/>
          <w:b/>
          <w:sz w:val="21"/>
          <w:szCs w:val="21"/>
          <w:highlight w:val="none"/>
        </w:rPr>
        <w:t>签署日期：</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日</w:t>
      </w:r>
    </w:p>
    <w:p w14:paraId="6831CBCC">
      <w:pPr>
        <w:spacing w:line="360" w:lineRule="auto"/>
        <w:rPr>
          <w:rFonts w:hint="eastAsia" w:ascii="宋体" w:hAnsi="宋体" w:eastAsia="宋体" w:cs="宋体"/>
          <w:b/>
          <w:color w:val="000000"/>
          <w:sz w:val="21"/>
          <w:szCs w:val="21"/>
          <w:highlight w:val="none"/>
        </w:rPr>
      </w:pPr>
    </w:p>
    <w:p w14:paraId="13346E19">
      <w:pPr>
        <w:spacing w:line="360" w:lineRule="auto"/>
        <w:rPr>
          <w:rFonts w:hint="eastAsia" w:ascii="宋体" w:hAnsi="宋体" w:eastAsia="宋体" w:cs="宋体"/>
          <w:b/>
          <w:color w:val="000000"/>
          <w:sz w:val="21"/>
          <w:szCs w:val="21"/>
          <w:highlight w:val="none"/>
        </w:rPr>
        <w:sectPr>
          <w:headerReference r:id="rId7" w:type="default"/>
          <w:footerReference r:id="rId8"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C02FA">
      <w:pPr>
        <w:spacing w:line="360" w:lineRule="auto"/>
        <w:jc w:val="both"/>
        <w:outlineLvl w:val="1"/>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4</w:t>
      </w:r>
    </w:p>
    <w:p w14:paraId="1A9B2309">
      <w:pPr>
        <w:spacing w:line="360" w:lineRule="auto"/>
        <w:jc w:val="center"/>
        <w:outlineLvl w:val="1"/>
        <w:rPr>
          <w:rFonts w:hint="eastAsia" w:ascii="宋体" w:hAnsi="宋体" w:cs="宋体"/>
          <w:b/>
          <w:sz w:val="24"/>
        </w:rPr>
      </w:pPr>
      <w:r>
        <w:rPr>
          <w:rFonts w:hint="eastAsia" w:ascii="宋体" w:hAnsi="宋体" w:eastAsia="宋体" w:cs="宋体"/>
          <w:b/>
          <w:spacing w:val="-8"/>
          <w:sz w:val="32"/>
          <w:szCs w:val="32"/>
          <w:highlight w:val="none"/>
          <w:lang w:eastAsia="zh-CN"/>
        </w:rPr>
        <w:t>响应偏差表</w:t>
      </w:r>
    </w:p>
    <w:p w14:paraId="14E2D2DC">
      <w:pPr>
        <w:pStyle w:val="36"/>
        <w:rPr>
          <w:rFonts w:hint="eastAsia" w:ascii="宋体" w:hAnsi="宋体" w:eastAsia="宋体" w:cs="宋体"/>
          <w:sz w:val="21"/>
          <w:szCs w:val="21"/>
        </w:rPr>
      </w:pPr>
    </w:p>
    <w:tbl>
      <w:tblPr>
        <w:tblStyle w:val="2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2483"/>
        <w:gridCol w:w="2947"/>
        <w:gridCol w:w="1035"/>
        <w:gridCol w:w="1458"/>
      </w:tblGrid>
      <w:tr w14:paraId="0308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998" w:type="dxa"/>
            <w:vMerge w:val="restart"/>
            <w:noWrap w:val="0"/>
            <w:vAlign w:val="center"/>
          </w:tcPr>
          <w:p w14:paraId="5403B416">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w:t>
            </w:r>
          </w:p>
          <w:p w14:paraId="17D99234">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号</w:t>
            </w:r>
          </w:p>
        </w:tc>
        <w:tc>
          <w:tcPr>
            <w:tcW w:w="5430" w:type="dxa"/>
            <w:gridSpan w:val="2"/>
            <w:noWrap w:val="0"/>
            <w:vAlign w:val="center"/>
          </w:tcPr>
          <w:p w14:paraId="5928F623">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技术参数及要求</w:t>
            </w:r>
          </w:p>
        </w:tc>
        <w:tc>
          <w:tcPr>
            <w:tcW w:w="1035" w:type="dxa"/>
            <w:vMerge w:val="restart"/>
            <w:noWrap w:val="0"/>
            <w:vAlign w:val="center"/>
          </w:tcPr>
          <w:p w14:paraId="2E8EA6B9">
            <w:pPr>
              <w:autoSpaceDE w:val="0"/>
              <w:autoSpaceDN w:val="0"/>
              <w:spacing w:before="140"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偏离情况</w:t>
            </w:r>
          </w:p>
        </w:tc>
        <w:tc>
          <w:tcPr>
            <w:tcW w:w="1458" w:type="dxa"/>
            <w:vMerge w:val="restart"/>
            <w:noWrap w:val="0"/>
            <w:vAlign w:val="center"/>
          </w:tcPr>
          <w:p w14:paraId="07561CEE">
            <w:pPr>
              <w:autoSpaceDE w:val="0"/>
              <w:autoSpaceDN w:val="0"/>
              <w:spacing w:before="152"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33DD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exact"/>
        </w:trPr>
        <w:tc>
          <w:tcPr>
            <w:tcW w:w="998" w:type="dxa"/>
            <w:vMerge w:val="continue"/>
            <w:noWrap w:val="0"/>
            <w:vAlign w:val="center"/>
          </w:tcPr>
          <w:p w14:paraId="40E30C9D">
            <w:pPr>
              <w:widowControl/>
              <w:jc w:val="left"/>
              <w:rPr>
                <w:rFonts w:hint="eastAsia" w:ascii="宋体" w:hAnsi="宋体" w:eastAsia="宋体" w:cs="宋体"/>
                <w:sz w:val="21"/>
                <w:szCs w:val="21"/>
              </w:rPr>
            </w:pPr>
          </w:p>
        </w:tc>
        <w:tc>
          <w:tcPr>
            <w:tcW w:w="2483" w:type="dxa"/>
            <w:noWrap w:val="0"/>
            <w:vAlign w:val="center"/>
          </w:tcPr>
          <w:p w14:paraId="0243BDDA">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磋商文件</w:t>
            </w:r>
          </w:p>
        </w:tc>
        <w:tc>
          <w:tcPr>
            <w:tcW w:w="2947" w:type="dxa"/>
            <w:noWrap w:val="0"/>
            <w:vAlign w:val="center"/>
          </w:tcPr>
          <w:p w14:paraId="5AAA1EBF">
            <w:pPr>
              <w:autoSpaceDE w:val="0"/>
              <w:autoSpaceDN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w:t>
            </w:r>
          </w:p>
        </w:tc>
        <w:tc>
          <w:tcPr>
            <w:tcW w:w="1035" w:type="dxa"/>
            <w:vMerge w:val="continue"/>
            <w:noWrap w:val="0"/>
            <w:vAlign w:val="center"/>
          </w:tcPr>
          <w:p w14:paraId="114F2487">
            <w:pPr>
              <w:widowControl/>
              <w:jc w:val="left"/>
              <w:rPr>
                <w:rFonts w:hint="eastAsia" w:ascii="宋体" w:hAnsi="宋体" w:eastAsia="宋体" w:cs="宋体"/>
                <w:sz w:val="21"/>
                <w:szCs w:val="21"/>
              </w:rPr>
            </w:pPr>
          </w:p>
        </w:tc>
        <w:tc>
          <w:tcPr>
            <w:tcW w:w="1458" w:type="dxa"/>
            <w:vMerge w:val="continue"/>
            <w:noWrap w:val="0"/>
            <w:vAlign w:val="center"/>
          </w:tcPr>
          <w:p w14:paraId="6DE49324">
            <w:pPr>
              <w:widowControl/>
              <w:jc w:val="left"/>
              <w:rPr>
                <w:rFonts w:hint="eastAsia" w:ascii="宋体" w:hAnsi="宋体" w:eastAsia="宋体" w:cs="宋体"/>
                <w:sz w:val="21"/>
                <w:szCs w:val="21"/>
              </w:rPr>
            </w:pPr>
          </w:p>
        </w:tc>
      </w:tr>
      <w:tr w14:paraId="7860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2077490A">
            <w:pPr>
              <w:spacing w:line="360" w:lineRule="auto"/>
              <w:jc w:val="center"/>
              <w:rPr>
                <w:rFonts w:hint="eastAsia" w:ascii="宋体" w:hAnsi="宋体" w:eastAsia="宋体" w:cs="宋体"/>
                <w:sz w:val="21"/>
                <w:szCs w:val="21"/>
              </w:rPr>
            </w:pPr>
          </w:p>
        </w:tc>
        <w:tc>
          <w:tcPr>
            <w:tcW w:w="2483" w:type="dxa"/>
            <w:noWrap w:val="0"/>
            <w:vAlign w:val="center"/>
          </w:tcPr>
          <w:p w14:paraId="0412C930">
            <w:pPr>
              <w:widowControl/>
              <w:spacing w:line="360" w:lineRule="auto"/>
              <w:jc w:val="center"/>
              <w:rPr>
                <w:rFonts w:hint="eastAsia" w:ascii="宋体" w:hAnsi="宋体" w:eastAsia="宋体" w:cs="宋体"/>
                <w:spacing w:val="-12"/>
                <w:sz w:val="21"/>
                <w:szCs w:val="21"/>
              </w:rPr>
            </w:pPr>
          </w:p>
        </w:tc>
        <w:tc>
          <w:tcPr>
            <w:tcW w:w="2947" w:type="dxa"/>
            <w:noWrap w:val="0"/>
            <w:vAlign w:val="center"/>
          </w:tcPr>
          <w:p w14:paraId="18914C1B">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0DAECE41">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05C5C9FC">
            <w:pPr>
              <w:autoSpaceDE w:val="0"/>
              <w:autoSpaceDN w:val="0"/>
              <w:spacing w:line="360" w:lineRule="auto"/>
              <w:jc w:val="center"/>
              <w:rPr>
                <w:rFonts w:hint="eastAsia" w:ascii="宋体" w:hAnsi="宋体" w:eastAsia="宋体" w:cs="宋体"/>
                <w:sz w:val="21"/>
                <w:szCs w:val="21"/>
              </w:rPr>
            </w:pPr>
          </w:p>
        </w:tc>
      </w:tr>
      <w:tr w14:paraId="16D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67B52A66">
            <w:pPr>
              <w:spacing w:line="360" w:lineRule="auto"/>
              <w:jc w:val="center"/>
              <w:rPr>
                <w:rFonts w:hint="eastAsia" w:ascii="宋体" w:hAnsi="宋体" w:eastAsia="宋体" w:cs="宋体"/>
                <w:sz w:val="21"/>
                <w:szCs w:val="21"/>
              </w:rPr>
            </w:pPr>
          </w:p>
        </w:tc>
        <w:tc>
          <w:tcPr>
            <w:tcW w:w="2483" w:type="dxa"/>
            <w:noWrap w:val="0"/>
            <w:vAlign w:val="center"/>
          </w:tcPr>
          <w:p w14:paraId="0B8F2FB0">
            <w:pPr>
              <w:autoSpaceDE w:val="0"/>
              <w:autoSpaceDN w:val="0"/>
              <w:spacing w:line="360" w:lineRule="auto"/>
              <w:jc w:val="center"/>
              <w:rPr>
                <w:rFonts w:hint="eastAsia" w:ascii="宋体" w:hAnsi="宋体" w:eastAsia="宋体" w:cs="宋体"/>
                <w:sz w:val="21"/>
                <w:szCs w:val="21"/>
              </w:rPr>
            </w:pPr>
          </w:p>
        </w:tc>
        <w:tc>
          <w:tcPr>
            <w:tcW w:w="2947" w:type="dxa"/>
            <w:noWrap w:val="0"/>
            <w:vAlign w:val="center"/>
          </w:tcPr>
          <w:p w14:paraId="4ECBE750">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43001884">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0C299576">
            <w:pPr>
              <w:autoSpaceDE w:val="0"/>
              <w:autoSpaceDN w:val="0"/>
              <w:spacing w:line="360" w:lineRule="auto"/>
              <w:jc w:val="center"/>
              <w:rPr>
                <w:rFonts w:hint="eastAsia" w:ascii="宋体" w:hAnsi="宋体" w:eastAsia="宋体" w:cs="宋体"/>
                <w:sz w:val="21"/>
                <w:szCs w:val="21"/>
              </w:rPr>
            </w:pPr>
          </w:p>
        </w:tc>
      </w:tr>
      <w:tr w14:paraId="6D6F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4D0151D4">
            <w:pPr>
              <w:spacing w:line="360" w:lineRule="auto"/>
              <w:jc w:val="center"/>
              <w:rPr>
                <w:rFonts w:hint="eastAsia" w:ascii="宋体" w:hAnsi="宋体" w:eastAsia="宋体" w:cs="宋体"/>
                <w:sz w:val="21"/>
                <w:szCs w:val="21"/>
              </w:rPr>
            </w:pPr>
          </w:p>
        </w:tc>
        <w:tc>
          <w:tcPr>
            <w:tcW w:w="2483" w:type="dxa"/>
            <w:noWrap w:val="0"/>
            <w:vAlign w:val="center"/>
          </w:tcPr>
          <w:p w14:paraId="04FB5B3A">
            <w:pPr>
              <w:autoSpaceDE w:val="0"/>
              <w:autoSpaceDN w:val="0"/>
              <w:spacing w:line="360" w:lineRule="auto"/>
              <w:jc w:val="center"/>
              <w:rPr>
                <w:rFonts w:hint="eastAsia" w:ascii="宋体" w:hAnsi="宋体" w:eastAsia="宋体" w:cs="宋体"/>
                <w:sz w:val="21"/>
                <w:szCs w:val="21"/>
              </w:rPr>
            </w:pPr>
          </w:p>
        </w:tc>
        <w:tc>
          <w:tcPr>
            <w:tcW w:w="2947" w:type="dxa"/>
            <w:noWrap w:val="0"/>
            <w:vAlign w:val="center"/>
          </w:tcPr>
          <w:p w14:paraId="176770FA">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18771B53">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63E614BA">
            <w:pPr>
              <w:autoSpaceDE w:val="0"/>
              <w:autoSpaceDN w:val="0"/>
              <w:spacing w:line="360" w:lineRule="auto"/>
              <w:jc w:val="center"/>
              <w:rPr>
                <w:rFonts w:hint="eastAsia" w:ascii="宋体" w:hAnsi="宋体" w:eastAsia="宋体" w:cs="宋体"/>
                <w:sz w:val="21"/>
                <w:szCs w:val="21"/>
              </w:rPr>
            </w:pPr>
          </w:p>
        </w:tc>
      </w:tr>
      <w:tr w14:paraId="5287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20CA61C7">
            <w:pPr>
              <w:spacing w:line="360" w:lineRule="auto"/>
              <w:jc w:val="center"/>
              <w:rPr>
                <w:rFonts w:hint="eastAsia" w:ascii="宋体" w:hAnsi="宋体" w:eastAsia="宋体" w:cs="宋体"/>
                <w:sz w:val="21"/>
                <w:szCs w:val="21"/>
              </w:rPr>
            </w:pPr>
          </w:p>
        </w:tc>
        <w:tc>
          <w:tcPr>
            <w:tcW w:w="2483" w:type="dxa"/>
            <w:noWrap w:val="0"/>
            <w:vAlign w:val="center"/>
          </w:tcPr>
          <w:p w14:paraId="275BC2D3">
            <w:pPr>
              <w:autoSpaceDE w:val="0"/>
              <w:autoSpaceDN w:val="0"/>
              <w:spacing w:line="360" w:lineRule="auto"/>
              <w:jc w:val="center"/>
              <w:rPr>
                <w:rFonts w:hint="eastAsia" w:ascii="宋体" w:hAnsi="宋体" w:eastAsia="宋体" w:cs="宋体"/>
                <w:sz w:val="21"/>
                <w:szCs w:val="21"/>
              </w:rPr>
            </w:pPr>
          </w:p>
        </w:tc>
        <w:tc>
          <w:tcPr>
            <w:tcW w:w="2947" w:type="dxa"/>
            <w:noWrap w:val="0"/>
            <w:vAlign w:val="center"/>
          </w:tcPr>
          <w:p w14:paraId="53F8B0C4">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1CB22895">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7BFE626E">
            <w:pPr>
              <w:autoSpaceDE w:val="0"/>
              <w:autoSpaceDN w:val="0"/>
              <w:spacing w:line="360" w:lineRule="auto"/>
              <w:jc w:val="center"/>
              <w:rPr>
                <w:rFonts w:hint="eastAsia" w:ascii="宋体" w:hAnsi="宋体" w:eastAsia="宋体" w:cs="宋体"/>
                <w:sz w:val="21"/>
                <w:szCs w:val="21"/>
              </w:rPr>
            </w:pPr>
          </w:p>
        </w:tc>
      </w:tr>
      <w:tr w14:paraId="5476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4C210A88">
            <w:pPr>
              <w:spacing w:line="360" w:lineRule="auto"/>
              <w:jc w:val="center"/>
              <w:rPr>
                <w:rFonts w:hint="eastAsia" w:ascii="宋体" w:hAnsi="宋体" w:eastAsia="宋体" w:cs="宋体"/>
                <w:sz w:val="21"/>
                <w:szCs w:val="21"/>
              </w:rPr>
            </w:pPr>
          </w:p>
        </w:tc>
        <w:tc>
          <w:tcPr>
            <w:tcW w:w="2483" w:type="dxa"/>
            <w:noWrap w:val="0"/>
            <w:vAlign w:val="center"/>
          </w:tcPr>
          <w:p w14:paraId="27323610">
            <w:pPr>
              <w:widowControl/>
              <w:spacing w:line="360" w:lineRule="auto"/>
              <w:jc w:val="center"/>
              <w:rPr>
                <w:rFonts w:hint="eastAsia" w:ascii="宋体" w:hAnsi="宋体" w:eastAsia="宋体" w:cs="宋体"/>
                <w:sz w:val="21"/>
                <w:szCs w:val="21"/>
              </w:rPr>
            </w:pPr>
          </w:p>
        </w:tc>
        <w:tc>
          <w:tcPr>
            <w:tcW w:w="2947" w:type="dxa"/>
            <w:noWrap w:val="0"/>
            <w:vAlign w:val="center"/>
          </w:tcPr>
          <w:p w14:paraId="14DB8E79">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6D2A37EC">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04D90357">
            <w:pPr>
              <w:autoSpaceDE w:val="0"/>
              <w:autoSpaceDN w:val="0"/>
              <w:spacing w:line="360" w:lineRule="auto"/>
              <w:jc w:val="center"/>
              <w:rPr>
                <w:rFonts w:hint="eastAsia" w:ascii="宋体" w:hAnsi="宋体" w:eastAsia="宋体" w:cs="宋体"/>
                <w:sz w:val="21"/>
                <w:szCs w:val="21"/>
              </w:rPr>
            </w:pPr>
          </w:p>
        </w:tc>
      </w:tr>
      <w:tr w14:paraId="622B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trPr>
        <w:tc>
          <w:tcPr>
            <w:tcW w:w="998" w:type="dxa"/>
            <w:noWrap w:val="0"/>
            <w:vAlign w:val="center"/>
          </w:tcPr>
          <w:p w14:paraId="579BCEC9">
            <w:pPr>
              <w:spacing w:line="360" w:lineRule="auto"/>
              <w:jc w:val="center"/>
              <w:rPr>
                <w:rFonts w:hint="eastAsia" w:ascii="宋体" w:hAnsi="宋体" w:eastAsia="宋体" w:cs="宋体"/>
                <w:sz w:val="21"/>
                <w:szCs w:val="21"/>
              </w:rPr>
            </w:pPr>
          </w:p>
        </w:tc>
        <w:tc>
          <w:tcPr>
            <w:tcW w:w="2483" w:type="dxa"/>
            <w:noWrap w:val="0"/>
            <w:vAlign w:val="center"/>
          </w:tcPr>
          <w:p w14:paraId="0AB3DFFE">
            <w:pPr>
              <w:autoSpaceDE w:val="0"/>
              <w:autoSpaceDN w:val="0"/>
              <w:spacing w:line="360" w:lineRule="auto"/>
              <w:jc w:val="center"/>
              <w:rPr>
                <w:rFonts w:hint="eastAsia" w:ascii="宋体" w:hAnsi="宋体" w:eastAsia="宋体" w:cs="宋体"/>
                <w:sz w:val="21"/>
                <w:szCs w:val="21"/>
              </w:rPr>
            </w:pPr>
          </w:p>
        </w:tc>
        <w:tc>
          <w:tcPr>
            <w:tcW w:w="2947" w:type="dxa"/>
            <w:noWrap w:val="0"/>
            <w:vAlign w:val="center"/>
          </w:tcPr>
          <w:p w14:paraId="43EFD7A6">
            <w:pPr>
              <w:autoSpaceDE w:val="0"/>
              <w:autoSpaceDN w:val="0"/>
              <w:spacing w:line="360" w:lineRule="auto"/>
              <w:jc w:val="center"/>
              <w:rPr>
                <w:rFonts w:hint="eastAsia" w:ascii="宋体" w:hAnsi="宋体" w:eastAsia="宋体" w:cs="宋体"/>
                <w:sz w:val="21"/>
                <w:szCs w:val="21"/>
              </w:rPr>
            </w:pPr>
          </w:p>
        </w:tc>
        <w:tc>
          <w:tcPr>
            <w:tcW w:w="1035" w:type="dxa"/>
            <w:noWrap w:val="0"/>
            <w:vAlign w:val="center"/>
          </w:tcPr>
          <w:p w14:paraId="3B27CF1C">
            <w:pPr>
              <w:autoSpaceDE w:val="0"/>
              <w:autoSpaceDN w:val="0"/>
              <w:spacing w:line="360" w:lineRule="auto"/>
              <w:jc w:val="center"/>
              <w:rPr>
                <w:rFonts w:hint="eastAsia" w:ascii="宋体" w:hAnsi="宋体" w:eastAsia="宋体" w:cs="宋体"/>
                <w:sz w:val="21"/>
                <w:szCs w:val="21"/>
              </w:rPr>
            </w:pPr>
          </w:p>
        </w:tc>
        <w:tc>
          <w:tcPr>
            <w:tcW w:w="1458" w:type="dxa"/>
            <w:noWrap w:val="0"/>
            <w:vAlign w:val="center"/>
          </w:tcPr>
          <w:p w14:paraId="7685A9B5">
            <w:pPr>
              <w:autoSpaceDE w:val="0"/>
              <w:autoSpaceDN w:val="0"/>
              <w:spacing w:line="360" w:lineRule="auto"/>
              <w:jc w:val="center"/>
              <w:rPr>
                <w:rFonts w:hint="eastAsia" w:ascii="宋体" w:hAnsi="宋体" w:eastAsia="宋体" w:cs="宋体"/>
                <w:sz w:val="21"/>
                <w:szCs w:val="21"/>
              </w:rPr>
            </w:pPr>
          </w:p>
        </w:tc>
      </w:tr>
    </w:tbl>
    <w:p w14:paraId="33DE70D1">
      <w:pPr>
        <w:spacing w:line="360" w:lineRule="auto"/>
        <w:ind w:firstLine="420" w:firstLineChars="200"/>
        <w:rPr>
          <w:rFonts w:hint="eastAsia" w:ascii="宋体" w:hAnsi="宋体" w:eastAsia="宋体" w:cs="宋体"/>
          <w:sz w:val="21"/>
          <w:szCs w:val="21"/>
        </w:rPr>
      </w:pPr>
    </w:p>
    <w:p w14:paraId="3644C6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供应商（盖章）：</w:t>
      </w:r>
    </w:p>
    <w:p w14:paraId="00BB9D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771C7B12">
      <w:pPr>
        <w:spacing w:line="360" w:lineRule="auto"/>
        <w:ind w:firstLine="420" w:firstLineChars="200"/>
        <w:rPr>
          <w:rFonts w:hint="eastAsia" w:ascii="宋体" w:hAnsi="宋体" w:eastAsia="宋体" w:cs="宋体"/>
          <w:b/>
          <w:bCs/>
          <w:sz w:val="21"/>
          <w:szCs w:val="21"/>
          <w:lang w:val="zh-CN"/>
        </w:rPr>
      </w:pPr>
      <w:r>
        <w:rPr>
          <w:rFonts w:hint="eastAsia" w:ascii="宋体" w:hAnsi="宋体" w:eastAsia="宋体" w:cs="宋体"/>
          <w:sz w:val="21"/>
          <w:szCs w:val="21"/>
        </w:rPr>
        <w:t>日期：</w:t>
      </w:r>
    </w:p>
    <w:p w14:paraId="78F162D9">
      <w:pPr>
        <w:tabs>
          <w:tab w:val="left" w:pos="5220"/>
        </w:tabs>
        <w:spacing w:line="620" w:lineRule="exact"/>
        <w:rPr>
          <w:rFonts w:hint="eastAsia" w:ascii="宋体" w:hAnsi="宋体" w:eastAsia="宋体" w:cs="宋体"/>
          <w:sz w:val="21"/>
          <w:szCs w:val="21"/>
        </w:rPr>
      </w:pPr>
      <w:r>
        <w:rPr>
          <w:rFonts w:hint="eastAsia" w:ascii="宋体" w:hAnsi="宋体" w:eastAsia="宋体" w:cs="宋体"/>
          <w:sz w:val="21"/>
          <w:szCs w:val="21"/>
        </w:rPr>
        <w:t>说明：</w:t>
      </w:r>
    </w:p>
    <w:p w14:paraId="11824B05">
      <w:pPr>
        <w:autoSpaceDE w:val="0"/>
        <w:autoSpaceDN w:val="0"/>
        <w:adjustRightInd w:val="0"/>
        <w:rPr>
          <w:rFonts w:hint="eastAsia" w:ascii="宋体" w:hAnsi="宋体" w:eastAsia="宋体" w:cs="宋体"/>
          <w:snapToGrid w:val="0"/>
          <w:sz w:val="21"/>
          <w:szCs w:val="21"/>
        </w:rPr>
      </w:pPr>
      <w:r>
        <w:rPr>
          <w:rFonts w:hint="eastAsia" w:ascii="宋体" w:hAnsi="宋体" w:eastAsia="宋体" w:cs="宋体"/>
          <w:snapToGrid w:val="0"/>
          <w:sz w:val="21"/>
          <w:szCs w:val="21"/>
        </w:rPr>
        <w:t>1、本表序号须与磋商文件</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rPr>
        <w:t>采购内容及服务要求</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lang w:val="en-US" w:eastAsia="zh-CN"/>
        </w:rPr>
        <w:t>相对应</w:t>
      </w:r>
      <w:r>
        <w:rPr>
          <w:rFonts w:hint="eastAsia" w:ascii="宋体" w:hAnsi="宋体" w:eastAsia="宋体" w:cs="宋体"/>
          <w:snapToGrid w:val="0"/>
          <w:sz w:val="21"/>
          <w:szCs w:val="21"/>
        </w:rPr>
        <w:t>；</w:t>
      </w:r>
    </w:p>
    <w:p w14:paraId="3462C7B2">
      <w:pPr>
        <w:autoSpaceDE w:val="0"/>
        <w:autoSpaceDN w:val="0"/>
        <w:adjustRightInd w:val="0"/>
        <w:rPr>
          <w:rFonts w:hint="eastAsia" w:ascii="宋体" w:hAnsi="宋体" w:eastAsia="宋体" w:cs="宋体"/>
          <w:snapToGrid w:val="0"/>
          <w:sz w:val="21"/>
          <w:szCs w:val="21"/>
        </w:rPr>
      </w:pPr>
      <w:r>
        <w:rPr>
          <w:rFonts w:hint="eastAsia" w:ascii="宋体" w:hAnsi="宋体" w:eastAsia="宋体" w:cs="宋体"/>
          <w:snapToGrid w:val="0"/>
          <w:sz w:val="21"/>
          <w:szCs w:val="21"/>
        </w:rPr>
        <w:t>2、此偏差表响应文件中出现竞争性磋商文件要求的语言语句（例如：“要求供应商”、“ 要求不大于或不小于”、“供应商须出具、供应商提供…..”）等类似字、词，将可能被视为照抄复制磋商文件。</w:t>
      </w:r>
    </w:p>
    <w:p w14:paraId="6D864D58">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br w:type="page"/>
      </w:r>
      <w:bookmarkStart w:id="529" w:name="_Toc6972"/>
    </w:p>
    <w:p w14:paraId="0585D63B">
      <w:pPr>
        <w:spacing w:line="360" w:lineRule="auto"/>
        <w:jc w:val="both"/>
        <w:rPr>
          <w:rFonts w:hint="default" w:ascii="宋体" w:hAnsi="宋体" w:eastAsia="宋体" w:cs="宋体"/>
          <w:b/>
          <w:sz w:val="21"/>
          <w:szCs w:val="21"/>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 xml:space="preserve"> 5</w:t>
      </w:r>
    </w:p>
    <w:p w14:paraId="4AD871FE">
      <w:pPr>
        <w:spacing w:line="360" w:lineRule="auto"/>
        <w:jc w:val="center"/>
        <w:rPr>
          <w:rFonts w:hint="eastAsia" w:ascii="宋体" w:hAnsi="宋体" w:cs="宋体"/>
          <w:b/>
          <w:bCs/>
          <w:sz w:val="28"/>
          <w:szCs w:val="28"/>
        </w:rPr>
      </w:pPr>
      <w:r>
        <w:rPr>
          <w:rFonts w:hint="eastAsia" w:ascii="宋体" w:hAnsi="宋体" w:eastAsia="宋体" w:cs="宋体"/>
          <w:b/>
          <w:spacing w:val="-8"/>
          <w:sz w:val="32"/>
          <w:szCs w:val="32"/>
          <w:highlight w:val="none"/>
          <w:lang w:eastAsia="zh-CN"/>
        </w:rPr>
        <w:t>竞争性磋商文件内容确认书</w:t>
      </w:r>
      <w:bookmarkEnd w:id="529"/>
    </w:p>
    <w:p w14:paraId="5908BD87">
      <w:pPr>
        <w:spacing w:line="440" w:lineRule="exact"/>
        <w:ind w:firstLine="482" w:firstLineChars="200"/>
        <w:rPr>
          <w:rFonts w:hint="eastAsia" w:ascii="宋体" w:hAnsi="宋体" w:cs="宋体"/>
          <w:b/>
          <w:sz w:val="24"/>
          <w:u w:val="single"/>
        </w:rPr>
      </w:pPr>
    </w:p>
    <w:p w14:paraId="67FD9B7B">
      <w:pPr>
        <w:spacing w:line="440" w:lineRule="exact"/>
        <w:ind w:firstLine="422" w:firstLineChars="200"/>
        <w:rPr>
          <w:rFonts w:hint="eastAsia" w:ascii="宋体" w:hAnsi="宋体" w:eastAsia="宋体" w:cs="宋体"/>
          <w:b/>
          <w:sz w:val="21"/>
          <w:szCs w:val="21"/>
          <w:u w:val="single"/>
        </w:rPr>
      </w:pPr>
      <w:r>
        <w:rPr>
          <w:rFonts w:hint="eastAsia" w:ascii="宋体" w:hAnsi="宋体" w:eastAsia="宋体" w:cs="宋体"/>
          <w:b/>
          <w:sz w:val="21"/>
          <w:szCs w:val="21"/>
          <w:u w:val="single"/>
        </w:rPr>
        <w:t xml:space="preserve">（采购人）       </w:t>
      </w:r>
      <w:r>
        <w:rPr>
          <w:rFonts w:hint="eastAsia" w:ascii="宋体" w:hAnsi="宋体" w:eastAsia="宋体" w:cs="宋体"/>
          <w:sz w:val="21"/>
          <w:szCs w:val="21"/>
        </w:rPr>
        <w:t>：</w:t>
      </w:r>
    </w:p>
    <w:p w14:paraId="6BEE7BE7">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我方已经详细阅读整个竞争性磋商文件的内容，对本竞争性磋商文件的内容没有任何异议，全部同意并接受且我方保证在开评标活动结束后不对本竞争性磋商文件的任何内容提出异议。</w:t>
      </w:r>
    </w:p>
    <w:p w14:paraId="2E04D539">
      <w:pPr>
        <w:spacing w:line="440" w:lineRule="exact"/>
        <w:ind w:firstLine="420" w:firstLineChars="200"/>
        <w:rPr>
          <w:rFonts w:hint="eastAsia" w:ascii="宋体" w:hAnsi="宋体" w:eastAsia="宋体" w:cs="宋体"/>
          <w:sz w:val="21"/>
          <w:szCs w:val="21"/>
        </w:rPr>
      </w:pPr>
    </w:p>
    <w:p w14:paraId="22F93777">
      <w:pPr>
        <w:spacing w:line="440" w:lineRule="exact"/>
        <w:ind w:firstLine="420" w:firstLineChars="200"/>
        <w:rPr>
          <w:rFonts w:hint="eastAsia" w:ascii="宋体" w:hAnsi="宋体" w:eastAsia="宋体" w:cs="宋体"/>
          <w:sz w:val="21"/>
          <w:szCs w:val="21"/>
        </w:rPr>
      </w:pPr>
    </w:p>
    <w:p w14:paraId="7B86A1AD">
      <w:pPr>
        <w:spacing w:line="440" w:lineRule="exact"/>
        <w:ind w:firstLine="420" w:firstLineChars="200"/>
        <w:rPr>
          <w:rFonts w:hint="eastAsia" w:ascii="宋体" w:hAnsi="宋体" w:eastAsia="宋体" w:cs="宋体"/>
          <w:sz w:val="21"/>
          <w:szCs w:val="21"/>
        </w:rPr>
      </w:pPr>
    </w:p>
    <w:p w14:paraId="4CE6434E">
      <w:pPr>
        <w:spacing w:line="440" w:lineRule="exact"/>
        <w:ind w:firstLine="420" w:firstLineChars="200"/>
        <w:rPr>
          <w:rFonts w:hint="eastAsia" w:ascii="宋体" w:hAnsi="宋体" w:eastAsia="宋体" w:cs="宋体"/>
          <w:sz w:val="21"/>
          <w:szCs w:val="21"/>
        </w:rPr>
      </w:pPr>
    </w:p>
    <w:p w14:paraId="365C23D8">
      <w:pPr>
        <w:spacing w:line="440" w:lineRule="exact"/>
        <w:ind w:firstLine="420" w:firstLineChars="200"/>
        <w:rPr>
          <w:rFonts w:hint="eastAsia" w:ascii="宋体" w:hAnsi="宋体" w:eastAsia="宋体" w:cs="宋体"/>
          <w:sz w:val="21"/>
          <w:szCs w:val="21"/>
        </w:rPr>
      </w:pPr>
    </w:p>
    <w:p w14:paraId="20D67E62">
      <w:pPr>
        <w:spacing w:line="440" w:lineRule="exact"/>
        <w:ind w:firstLine="420" w:firstLineChars="200"/>
        <w:rPr>
          <w:rFonts w:hint="eastAsia" w:ascii="宋体" w:hAnsi="宋体" w:eastAsia="宋体" w:cs="宋体"/>
          <w:sz w:val="21"/>
          <w:szCs w:val="21"/>
        </w:rPr>
      </w:pPr>
    </w:p>
    <w:p w14:paraId="041933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供应商（盖章）：</w:t>
      </w:r>
      <w:r>
        <w:rPr>
          <w:rFonts w:hint="eastAsia" w:ascii="宋体" w:hAnsi="宋体" w:eastAsia="宋体" w:cs="宋体"/>
          <w:sz w:val="21"/>
          <w:szCs w:val="21"/>
          <w:u w:val="single"/>
        </w:rPr>
        <w:t xml:space="preserve"> </w:t>
      </w:r>
    </w:p>
    <w:p w14:paraId="72C0DF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3A3E9A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w:t>
      </w:r>
    </w:p>
    <w:p w14:paraId="3056B50B">
      <w:pPr>
        <w:autoSpaceDE w:val="0"/>
        <w:autoSpaceDN w:val="0"/>
        <w:adjustRightInd w:val="0"/>
        <w:rPr>
          <w:rFonts w:hint="eastAsia" w:ascii="宋体" w:hAnsi="宋体" w:eastAsia="宋体" w:cs="宋体"/>
          <w:snapToGrid w:val="0"/>
          <w:sz w:val="21"/>
          <w:szCs w:val="21"/>
        </w:rPr>
      </w:pPr>
    </w:p>
    <w:p w14:paraId="6AEBF34B">
      <w:pPr>
        <w:autoSpaceDE w:val="0"/>
        <w:autoSpaceDN w:val="0"/>
        <w:adjustRightInd w:val="0"/>
        <w:rPr>
          <w:rFonts w:hint="eastAsia" w:ascii="宋体" w:hAnsi="宋体" w:cs="宋体"/>
          <w:snapToGrid w:val="0"/>
          <w:sz w:val="24"/>
        </w:rPr>
      </w:pPr>
    </w:p>
    <w:p w14:paraId="1D6EDD95">
      <w:pPr>
        <w:spacing w:line="360" w:lineRule="auto"/>
        <w:jc w:val="both"/>
        <w:rPr>
          <w:rFonts w:hint="eastAsia" w:ascii="宋体" w:hAnsi="宋体" w:eastAsia="宋体" w:cs="宋体"/>
          <w:b/>
          <w:color w:val="000000"/>
          <w:sz w:val="21"/>
          <w:szCs w:val="21"/>
          <w:highlight w:val="none"/>
          <w:lang w:val="en-US" w:eastAsia="zh-CN"/>
        </w:rPr>
      </w:pPr>
      <w:r>
        <w:rPr>
          <w:rFonts w:hint="eastAsia" w:ascii="宋体" w:hAnsi="宋体" w:cs="宋体"/>
          <w:b/>
          <w:sz w:val="24"/>
        </w:rPr>
        <w:br w:type="page"/>
      </w:r>
      <w:bookmarkStart w:id="530" w:name="_Toc30138"/>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 xml:space="preserve"> 6</w:t>
      </w:r>
    </w:p>
    <w:p w14:paraId="6DDC409C">
      <w:pPr>
        <w:spacing w:line="360" w:lineRule="auto"/>
        <w:jc w:val="center"/>
        <w:rPr>
          <w:rFonts w:hint="eastAsia" w:ascii="宋体" w:hAnsi="宋体" w:eastAsia="宋体" w:cs="宋体"/>
          <w:b/>
          <w:sz w:val="32"/>
          <w:szCs w:val="32"/>
        </w:rPr>
      </w:pPr>
      <w:r>
        <w:rPr>
          <w:rFonts w:hint="eastAsia" w:ascii="宋体" w:hAnsi="宋体" w:eastAsia="宋体" w:cs="宋体"/>
          <w:b/>
          <w:spacing w:val="-8"/>
          <w:sz w:val="32"/>
          <w:szCs w:val="32"/>
          <w:highlight w:val="none"/>
          <w:lang w:eastAsia="zh-CN"/>
        </w:rPr>
        <w:t>履约承诺书</w:t>
      </w:r>
      <w:bookmarkEnd w:id="530"/>
    </w:p>
    <w:p w14:paraId="426D2DED">
      <w:pPr>
        <w:tabs>
          <w:tab w:val="left" w:pos="540"/>
        </w:tabs>
        <w:spacing w:line="440" w:lineRule="exact"/>
        <w:jc w:val="center"/>
        <w:rPr>
          <w:rFonts w:hint="eastAsia" w:ascii="宋体" w:hAnsi="宋体" w:eastAsia="宋体" w:cs="宋体"/>
          <w:b/>
          <w:color w:val="auto"/>
          <w:sz w:val="21"/>
          <w:szCs w:val="21"/>
        </w:rPr>
      </w:pPr>
    </w:p>
    <w:p w14:paraId="03A01A4C">
      <w:pPr>
        <w:keepNext w:val="0"/>
        <w:keepLines w:val="0"/>
        <w:pageBreakBefore w:val="0"/>
        <w:widowControl w:val="0"/>
        <w:kinsoku/>
        <w:wordWrap/>
        <w:overflowPunct/>
        <w:topLinePunct w:val="0"/>
        <w:autoSpaceDE/>
        <w:autoSpaceDN/>
        <w:bidi w:val="0"/>
        <w:adjustRightInd w:val="0"/>
        <w:snapToGrid w:val="0"/>
        <w:spacing w:line="360" w:lineRule="auto"/>
        <w:ind w:right="0" w:firstLine="55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一、我单位承诺：</w:t>
      </w:r>
    </w:p>
    <w:p w14:paraId="14CAC55C">
      <w:pPr>
        <w:keepNext w:val="0"/>
        <w:keepLines w:val="0"/>
        <w:pageBreakBefore w:val="0"/>
        <w:widowControl w:val="0"/>
        <w:kinsoku/>
        <w:wordWrap/>
        <w:overflowPunct/>
        <w:topLinePunct w:val="0"/>
        <w:autoSpaceDE/>
        <w:autoSpaceDN/>
        <w:bidi w:val="0"/>
        <w:adjustRightInd w:val="0"/>
        <w:snapToGrid w:val="0"/>
        <w:spacing w:line="360" w:lineRule="auto"/>
        <w:ind w:right="0" w:firstLine="55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（一）我单位已详细阅读并完全理解、同意</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的全部内容，包括修改补充文件以及全部参考资料和有关附件；除我单位在</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规定期间内书面提出的疑问外，我单位放弃对这方面不明及误解的权力，并严格按采购人确定的技术及商务要求等履行。</w:t>
      </w:r>
    </w:p>
    <w:p w14:paraId="77E3FEDC">
      <w:pPr>
        <w:keepNext w:val="0"/>
        <w:keepLines w:val="0"/>
        <w:pageBreakBefore w:val="0"/>
        <w:widowControl w:val="0"/>
        <w:tabs>
          <w:tab w:val="left" w:pos="9354"/>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（二）我单位</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开启前已详细勘察现场，并按采购人现场条件及采购要求编制磋商报价；我单位的磋商报价括</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所述报价组成的所有内容、并包括</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未列明而与采购项目相关的、必须的所有款项及费用等达到交付使用及验收条件的所有一切风险、责任和义务的费用。</w:t>
      </w:r>
    </w:p>
    <w:p w14:paraId="7E24B363">
      <w:pPr>
        <w:keepNext w:val="0"/>
        <w:keepLines w:val="0"/>
        <w:pageBreakBefore w:val="0"/>
        <w:widowControl w:val="0"/>
        <w:tabs>
          <w:tab w:val="left" w:pos="9354"/>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我单位保证按</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要求及投标承诺的质量诚信履约。</w:t>
      </w:r>
    </w:p>
    <w:p w14:paraId="7E80E14C">
      <w:pPr>
        <w:keepNext w:val="0"/>
        <w:keepLines w:val="0"/>
        <w:pageBreakBefore w:val="0"/>
        <w:widowControl w:val="0"/>
        <w:tabs>
          <w:tab w:val="left" w:pos="9354"/>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（三）我单位保证在</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435D7BA">
      <w:pPr>
        <w:keepNext w:val="0"/>
        <w:keepLines w:val="0"/>
        <w:pageBreakBefore w:val="0"/>
        <w:widowControl w:val="0"/>
        <w:tabs>
          <w:tab w:val="left" w:pos="9354"/>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二、我单位承诺：</w:t>
      </w:r>
    </w:p>
    <w:p w14:paraId="335BF524">
      <w:pPr>
        <w:keepNext w:val="0"/>
        <w:keepLines w:val="0"/>
        <w:pageBreakBefore w:val="0"/>
        <w:widowControl w:val="0"/>
        <w:tabs>
          <w:tab w:val="left" w:pos="9354"/>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除法律规定的不可抗力因素外，我单位中标后以任何理由（包括违背上述承诺的事项）提出不能满足</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技术、交验期等要求或不能实现投标承诺的或提出变更的，我单位将无条件接受违约处理、并放弃我单位中标资格。我单位知悉违约责任及其处理，并无条件接受：依据磋商文件，供应商承担相应法律责任及违约责任；情节严重的，由财政部门列入不良行为记录名单，在一至三年内禁止参加政府采购活动，并予以通报，处以罚金，给采购人及他人造成损失的，承担相应的赔偿责任。</w:t>
      </w:r>
    </w:p>
    <w:p w14:paraId="5FBDE0AA">
      <w:pPr>
        <w:spacing w:line="440" w:lineRule="exact"/>
        <w:jc w:val="center"/>
        <w:outlineLvl w:val="1"/>
        <w:rPr>
          <w:rFonts w:hint="eastAsia" w:ascii="宋体" w:hAnsi="宋体" w:eastAsia="宋体" w:cs="宋体"/>
          <w:b/>
          <w:sz w:val="21"/>
          <w:szCs w:val="21"/>
        </w:rPr>
      </w:pPr>
    </w:p>
    <w:p w14:paraId="1830AD5D">
      <w:pPr>
        <w:spacing w:line="360" w:lineRule="auto"/>
        <w:rPr>
          <w:rFonts w:hint="eastAsia" w:ascii="宋体" w:hAnsi="宋体" w:eastAsia="宋体" w:cs="宋体"/>
          <w:sz w:val="21"/>
          <w:szCs w:val="21"/>
        </w:rPr>
      </w:pPr>
      <w:r>
        <w:rPr>
          <w:rFonts w:hint="eastAsia" w:ascii="宋体" w:hAnsi="宋体" w:eastAsia="宋体" w:cs="宋体"/>
          <w:sz w:val="21"/>
          <w:szCs w:val="21"/>
        </w:rPr>
        <w:t>供应商（盖章）：</w:t>
      </w:r>
      <w:r>
        <w:rPr>
          <w:rFonts w:hint="eastAsia" w:ascii="宋体" w:hAnsi="宋体" w:eastAsia="宋体" w:cs="宋体"/>
          <w:sz w:val="21"/>
          <w:szCs w:val="21"/>
          <w:u w:val="single"/>
        </w:rPr>
        <w:t xml:space="preserve"> </w:t>
      </w:r>
    </w:p>
    <w:p w14:paraId="3A5B4486">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25D380AA">
      <w:pPr>
        <w:pStyle w:val="11"/>
        <w:ind w:left="0" w:leftChars="0" w:firstLine="0" w:firstLineChars="0"/>
        <w:rPr>
          <w:rFonts w:hint="eastAsia" w:ascii="宋体" w:hAnsi="宋体" w:eastAsia="宋体" w:cs="宋体"/>
          <w:b/>
          <w:color w:val="000000"/>
          <w:sz w:val="21"/>
          <w:szCs w:val="21"/>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sz w:val="21"/>
          <w:szCs w:val="21"/>
        </w:rPr>
        <w:t>日期：</w:t>
      </w:r>
    </w:p>
    <w:p w14:paraId="1BF84C41">
      <w:pPr>
        <w:pStyle w:val="2"/>
        <w:rPr>
          <w:rFonts w:hint="default" w:eastAsia="宋体"/>
          <w:lang w:val="en-US" w:eastAsia="zh-CN"/>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 xml:space="preserve"> 7</w:t>
      </w:r>
    </w:p>
    <w:p w14:paraId="277B712B">
      <w:pPr>
        <w:jc w:val="center"/>
        <w:rPr>
          <w:rFonts w:hint="eastAsia" w:ascii="宋体" w:hAnsi="宋体" w:eastAsia="宋体" w:cs="宋体"/>
          <w:b/>
          <w:color w:val="000000"/>
          <w:sz w:val="21"/>
          <w:szCs w:val="21"/>
          <w:highlight w:val="none"/>
          <w:lang w:eastAsia="zh-CN"/>
        </w:rPr>
      </w:pPr>
    </w:p>
    <w:p w14:paraId="0F027166">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供应商</w:t>
      </w:r>
      <w:r>
        <w:rPr>
          <w:rFonts w:hint="eastAsia" w:ascii="宋体" w:hAnsi="宋体" w:eastAsia="宋体" w:cs="宋体"/>
          <w:b/>
          <w:color w:val="000000"/>
          <w:sz w:val="32"/>
          <w:szCs w:val="32"/>
          <w:highlight w:val="none"/>
        </w:rPr>
        <w:t>认为需补充的其它资料或说明</w:t>
      </w:r>
    </w:p>
    <w:p w14:paraId="0406E89C">
      <w:pPr>
        <w:spacing w:line="360" w:lineRule="auto"/>
        <w:rPr>
          <w:rFonts w:hint="eastAsia" w:ascii="宋体" w:hAnsi="宋体" w:eastAsia="宋体" w:cs="宋体"/>
          <w:b/>
          <w:color w:val="000000"/>
          <w:sz w:val="21"/>
          <w:szCs w:val="21"/>
          <w:highlight w:val="none"/>
        </w:rPr>
      </w:pPr>
    </w:p>
    <w:p w14:paraId="07DBD5FA">
      <w:pPr>
        <w:spacing w:line="360" w:lineRule="auto"/>
        <w:rPr>
          <w:rFonts w:hint="eastAsia" w:ascii="宋体" w:hAnsi="宋体" w:eastAsia="宋体" w:cs="宋体"/>
          <w:b/>
          <w:color w:val="000000"/>
          <w:sz w:val="21"/>
          <w:szCs w:val="21"/>
          <w:highlight w:val="none"/>
        </w:rPr>
      </w:pPr>
    </w:p>
    <w:p w14:paraId="10E49139">
      <w:pPr>
        <w:spacing w:line="360" w:lineRule="auto"/>
        <w:rPr>
          <w:rFonts w:hint="eastAsia" w:ascii="宋体" w:hAnsi="宋体" w:eastAsia="宋体" w:cs="宋体"/>
          <w:b/>
          <w:color w:val="000000"/>
          <w:sz w:val="21"/>
          <w:szCs w:val="21"/>
          <w:highlight w:val="none"/>
        </w:rPr>
      </w:pPr>
    </w:p>
    <w:p w14:paraId="2F32EBFC">
      <w:pPr>
        <w:spacing w:line="360" w:lineRule="auto"/>
        <w:rPr>
          <w:rFonts w:hint="eastAsia" w:ascii="宋体" w:hAnsi="宋体" w:eastAsia="宋体" w:cs="宋体"/>
          <w:b/>
          <w:color w:val="000000"/>
          <w:sz w:val="21"/>
          <w:szCs w:val="21"/>
          <w:highlight w:val="none"/>
        </w:rPr>
      </w:pPr>
    </w:p>
    <w:p w14:paraId="5DA803E7">
      <w:pPr>
        <w:spacing w:line="360" w:lineRule="auto"/>
        <w:rPr>
          <w:rFonts w:hint="eastAsia" w:ascii="宋体" w:hAnsi="宋体" w:eastAsia="宋体" w:cs="宋体"/>
          <w:b/>
          <w:color w:val="000000"/>
          <w:sz w:val="21"/>
          <w:szCs w:val="21"/>
          <w:highlight w:val="none"/>
        </w:rPr>
      </w:pPr>
    </w:p>
    <w:p w14:paraId="0F736506">
      <w:pPr>
        <w:spacing w:line="360" w:lineRule="auto"/>
        <w:rPr>
          <w:rFonts w:hint="eastAsia" w:ascii="宋体" w:hAnsi="宋体" w:eastAsia="宋体" w:cs="宋体"/>
          <w:b/>
          <w:color w:val="000000"/>
          <w:sz w:val="21"/>
          <w:szCs w:val="21"/>
          <w:highlight w:val="none"/>
        </w:rPr>
      </w:pPr>
    </w:p>
    <w:p w14:paraId="2467495D">
      <w:pPr>
        <w:spacing w:line="360" w:lineRule="auto"/>
        <w:rPr>
          <w:rFonts w:hint="eastAsia" w:ascii="宋体" w:hAnsi="宋体" w:eastAsia="宋体" w:cs="宋体"/>
          <w:b/>
          <w:color w:val="000000"/>
          <w:sz w:val="21"/>
          <w:szCs w:val="21"/>
          <w:highlight w:val="none"/>
        </w:rPr>
      </w:pPr>
    </w:p>
    <w:p w14:paraId="2ABA6DC0">
      <w:pPr>
        <w:spacing w:line="360" w:lineRule="auto"/>
        <w:rPr>
          <w:rFonts w:hint="eastAsia" w:ascii="宋体" w:hAnsi="宋体" w:eastAsia="宋体" w:cs="宋体"/>
          <w:b/>
          <w:color w:val="000000"/>
          <w:sz w:val="21"/>
          <w:szCs w:val="21"/>
          <w:highlight w:val="none"/>
        </w:rPr>
      </w:pPr>
    </w:p>
    <w:p w14:paraId="20C8C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highlight w:val="none"/>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33D40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报价要求响应文件</w:t>
      </w:r>
    </w:p>
    <w:p w14:paraId="537F83DE">
      <w:pPr>
        <w:spacing w:line="360" w:lineRule="auto"/>
        <w:rPr>
          <w:rFonts w:hint="eastAsia" w:ascii="宋体" w:hAnsi="宋体" w:eastAsia="宋体" w:cs="宋体"/>
          <w:b/>
          <w:color w:val="000000"/>
          <w:sz w:val="21"/>
          <w:szCs w:val="21"/>
          <w:highlight w:val="none"/>
        </w:rPr>
      </w:pPr>
    </w:p>
    <w:p w14:paraId="331E3C3B">
      <w:pPr>
        <w:spacing w:line="360" w:lineRule="auto"/>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附件</w:t>
      </w:r>
      <w:r>
        <w:rPr>
          <w:rFonts w:hint="eastAsia" w:ascii="宋体" w:hAnsi="宋体" w:eastAsia="宋体" w:cs="宋体"/>
          <w:b/>
          <w:color w:val="000000"/>
          <w:sz w:val="21"/>
          <w:szCs w:val="21"/>
          <w:highlight w:val="none"/>
          <w:lang w:val="en-US" w:eastAsia="zh-CN"/>
        </w:rPr>
        <w:t>1</w:t>
      </w:r>
    </w:p>
    <w:p w14:paraId="78EBBE9A">
      <w:pPr>
        <w:keepNext w:val="0"/>
        <w:keepLines w:val="0"/>
        <w:pageBreakBefore w:val="0"/>
        <w:widowControl w:val="0"/>
        <w:tabs>
          <w:tab w:val="left" w:pos="630"/>
        </w:tabs>
        <w:kinsoku/>
        <w:wordWrap/>
        <w:overflowPunct/>
        <w:topLinePunct w:val="0"/>
        <w:autoSpaceDE/>
        <w:autoSpaceDN/>
        <w:bidi w:val="0"/>
        <w:adjustRightInd/>
        <w:spacing w:line="500" w:lineRule="exact"/>
        <w:jc w:val="center"/>
        <w:textAlignment w:val="auto"/>
        <w:outlineLvl w:val="9"/>
        <w:rPr>
          <w:rFonts w:hint="eastAsia" w:ascii="宋体" w:hAnsi="宋体" w:eastAsia="宋体" w:cs="宋体"/>
          <w:sz w:val="32"/>
          <w:szCs w:val="32"/>
          <w:highlight w:val="none"/>
          <w:lang w:eastAsia="zh-CN"/>
        </w:rPr>
      </w:pPr>
      <w:r>
        <w:rPr>
          <w:rFonts w:hint="eastAsia" w:ascii="宋体" w:hAnsi="宋体" w:eastAsia="宋体" w:cs="宋体"/>
          <w:b/>
          <w:snapToGrid w:val="0"/>
          <w:sz w:val="32"/>
          <w:szCs w:val="32"/>
          <w:highlight w:val="none"/>
        </w:rPr>
        <w:t>报价一览表</w:t>
      </w:r>
      <w:r>
        <w:rPr>
          <w:rFonts w:hint="eastAsia" w:ascii="宋体" w:hAnsi="宋体" w:eastAsia="宋体" w:cs="宋体"/>
          <w:b/>
          <w:snapToGrid w:val="0"/>
          <w:sz w:val="32"/>
          <w:szCs w:val="32"/>
          <w:highlight w:val="none"/>
          <w:lang w:eastAsia="zh-CN"/>
        </w:rPr>
        <w:t>（一次）</w:t>
      </w:r>
    </w:p>
    <w:tbl>
      <w:tblPr>
        <w:tblStyle w:val="27"/>
        <w:tblW w:w="925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045"/>
      </w:tblGrid>
      <w:tr w14:paraId="638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208" w:type="dxa"/>
            <w:vAlign w:val="center"/>
          </w:tcPr>
          <w:p w14:paraId="0120BFB0">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5" w:type="dxa"/>
            <w:vAlign w:val="center"/>
          </w:tcPr>
          <w:p w14:paraId="3A48A07E">
            <w:pPr>
              <w:spacing w:line="360" w:lineRule="auto"/>
              <w:rPr>
                <w:rFonts w:ascii="宋体" w:hAnsi="宋体" w:eastAsia="宋体" w:cs="宋体"/>
                <w:color w:val="auto"/>
                <w:sz w:val="21"/>
                <w:szCs w:val="21"/>
                <w:highlight w:val="none"/>
              </w:rPr>
            </w:pPr>
          </w:p>
        </w:tc>
      </w:tr>
      <w:tr w14:paraId="5305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208" w:type="dxa"/>
            <w:vAlign w:val="center"/>
          </w:tcPr>
          <w:p w14:paraId="49538D9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投标报价（元）</w:t>
            </w:r>
          </w:p>
        </w:tc>
        <w:tc>
          <w:tcPr>
            <w:tcW w:w="7045" w:type="dxa"/>
            <w:vAlign w:val="center"/>
          </w:tcPr>
          <w:p w14:paraId="320DC552">
            <w:pPr>
              <w:spacing w:before="100" w:after="100" w:line="360" w:lineRule="auto"/>
              <w:ind w:firstLine="1470" w:firstLineChars="7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0E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08" w:type="dxa"/>
            <w:vAlign w:val="center"/>
          </w:tcPr>
          <w:p w14:paraId="1D31D39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投标范围</w:t>
            </w:r>
          </w:p>
        </w:tc>
        <w:tc>
          <w:tcPr>
            <w:tcW w:w="7045" w:type="dxa"/>
            <w:vAlign w:val="center"/>
          </w:tcPr>
          <w:p w14:paraId="1775C4C9">
            <w:pPr>
              <w:spacing w:line="360" w:lineRule="auto"/>
              <w:rPr>
                <w:rFonts w:ascii="宋体" w:hAnsi="宋体" w:eastAsia="宋体" w:cs="宋体"/>
                <w:color w:val="auto"/>
                <w:sz w:val="21"/>
                <w:szCs w:val="21"/>
                <w:highlight w:val="none"/>
              </w:rPr>
            </w:pPr>
          </w:p>
        </w:tc>
      </w:tr>
      <w:tr w14:paraId="658A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08" w:type="dxa"/>
            <w:vAlign w:val="center"/>
          </w:tcPr>
          <w:p w14:paraId="22BA9E7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合同履行期限</w:t>
            </w:r>
          </w:p>
        </w:tc>
        <w:tc>
          <w:tcPr>
            <w:tcW w:w="7045" w:type="dxa"/>
            <w:vAlign w:val="center"/>
          </w:tcPr>
          <w:p w14:paraId="2E2C2490">
            <w:pPr>
              <w:spacing w:line="360" w:lineRule="auto"/>
              <w:rPr>
                <w:rFonts w:ascii="宋体" w:hAnsi="宋体" w:eastAsia="宋体" w:cs="宋体"/>
                <w:color w:val="auto"/>
                <w:sz w:val="21"/>
                <w:szCs w:val="21"/>
                <w:highlight w:val="none"/>
              </w:rPr>
            </w:pPr>
          </w:p>
        </w:tc>
      </w:tr>
      <w:tr w14:paraId="745D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08" w:type="dxa"/>
            <w:vAlign w:val="center"/>
          </w:tcPr>
          <w:p w14:paraId="35407AF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7045" w:type="dxa"/>
            <w:vAlign w:val="center"/>
          </w:tcPr>
          <w:p w14:paraId="419EBFA8">
            <w:pPr>
              <w:spacing w:line="360" w:lineRule="auto"/>
              <w:rPr>
                <w:rFonts w:ascii="宋体" w:hAnsi="宋体" w:eastAsia="宋体" w:cs="宋体"/>
                <w:color w:val="auto"/>
                <w:sz w:val="21"/>
                <w:szCs w:val="21"/>
                <w:highlight w:val="none"/>
              </w:rPr>
            </w:pPr>
          </w:p>
        </w:tc>
      </w:tr>
      <w:tr w14:paraId="072C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08" w:type="dxa"/>
            <w:vAlign w:val="center"/>
          </w:tcPr>
          <w:p w14:paraId="01428E60">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5" w:type="dxa"/>
            <w:vAlign w:val="center"/>
          </w:tcPr>
          <w:p w14:paraId="6AC747C4">
            <w:pPr>
              <w:spacing w:line="360" w:lineRule="auto"/>
              <w:rPr>
                <w:rFonts w:ascii="宋体" w:hAnsi="宋体" w:eastAsia="宋体" w:cs="宋体"/>
                <w:color w:val="auto"/>
                <w:sz w:val="21"/>
                <w:szCs w:val="21"/>
                <w:highlight w:val="none"/>
              </w:rPr>
            </w:pPr>
          </w:p>
        </w:tc>
      </w:tr>
      <w:tr w14:paraId="02DB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08" w:type="dxa"/>
            <w:vAlign w:val="center"/>
          </w:tcPr>
          <w:p w14:paraId="1561A48B">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c>
          <w:tcPr>
            <w:tcW w:w="7045" w:type="dxa"/>
            <w:vAlign w:val="center"/>
          </w:tcPr>
          <w:p w14:paraId="0E921298">
            <w:pPr>
              <w:spacing w:line="360" w:lineRule="auto"/>
              <w:rPr>
                <w:rFonts w:ascii="宋体" w:hAnsi="宋体" w:eastAsia="宋体" w:cs="宋体"/>
                <w:color w:val="auto"/>
                <w:sz w:val="21"/>
                <w:szCs w:val="21"/>
                <w:highlight w:val="none"/>
              </w:rPr>
            </w:pPr>
          </w:p>
        </w:tc>
      </w:tr>
    </w:tbl>
    <w:p w14:paraId="29E4455D">
      <w:pPr>
        <w:rPr>
          <w:rFonts w:ascii="宋体" w:hAnsi="宋体" w:eastAsia="宋体" w:cs="宋体"/>
          <w:color w:val="auto"/>
          <w:sz w:val="21"/>
          <w:szCs w:val="21"/>
          <w:highlight w:val="none"/>
        </w:rPr>
      </w:pPr>
    </w:p>
    <w:p w14:paraId="15BB8C28">
      <w:pPr>
        <w:rPr>
          <w:rFonts w:ascii="宋体" w:hAnsi="宋体" w:eastAsia="宋体" w:cs="宋体"/>
          <w:color w:val="auto"/>
          <w:sz w:val="21"/>
          <w:szCs w:val="21"/>
          <w:highlight w:val="none"/>
        </w:rPr>
      </w:pPr>
    </w:p>
    <w:p w14:paraId="5486B35A">
      <w:pPr>
        <w:rPr>
          <w:rFonts w:ascii="宋体" w:hAnsi="宋体" w:eastAsia="宋体" w:cs="宋体"/>
          <w:color w:val="auto"/>
          <w:sz w:val="21"/>
          <w:szCs w:val="21"/>
          <w:highlight w:val="none"/>
        </w:rPr>
      </w:pPr>
    </w:p>
    <w:p w14:paraId="6B4BC298">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w:t>
      </w:r>
    </w:p>
    <w:p w14:paraId="09AC261E">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法定代表人或委托代理人(签字或盖章)：   </w:t>
      </w:r>
    </w:p>
    <w:p w14:paraId="7D469CFA">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F443DE7">
      <w:pPr>
        <w:rPr>
          <w:rFonts w:hint="eastAsia" w:ascii="宋体" w:hAnsi="宋体" w:eastAsia="宋体" w:cs="宋体"/>
          <w:color w:val="auto"/>
          <w:sz w:val="21"/>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color w:val="auto"/>
          <w:sz w:val="21"/>
          <w:szCs w:val="21"/>
          <w:highlight w:val="none"/>
        </w:rPr>
        <w:t xml:space="preserve">                                          年     月    日</w:t>
      </w:r>
    </w:p>
    <w:p w14:paraId="34DF0436">
      <w:pPr>
        <w:pStyle w:val="8"/>
        <w:tabs>
          <w:tab w:val="left" w:pos="795"/>
        </w:tabs>
        <w:spacing w:before="0" w:after="0" w:line="360" w:lineRule="auto"/>
        <w:jc w:val="center"/>
        <w:rPr>
          <w:rFonts w:hint="eastAsia" w:ascii="宋体" w:hAnsi="宋体" w:eastAsia="宋体" w:cs="宋体"/>
          <w:sz w:val="28"/>
          <w:szCs w:val="28"/>
        </w:rPr>
      </w:pPr>
      <w:bookmarkStart w:id="531" w:name="_Toc30641"/>
      <w:bookmarkStart w:id="532" w:name="_Toc2250"/>
      <w:r>
        <w:rPr>
          <w:rFonts w:hint="eastAsia" w:ascii="宋体" w:hAnsi="宋体" w:eastAsia="宋体" w:cs="宋体"/>
          <w:sz w:val="28"/>
          <w:szCs w:val="28"/>
        </w:rPr>
        <w:t>分项报价一览表</w:t>
      </w:r>
      <w:bookmarkEnd w:id="531"/>
      <w:bookmarkEnd w:id="532"/>
    </w:p>
    <w:p w14:paraId="21ABBDA8">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项  目：                                         </w:t>
      </w:r>
    </w:p>
    <w:p w14:paraId="3DD01E51">
      <w:pPr>
        <w:adjustRightInd w:val="0"/>
        <w:snapToGrid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金额单位：元 /人民币 </w:t>
      </w:r>
    </w:p>
    <w:tbl>
      <w:tblPr>
        <w:tblStyle w:val="27"/>
        <w:tblpPr w:leftFromText="180" w:rightFromText="180" w:vertAnchor="text" w:horzAnchor="page" w:tblpX="1356" w:tblpY="469"/>
        <w:tblOverlap w:val="never"/>
        <w:tblW w:w="4954" w:type="pct"/>
        <w:tblInd w:w="0" w:type="dxa"/>
        <w:tblLayout w:type="fixed"/>
        <w:tblCellMar>
          <w:top w:w="0" w:type="dxa"/>
          <w:left w:w="0" w:type="dxa"/>
          <w:bottom w:w="0" w:type="dxa"/>
          <w:right w:w="0" w:type="dxa"/>
        </w:tblCellMar>
      </w:tblPr>
      <w:tblGrid>
        <w:gridCol w:w="671"/>
        <w:gridCol w:w="1004"/>
        <w:gridCol w:w="2374"/>
        <w:gridCol w:w="828"/>
        <w:gridCol w:w="795"/>
        <w:gridCol w:w="777"/>
        <w:gridCol w:w="808"/>
        <w:gridCol w:w="977"/>
      </w:tblGrid>
      <w:tr w14:paraId="480C2161">
        <w:tblPrEx>
          <w:tblCellMar>
            <w:top w:w="0" w:type="dxa"/>
            <w:left w:w="0" w:type="dxa"/>
            <w:bottom w:w="0" w:type="dxa"/>
            <w:right w:w="0" w:type="dxa"/>
          </w:tblCellMar>
        </w:tblPrEx>
        <w:trPr>
          <w:trHeight w:val="649"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391FD910">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536BF03C">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0168011D">
            <w:pPr>
              <w:pStyle w:val="57"/>
              <w:spacing w:before="11" w:line="310" w:lineRule="exact"/>
              <w:ind w:left="172" w:right="173"/>
              <w:rPr>
                <w:rFonts w:hint="eastAsia" w:ascii="宋体" w:hAnsi="宋体" w:eastAsia="宋体" w:cs="宋体"/>
                <w:sz w:val="21"/>
                <w:szCs w:val="21"/>
              </w:rPr>
            </w:pPr>
            <w:r>
              <w:rPr>
                <w:rFonts w:hint="eastAsia" w:ascii="宋体" w:hAnsi="宋体" w:eastAsia="宋体" w:cs="宋体"/>
                <w:sz w:val="21"/>
                <w:szCs w:val="21"/>
              </w:rPr>
              <w:t>收费标准及简要说明</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703B40C">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单位</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6F93A52">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数量</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2E51ACAF">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单价</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FB5AD35">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合计</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B346AA0">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备注</w:t>
            </w:r>
          </w:p>
        </w:tc>
      </w:tr>
      <w:tr w14:paraId="76E0DEDB">
        <w:tblPrEx>
          <w:tblCellMar>
            <w:top w:w="0" w:type="dxa"/>
            <w:left w:w="0" w:type="dxa"/>
            <w:bottom w:w="0" w:type="dxa"/>
            <w:right w:w="0" w:type="dxa"/>
          </w:tblCellMar>
        </w:tblPrEx>
        <w:trPr>
          <w:trHeight w:val="647"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4D077DB7">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1</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34129D73">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内容一</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7F907411">
            <w:pPr>
              <w:pStyle w:val="57"/>
              <w:spacing w:before="11" w:line="310" w:lineRule="exact"/>
              <w:ind w:left="172" w:right="173"/>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A4EFEEC">
            <w:pPr>
              <w:pStyle w:val="57"/>
              <w:spacing w:before="11" w:line="310" w:lineRule="exact"/>
              <w:ind w:left="172" w:right="173"/>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29CF0DB">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729B6E87">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9C45496">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79E2A40">
            <w:pPr>
              <w:jc w:val="center"/>
              <w:rPr>
                <w:rFonts w:hint="eastAsia" w:ascii="宋体" w:hAnsi="宋体" w:eastAsia="宋体" w:cs="宋体"/>
                <w:sz w:val="21"/>
                <w:szCs w:val="21"/>
              </w:rPr>
            </w:pPr>
          </w:p>
        </w:tc>
      </w:tr>
      <w:tr w14:paraId="298F12F2">
        <w:tblPrEx>
          <w:tblCellMar>
            <w:top w:w="0" w:type="dxa"/>
            <w:left w:w="0" w:type="dxa"/>
            <w:bottom w:w="0" w:type="dxa"/>
            <w:right w:w="0" w:type="dxa"/>
          </w:tblCellMar>
        </w:tblPrEx>
        <w:trPr>
          <w:trHeight w:val="647"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6949F6FC">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2</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08CAC79D">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内容二</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04D32A43">
            <w:pPr>
              <w:pStyle w:val="57"/>
              <w:spacing w:before="11" w:line="310" w:lineRule="exact"/>
              <w:ind w:left="172" w:right="173"/>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C757FA0">
            <w:pPr>
              <w:pStyle w:val="57"/>
              <w:spacing w:before="11" w:line="310" w:lineRule="exact"/>
              <w:ind w:left="172" w:right="173"/>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CA8DAA9">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38DB6CB2">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45CE8CF">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63899AF">
            <w:pPr>
              <w:jc w:val="center"/>
              <w:rPr>
                <w:rFonts w:hint="eastAsia" w:ascii="宋体" w:hAnsi="宋体" w:eastAsia="宋体" w:cs="宋体"/>
                <w:sz w:val="21"/>
                <w:szCs w:val="21"/>
              </w:rPr>
            </w:pPr>
          </w:p>
        </w:tc>
      </w:tr>
      <w:tr w14:paraId="01493EB1">
        <w:tblPrEx>
          <w:tblCellMar>
            <w:top w:w="0" w:type="dxa"/>
            <w:left w:w="0" w:type="dxa"/>
            <w:bottom w:w="0" w:type="dxa"/>
            <w:right w:w="0" w:type="dxa"/>
          </w:tblCellMar>
        </w:tblPrEx>
        <w:trPr>
          <w:trHeight w:val="647"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7558E994">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056B16D9">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50CC1565">
            <w:pPr>
              <w:pStyle w:val="57"/>
              <w:spacing w:before="11" w:line="310" w:lineRule="exact"/>
              <w:ind w:left="172" w:right="173"/>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6632F06">
            <w:pPr>
              <w:pStyle w:val="57"/>
              <w:spacing w:before="11" w:line="310" w:lineRule="exact"/>
              <w:ind w:left="172" w:right="173"/>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84A1C46">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0530657F">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90FD9EE">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318B1A1">
            <w:pPr>
              <w:jc w:val="center"/>
              <w:rPr>
                <w:rFonts w:hint="eastAsia" w:ascii="宋体" w:hAnsi="宋体" w:eastAsia="宋体" w:cs="宋体"/>
                <w:sz w:val="21"/>
                <w:szCs w:val="21"/>
              </w:rPr>
            </w:pPr>
          </w:p>
        </w:tc>
      </w:tr>
      <w:tr w14:paraId="00071CEE">
        <w:tblPrEx>
          <w:tblCellMar>
            <w:top w:w="0" w:type="dxa"/>
            <w:left w:w="0" w:type="dxa"/>
            <w:bottom w:w="0" w:type="dxa"/>
            <w:right w:w="0" w:type="dxa"/>
          </w:tblCellMar>
        </w:tblPrEx>
        <w:trPr>
          <w:trHeight w:val="647"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6EFB3004">
            <w:pPr>
              <w:jc w:val="center"/>
              <w:rPr>
                <w:rFonts w:hint="eastAsia" w:ascii="宋体" w:hAnsi="宋体" w:eastAsia="宋体" w:cs="宋体"/>
                <w:sz w:val="21"/>
                <w:szCs w:val="21"/>
              </w:rPr>
            </w:pPr>
            <w:r>
              <w:rPr>
                <w:rFonts w:hint="eastAsia" w:ascii="宋体" w:hAnsi="宋体" w:eastAsia="宋体" w:cs="宋体"/>
                <w:sz w:val="21"/>
                <w:szCs w:val="21"/>
              </w:rPr>
              <w:t>...</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2DDC6CF5">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13A5E342">
            <w:pPr>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F9F65F7">
            <w:pPr>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4565112">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D9E89D9">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4B2FD4EE">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3FD3D88A">
            <w:pPr>
              <w:jc w:val="center"/>
              <w:rPr>
                <w:rFonts w:hint="eastAsia" w:ascii="宋体" w:hAnsi="宋体" w:eastAsia="宋体" w:cs="宋体"/>
                <w:sz w:val="21"/>
                <w:szCs w:val="21"/>
              </w:rPr>
            </w:pPr>
          </w:p>
        </w:tc>
      </w:tr>
      <w:tr w14:paraId="209CFB96">
        <w:tblPrEx>
          <w:tblCellMar>
            <w:top w:w="0" w:type="dxa"/>
            <w:left w:w="0" w:type="dxa"/>
            <w:bottom w:w="0" w:type="dxa"/>
            <w:right w:w="0" w:type="dxa"/>
          </w:tblCellMar>
        </w:tblPrEx>
        <w:trPr>
          <w:trHeight w:val="649"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73CBBBF3">
            <w:pPr>
              <w:jc w:val="center"/>
              <w:rPr>
                <w:rFonts w:hint="eastAsia" w:ascii="宋体" w:hAnsi="宋体" w:eastAsia="宋体" w:cs="宋体"/>
                <w:sz w:val="21"/>
                <w:szCs w:val="21"/>
              </w:rPr>
            </w:pPr>
            <w:r>
              <w:rPr>
                <w:rFonts w:hint="eastAsia" w:ascii="宋体" w:hAnsi="宋体" w:eastAsia="宋体" w:cs="宋体"/>
                <w:sz w:val="21"/>
                <w:szCs w:val="21"/>
              </w:rPr>
              <w:t>...</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1FC521A0">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其他费用1</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05A906A4">
            <w:pPr>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8A1C87B">
            <w:pPr>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4874006">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1AC16D86">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10A4D93">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1353C8CF">
            <w:pPr>
              <w:jc w:val="center"/>
              <w:rPr>
                <w:rFonts w:hint="eastAsia" w:ascii="宋体" w:hAnsi="宋体" w:eastAsia="宋体" w:cs="宋体"/>
                <w:sz w:val="21"/>
                <w:szCs w:val="21"/>
              </w:rPr>
            </w:pPr>
          </w:p>
        </w:tc>
      </w:tr>
      <w:tr w14:paraId="1192FF91">
        <w:tblPrEx>
          <w:tblCellMar>
            <w:top w:w="0" w:type="dxa"/>
            <w:left w:w="0" w:type="dxa"/>
            <w:bottom w:w="0" w:type="dxa"/>
            <w:right w:w="0" w:type="dxa"/>
          </w:tblCellMar>
        </w:tblPrEx>
        <w:trPr>
          <w:trHeight w:val="649"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46419A40">
            <w:pPr>
              <w:jc w:val="center"/>
              <w:rPr>
                <w:rFonts w:hint="eastAsia" w:ascii="宋体" w:hAnsi="宋体" w:eastAsia="宋体" w:cs="宋体"/>
                <w:sz w:val="21"/>
                <w:szCs w:val="21"/>
              </w:rPr>
            </w:pPr>
            <w:r>
              <w:rPr>
                <w:rFonts w:hint="eastAsia" w:ascii="宋体" w:hAnsi="宋体" w:eastAsia="宋体" w:cs="宋体"/>
                <w:sz w:val="21"/>
                <w:szCs w:val="21"/>
              </w:rPr>
              <w:t>...</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327E7E03">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其他费用2</w:t>
            </w: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5D1E3FE1">
            <w:pPr>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5F09A51">
            <w:pPr>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BEFCC9A">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351DA2DF">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2EFC4871">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2AF14C23">
            <w:pPr>
              <w:jc w:val="center"/>
              <w:rPr>
                <w:rFonts w:hint="eastAsia" w:ascii="宋体" w:hAnsi="宋体" w:eastAsia="宋体" w:cs="宋体"/>
                <w:sz w:val="21"/>
                <w:szCs w:val="21"/>
              </w:rPr>
            </w:pPr>
          </w:p>
        </w:tc>
      </w:tr>
      <w:tr w14:paraId="3B30CB9A">
        <w:tblPrEx>
          <w:tblCellMar>
            <w:top w:w="0" w:type="dxa"/>
            <w:left w:w="0" w:type="dxa"/>
            <w:bottom w:w="0" w:type="dxa"/>
            <w:right w:w="0" w:type="dxa"/>
          </w:tblCellMar>
        </w:tblPrEx>
        <w:trPr>
          <w:trHeight w:val="647" w:hRule="atLeast"/>
        </w:trPr>
        <w:tc>
          <w:tcPr>
            <w:tcW w:w="407" w:type="pct"/>
            <w:tcBorders>
              <w:top w:val="single" w:color="000000" w:sz="4" w:space="0"/>
              <w:left w:val="single" w:color="000000" w:sz="4" w:space="0"/>
              <w:bottom w:val="single" w:color="000000" w:sz="4" w:space="0"/>
              <w:right w:val="single" w:color="000000" w:sz="4" w:space="0"/>
            </w:tcBorders>
            <w:noWrap w:val="0"/>
            <w:vAlign w:val="center"/>
          </w:tcPr>
          <w:p w14:paraId="0FDE5CA7">
            <w:pPr>
              <w:jc w:val="center"/>
              <w:rPr>
                <w:rFonts w:hint="eastAsia" w:ascii="宋体" w:hAnsi="宋体" w:eastAsia="宋体" w:cs="宋体"/>
                <w:sz w:val="21"/>
                <w:szCs w:val="21"/>
              </w:rPr>
            </w:pPr>
            <w:r>
              <w:rPr>
                <w:rFonts w:hint="eastAsia" w:ascii="宋体" w:hAnsi="宋体" w:eastAsia="宋体" w:cs="宋体"/>
                <w:sz w:val="21"/>
                <w:szCs w:val="21"/>
              </w:rPr>
              <w:t>...</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6C94287D">
            <w:pPr>
              <w:pStyle w:val="57"/>
              <w:spacing w:before="11" w:line="310" w:lineRule="exact"/>
              <w:ind w:left="172" w:right="173"/>
              <w:jc w:val="center"/>
              <w:rPr>
                <w:rFonts w:hint="eastAsia" w:ascii="宋体" w:hAnsi="宋体" w:eastAsia="宋体" w:cs="宋体"/>
                <w:sz w:val="21"/>
                <w:szCs w:val="21"/>
              </w:rPr>
            </w:pPr>
          </w:p>
        </w:tc>
        <w:tc>
          <w:tcPr>
            <w:tcW w:w="1441" w:type="pct"/>
            <w:tcBorders>
              <w:top w:val="single" w:color="000000" w:sz="4" w:space="0"/>
              <w:left w:val="single" w:color="000000" w:sz="4" w:space="0"/>
              <w:bottom w:val="single" w:color="000000" w:sz="4" w:space="0"/>
              <w:right w:val="single" w:color="000000" w:sz="4" w:space="0"/>
            </w:tcBorders>
            <w:noWrap w:val="0"/>
            <w:vAlign w:val="center"/>
          </w:tcPr>
          <w:p w14:paraId="56829DDB">
            <w:pPr>
              <w:jc w:val="center"/>
              <w:rPr>
                <w:rFonts w:hint="eastAsia" w:ascii="宋体" w:hAnsi="宋体" w:eastAsia="宋体" w:cs="宋体"/>
                <w:sz w:val="21"/>
                <w:szCs w:val="21"/>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A8326EA">
            <w:pPr>
              <w:jc w:val="center"/>
              <w:rPr>
                <w:rFonts w:hint="eastAsia" w:ascii="宋体" w:hAnsi="宋体" w:eastAsia="宋体" w:cs="宋体"/>
                <w:sz w:val="21"/>
                <w:szCs w:val="21"/>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DFC5F30">
            <w:pPr>
              <w:jc w:val="center"/>
              <w:rPr>
                <w:rFonts w:hint="eastAsia" w:ascii="宋体" w:hAnsi="宋体" w:eastAsia="宋体" w:cs="宋体"/>
                <w:sz w:val="21"/>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563B5C80">
            <w:pPr>
              <w:jc w:val="center"/>
              <w:rPr>
                <w:rFonts w:hint="eastAsia" w:ascii="宋体" w:hAnsi="宋体" w:eastAsia="宋体" w:cs="宋体"/>
                <w:sz w:val="21"/>
                <w:szCs w:val="21"/>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9EDCB93">
            <w:pPr>
              <w:jc w:val="center"/>
              <w:rPr>
                <w:rFonts w:hint="eastAsia" w:ascii="宋体" w:hAnsi="宋体" w:eastAsia="宋体" w:cs="宋体"/>
                <w:sz w:val="21"/>
                <w:szCs w:val="21"/>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EEA4DA5">
            <w:pPr>
              <w:jc w:val="center"/>
              <w:rPr>
                <w:rFonts w:hint="eastAsia" w:ascii="宋体" w:hAnsi="宋体" w:eastAsia="宋体" w:cs="宋体"/>
                <w:sz w:val="21"/>
                <w:szCs w:val="21"/>
              </w:rPr>
            </w:pPr>
          </w:p>
        </w:tc>
      </w:tr>
      <w:tr w14:paraId="70B6EEE2">
        <w:tblPrEx>
          <w:tblCellMar>
            <w:top w:w="0" w:type="dxa"/>
            <w:left w:w="0" w:type="dxa"/>
            <w:bottom w:w="0" w:type="dxa"/>
            <w:right w:w="0" w:type="dxa"/>
          </w:tblCellMar>
        </w:tblPrEx>
        <w:trPr>
          <w:trHeight w:val="657" w:hRule="atLeast"/>
        </w:trPr>
        <w:tc>
          <w:tcPr>
            <w:tcW w:w="1016" w:type="pct"/>
            <w:gridSpan w:val="2"/>
            <w:tcBorders>
              <w:top w:val="single" w:color="000000" w:sz="4" w:space="0"/>
              <w:left w:val="single" w:color="000000" w:sz="4" w:space="0"/>
              <w:bottom w:val="single" w:color="000000" w:sz="4" w:space="0"/>
              <w:right w:val="single" w:color="000000" w:sz="4" w:space="0"/>
            </w:tcBorders>
            <w:noWrap w:val="0"/>
            <w:vAlign w:val="center"/>
          </w:tcPr>
          <w:p w14:paraId="2A601917">
            <w:pPr>
              <w:pStyle w:val="57"/>
              <w:spacing w:before="11" w:line="310" w:lineRule="exact"/>
              <w:ind w:left="172" w:right="173"/>
              <w:jc w:val="center"/>
              <w:rPr>
                <w:rFonts w:hint="eastAsia" w:ascii="宋体" w:hAnsi="宋体" w:eastAsia="宋体" w:cs="宋体"/>
                <w:sz w:val="21"/>
                <w:szCs w:val="21"/>
              </w:rPr>
            </w:pPr>
            <w:r>
              <w:rPr>
                <w:rFonts w:hint="eastAsia" w:ascii="宋体" w:hAnsi="宋体" w:eastAsia="宋体" w:cs="宋体"/>
                <w:sz w:val="21"/>
                <w:szCs w:val="21"/>
              </w:rPr>
              <w:t>总计</w:t>
            </w:r>
          </w:p>
        </w:tc>
        <w:tc>
          <w:tcPr>
            <w:tcW w:w="3983" w:type="pct"/>
            <w:gridSpan w:val="6"/>
            <w:tcBorders>
              <w:top w:val="single" w:color="000000" w:sz="4" w:space="0"/>
              <w:left w:val="single" w:color="000000" w:sz="4" w:space="0"/>
              <w:bottom w:val="single" w:color="000000" w:sz="4" w:space="0"/>
              <w:right w:val="single" w:color="000000" w:sz="4" w:space="0"/>
            </w:tcBorders>
            <w:noWrap w:val="0"/>
            <w:vAlign w:val="center"/>
          </w:tcPr>
          <w:p w14:paraId="68776828">
            <w:pPr>
              <w:jc w:val="center"/>
              <w:rPr>
                <w:rFonts w:hint="eastAsia" w:ascii="宋体" w:hAnsi="宋体" w:eastAsia="宋体" w:cs="宋体"/>
                <w:sz w:val="21"/>
                <w:szCs w:val="21"/>
              </w:rPr>
            </w:pPr>
          </w:p>
        </w:tc>
      </w:tr>
    </w:tbl>
    <w:p w14:paraId="0D06A6AA">
      <w:pPr>
        <w:adjustRightInd w:val="0"/>
        <w:snapToGrid w:val="0"/>
        <w:spacing w:line="480" w:lineRule="auto"/>
        <w:rPr>
          <w:rFonts w:hint="eastAsia" w:ascii="宋体" w:hAnsi="宋体" w:eastAsia="宋体" w:cs="宋体"/>
          <w:b/>
          <w:bCs/>
          <w:sz w:val="21"/>
          <w:szCs w:val="21"/>
        </w:rPr>
      </w:pPr>
    </w:p>
    <w:p w14:paraId="4565616D">
      <w:pPr>
        <w:spacing w:line="40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供应商（盖章）： </w:t>
      </w:r>
    </w:p>
    <w:p w14:paraId="1C306C9E">
      <w:pPr>
        <w:spacing w:line="40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14:paraId="27AE251D">
      <w:pPr>
        <w:spacing w:line="40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w:t>
      </w:r>
    </w:p>
    <w:p w14:paraId="658885A1">
      <w:pPr>
        <w:pStyle w:val="2"/>
        <w:rPr>
          <w:rFonts w:hint="eastAsia" w:ascii="宋体" w:hAnsi="宋体" w:eastAsia="宋体" w:cs="宋体"/>
          <w:sz w:val="21"/>
          <w:szCs w:val="21"/>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524"/>
    <w:p w14:paraId="23EFFB60">
      <w:pPr>
        <w:pStyle w:val="25"/>
        <w:jc w:val="center"/>
        <w:outlineLvl w:val="1"/>
        <w:rPr>
          <w:rFonts w:ascii="宋体" w:hAnsi="宋体" w:eastAsia="宋体" w:cs="宋体"/>
          <w:b/>
          <w:color w:val="auto"/>
          <w:sz w:val="32"/>
          <w:szCs w:val="32"/>
          <w:highlight w:val="none"/>
        </w:rPr>
      </w:pPr>
      <w:bookmarkStart w:id="533" w:name="_Toc6337"/>
      <w:bookmarkStart w:id="534" w:name="_Toc14862"/>
      <w:r>
        <w:rPr>
          <w:rFonts w:hint="eastAsia" w:ascii="宋体" w:hAnsi="宋体" w:eastAsia="宋体" w:cs="宋体"/>
          <w:b/>
          <w:color w:val="auto"/>
          <w:sz w:val="32"/>
          <w:szCs w:val="32"/>
          <w:highlight w:val="none"/>
        </w:rPr>
        <w:t>中小企业声明函</w:t>
      </w:r>
      <w:bookmarkEnd w:id="533"/>
      <w:bookmarkEnd w:id="534"/>
    </w:p>
    <w:p w14:paraId="78FCB264">
      <w:pPr>
        <w:pStyle w:val="25"/>
        <w:jc w:val="center"/>
        <w:rPr>
          <w:rFonts w:ascii="宋体" w:hAnsi="宋体" w:eastAsia="宋体" w:cs="宋体"/>
          <w:bCs/>
          <w:color w:val="auto"/>
          <w:szCs w:val="24"/>
          <w:highlight w:val="none"/>
        </w:rPr>
      </w:pPr>
      <w:r>
        <w:rPr>
          <w:rFonts w:hint="eastAsia" w:ascii="宋体" w:hAnsi="宋体" w:eastAsia="宋体" w:cs="宋体"/>
          <w:bCs/>
          <w:color w:val="auto"/>
          <w:szCs w:val="24"/>
          <w:highlight w:val="none"/>
        </w:rPr>
        <w:t>（属于中小微企业的填写，不属于的空白处打“/”，响应文件必须附此页）</w:t>
      </w:r>
    </w:p>
    <w:p w14:paraId="7251ED24">
      <w:pPr>
        <w:pStyle w:val="25"/>
        <w:spacing w:line="440" w:lineRule="exact"/>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rPr>
        <w:t>本公司郑重声明，根据《政府采购促进中小微企业发展</w:t>
      </w:r>
      <w:r>
        <w:rPr>
          <w:rFonts w:hint="eastAsia" w:ascii="宋体" w:hAnsi="宋体" w:eastAsia="宋体" w:cs="宋体"/>
          <w:bCs/>
          <w:color w:val="auto"/>
          <w:szCs w:val="24"/>
          <w:highlight w:val="none"/>
          <w:lang w:eastAsia="zh-CN"/>
        </w:rPr>
        <w:t>管理</w:t>
      </w:r>
      <w:r>
        <w:rPr>
          <w:rFonts w:hint="eastAsia" w:ascii="宋体" w:hAnsi="宋体" w:eastAsia="宋体" w:cs="宋体"/>
          <w:bCs/>
          <w:color w:val="auto"/>
          <w:szCs w:val="24"/>
          <w:highlight w:val="none"/>
        </w:rPr>
        <w:t>办法》（财库[</w:t>
      </w:r>
      <w:r>
        <w:rPr>
          <w:rFonts w:hint="eastAsia" w:ascii="宋体" w:hAnsi="宋体" w:eastAsia="宋体" w:cs="宋体"/>
          <w:bCs/>
          <w:color w:val="auto"/>
          <w:szCs w:val="24"/>
          <w:highlight w:val="none"/>
          <w:lang w:val="en-US" w:eastAsia="zh-CN"/>
        </w:rPr>
        <w:t>2020</w:t>
      </w:r>
      <w:r>
        <w:rPr>
          <w:rFonts w:hint="eastAsia" w:ascii="宋体" w:hAnsi="宋体" w:eastAsia="宋体" w:cs="宋体"/>
          <w:bCs/>
          <w:color w:val="auto"/>
          <w:szCs w:val="24"/>
          <w:highlight w:val="none"/>
        </w:rPr>
        <w:t>]</w:t>
      </w:r>
      <w:r>
        <w:rPr>
          <w:rFonts w:hint="eastAsia" w:ascii="宋体" w:hAnsi="宋体" w:eastAsia="宋体" w:cs="宋体"/>
          <w:bCs/>
          <w:color w:val="auto"/>
          <w:szCs w:val="24"/>
          <w:highlight w:val="none"/>
          <w:lang w:val="en-US" w:eastAsia="zh-CN"/>
        </w:rPr>
        <w:t>46</w:t>
      </w:r>
      <w:r>
        <w:rPr>
          <w:rFonts w:hint="eastAsia" w:ascii="宋体" w:hAnsi="宋体" w:eastAsia="宋体" w:cs="宋体"/>
          <w:bCs/>
          <w:color w:val="auto"/>
          <w:szCs w:val="24"/>
          <w:highlight w:val="none"/>
        </w:rPr>
        <w:t>号）的规定，本公司</w:t>
      </w:r>
      <w:r>
        <w:rPr>
          <w:rFonts w:hint="eastAsia" w:ascii="宋体" w:hAnsi="宋体" w:eastAsia="宋体" w:cs="宋体"/>
          <w:bCs/>
          <w:color w:val="auto"/>
          <w:szCs w:val="24"/>
          <w:highlight w:val="none"/>
          <w:lang w:eastAsia="zh-CN"/>
        </w:rPr>
        <w:t>参加（单位名称）的（项目名称）采购活动，服务全部符合政策要求的中小企业承接。</w:t>
      </w:r>
    </w:p>
    <w:p w14:paraId="09E2FF51">
      <w:pPr>
        <w:pStyle w:val="25"/>
        <w:spacing w:line="440" w:lineRule="exact"/>
        <w:ind w:firstLine="480" w:firstLineChars="200"/>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eastAsia="zh-CN"/>
        </w:rPr>
        <w:t>（标的名称），属于（所属行业），承接企业为（企业名称），从业人员</w:t>
      </w:r>
      <w:r>
        <w:rPr>
          <w:rFonts w:hint="eastAsia" w:ascii="宋体" w:hAnsi="宋体" w:eastAsia="宋体" w:cs="宋体"/>
          <w:bCs/>
          <w:color w:val="auto"/>
          <w:szCs w:val="24"/>
          <w:highlight w:val="none"/>
        </w:rPr>
        <w:t>_____</w:t>
      </w:r>
      <w:r>
        <w:rPr>
          <w:rFonts w:hint="eastAsia" w:ascii="宋体" w:hAnsi="宋体" w:eastAsia="宋体" w:cs="宋体"/>
          <w:bCs/>
          <w:color w:val="auto"/>
          <w:szCs w:val="24"/>
          <w:highlight w:val="none"/>
          <w:lang w:eastAsia="zh-CN"/>
        </w:rPr>
        <w:t>人，营业收入为</w:t>
      </w:r>
      <w:r>
        <w:rPr>
          <w:rFonts w:hint="eastAsia" w:ascii="宋体" w:hAnsi="宋体" w:eastAsia="宋体" w:cs="宋体"/>
          <w:bCs/>
          <w:color w:val="auto"/>
          <w:szCs w:val="24"/>
          <w:highlight w:val="none"/>
        </w:rPr>
        <w:t>_____</w:t>
      </w:r>
      <w:r>
        <w:rPr>
          <w:rFonts w:hint="eastAsia" w:ascii="宋体" w:hAnsi="宋体" w:eastAsia="宋体" w:cs="宋体"/>
          <w:bCs/>
          <w:color w:val="auto"/>
          <w:szCs w:val="24"/>
          <w:highlight w:val="none"/>
          <w:lang w:eastAsia="zh-CN"/>
        </w:rPr>
        <w:t>万元，资产总额为</w:t>
      </w:r>
      <w:r>
        <w:rPr>
          <w:rFonts w:hint="eastAsia" w:ascii="宋体" w:hAnsi="宋体" w:eastAsia="宋体" w:cs="宋体"/>
          <w:bCs/>
          <w:color w:val="auto"/>
          <w:szCs w:val="24"/>
          <w:highlight w:val="none"/>
        </w:rPr>
        <w:t>_____</w:t>
      </w:r>
      <w:r>
        <w:rPr>
          <w:rFonts w:hint="eastAsia" w:ascii="宋体" w:hAnsi="宋体" w:eastAsia="宋体" w:cs="宋体"/>
          <w:bCs/>
          <w:color w:val="auto"/>
          <w:szCs w:val="24"/>
          <w:highlight w:val="none"/>
          <w:lang w:eastAsia="zh-CN"/>
        </w:rPr>
        <w:t>万元，属于</w:t>
      </w:r>
      <w:r>
        <w:rPr>
          <w:rFonts w:hint="eastAsia" w:ascii="宋体" w:hAnsi="宋体" w:eastAsia="宋体" w:cs="宋体"/>
          <w:bCs/>
          <w:color w:val="auto"/>
          <w:szCs w:val="24"/>
          <w:highlight w:val="none"/>
        </w:rPr>
        <w:t>_____</w:t>
      </w:r>
      <w:r>
        <w:rPr>
          <w:rFonts w:hint="eastAsia" w:ascii="宋体" w:hAnsi="宋体" w:eastAsia="宋体" w:cs="宋体"/>
          <w:bCs/>
          <w:color w:val="auto"/>
          <w:szCs w:val="24"/>
          <w:highlight w:val="none"/>
          <w:lang w:val="en-US" w:eastAsia="zh-CN"/>
        </w:rPr>
        <w:t>(中型企业、小型企业、微型企业）。</w:t>
      </w:r>
    </w:p>
    <w:p w14:paraId="7D851E80">
      <w:pPr>
        <w:pStyle w:val="25"/>
        <w:spacing w:line="440" w:lineRule="exact"/>
        <w:ind w:firstLine="480" w:firstLineChars="200"/>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以上企业不属于大企业的分支机构，不存在控股股东为大企业的情形，也不存在与大企业负责人为同一人情形。</w:t>
      </w:r>
    </w:p>
    <w:p w14:paraId="07E1F7EA">
      <w:pPr>
        <w:pStyle w:val="25"/>
        <w:spacing w:line="440" w:lineRule="exact"/>
        <w:ind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本公司对上述声明的真实性负责。如有虚假，将依法承担相应责任。</w:t>
      </w:r>
    </w:p>
    <w:p w14:paraId="233118B7">
      <w:pPr>
        <w:pStyle w:val="25"/>
        <w:spacing w:line="440" w:lineRule="exact"/>
        <w:jc w:val="right"/>
        <w:rPr>
          <w:rFonts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供应商</w:t>
      </w:r>
      <w:r>
        <w:rPr>
          <w:rFonts w:hint="eastAsia" w:ascii="宋体" w:hAnsi="宋体" w:eastAsia="宋体" w:cs="宋体"/>
          <w:bCs/>
          <w:color w:val="auto"/>
          <w:szCs w:val="24"/>
          <w:highlight w:val="none"/>
        </w:rPr>
        <w:t>：</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（盖章）</w:t>
      </w:r>
    </w:p>
    <w:p w14:paraId="2CF8851E">
      <w:pPr>
        <w:pStyle w:val="25"/>
        <w:spacing w:line="440" w:lineRule="exact"/>
        <w:jc w:val="right"/>
        <w:rPr>
          <w:rFonts w:ascii="宋体" w:hAnsi="宋体" w:eastAsia="宋体" w:cs="宋体"/>
          <w:bCs/>
          <w:color w:val="auto"/>
          <w:szCs w:val="24"/>
          <w:highlight w:val="none"/>
        </w:rPr>
      </w:pPr>
      <w:r>
        <w:rPr>
          <w:rFonts w:hint="eastAsia" w:ascii="宋体" w:hAnsi="宋体" w:eastAsia="宋体" w:cs="宋体"/>
          <w:bCs/>
          <w:color w:val="auto"/>
          <w:szCs w:val="24"/>
          <w:highlight w:val="none"/>
        </w:rPr>
        <w:t>法定代表人或其委托代理人 ：</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（签字）</w:t>
      </w:r>
    </w:p>
    <w:p w14:paraId="2B648B70">
      <w:pPr>
        <w:pStyle w:val="25"/>
        <w:spacing w:line="440" w:lineRule="exact"/>
        <w:jc w:val="right"/>
        <w:rPr>
          <w:rFonts w:ascii="宋体" w:hAnsi="宋体" w:eastAsia="宋体" w:cs="宋体"/>
          <w:bCs/>
          <w:color w:val="auto"/>
          <w:sz w:val="28"/>
          <w:szCs w:val="28"/>
          <w:highlight w:val="none"/>
        </w:rPr>
      </w:pP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年</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月</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日</w:t>
      </w:r>
    </w:p>
    <w:p w14:paraId="11FC3790">
      <w:pPr>
        <w:pStyle w:val="25"/>
        <w:spacing w:line="440" w:lineRule="exact"/>
        <w:jc w:val="right"/>
        <w:rPr>
          <w:rFonts w:ascii="宋体" w:hAnsi="宋体" w:eastAsia="宋体" w:cs="宋体"/>
          <w:bCs/>
          <w:color w:val="auto"/>
          <w:sz w:val="28"/>
          <w:szCs w:val="28"/>
          <w:highlight w:val="none"/>
        </w:rPr>
      </w:pPr>
    </w:p>
    <w:p w14:paraId="2A7ED56A">
      <w:pPr>
        <w:pStyle w:val="25"/>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注：1.中小企业划分标准，是指国务院有关部门根据企业从业人员、营业收入、资产总额等指标制定的中小企业划型标准进行核定。</w:t>
      </w:r>
    </w:p>
    <w:p w14:paraId="2BF6E0A4">
      <w:pPr>
        <w:pStyle w:val="25"/>
        <w:spacing w:line="400" w:lineRule="exac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监狱企业参与政府采购，应当提供由省级以上监狱管理局、戒毒管理局（含新疆生产建设兵团）出具的属于监狱企业的证明文件，视同小型、微型企业，享受预留份额、评审中价格扣除等政府采购促进中小企业发展的政府采购政策。</w:t>
      </w:r>
    </w:p>
    <w:p w14:paraId="1B247965">
      <w:pPr>
        <w:pStyle w:val="25"/>
        <w:rPr>
          <w:rFonts w:ascii="宋体" w:hAnsi="宋体" w:eastAsia="宋体" w:cs="宋体"/>
          <w:b/>
          <w:color w:val="auto"/>
          <w:sz w:val="36"/>
          <w:szCs w:val="36"/>
          <w:highlight w:val="none"/>
        </w:rPr>
      </w:pPr>
    </w:p>
    <w:p w14:paraId="2555E78A">
      <w:pPr>
        <w:pStyle w:val="25"/>
        <w:rPr>
          <w:rFonts w:ascii="宋体" w:hAnsi="宋体" w:eastAsia="宋体" w:cs="宋体"/>
          <w:b/>
          <w:color w:val="auto"/>
          <w:sz w:val="36"/>
          <w:szCs w:val="36"/>
          <w:highlight w:val="none"/>
        </w:rPr>
      </w:pPr>
    </w:p>
    <w:p w14:paraId="6E46B141">
      <w:pPr>
        <w:pStyle w:val="25"/>
        <w:rPr>
          <w:rFonts w:ascii="宋体" w:hAnsi="宋体" w:eastAsia="宋体" w:cs="宋体"/>
          <w:b/>
          <w:color w:val="auto"/>
          <w:sz w:val="36"/>
          <w:szCs w:val="36"/>
          <w:highlight w:val="none"/>
        </w:rPr>
      </w:pPr>
    </w:p>
    <w:p w14:paraId="0E9F540B">
      <w:pPr>
        <w:pStyle w:val="25"/>
        <w:jc w:val="center"/>
        <w:outlineLvl w:val="1"/>
        <w:rPr>
          <w:rFonts w:hint="eastAsia" w:ascii="宋体" w:hAnsi="宋体" w:eastAsia="宋体" w:cs="宋体"/>
          <w:b/>
          <w:color w:val="auto"/>
          <w:sz w:val="32"/>
          <w:szCs w:val="32"/>
          <w:highlight w:val="none"/>
        </w:rPr>
      </w:pPr>
      <w:bookmarkStart w:id="535" w:name="_Toc29395"/>
      <w:bookmarkStart w:id="536" w:name="_Toc21921"/>
    </w:p>
    <w:p w14:paraId="4FACCADF">
      <w:pPr>
        <w:pStyle w:val="25"/>
        <w:jc w:val="center"/>
        <w:outlineLvl w:val="1"/>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bookmarkEnd w:id="535"/>
      <w:bookmarkEnd w:id="536"/>
    </w:p>
    <w:p w14:paraId="57FAB448">
      <w:pPr>
        <w:pStyle w:val="25"/>
        <w:ind w:firstLine="480" w:firstLineChars="200"/>
        <w:jc w:val="center"/>
        <w:rPr>
          <w:rFonts w:ascii="宋体" w:hAnsi="宋体" w:eastAsia="宋体" w:cs="宋体"/>
          <w:bCs/>
          <w:color w:val="auto"/>
          <w:szCs w:val="24"/>
          <w:highlight w:val="none"/>
        </w:rPr>
      </w:pPr>
      <w:r>
        <w:rPr>
          <w:rFonts w:hint="eastAsia" w:ascii="宋体" w:hAnsi="宋体" w:eastAsia="宋体" w:cs="宋体"/>
          <w:bCs/>
          <w:color w:val="auto"/>
          <w:szCs w:val="24"/>
          <w:highlight w:val="none"/>
        </w:rPr>
        <w:t>（属于残疾人福利性单位的填写，不属于的空白处打“/”，</w:t>
      </w:r>
      <w:r>
        <w:rPr>
          <w:rFonts w:hint="eastAsia" w:ascii="宋体" w:hAnsi="宋体" w:eastAsia="宋体" w:cs="宋体"/>
          <w:bCs/>
          <w:color w:val="auto"/>
          <w:szCs w:val="24"/>
          <w:highlight w:val="none"/>
          <w:lang w:eastAsia="zh-CN"/>
        </w:rPr>
        <w:t>响应文件</w:t>
      </w:r>
      <w:r>
        <w:rPr>
          <w:rFonts w:hint="eastAsia" w:ascii="宋体" w:hAnsi="宋体" w:eastAsia="宋体" w:cs="宋体"/>
          <w:bCs/>
          <w:color w:val="auto"/>
          <w:szCs w:val="24"/>
          <w:highlight w:val="none"/>
        </w:rPr>
        <w:t>必须附此页）</w:t>
      </w:r>
    </w:p>
    <w:p w14:paraId="0DB560E4">
      <w:pPr>
        <w:pStyle w:val="25"/>
        <w:spacing w:line="440" w:lineRule="exact"/>
        <w:ind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FD325B">
      <w:pPr>
        <w:pStyle w:val="25"/>
        <w:spacing w:line="440" w:lineRule="exact"/>
        <w:ind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本单位对上述声明的真实性负责。如有虚假，将依法承担相应责任。</w:t>
      </w:r>
    </w:p>
    <w:p w14:paraId="0ADD0561">
      <w:pPr>
        <w:pStyle w:val="25"/>
        <w:spacing w:line="440" w:lineRule="exact"/>
        <w:jc w:val="right"/>
        <w:rPr>
          <w:rFonts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供应商</w:t>
      </w:r>
      <w:r>
        <w:rPr>
          <w:rFonts w:hint="eastAsia" w:ascii="宋体" w:hAnsi="宋体" w:eastAsia="宋体" w:cs="宋体"/>
          <w:bCs/>
          <w:color w:val="auto"/>
          <w:szCs w:val="24"/>
          <w:highlight w:val="none"/>
        </w:rPr>
        <w:t>：</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（盖章）</w:t>
      </w:r>
    </w:p>
    <w:p w14:paraId="120EA4E4">
      <w:pPr>
        <w:pStyle w:val="25"/>
        <w:spacing w:line="440" w:lineRule="exact"/>
        <w:jc w:val="right"/>
        <w:rPr>
          <w:rFonts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w:t>
      </w:r>
    </w:p>
    <w:p w14:paraId="7E39A69C">
      <w:pPr>
        <w:pStyle w:val="25"/>
        <w:spacing w:line="440" w:lineRule="exact"/>
        <w:jc w:val="right"/>
        <w:rPr>
          <w:rFonts w:ascii="宋体" w:hAnsi="宋体" w:eastAsia="宋体" w:cs="宋体"/>
          <w:color w:val="auto"/>
          <w:szCs w:val="24"/>
          <w:highlight w:val="none"/>
          <w:u w:val="singl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22D8C497">
      <w:pPr>
        <w:pStyle w:val="25"/>
        <w:spacing w:line="440" w:lineRule="exact"/>
        <w:rPr>
          <w:rFonts w:ascii="宋体" w:hAnsi="宋体" w:eastAsia="宋体" w:cs="宋体"/>
          <w:bCs/>
          <w:color w:val="auto"/>
          <w:szCs w:val="24"/>
          <w:highlight w:val="none"/>
        </w:rPr>
      </w:pPr>
    </w:p>
    <w:p w14:paraId="4906D43D">
      <w:pPr>
        <w:pStyle w:val="25"/>
        <w:spacing w:line="440" w:lineRule="exac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注：1.中小企业划分标准，是指国务院有关部门根据企业从业人员、营业收入、资产总额等指标制定的中小企业划型标准进行核定。</w:t>
      </w:r>
    </w:p>
    <w:p w14:paraId="526BC392">
      <w:pPr>
        <w:pStyle w:val="25"/>
        <w:spacing w:line="400" w:lineRule="exact"/>
        <w:rPr>
          <w:rFonts w:hint="eastAsia" w:ascii="宋体" w:hAnsi="宋体" w:eastAsia="宋体" w:cs="宋体"/>
          <w:bCs/>
          <w:color w:val="auto"/>
          <w:szCs w:val="24"/>
          <w:highlight w:val="none"/>
        </w:rPr>
      </w:pPr>
      <w:r>
        <w:rPr>
          <w:rFonts w:hint="eastAsia" w:ascii="宋体" w:hAnsi="宋体" w:eastAsia="宋体" w:cs="宋体"/>
          <w:color w:val="auto"/>
          <w:szCs w:val="24"/>
          <w:highlight w:val="none"/>
          <w:lang w:val="en-US" w:eastAsia="zh-CN"/>
        </w:rPr>
        <w:t>2.监狱企业参与政府采购，应当提供由省级以上监狱管理局、戒毒管理局（含新疆生产建设兵团）出具的属于监狱企业的证明文件，视同小型、微型企业，享受预留份额、评审中价格扣除等政府采购促进中小企业发展的政府采购政策。</w:t>
      </w:r>
    </w:p>
    <w:p w14:paraId="34295734">
      <w:pPr>
        <w:pStyle w:val="35"/>
        <w:rPr>
          <w:rFonts w:hAnsi="宋体"/>
          <w:color w:val="auto"/>
          <w:highlight w:val="none"/>
        </w:rPr>
      </w:pPr>
    </w:p>
    <w:p w14:paraId="3BCC2FE7">
      <w:pPr>
        <w:pStyle w:val="35"/>
        <w:rPr>
          <w:rFonts w:hAnsi="宋体"/>
          <w:color w:val="auto"/>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30204"/>
    <w:charset w:val="00"/>
    <w:family w:val="auto"/>
    <w:pitch w:val="default"/>
    <w:sig w:usb0="00000000" w:usb1="00000000" w:usb2="00000000" w:usb3="00000000" w:csb0="00000093" w:csb1="00000000"/>
  </w:font>
  <w:font w:name="KSOF7FC4CF2A">
    <w:panose1 w:val="020B0604020202020204"/>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EF7E">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034B19">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1E034B19">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B49665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49C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6DEF6">
                          <w:pPr>
                            <w:pStyle w:val="17"/>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6356DEF6">
                    <w:pPr>
                      <w:pStyle w:val="1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D8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B295">
    <w:pPr>
      <w:pStyle w:val="18"/>
      <w:widowControl w:val="0"/>
      <w:pBdr>
        <w:top w:val="none" w:color="auto" w:sz="0" w:space="1"/>
        <w:left w:val="none" w:color="auto" w:sz="0" w:space="4"/>
        <w:bottom w:val="none" w:color="auto" w:sz="0" w:space="1"/>
        <w:right w:val="none" w:color="auto" w:sz="0" w:space="4"/>
        <w:between w:val="none" w:color="auto" w:sz="0" w:space="0"/>
      </w:pBdr>
      <w:snapToGri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DD8AF"/>
    <w:multiLevelType w:val="singleLevel"/>
    <w:tmpl w:val="A31DD8AF"/>
    <w:lvl w:ilvl="0" w:tentative="0">
      <w:start w:val="1"/>
      <w:numFmt w:val="decimal"/>
      <w:suff w:val="nothing"/>
      <w:lvlText w:val="（%1）"/>
      <w:lvlJc w:val="left"/>
    </w:lvl>
  </w:abstractNum>
  <w:abstractNum w:abstractNumId="1">
    <w:nsid w:val="0F816493"/>
    <w:multiLevelType w:val="singleLevel"/>
    <w:tmpl w:val="0F81649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NDk1OTU4MDM3MTcwNmMxZGIzNjFhOTJkNGE3ZDUifQ=="/>
  </w:docVars>
  <w:rsids>
    <w:rsidRoot w:val="4D1F3D1D"/>
    <w:rsid w:val="00066EBC"/>
    <w:rsid w:val="000B7528"/>
    <w:rsid w:val="00167F79"/>
    <w:rsid w:val="00264E69"/>
    <w:rsid w:val="002D0F19"/>
    <w:rsid w:val="002F05C1"/>
    <w:rsid w:val="003277A0"/>
    <w:rsid w:val="00332A27"/>
    <w:rsid w:val="0039310D"/>
    <w:rsid w:val="004425B7"/>
    <w:rsid w:val="004445ED"/>
    <w:rsid w:val="004A2ECB"/>
    <w:rsid w:val="005308D2"/>
    <w:rsid w:val="005976CC"/>
    <w:rsid w:val="00622CD1"/>
    <w:rsid w:val="006C1976"/>
    <w:rsid w:val="00793DB7"/>
    <w:rsid w:val="00802B52"/>
    <w:rsid w:val="00891545"/>
    <w:rsid w:val="008C16FD"/>
    <w:rsid w:val="008D138C"/>
    <w:rsid w:val="008D3A0B"/>
    <w:rsid w:val="00922F3B"/>
    <w:rsid w:val="009F4A14"/>
    <w:rsid w:val="00A74629"/>
    <w:rsid w:val="00AD558A"/>
    <w:rsid w:val="00B17FFA"/>
    <w:rsid w:val="00C25A19"/>
    <w:rsid w:val="00C84210"/>
    <w:rsid w:val="00DF6989"/>
    <w:rsid w:val="00E36842"/>
    <w:rsid w:val="00E71DD0"/>
    <w:rsid w:val="00FD2708"/>
    <w:rsid w:val="00FF1C9E"/>
    <w:rsid w:val="01433CEA"/>
    <w:rsid w:val="014E3493"/>
    <w:rsid w:val="01E44D60"/>
    <w:rsid w:val="01F03E0D"/>
    <w:rsid w:val="0200793B"/>
    <w:rsid w:val="021A4C6D"/>
    <w:rsid w:val="022950E4"/>
    <w:rsid w:val="02376972"/>
    <w:rsid w:val="025F5C72"/>
    <w:rsid w:val="02610945"/>
    <w:rsid w:val="027E4681"/>
    <w:rsid w:val="02AE264D"/>
    <w:rsid w:val="02C65DB7"/>
    <w:rsid w:val="02F662FC"/>
    <w:rsid w:val="03290480"/>
    <w:rsid w:val="032C3634"/>
    <w:rsid w:val="03301EB5"/>
    <w:rsid w:val="035715A2"/>
    <w:rsid w:val="036935CB"/>
    <w:rsid w:val="036F68CC"/>
    <w:rsid w:val="038B0F5B"/>
    <w:rsid w:val="03916F6C"/>
    <w:rsid w:val="03A474C7"/>
    <w:rsid w:val="03AF57EE"/>
    <w:rsid w:val="03CF28E3"/>
    <w:rsid w:val="03F90AE6"/>
    <w:rsid w:val="04072710"/>
    <w:rsid w:val="0425115D"/>
    <w:rsid w:val="04550B3E"/>
    <w:rsid w:val="046A680C"/>
    <w:rsid w:val="046A6AC7"/>
    <w:rsid w:val="046F007D"/>
    <w:rsid w:val="046F71BD"/>
    <w:rsid w:val="04907040"/>
    <w:rsid w:val="04923014"/>
    <w:rsid w:val="04A134D6"/>
    <w:rsid w:val="04AD7905"/>
    <w:rsid w:val="04B05649"/>
    <w:rsid w:val="04B225A6"/>
    <w:rsid w:val="04FB38C0"/>
    <w:rsid w:val="051A66FF"/>
    <w:rsid w:val="051D627A"/>
    <w:rsid w:val="05300538"/>
    <w:rsid w:val="056D7096"/>
    <w:rsid w:val="056E08C6"/>
    <w:rsid w:val="05737ADC"/>
    <w:rsid w:val="05E25CD6"/>
    <w:rsid w:val="05EF0AC8"/>
    <w:rsid w:val="06437804"/>
    <w:rsid w:val="065D378D"/>
    <w:rsid w:val="066C37F1"/>
    <w:rsid w:val="068923F1"/>
    <w:rsid w:val="06992B3C"/>
    <w:rsid w:val="06D41DE1"/>
    <w:rsid w:val="07013F3A"/>
    <w:rsid w:val="07026E07"/>
    <w:rsid w:val="072A35C7"/>
    <w:rsid w:val="074B78AB"/>
    <w:rsid w:val="07612C2A"/>
    <w:rsid w:val="079E0E49"/>
    <w:rsid w:val="07C27AF6"/>
    <w:rsid w:val="08154E19"/>
    <w:rsid w:val="083B2E76"/>
    <w:rsid w:val="08406DFE"/>
    <w:rsid w:val="085B58CB"/>
    <w:rsid w:val="08680CC2"/>
    <w:rsid w:val="08703D77"/>
    <w:rsid w:val="087A45E6"/>
    <w:rsid w:val="08B17BE1"/>
    <w:rsid w:val="08B23DD0"/>
    <w:rsid w:val="08E27D9B"/>
    <w:rsid w:val="08F55D20"/>
    <w:rsid w:val="08FF26FB"/>
    <w:rsid w:val="090E293E"/>
    <w:rsid w:val="091133AD"/>
    <w:rsid w:val="09117BB4"/>
    <w:rsid w:val="0933474B"/>
    <w:rsid w:val="094E5430"/>
    <w:rsid w:val="09633834"/>
    <w:rsid w:val="097D6945"/>
    <w:rsid w:val="098618E1"/>
    <w:rsid w:val="099551CA"/>
    <w:rsid w:val="099A21B2"/>
    <w:rsid w:val="09A667C8"/>
    <w:rsid w:val="09CD44F1"/>
    <w:rsid w:val="09D82C4C"/>
    <w:rsid w:val="09EA5159"/>
    <w:rsid w:val="0A0C0679"/>
    <w:rsid w:val="0A4D1921"/>
    <w:rsid w:val="0A6F6486"/>
    <w:rsid w:val="0A947AD8"/>
    <w:rsid w:val="0A9F23E7"/>
    <w:rsid w:val="0AB1211B"/>
    <w:rsid w:val="0AB87005"/>
    <w:rsid w:val="0AD61F16"/>
    <w:rsid w:val="0B5807E8"/>
    <w:rsid w:val="0B8D7D4D"/>
    <w:rsid w:val="0BB312F9"/>
    <w:rsid w:val="0BB43FAC"/>
    <w:rsid w:val="0BBA4FFF"/>
    <w:rsid w:val="0BE5112D"/>
    <w:rsid w:val="0C1F04F8"/>
    <w:rsid w:val="0C320DBA"/>
    <w:rsid w:val="0C434FF4"/>
    <w:rsid w:val="0C4C3EA9"/>
    <w:rsid w:val="0C845B6F"/>
    <w:rsid w:val="0C8A077F"/>
    <w:rsid w:val="0CAB755A"/>
    <w:rsid w:val="0CB41A4E"/>
    <w:rsid w:val="0CE40585"/>
    <w:rsid w:val="0D175CF8"/>
    <w:rsid w:val="0D1A1C59"/>
    <w:rsid w:val="0D231F82"/>
    <w:rsid w:val="0D542CEB"/>
    <w:rsid w:val="0D564607"/>
    <w:rsid w:val="0D5827EC"/>
    <w:rsid w:val="0D697BE1"/>
    <w:rsid w:val="0D6C382C"/>
    <w:rsid w:val="0D9506DD"/>
    <w:rsid w:val="0DB53CD0"/>
    <w:rsid w:val="0DC41CD8"/>
    <w:rsid w:val="0DC9400E"/>
    <w:rsid w:val="0DD93EC8"/>
    <w:rsid w:val="0DDB2D8F"/>
    <w:rsid w:val="0DF17D55"/>
    <w:rsid w:val="0E320E7D"/>
    <w:rsid w:val="0E3D5BE2"/>
    <w:rsid w:val="0E411743"/>
    <w:rsid w:val="0E4432BA"/>
    <w:rsid w:val="0E471C43"/>
    <w:rsid w:val="0E572FD9"/>
    <w:rsid w:val="0E5E1387"/>
    <w:rsid w:val="0E7E0EC1"/>
    <w:rsid w:val="0E837ECC"/>
    <w:rsid w:val="0E872B78"/>
    <w:rsid w:val="0E8D69FB"/>
    <w:rsid w:val="0EC341CA"/>
    <w:rsid w:val="0F603118"/>
    <w:rsid w:val="0F625791"/>
    <w:rsid w:val="0F774A5B"/>
    <w:rsid w:val="0FA24403"/>
    <w:rsid w:val="0FA540F2"/>
    <w:rsid w:val="0FF15420"/>
    <w:rsid w:val="10216F94"/>
    <w:rsid w:val="1025513D"/>
    <w:rsid w:val="104942F3"/>
    <w:rsid w:val="1052394A"/>
    <w:rsid w:val="10783DCB"/>
    <w:rsid w:val="107C0AD5"/>
    <w:rsid w:val="10802A96"/>
    <w:rsid w:val="108A1444"/>
    <w:rsid w:val="1093503C"/>
    <w:rsid w:val="10D80CE7"/>
    <w:rsid w:val="10DE0260"/>
    <w:rsid w:val="10E60648"/>
    <w:rsid w:val="110D5A5B"/>
    <w:rsid w:val="112C7CAB"/>
    <w:rsid w:val="113C092E"/>
    <w:rsid w:val="115C340B"/>
    <w:rsid w:val="116D4A3B"/>
    <w:rsid w:val="116E3AFB"/>
    <w:rsid w:val="1182259A"/>
    <w:rsid w:val="11A26319"/>
    <w:rsid w:val="11B40530"/>
    <w:rsid w:val="11BF6ECB"/>
    <w:rsid w:val="11DC0B12"/>
    <w:rsid w:val="11E542C1"/>
    <w:rsid w:val="11E92A7B"/>
    <w:rsid w:val="1206762C"/>
    <w:rsid w:val="1214133E"/>
    <w:rsid w:val="12792718"/>
    <w:rsid w:val="128010D8"/>
    <w:rsid w:val="1283408B"/>
    <w:rsid w:val="128D083D"/>
    <w:rsid w:val="12935003"/>
    <w:rsid w:val="12D836FD"/>
    <w:rsid w:val="12DD5E19"/>
    <w:rsid w:val="12FE1529"/>
    <w:rsid w:val="131455FB"/>
    <w:rsid w:val="136B23AA"/>
    <w:rsid w:val="136B71AF"/>
    <w:rsid w:val="13D76209"/>
    <w:rsid w:val="13DB0224"/>
    <w:rsid w:val="140D1D21"/>
    <w:rsid w:val="141B47F4"/>
    <w:rsid w:val="14402DFB"/>
    <w:rsid w:val="1473441C"/>
    <w:rsid w:val="148368D6"/>
    <w:rsid w:val="14C64156"/>
    <w:rsid w:val="14C83A88"/>
    <w:rsid w:val="14E9673D"/>
    <w:rsid w:val="14EC4CF7"/>
    <w:rsid w:val="14F06BF9"/>
    <w:rsid w:val="14F46470"/>
    <w:rsid w:val="15035442"/>
    <w:rsid w:val="15141033"/>
    <w:rsid w:val="1538566D"/>
    <w:rsid w:val="157236F4"/>
    <w:rsid w:val="15820A27"/>
    <w:rsid w:val="15885E74"/>
    <w:rsid w:val="161B06D4"/>
    <w:rsid w:val="162824A2"/>
    <w:rsid w:val="16304D83"/>
    <w:rsid w:val="163D0D06"/>
    <w:rsid w:val="164F121C"/>
    <w:rsid w:val="16543F3B"/>
    <w:rsid w:val="16914D0E"/>
    <w:rsid w:val="169604F8"/>
    <w:rsid w:val="16A20B69"/>
    <w:rsid w:val="16C438DD"/>
    <w:rsid w:val="16DE7DF3"/>
    <w:rsid w:val="16E75448"/>
    <w:rsid w:val="17051824"/>
    <w:rsid w:val="17360341"/>
    <w:rsid w:val="17365FC5"/>
    <w:rsid w:val="17463BEB"/>
    <w:rsid w:val="174C075A"/>
    <w:rsid w:val="17615424"/>
    <w:rsid w:val="176B5011"/>
    <w:rsid w:val="177D0F71"/>
    <w:rsid w:val="1784260D"/>
    <w:rsid w:val="178C3CF3"/>
    <w:rsid w:val="17EC1B01"/>
    <w:rsid w:val="18253800"/>
    <w:rsid w:val="18815E20"/>
    <w:rsid w:val="18A64941"/>
    <w:rsid w:val="18C13255"/>
    <w:rsid w:val="18C21856"/>
    <w:rsid w:val="18C96538"/>
    <w:rsid w:val="18D95F56"/>
    <w:rsid w:val="19216DC4"/>
    <w:rsid w:val="193C52A5"/>
    <w:rsid w:val="194E4135"/>
    <w:rsid w:val="19B97504"/>
    <w:rsid w:val="19BE25F9"/>
    <w:rsid w:val="1A0226B2"/>
    <w:rsid w:val="1A0E1453"/>
    <w:rsid w:val="1A43372F"/>
    <w:rsid w:val="1A4347EE"/>
    <w:rsid w:val="1A4B0D94"/>
    <w:rsid w:val="1A4D2D9B"/>
    <w:rsid w:val="1A5F0608"/>
    <w:rsid w:val="1A655D91"/>
    <w:rsid w:val="1A6F297C"/>
    <w:rsid w:val="1A8B27BC"/>
    <w:rsid w:val="1AD219FB"/>
    <w:rsid w:val="1AE40ED8"/>
    <w:rsid w:val="1AF50B9D"/>
    <w:rsid w:val="1B26620D"/>
    <w:rsid w:val="1B2C13D1"/>
    <w:rsid w:val="1B3310A2"/>
    <w:rsid w:val="1BBD3CBE"/>
    <w:rsid w:val="1BBE3EBD"/>
    <w:rsid w:val="1BBF4AE6"/>
    <w:rsid w:val="1BDC13FA"/>
    <w:rsid w:val="1BE32BFD"/>
    <w:rsid w:val="1BE614F8"/>
    <w:rsid w:val="1C1918CE"/>
    <w:rsid w:val="1C3F7714"/>
    <w:rsid w:val="1C526BC7"/>
    <w:rsid w:val="1C8431EB"/>
    <w:rsid w:val="1C98470D"/>
    <w:rsid w:val="1CC57360"/>
    <w:rsid w:val="1D0C4F8F"/>
    <w:rsid w:val="1D2A54C0"/>
    <w:rsid w:val="1D305E8E"/>
    <w:rsid w:val="1D440426"/>
    <w:rsid w:val="1D47218D"/>
    <w:rsid w:val="1D625275"/>
    <w:rsid w:val="1D65567B"/>
    <w:rsid w:val="1D680B26"/>
    <w:rsid w:val="1D6B3119"/>
    <w:rsid w:val="1D835251"/>
    <w:rsid w:val="1D881A58"/>
    <w:rsid w:val="1DA169A2"/>
    <w:rsid w:val="1DB533AC"/>
    <w:rsid w:val="1DEF6D8A"/>
    <w:rsid w:val="1DFB128B"/>
    <w:rsid w:val="1DFD108C"/>
    <w:rsid w:val="1E1D391D"/>
    <w:rsid w:val="1E2F7187"/>
    <w:rsid w:val="1E5E7A6C"/>
    <w:rsid w:val="1E646E41"/>
    <w:rsid w:val="1EA13D19"/>
    <w:rsid w:val="1EC05068"/>
    <w:rsid w:val="1ED43412"/>
    <w:rsid w:val="1EDC47E9"/>
    <w:rsid w:val="1EFD3950"/>
    <w:rsid w:val="1F141DFA"/>
    <w:rsid w:val="1F155057"/>
    <w:rsid w:val="1F3E1D77"/>
    <w:rsid w:val="1F4B430F"/>
    <w:rsid w:val="1F4C015B"/>
    <w:rsid w:val="1F5249FC"/>
    <w:rsid w:val="1F827453"/>
    <w:rsid w:val="1F873366"/>
    <w:rsid w:val="1F973ECB"/>
    <w:rsid w:val="1F9A544F"/>
    <w:rsid w:val="1FB81E2D"/>
    <w:rsid w:val="1FC13B5A"/>
    <w:rsid w:val="1FEA3D66"/>
    <w:rsid w:val="1FF42000"/>
    <w:rsid w:val="1FFD1954"/>
    <w:rsid w:val="202A1CA6"/>
    <w:rsid w:val="204F1D62"/>
    <w:rsid w:val="2059498F"/>
    <w:rsid w:val="20B36C83"/>
    <w:rsid w:val="20CE0595"/>
    <w:rsid w:val="20DF7795"/>
    <w:rsid w:val="20E00333"/>
    <w:rsid w:val="213863B3"/>
    <w:rsid w:val="215F582B"/>
    <w:rsid w:val="217750CC"/>
    <w:rsid w:val="217D645B"/>
    <w:rsid w:val="21A73CED"/>
    <w:rsid w:val="21A954A2"/>
    <w:rsid w:val="21BA1BD2"/>
    <w:rsid w:val="21E237E8"/>
    <w:rsid w:val="21E569FE"/>
    <w:rsid w:val="22254E37"/>
    <w:rsid w:val="22280ABD"/>
    <w:rsid w:val="222A7ECD"/>
    <w:rsid w:val="222E27F6"/>
    <w:rsid w:val="22383861"/>
    <w:rsid w:val="22451515"/>
    <w:rsid w:val="224635D2"/>
    <w:rsid w:val="224E5C1B"/>
    <w:rsid w:val="225A40A6"/>
    <w:rsid w:val="2269706D"/>
    <w:rsid w:val="22A7760A"/>
    <w:rsid w:val="22C76481"/>
    <w:rsid w:val="22E91DF4"/>
    <w:rsid w:val="23024E6A"/>
    <w:rsid w:val="233D40F4"/>
    <w:rsid w:val="233E6D5B"/>
    <w:rsid w:val="23472EFB"/>
    <w:rsid w:val="234E2CE5"/>
    <w:rsid w:val="23587E98"/>
    <w:rsid w:val="236F4B8B"/>
    <w:rsid w:val="23A419BF"/>
    <w:rsid w:val="23B81188"/>
    <w:rsid w:val="23FD692F"/>
    <w:rsid w:val="240840CC"/>
    <w:rsid w:val="242674A2"/>
    <w:rsid w:val="24567A91"/>
    <w:rsid w:val="2460661E"/>
    <w:rsid w:val="24614C78"/>
    <w:rsid w:val="246A27C7"/>
    <w:rsid w:val="247A54CB"/>
    <w:rsid w:val="248F4E23"/>
    <w:rsid w:val="249451A1"/>
    <w:rsid w:val="24C12483"/>
    <w:rsid w:val="24DB3BC4"/>
    <w:rsid w:val="24F05708"/>
    <w:rsid w:val="25391702"/>
    <w:rsid w:val="254010EA"/>
    <w:rsid w:val="255F4856"/>
    <w:rsid w:val="25A27BFE"/>
    <w:rsid w:val="25B4543E"/>
    <w:rsid w:val="25BA7C7E"/>
    <w:rsid w:val="25BF34E6"/>
    <w:rsid w:val="25C23B24"/>
    <w:rsid w:val="262B0BA1"/>
    <w:rsid w:val="26457B60"/>
    <w:rsid w:val="265B5473"/>
    <w:rsid w:val="265C1789"/>
    <w:rsid w:val="266D4123"/>
    <w:rsid w:val="266D7469"/>
    <w:rsid w:val="26760048"/>
    <w:rsid w:val="267C4C09"/>
    <w:rsid w:val="26BB3CAD"/>
    <w:rsid w:val="26DF1AFB"/>
    <w:rsid w:val="26EA72A2"/>
    <w:rsid w:val="26EC699F"/>
    <w:rsid w:val="26EF7DFB"/>
    <w:rsid w:val="26F27EC6"/>
    <w:rsid w:val="27075144"/>
    <w:rsid w:val="270F77A5"/>
    <w:rsid w:val="27226872"/>
    <w:rsid w:val="276238F1"/>
    <w:rsid w:val="27764078"/>
    <w:rsid w:val="27952750"/>
    <w:rsid w:val="279664C8"/>
    <w:rsid w:val="27AD6424"/>
    <w:rsid w:val="27BF3329"/>
    <w:rsid w:val="27D120E4"/>
    <w:rsid w:val="27E67129"/>
    <w:rsid w:val="27EE10E0"/>
    <w:rsid w:val="28136527"/>
    <w:rsid w:val="281D62A2"/>
    <w:rsid w:val="281F64BE"/>
    <w:rsid w:val="284A1706"/>
    <w:rsid w:val="288C1469"/>
    <w:rsid w:val="28A644E9"/>
    <w:rsid w:val="28A864B3"/>
    <w:rsid w:val="28B2794D"/>
    <w:rsid w:val="28CE45AE"/>
    <w:rsid w:val="28EE463B"/>
    <w:rsid w:val="29157C90"/>
    <w:rsid w:val="29283AD4"/>
    <w:rsid w:val="294A57BC"/>
    <w:rsid w:val="2987256D"/>
    <w:rsid w:val="298F0129"/>
    <w:rsid w:val="29A900EC"/>
    <w:rsid w:val="29E67293"/>
    <w:rsid w:val="2A036CEB"/>
    <w:rsid w:val="2A0D0F2D"/>
    <w:rsid w:val="2A1779A9"/>
    <w:rsid w:val="2A1E1FE2"/>
    <w:rsid w:val="2A23145D"/>
    <w:rsid w:val="2A273408"/>
    <w:rsid w:val="2A3D7E72"/>
    <w:rsid w:val="2A3E35FD"/>
    <w:rsid w:val="2A411D8E"/>
    <w:rsid w:val="2A7F7C34"/>
    <w:rsid w:val="2A81549E"/>
    <w:rsid w:val="2A9B6575"/>
    <w:rsid w:val="2AB224E7"/>
    <w:rsid w:val="2AC670C5"/>
    <w:rsid w:val="2AE632C3"/>
    <w:rsid w:val="2AE82B97"/>
    <w:rsid w:val="2B2B5BAE"/>
    <w:rsid w:val="2B4A1AA4"/>
    <w:rsid w:val="2B5709D7"/>
    <w:rsid w:val="2B7620C8"/>
    <w:rsid w:val="2B7973ED"/>
    <w:rsid w:val="2B7F627F"/>
    <w:rsid w:val="2B822FEC"/>
    <w:rsid w:val="2B864DAE"/>
    <w:rsid w:val="2B8C3772"/>
    <w:rsid w:val="2B9500AB"/>
    <w:rsid w:val="2BE37D65"/>
    <w:rsid w:val="2CAB0320"/>
    <w:rsid w:val="2CE455E0"/>
    <w:rsid w:val="2D2A6829"/>
    <w:rsid w:val="2D5373A8"/>
    <w:rsid w:val="2D6706EB"/>
    <w:rsid w:val="2D6D1A79"/>
    <w:rsid w:val="2D7C3222"/>
    <w:rsid w:val="2D7C3A6A"/>
    <w:rsid w:val="2D7F48F5"/>
    <w:rsid w:val="2D810234"/>
    <w:rsid w:val="2D8200A4"/>
    <w:rsid w:val="2DBF3CF8"/>
    <w:rsid w:val="2DC0116B"/>
    <w:rsid w:val="2DC45730"/>
    <w:rsid w:val="2DD34D30"/>
    <w:rsid w:val="2DDB2E87"/>
    <w:rsid w:val="2DE87F2D"/>
    <w:rsid w:val="2E0A13F5"/>
    <w:rsid w:val="2E176EC8"/>
    <w:rsid w:val="2E533791"/>
    <w:rsid w:val="2E5810BC"/>
    <w:rsid w:val="2E5C1227"/>
    <w:rsid w:val="2E5F7614"/>
    <w:rsid w:val="2E655B84"/>
    <w:rsid w:val="2E807610"/>
    <w:rsid w:val="2ED84896"/>
    <w:rsid w:val="2EF019D0"/>
    <w:rsid w:val="2EF1740C"/>
    <w:rsid w:val="2F0179F7"/>
    <w:rsid w:val="2F3852BF"/>
    <w:rsid w:val="2F4E02CA"/>
    <w:rsid w:val="2F7816FB"/>
    <w:rsid w:val="2F8823E7"/>
    <w:rsid w:val="2FA00E96"/>
    <w:rsid w:val="2FE10D46"/>
    <w:rsid w:val="2FF136F3"/>
    <w:rsid w:val="2FF413B1"/>
    <w:rsid w:val="3001218F"/>
    <w:rsid w:val="303F379F"/>
    <w:rsid w:val="304657BB"/>
    <w:rsid w:val="307E30CB"/>
    <w:rsid w:val="30F458A5"/>
    <w:rsid w:val="30FC0A58"/>
    <w:rsid w:val="30FF0C3A"/>
    <w:rsid w:val="311330B0"/>
    <w:rsid w:val="3115089E"/>
    <w:rsid w:val="313078DE"/>
    <w:rsid w:val="31592A40"/>
    <w:rsid w:val="315A40C3"/>
    <w:rsid w:val="31854871"/>
    <w:rsid w:val="31885D69"/>
    <w:rsid w:val="31AE5F08"/>
    <w:rsid w:val="31BC09FC"/>
    <w:rsid w:val="320504D2"/>
    <w:rsid w:val="321E3342"/>
    <w:rsid w:val="323116D7"/>
    <w:rsid w:val="325372B3"/>
    <w:rsid w:val="32561841"/>
    <w:rsid w:val="32590B33"/>
    <w:rsid w:val="325A2C7C"/>
    <w:rsid w:val="3262574D"/>
    <w:rsid w:val="327A139B"/>
    <w:rsid w:val="327D3561"/>
    <w:rsid w:val="32821B23"/>
    <w:rsid w:val="32887F72"/>
    <w:rsid w:val="329C2BDF"/>
    <w:rsid w:val="32C24615"/>
    <w:rsid w:val="32DB1233"/>
    <w:rsid w:val="32F95E03"/>
    <w:rsid w:val="332E3A59"/>
    <w:rsid w:val="33840BFC"/>
    <w:rsid w:val="338869EC"/>
    <w:rsid w:val="3398021F"/>
    <w:rsid w:val="348E511D"/>
    <w:rsid w:val="34BD5272"/>
    <w:rsid w:val="34BD6E42"/>
    <w:rsid w:val="34CC52D7"/>
    <w:rsid w:val="34D94BB8"/>
    <w:rsid w:val="34DA2F07"/>
    <w:rsid w:val="34E9210B"/>
    <w:rsid w:val="34F53FE1"/>
    <w:rsid w:val="35310628"/>
    <w:rsid w:val="354D2F8C"/>
    <w:rsid w:val="355B2F4B"/>
    <w:rsid w:val="357F67EE"/>
    <w:rsid w:val="358E07DF"/>
    <w:rsid w:val="35B71AE4"/>
    <w:rsid w:val="36617CA1"/>
    <w:rsid w:val="366F6336"/>
    <w:rsid w:val="367E2593"/>
    <w:rsid w:val="36BD312A"/>
    <w:rsid w:val="36C344B8"/>
    <w:rsid w:val="36D245F2"/>
    <w:rsid w:val="36DA2613"/>
    <w:rsid w:val="36E44D89"/>
    <w:rsid w:val="36E759B2"/>
    <w:rsid w:val="36F31241"/>
    <w:rsid w:val="36FC4F53"/>
    <w:rsid w:val="370D5F07"/>
    <w:rsid w:val="37173BFC"/>
    <w:rsid w:val="37185A68"/>
    <w:rsid w:val="373175CE"/>
    <w:rsid w:val="37393CF9"/>
    <w:rsid w:val="37455F45"/>
    <w:rsid w:val="377B658C"/>
    <w:rsid w:val="3789050E"/>
    <w:rsid w:val="37AB2673"/>
    <w:rsid w:val="37B71A4A"/>
    <w:rsid w:val="37DB0199"/>
    <w:rsid w:val="38482EC7"/>
    <w:rsid w:val="389A3410"/>
    <w:rsid w:val="392065CA"/>
    <w:rsid w:val="39280510"/>
    <w:rsid w:val="395F4F1A"/>
    <w:rsid w:val="3975784B"/>
    <w:rsid w:val="397742BA"/>
    <w:rsid w:val="39E6508D"/>
    <w:rsid w:val="3A082B17"/>
    <w:rsid w:val="3A292FC4"/>
    <w:rsid w:val="3A2B2AA0"/>
    <w:rsid w:val="3A555119"/>
    <w:rsid w:val="3AD46C94"/>
    <w:rsid w:val="3ADA64E1"/>
    <w:rsid w:val="3AE12BA8"/>
    <w:rsid w:val="3AEF3ACE"/>
    <w:rsid w:val="3B027811"/>
    <w:rsid w:val="3B190CFE"/>
    <w:rsid w:val="3B1B38B5"/>
    <w:rsid w:val="3B440145"/>
    <w:rsid w:val="3B4E6A46"/>
    <w:rsid w:val="3B50242C"/>
    <w:rsid w:val="3B5878C5"/>
    <w:rsid w:val="3B6B0B81"/>
    <w:rsid w:val="3BA41833"/>
    <w:rsid w:val="3BC35686"/>
    <w:rsid w:val="3BC814A8"/>
    <w:rsid w:val="3BED25BD"/>
    <w:rsid w:val="3BFE4895"/>
    <w:rsid w:val="3C3F2833"/>
    <w:rsid w:val="3C421741"/>
    <w:rsid w:val="3C637F13"/>
    <w:rsid w:val="3C675023"/>
    <w:rsid w:val="3C6B2A40"/>
    <w:rsid w:val="3C875259"/>
    <w:rsid w:val="3C885B61"/>
    <w:rsid w:val="3C8F1645"/>
    <w:rsid w:val="3C943450"/>
    <w:rsid w:val="3CD94A35"/>
    <w:rsid w:val="3CF47AC1"/>
    <w:rsid w:val="3CF950D8"/>
    <w:rsid w:val="3CFA36B3"/>
    <w:rsid w:val="3D1E494E"/>
    <w:rsid w:val="3D413D66"/>
    <w:rsid w:val="3D5308EC"/>
    <w:rsid w:val="3D5F7C32"/>
    <w:rsid w:val="3D7C3BC4"/>
    <w:rsid w:val="3D9372DA"/>
    <w:rsid w:val="3DB256B4"/>
    <w:rsid w:val="3DCC459A"/>
    <w:rsid w:val="3DCC4DB3"/>
    <w:rsid w:val="3DCE67A3"/>
    <w:rsid w:val="3DDF18C5"/>
    <w:rsid w:val="3DF5764D"/>
    <w:rsid w:val="3E333293"/>
    <w:rsid w:val="3E442382"/>
    <w:rsid w:val="3E520B4C"/>
    <w:rsid w:val="3E722A81"/>
    <w:rsid w:val="3E7E5C40"/>
    <w:rsid w:val="3E9508E1"/>
    <w:rsid w:val="3E9C1E60"/>
    <w:rsid w:val="3EB33563"/>
    <w:rsid w:val="3EC60A79"/>
    <w:rsid w:val="3ED77C88"/>
    <w:rsid w:val="3EF164CC"/>
    <w:rsid w:val="3EF618CF"/>
    <w:rsid w:val="3EFD61E2"/>
    <w:rsid w:val="3F68745A"/>
    <w:rsid w:val="3F7756D9"/>
    <w:rsid w:val="3F825149"/>
    <w:rsid w:val="3FC5682C"/>
    <w:rsid w:val="3FE55F10"/>
    <w:rsid w:val="40657E8D"/>
    <w:rsid w:val="40670551"/>
    <w:rsid w:val="40AF2093"/>
    <w:rsid w:val="40DF172F"/>
    <w:rsid w:val="410A1586"/>
    <w:rsid w:val="41130E81"/>
    <w:rsid w:val="41270465"/>
    <w:rsid w:val="41735C6E"/>
    <w:rsid w:val="41C23CEA"/>
    <w:rsid w:val="41CC7BDF"/>
    <w:rsid w:val="41D3681F"/>
    <w:rsid w:val="420130CA"/>
    <w:rsid w:val="42233D0B"/>
    <w:rsid w:val="423C55CD"/>
    <w:rsid w:val="423C57BE"/>
    <w:rsid w:val="423F358D"/>
    <w:rsid w:val="425915EE"/>
    <w:rsid w:val="426928B9"/>
    <w:rsid w:val="42710404"/>
    <w:rsid w:val="42A14CD7"/>
    <w:rsid w:val="42A745C3"/>
    <w:rsid w:val="42FA7FB8"/>
    <w:rsid w:val="43171E14"/>
    <w:rsid w:val="43E77867"/>
    <w:rsid w:val="43EA2038"/>
    <w:rsid w:val="43EB2A92"/>
    <w:rsid w:val="440656AA"/>
    <w:rsid w:val="44234800"/>
    <w:rsid w:val="442C1D64"/>
    <w:rsid w:val="44827761"/>
    <w:rsid w:val="44B55D88"/>
    <w:rsid w:val="45033761"/>
    <w:rsid w:val="45085EB8"/>
    <w:rsid w:val="453D55E7"/>
    <w:rsid w:val="454F30FA"/>
    <w:rsid w:val="457876D9"/>
    <w:rsid w:val="45943967"/>
    <w:rsid w:val="45A26C0E"/>
    <w:rsid w:val="45A35BE1"/>
    <w:rsid w:val="45AB2104"/>
    <w:rsid w:val="45B973CD"/>
    <w:rsid w:val="45E44235"/>
    <w:rsid w:val="45EB5468"/>
    <w:rsid w:val="46030D6A"/>
    <w:rsid w:val="461223EC"/>
    <w:rsid w:val="463A4ED5"/>
    <w:rsid w:val="46813507"/>
    <w:rsid w:val="46A11681"/>
    <w:rsid w:val="47311266"/>
    <w:rsid w:val="473875D4"/>
    <w:rsid w:val="476B015A"/>
    <w:rsid w:val="476D4DF1"/>
    <w:rsid w:val="479342FC"/>
    <w:rsid w:val="479D076A"/>
    <w:rsid w:val="47B10A89"/>
    <w:rsid w:val="47C3256A"/>
    <w:rsid w:val="4827720A"/>
    <w:rsid w:val="486378A9"/>
    <w:rsid w:val="48640A17"/>
    <w:rsid w:val="487815A6"/>
    <w:rsid w:val="48A3218D"/>
    <w:rsid w:val="48AF331E"/>
    <w:rsid w:val="48B94B84"/>
    <w:rsid w:val="48CA3155"/>
    <w:rsid w:val="49316C77"/>
    <w:rsid w:val="4942405C"/>
    <w:rsid w:val="49787D5F"/>
    <w:rsid w:val="49C12135"/>
    <w:rsid w:val="49FE5ADB"/>
    <w:rsid w:val="4A0C5AEA"/>
    <w:rsid w:val="4A1C5754"/>
    <w:rsid w:val="4A394D65"/>
    <w:rsid w:val="4A6242BC"/>
    <w:rsid w:val="4A7A7B56"/>
    <w:rsid w:val="4A840304"/>
    <w:rsid w:val="4AAC504A"/>
    <w:rsid w:val="4AB21733"/>
    <w:rsid w:val="4ADA6548"/>
    <w:rsid w:val="4AE51250"/>
    <w:rsid w:val="4AEB7ED4"/>
    <w:rsid w:val="4B4100BC"/>
    <w:rsid w:val="4B5C07F8"/>
    <w:rsid w:val="4B665A48"/>
    <w:rsid w:val="4BEA5DE1"/>
    <w:rsid w:val="4BEB1F30"/>
    <w:rsid w:val="4BFA6981"/>
    <w:rsid w:val="4C057526"/>
    <w:rsid w:val="4C2537F3"/>
    <w:rsid w:val="4C406474"/>
    <w:rsid w:val="4C7272B9"/>
    <w:rsid w:val="4C9122FF"/>
    <w:rsid w:val="4CC227E7"/>
    <w:rsid w:val="4CC9674B"/>
    <w:rsid w:val="4CD50541"/>
    <w:rsid w:val="4CF57ADB"/>
    <w:rsid w:val="4CF66310"/>
    <w:rsid w:val="4D001AA6"/>
    <w:rsid w:val="4D1E6460"/>
    <w:rsid w:val="4D1F3D1D"/>
    <w:rsid w:val="4D221F8B"/>
    <w:rsid w:val="4D31775B"/>
    <w:rsid w:val="4D5A736B"/>
    <w:rsid w:val="4D8B2C96"/>
    <w:rsid w:val="4D8E361A"/>
    <w:rsid w:val="4D9A4639"/>
    <w:rsid w:val="4D9A6B81"/>
    <w:rsid w:val="4DBE522E"/>
    <w:rsid w:val="4DCA69F7"/>
    <w:rsid w:val="4DDC287C"/>
    <w:rsid w:val="4DE45A78"/>
    <w:rsid w:val="4E014E9E"/>
    <w:rsid w:val="4E1D47F6"/>
    <w:rsid w:val="4E263853"/>
    <w:rsid w:val="4E2E44B5"/>
    <w:rsid w:val="4E356360"/>
    <w:rsid w:val="4E79692D"/>
    <w:rsid w:val="4EBC358A"/>
    <w:rsid w:val="4ED15B1C"/>
    <w:rsid w:val="4EF009F0"/>
    <w:rsid w:val="4EF10C45"/>
    <w:rsid w:val="4F1D522E"/>
    <w:rsid w:val="4F564ED5"/>
    <w:rsid w:val="4F840831"/>
    <w:rsid w:val="4FB21842"/>
    <w:rsid w:val="4FDA2B47"/>
    <w:rsid w:val="500063E2"/>
    <w:rsid w:val="50096888"/>
    <w:rsid w:val="500B6ED6"/>
    <w:rsid w:val="50225F96"/>
    <w:rsid w:val="50342257"/>
    <w:rsid w:val="50451F56"/>
    <w:rsid w:val="506851B5"/>
    <w:rsid w:val="50712D30"/>
    <w:rsid w:val="507654C2"/>
    <w:rsid w:val="507E0FE9"/>
    <w:rsid w:val="509073C3"/>
    <w:rsid w:val="50A114C2"/>
    <w:rsid w:val="50A218B6"/>
    <w:rsid w:val="50B05655"/>
    <w:rsid w:val="51096C03"/>
    <w:rsid w:val="51163E4F"/>
    <w:rsid w:val="51183ADB"/>
    <w:rsid w:val="511D718F"/>
    <w:rsid w:val="51425C19"/>
    <w:rsid w:val="514F7287"/>
    <w:rsid w:val="51583D23"/>
    <w:rsid w:val="51592640"/>
    <w:rsid w:val="517843C5"/>
    <w:rsid w:val="518A1F32"/>
    <w:rsid w:val="518C1C1F"/>
    <w:rsid w:val="519B47EF"/>
    <w:rsid w:val="51B269D9"/>
    <w:rsid w:val="51CF50DD"/>
    <w:rsid w:val="51E67581"/>
    <w:rsid w:val="521F1196"/>
    <w:rsid w:val="52294A10"/>
    <w:rsid w:val="52352157"/>
    <w:rsid w:val="5243443F"/>
    <w:rsid w:val="524D13AE"/>
    <w:rsid w:val="52500E9E"/>
    <w:rsid w:val="525476FF"/>
    <w:rsid w:val="525E50E1"/>
    <w:rsid w:val="5281374D"/>
    <w:rsid w:val="52906400"/>
    <w:rsid w:val="52A507A7"/>
    <w:rsid w:val="52CA50F4"/>
    <w:rsid w:val="531661E7"/>
    <w:rsid w:val="53360094"/>
    <w:rsid w:val="53762D8F"/>
    <w:rsid w:val="538506AF"/>
    <w:rsid w:val="538B22A1"/>
    <w:rsid w:val="53935643"/>
    <w:rsid w:val="53AC5F0C"/>
    <w:rsid w:val="53B92A73"/>
    <w:rsid w:val="53BD5C28"/>
    <w:rsid w:val="53CD3699"/>
    <w:rsid w:val="53EA67CA"/>
    <w:rsid w:val="540A3F9F"/>
    <w:rsid w:val="54523809"/>
    <w:rsid w:val="54640C31"/>
    <w:rsid w:val="546D6BFA"/>
    <w:rsid w:val="5491145C"/>
    <w:rsid w:val="54DC297D"/>
    <w:rsid w:val="54F90031"/>
    <w:rsid w:val="54FC70BB"/>
    <w:rsid w:val="552244C8"/>
    <w:rsid w:val="552A58D4"/>
    <w:rsid w:val="55376345"/>
    <w:rsid w:val="55590E21"/>
    <w:rsid w:val="55B6370E"/>
    <w:rsid w:val="55DA023F"/>
    <w:rsid w:val="55DF032B"/>
    <w:rsid w:val="55E25945"/>
    <w:rsid w:val="55ED5B98"/>
    <w:rsid w:val="560C77D2"/>
    <w:rsid w:val="568D5851"/>
    <w:rsid w:val="56927E3F"/>
    <w:rsid w:val="56C569BF"/>
    <w:rsid w:val="56F02B45"/>
    <w:rsid w:val="57033431"/>
    <w:rsid w:val="571A20C9"/>
    <w:rsid w:val="57246915"/>
    <w:rsid w:val="574868D4"/>
    <w:rsid w:val="5756720B"/>
    <w:rsid w:val="57957613"/>
    <w:rsid w:val="5799537A"/>
    <w:rsid w:val="57AE6086"/>
    <w:rsid w:val="57CD4D3F"/>
    <w:rsid w:val="57DC5964"/>
    <w:rsid w:val="57FB7AFE"/>
    <w:rsid w:val="580919FA"/>
    <w:rsid w:val="581C07ED"/>
    <w:rsid w:val="582969C1"/>
    <w:rsid w:val="5837676D"/>
    <w:rsid w:val="586D1669"/>
    <w:rsid w:val="58A928CC"/>
    <w:rsid w:val="58B549F9"/>
    <w:rsid w:val="58CE3E8D"/>
    <w:rsid w:val="58E02848"/>
    <w:rsid w:val="58E42340"/>
    <w:rsid w:val="590B0122"/>
    <w:rsid w:val="591636E5"/>
    <w:rsid w:val="595C281E"/>
    <w:rsid w:val="596E342C"/>
    <w:rsid w:val="59964586"/>
    <w:rsid w:val="59AA4D91"/>
    <w:rsid w:val="59B43311"/>
    <w:rsid w:val="5A2A67A5"/>
    <w:rsid w:val="5A592F6D"/>
    <w:rsid w:val="5A6F028A"/>
    <w:rsid w:val="5A76664D"/>
    <w:rsid w:val="5AA9642E"/>
    <w:rsid w:val="5AC067E7"/>
    <w:rsid w:val="5B093F4D"/>
    <w:rsid w:val="5B0F53A6"/>
    <w:rsid w:val="5B3B032E"/>
    <w:rsid w:val="5B665C84"/>
    <w:rsid w:val="5B7C6B57"/>
    <w:rsid w:val="5B847F5A"/>
    <w:rsid w:val="5BAB5D59"/>
    <w:rsid w:val="5BD76A56"/>
    <w:rsid w:val="5BDC47E5"/>
    <w:rsid w:val="5C270EC2"/>
    <w:rsid w:val="5C3D4F23"/>
    <w:rsid w:val="5C4557EC"/>
    <w:rsid w:val="5C5107DF"/>
    <w:rsid w:val="5C58551F"/>
    <w:rsid w:val="5C7F7F59"/>
    <w:rsid w:val="5C8D23B8"/>
    <w:rsid w:val="5CB74C20"/>
    <w:rsid w:val="5CB82B30"/>
    <w:rsid w:val="5CBA7F88"/>
    <w:rsid w:val="5CD605C8"/>
    <w:rsid w:val="5CDB2361"/>
    <w:rsid w:val="5CE26718"/>
    <w:rsid w:val="5CE4518B"/>
    <w:rsid w:val="5D1A27D4"/>
    <w:rsid w:val="5D2B2998"/>
    <w:rsid w:val="5D3C6BEF"/>
    <w:rsid w:val="5D4E08C9"/>
    <w:rsid w:val="5D756913"/>
    <w:rsid w:val="5D973E25"/>
    <w:rsid w:val="5DCD3CEB"/>
    <w:rsid w:val="5DF86C27"/>
    <w:rsid w:val="5E1563D9"/>
    <w:rsid w:val="5E257683"/>
    <w:rsid w:val="5E487E04"/>
    <w:rsid w:val="5E561DD4"/>
    <w:rsid w:val="5E6D6D16"/>
    <w:rsid w:val="5E726FF2"/>
    <w:rsid w:val="5F100A56"/>
    <w:rsid w:val="5F286F76"/>
    <w:rsid w:val="5F4D1805"/>
    <w:rsid w:val="5F9C3975"/>
    <w:rsid w:val="5FC91FC2"/>
    <w:rsid w:val="5FCC68F2"/>
    <w:rsid w:val="5FEC13D8"/>
    <w:rsid w:val="5FF86AFB"/>
    <w:rsid w:val="60073F36"/>
    <w:rsid w:val="601B7260"/>
    <w:rsid w:val="60536729"/>
    <w:rsid w:val="60610825"/>
    <w:rsid w:val="60914F56"/>
    <w:rsid w:val="609E5A0A"/>
    <w:rsid w:val="60AC0F7A"/>
    <w:rsid w:val="60B03CA5"/>
    <w:rsid w:val="60E530F9"/>
    <w:rsid w:val="60EC0CD3"/>
    <w:rsid w:val="61151C31"/>
    <w:rsid w:val="611543C0"/>
    <w:rsid w:val="61587D6F"/>
    <w:rsid w:val="61614425"/>
    <w:rsid w:val="618E3791"/>
    <w:rsid w:val="619012B7"/>
    <w:rsid w:val="6190756E"/>
    <w:rsid w:val="6197533D"/>
    <w:rsid w:val="619D3F34"/>
    <w:rsid w:val="619E7364"/>
    <w:rsid w:val="61A26385"/>
    <w:rsid w:val="61B72CE8"/>
    <w:rsid w:val="61BF6A4D"/>
    <w:rsid w:val="61E07F65"/>
    <w:rsid w:val="621C6D43"/>
    <w:rsid w:val="629C1C43"/>
    <w:rsid w:val="62B6381D"/>
    <w:rsid w:val="62CF1501"/>
    <w:rsid w:val="62E117D3"/>
    <w:rsid w:val="63023325"/>
    <w:rsid w:val="63160357"/>
    <w:rsid w:val="634708B5"/>
    <w:rsid w:val="63B3106B"/>
    <w:rsid w:val="63F37B14"/>
    <w:rsid w:val="641365E3"/>
    <w:rsid w:val="64274B49"/>
    <w:rsid w:val="6449575B"/>
    <w:rsid w:val="64526326"/>
    <w:rsid w:val="647C6FDC"/>
    <w:rsid w:val="64A91CB1"/>
    <w:rsid w:val="64CA2D32"/>
    <w:rsid w:val="64EC72D0"/>
    <w:rsid w:val="65206DF6"/>
    <w:rsid w:val="65241416"/>
    <w:rsid w:val="6550575F"/>
    <w:rsid w:val="65D47F84"/>
    <w:rsid w:val="65D548D3"/>
    <w:rsid w:val="6618013E"/>
    <w:rsid w:val="661A212B"/>
    <w:rsid w:val="662B5A52"/>
    <w:rsid w:val="66456B14"/>
    <w:rsid w:val="66681EFA"/>
    <w:rsid w:val="66C8504F"/>
    <w:rsid w:val="66F419C9"/>
    <w:rsid w:val="66F43D3C"/>
    <w:rsid w:val="66F56FC6"/>
    <w:rsid w:val="66FA49DA"/>
    <w:rsid w:val="672359F5"/>
    <w:rsid w:val="674A360F"/>
    <w:rsid w:val="67F14BA3"/>
    <w:rsid w:val="67FC74CF"/>
    <w:rsid w:val="67FC762B"/>
    <w:rsid w:val="685968A7"/>
    <w:rsid w:val="68810835"/>
    <w:rsid w:val="68920F80"/>
    <w:rsid w:val="689A6532"/>
    <w:rsid w:val="68CD170A"/>
    <w:rsid w:val="68E0122B"/>
    <w:rsid w:val="68F16B4E"/>
    <w:rsid w:val="691D1962"/>
    <w:rsid w:val="69243646"/>
    <w:rsid w:val="69274D4F"/>
    <w:rsid w:val="695A0B28"/>
    <w:rsid w:val="696A199E"/>
    <w:rsid w:val="69834560"/>
    <w:rsid w:val="699851AD"/>
    <w:rsid w:val="69A46D4F"/>
    <w:rsid w:val="69FD3262"/>
    <w:rsid w:val="6A0222AC"/>
    <w:rsid w:val="6A2353BE"/>
    <w:rsid w:val="6A6922C0"/>
    <w:rsid w:val="6A8338EA"/>
    <w:rsid w:val="6A893D8F"/>
    <w:rsid w:val="6A8D23D0"/>
    <w:rsid w:val="6A8D375B"/>
    <w:rsid w:val="6A9E2C97"/>
    <w:rsid w:val="6ABE46FC"/>
    <w:rsid w:val="6AFC0E09"/>
    <w:rsid w:val="6B0F4443"/>
    <w:rsid w:val="6B1E5B86"/>
    <w:rsid w:val="6B2139C2"/>
    <w:rsid w:val="6BAC7798"/>
    <w:rsid w:val="6BBC225C"/>
    <w:rsid w:val="6C4E076D"/>
    <w:rsid w:val="6C4E73CC"/>
    <w:rsid w:val="6C5F6013"/>
    <w:rsid w:val="6C6E0447"/>
    <w:rsid w:val="6C731F01"/>
    <w:rsid w:val="6C7E572C"/>
    <w:rsid w:val="6CB17DCE"/>
    <w:rsid w:val="6CC53B8B"/>
    <w:rsid w:val="6CDF1345"/>
    <w:rsid w:val="6CFA0872"/>
    <w:rsid w:val="6CFA617E"/>
    <w:rsid w:val="6D415B5B"/>
    <w:rsid w:val="6D5B37BB"/>
    <w:rsid w:val="6D5B6C1D"/>
    <w:rsid w:val="6DA51EBB"/>
    <w:rsid w:val="6DB4632D"/>
    <w:rsid w:val="6DC95F75"/>
    <w:rsid w:val="6DFE3A35"/>
    <w:rsid w:val="6E192634"/>
    <w:rsid w:val="6E500B41"/>
    <w:rsid w:val="6E753D0F"/>
    <w:rsid w:val="6EDC4709"/>
    <w:rsid w:val="6EF7717F"/>
    <w:rsid w:val="6EFA3C2C"/>
    <w:rsid w:val="6F0D6232"/>
    <w:rsid w:val="6F110A79"/>
    <w:rsid w:val="6F2F7D95"/>
    <w:rsid w:val="6F3E67F6"/>
    <w:rsid w:val="6F6C6BA1"/>
    <w:rsid w:val="6FAD4FAE"/>
    <w:rsid w:val="70017254"/>
    <w:rsid w:val="70151345"/>
    <w:rsid w:val="70250596"/>
    <w:rsid w:val="70282AE8"/>
    <w:rsid w:val="70366D4F"/>
    <w:rsid w:val="704A264D"/>
    <w:rsid w:val="705D4A5A"/>
    <w:rsid w:val="708633F6"/>
    <w:rsid w:val="709826FF"/>
    <w:rsid w:val="70CE5958"/>
    <w:rsid w:val="70ED2282"/>
    <w:rsid w:val="713C4B2D"/>
    <w:rsid w:val="71417281"/>
    <w:rsid w:val="71485EA3"/>
    <w:rsid w:val="714C042A"/>
    <w:rsid w:val="715E46AA"/>
    <w:rsid w:val="7174693B"/>
    <w:rsid w:val="717B63F1"/>
    <w:rsid w:val="718A6B1D"/>
    <w:rsid w:val="71B919A0"/>
    <w:rsid w:val="71CB787B"/>
    <w:rsid w:val="71E33685"/>
    <w:rsid w:val="71F70DEA"/>
    <w:rsid w:val="71FB277D"/>
    <w:rsid w:val="71FF307C"/>
    <w:rsid w:val="720A6E64"/>
    <w:rsid w:val="72171F6F"/>
    <w:rsid w:val="72696269"/>
    <w:rsid w:val="727B0152"/>
    <w:rsid w:val="727B26BC"/>
    <w:rsid w:val="727C325F"/>
    <w:rsid w:val="72882E74"/>
    <w:rsid w:val="7294672D"/>
    <w:rsid w:val="729547F4"/>
    <w:rsid w:val="72A15277"/>
    <w:rsid w:val="72D82ABE"/>
    <w:rsid w:val="72D97BA8"/>
    <w:rsid w:val="72E02390"/>
    <w:rsid w:val="72EB0A43"/>
    <w:rsid w:val="730666C6"/>
    <w:rsid w:val="73221F8B"/>
    <w:rsid w:val="736137FE"/>
    <w:rsid w:val="73817A40"/>
    <w:rsid w:val="738B18DE"/>
    <w:rsid w:val="7399224D"/>
    <w:rsid w:val="739E7864"/>
    <w:rsid w:val="73B33747"/>
    <w:rsid w:val="73B7117E"/>
    <w:rsid w:val="73EC4A73"/>
    <w:rsid w:val="73F6144E"/>
    <w:rsid w:val="74116287"/>
    <w:rsid w:val="743B50B2"/>
    <w:rsid w:val="743E7CE7"/>
    <w:rsid w:val="74475165"/>
    <w:rsid w:val="74602D55"/>
    <w:rsid w:val="74746816"/>
    <w:rsid w:val="747845BD"/>
    <w:rsid w:val="74B10B16"/>
    <w:rsid w:val="74BF603A"/>
    <w:rsid w:val="74C84F11"/>
    <w:rsid w:val="74DD706E"/>
    <w:rsid w:val="74E16744"/>
    <w:rsid w:val="750D7D7F"/>
    <w:rsid w:val="754703BE"/>
    <w:rsid w:val="75560FE4"/>
    <w:rsid w:val="75703482"/>
    <w:rsid w:val="75722D56"/>
    <w:rsid w:val="75790FBA"/>
    <w:rsid w:val="75D01273"/>
    <w:rsid w:val="75ED6880"/>
    <w:rsid w:val="75F23905"/>
    <w:rsid w:val="762322A2"/>
    <w:rsid w:val="76260422"/>
    <w:rsid w:val="76524838"/>
    <w:rsid w:val="76966F18"/>
    <w:rsid w:val="76BB05BF"/>
    <w:rsid w:val="76C7633F"/>
    <w:rsid w:val="76D67F4D"/>
    <w:rsid w:val="76EC08E6"/>
    <w:rsid w:val="77063E7A"/>
    <w:rsid w:val="77530965"/>
    <w:rsid w:val="77574678"/>
    <w:rsid w:val="77BF7FC3"/>
    <w:rsid w:val="77DB0F12"/>
    <w:rsid w:val="77EA2D45"/>
    <w:rsid w:val="77F6435D"/>
    <w:rsid w:val="78232160"/>
    <w:rsid w:val="78484242"/>
    <w:rsid w:val="78622F29"/>
    <w:rsid w:val="788F00C3"/>
    <w:rsid w:val="78975C71"/>
    <w:rsid w:val="78B47CCB"/>
    <w:rsid w:val="78C21793"/>
    <w:rsid w:val="78F44E20"/>
    <w:rsid w:val="794931C5"/>
    <w:rsid w:val="797866AB"/>
    <w:rsid w:val="797C13DA"/>
    <w:rsid w:val="7994334A"/>
    <w:rsid w:val="799A6FAC"/>
    <w:rsid w:val="79BE76AB"/>
    <w:rsid w:val="79C06DEF"/>
    <w:rsid w:val="79CE2C3C"/>
    <w:rsid w:val="79FE6EC8"/>
    <w:rsid w:val="7A28469D"/>
    <w:rsid w:val="7A4B7FD1"/>
    <w:rsid w:val="7A601C83"/>
    <w:rsid w:val="7A65732D"/>
    <w:rsid w:val="7A6B4218"/>
    <w:rsid w:val="7A7A0C34"/>
    <w:rsid w:val="7A832697"/>
    <w:rsid w:val="7A93397A"/>
    <w:rsid w:val="7AB931D5"/>
    <w:rsid w:val="7ADE5205"/>
    <w:rsid w:val="7B004A87"/>
    <w:rsid w:val="7B2C29D3"/>
    <w:rsid w:val="7B367355"/>
    <w:rsid w:val="7B596776"/>
    <w:rsid w:val="7B643141"/>
    <w:rsid w:val="7B892514"/>
    <w:rsid w:val="7B9272A7"/>
    <w:rsid w:val="7BA93B97"/>
    <w:rsid w:val="7BC5326A"/>
    <w:rsid w:val="7BFD4580"/>
    <w:rsid w:val="7C110C6C"/>
    <w:rsid w:val="7C131926"/>
    <w:rsid w:val="7C23020C"/>
    <w:rsid w:val="7C291DD4"/>
    <w:rsid w:val="7C382830"/>
    <w:rsid w:val="7C773348"/>
    <w:rsid w:val="7C89688D"/>
    <w:rsid w:val="7C8D5A91"/>
    <w:rsid w:val="7C9404E0"/>
    <w:rsid w:val="7C963338"/>
    <w:rsid w:val="7CAB5063"/>
    <w:rsid w:val="7CD10CAA"/>
    <w:rsid w:val="7D397B0B"/>
    <w:rsid w:val="7D3D64BE"/>
    <w:rsid w:val="7D5A42ED"/>
    <w:rsid w:val="7D737021"/>
    <w:rsid w:val="7D94419E"/>
    <w:rsid w:val="7D983138"/>
    <w:rsid w:val="7DB7297B"/>
    <w:rsid w:val="7DDA18D3"/>
    <w:rsid w:val="7DFF0D60"/>
    <w:rsid w:val="7E10005A"/>
    <w:rsid w:val="7E117B58"/>
    <w:rsid w:val="7E2D4653"/>
    <w:rsid w:val="7E2E3687"/>
    <w:rsid w:val="7E34379B"/>
    <w:rsid w:val="7E380E27"/>
    <w:rsid w:val="7EA05E7E"/>
    <w:rsid w:val="7EEB2A88"/>
    <w:rsid w:val="7EF325F8"/>
    <w:rsid w:val="7F435D7D"/>
    <w:rsid w:val="7F8B11C0"/>
    <w:rsid w:val="7F923675"/>
    <w:rsid w:val="7FB214FF"/>
    <w:rsid w:val="7FCE57F4"/>
    <w:rsid w:val="7FDA2C19"/>
    <w:rsid w:val="7FE8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iPriority="99"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200" w:line="276" w:lineRule="auto"/>
      <w:jc w:val="both"/>
    </w:pPr>
    <w:rPr>
      <w:rFonts w:ascii="仿宋_GB2312" w:hAnsi="Times New Roman" w:eastAsia="仿宋_GB2312" w:cs="Times New Roman"/>
      <w:kern w:val="2"/>
      <w:sz w:val="18"/>
      <w:szCs w:val="18"/>
      <w:lang w:val="en-US" w:eastAsia="zh-CN" w:bidi="ar-SA"/>
    </w:rPr>
  </w:style>
  <w:style w:type="paragraph" w:styleId="7">
    <w:name w:val="heading 1"/>
    <w:basedOn w:val="1"/>
    <w:next w:val="1"/>
    <w:autoRedefine/>
    <w:qFormat/>
    <w:uiPriority w:val="0"/>
    <w:pPr>
      <w:keepNext/>
      <w:keepLines/>
      <w:spacing w:line="578" w:lineRule="auto"/>
      <w:outlineLvl w:val="0"/>
    </w:pPr>
    <w:rPr>
      <w:b/>
      <w:bCs/>
      <w:kern w:val="44"/>
      <w:sz w:val="44"/>
      <w:szCs w:val="44"/>
    </w:rPr>
  </w:style>
  <w:style w:type="paragraph" w:styleId="8">
    <w:name w:val="heading 2"/>
    <w:basedOn w:val="1"/>
    <w:next w:val="1"/>
    <w:link w:val="33"/>
    <w:autoRedefine/>
    <w:qFormat/>
    <w:uiPriority w:val="0"/>
    <w:pPr>
      <w:keepNext/>
      <w:keepLines/>
      <w:spacing w:line="415" w:lineRule="auto"/>
      <w:outlineLvl w:val="1"/>
    </w:pPr>
    <w:rPr>
      <w:rFonts w:ascii="Arial" w:hAnsi="Arial" w:eastAsia="黑体"/>
      <w:b/>
      <w:bCs/>
      <w:sz w:val="32"/>
      <w:szCs w:val="32"/>
    </w:rPr>
  </w:style>
  <w:style w:type="paragraph" w:styleId="9">
    <w:name w:val="heading 5"/>
    <w:basedOn w:val="1"/>
    <w:next w:val="1"/>
    <w:autoRedefine/>
    <w:qFormat/>
    <w:uiPriority w:val="1"/>
    <w:pPr>
      <w:spacing w:before="161"/>
      <w:ind w:left="1305"/>
      <w:outlineLvl w:val="4"/>
    </w:pPr>
    <w:rPr>
      <w:rFonts w:ascii="宋体" w:hAnsi="宋体" w:eastAsia="宋体" w:cs="宋体"/>
      <w:sz w:val="24"/>
      <w:szCs w:val="24"/>
      <w:lang w:val="zh-CN" w:bidi="zh-CN"/>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styleId="4">
    <w:name w:val="Body Text First Indent 2"/>
    <w:basedOn w:val="5"/>
    <w:next w:val="1"/>
    <w:autoRedefine/>
    <w:qFormat/>
    <w:uiPriority w:val="0"/>
    <w:pPr>
      <w:tabs>
        <w:tab w:val="left" w:pos="945"/>
        <w:tab w:val="left" w:pos="1155"/>
      </w:tabs>
      <w:spacing w:after="120"/>
      <w:ind w:firstLine="420"/>
    </w:pPr>
    <w:rPr>
      <w:szCs w:val="24"/>
    </w:rPr>
  </w:style>
  <w:style w:type="paragraph" w:styleId="5">
    <w:name w:val="Body Text Indent"/>
    <w:basedOn w:val="1"/>
    <w:next w:val="6"/>
    <w:autoRedefine/>
    <w:qFormat/>
    <w:uiPriority w:val="0"/>
    <w:pPr>
      <w:ind w:firstLine="436" w:firstLineChars="200"/>
    </w:pPr>
    <w:rPr>
      <w:spacing w:val="4"/>
    </w:rPr>
  </w:style>
  <w:style w:type="paragraph" w:styleId="6">
    <w:name w:val="envelope return"/>
    <w:basedOn w:val="1"/>
    <w:autoRedefine/>
    <w:qFormat/>
    <w:uiPriority w:val="0"/>
    <w:pPr>
      <w:snapToGrid w:val="0"/>
    </w:pPr>
    <w:rPr>
      <w:rFonts w:ascii="Arial" w:hAnsi="Arial"/>
    </w:rPr>
  </w:style>
  <w:style w:type="paragraph" w:styleId="10">
    <w:name w:val="List 3"/>
    <w:basedOn w:val="1"/>
    <w:autoRedefine/>
    <w:qFormat/>
    <w:uiPriority w:val="0"/>
    <w:pPr>
      <w:spacing w:line="240" w:lineRule="exact"/>
      <w:jc w:val="center"/>
    </w:pPr>
    <w:rPr>
      <w:spacing w:val="8"/>
      <w:szCs w:val="20"/>
    </w:rPr>
  </w:style>
  <w:style w:type="paragraph" w:styleId="11">
    <w:name w:val="table of authorities"/>
    <w:basedOn w:val="1"/>
    <w:next w:val="1"/>
    <w:autoRedefine/>
    <w:unhideWhenUsed/>
    <w:qFormat/>
    <w:uiPriority w:val="99"/>
    <w:pPr>
      <w:ind w:left="420" w:leftChars="200"/>
    </w:pPr>
  </w:style>
  <w:style w:type="paragraph" w:styleId="12">
    <w:name w:val="Normal Indent"/>
    <w:basedOn w:val="1"/>
    <w:autoRedefine/>
    <w:qFormat/>
    <w:uiPriority w:val="0"/>
    <w:pPr>
      <w:snapToGrid w:val="0"/>
      <w:spacing w:line="440" w:lineRule="exact"/>
      <w:ind w:left="-21"/>
    </w:pPr>
    <w:rPr>
      <w:rFonts w:ascii="宋体" w:hAnsiTheme="minorHAnsi" w:eastAsiaTheme="minorEastAsia" w:cstheme="minorBidi"/>
      <w:color w:val="000000"/>
      <w:sz w:val="28"/>
      <w:szCs w:val="28"/>
    </w:rPr>
  </w:style>
  <w:style w:type="paragraph" w:styleId="13">
    <w:name w:val="toa heading"/>
    <w:basedOn w:val="1"/>
    <w:next w:val="1"/>
    <w:autoRedefine/>
    <w:qFormat/>
    <w:uiPriority w:val="0"/>
    <w:pPr>
      <w:widowControl w:val="0"/>
      <w:spacing w:before="120"/>
      <w:jc w:val="both"/>
    </w:pPr>
    <w:rPr>
      <w:rFonts w:ascii="Arial" w:hAnsi="Arial" w:cs="Arial"/>
      <w:kern w:val="2"/>
      <w:sz w:val="24"/>
      <w:szCs w:val="24"/>
    </w:rPr>
  </w:style>
  <w:style w:type="paragraph" w:styleId="14">
    <w:name w:val="annotation text"/>
    <w:basedOn w:val="1"/>
    <w:autoRedefine/>
    <w:qFormat/>
    <w:uiPriority w:val="0"/>
    <w:pPr>
      <w:jc w:val="left"/>
    </w:pPr>
  </w:style>
  <w:style w:type="paragraph" w:styleId="15">
    <w:name w:val="List 2"/>
    <w:basedOn w:val="1"/>
    <w:autoRedefine/>
    <w:qFormat/>
    <w:uiPriority w:val="0"/>
    <w:pPr>
      <w:ind w:left="400" w:leftChars="200" w:hanging="200" w:hangingChars="200"/>
    </w:pPr>
    <w:rPr>
      <w:rFonts w:ascii="Times New Roman" w:eastAsia="宋体"/>
    </w:rPr>
  </w:style>
  <w:style w:type="paragraph" w:styleId="16">
    <w:name w:val="Plain Text"/>
    <w:basedOn w:val="1"/>
    <w:autoRedefine/>
    <w:qFormat/>
    <w:uiPriority w:val="0"/>
    <w:rPr>
      <w:rFonts w:ascii="宋体" w:hAnsi="Courier New"/>
      <w:szCs w:val="20"/>
    </w:rPr>
  </w:style>
  <w:style w:type="paragraph" w:styleId="17">
    <w:name w:val="footer"/>
    <w:basedOn w:val="1"/>
    <w:autoRedefine/>
    <w:semiHidden/>
    <w:qFormat/>
    <w:uiPriority w:val="0"/>
    <w:pPr>
      <w:tabs>
        <w:tab w:val="center" w:pos="4153"/>
        <w:tab w:val="right" w:pos="8306"/>
      </w:tabs>
      <w:snapToGrid w:val="0"/>
      <w:jc w:val="left"/>
    </w:pPr>
    <w:rPr>
      <w:rFonts w:ascii="宋体" w:hAnsi="宋体"/>
    </w:rPr>
  </w:style>
  <w:style w:type="paragraph" w:styleId="18">
    <w:name w:val="header"/>
    <w:basedOn w:val="1"/>
    <w:autoRedefine/>
    <w:semiHidden/>
    <w:qFormat/>
    <w:uiPriority w:val="0"/>
    <w:pPr>
      <w:pBdr>
        <w:bottom w:val="single" w:color="auto" w:sz="6" w:space="1"/>
      </w:pBdr>
      <w:tabs>
        <w:tab w:val="center" w:pos="4153"/>
        <w:tab w:val="right" w:pos="8306"/>
      </w:tabs>
      <w:snapToGrid w:val="0"/>
      <w:jc w:val="center"/>
    </w:pPr>
    <w:rPr>
      <w:rFonts w:ascii="宋体" w:hAnsi="宋体"/>
    </w:rPr>
  </w:style>
  <w:style w:type="paragraph" w:styleId="19">
    <w:name w:val="toc 1"/>
    <w:basedOn w:val="1"/>
    <w:next w:val="1"/>
    <w:autoRedefine/>
    <w:qFormat/>
    <w:uiPriority w:val="0"/>
    <w:rPr>
      <w:rFonts w:ascii="宋体" w:hAnsi="宋体"/>
    </w:rPr>
  </w:style>
  <w:style w:type="paragraph" w:styleId="20">
    <w:name w:val="toc 4"/>
    <w:basedOn w:val="1"/>
    <w:next w:val="1"/>
    <w:autoRedefine/>
    <w:qFormat/>
    <w:uiPriority w:val="39"/>
    <w:pPr>
      <w:widowControl w:val="0"/>
      <w:ind w:left="1260" w:leftChars="600"/>
      <w:jc w:val="both"/>
    </w:pPr>
    <w:rPr>
      <w:kern w:val="2"/>
      <w:szCs w:val="24"/>
    </w:rPr>
  </w:style>
  <w:style w:type="paragraph" w:styleId="21">
    <w:name w:val="List"/>
    <w:basedOn w:val="1"/>
    <w:autoRedefine/>
    <w:semiHidden/>
    <w:unhideWhenUsed/>
    <w:qFormat/>
    <w:uiPriority w:val="99"/>
    <w:pPr>
      <w:ind w:left="200" w:hanging="200" w:hangingChars="200"/>
      <w:contextualSpacing/>
    </w:pPr>
  </w:style>
  <w:style w:type="paragraph" w:styleId="22">
    <w:name w:val="footnote text"/>
    <w:basedOn w:val="1"/>
    <w:autoRedefine/>
    <w:qFormat/>
    <w:uiPriority w:val="0"/>
    <w:pPr>
      <w:snapToGrid w:val="0"/>
      <w:jc w:val="left"/>
    </w:pPr>
    <w:rPr>
      <w:rFonts w:ascii="Times New Roman" w:hAnsi="Times New Roman" w:eastAsia="宋体" w:cs="Times New Roman"/>
      <w:sz w:val="18"/>
    </w:rPr>
  </w:style>
  <w:style w:type="paragraph" w:styleId="23">
    <w:name w:val="toc 6"/>
    <w:basedOn w:val="1"/>
    <w:next w:val="1"/>
    <w:autoRedefine/>
    <w:qFormat/>
    <w:uiPriority w:val="39"/>
    <w:pPr>
      <w:widowControl w:val="0"/>
      <w:ind w:left="2100" w:leftChars="1000"/>
      <w:jc w:val="both"/>
    </w:pPr>
    <w:rPr>
      <w:kern w:val="2"/>
      <w:szCs w:val="24"/>
    </w:rPr>
  </w:style>
  <w:style w:type="paragraph" w:styleId="24">
    <w:name w:val="Body Text 2"/>
    <w:basedOn w:val="1"/>
    <w:next w:val="3"/>
    <w:autoRedefine/>
    <w:qFormat/>
    <w:uiPriority w:val="0"/>
    <w:pPr>
      <w:spacing w:line="900" w:lineRule="exact"/>
      <w:jc w:val="center"/>
    </w:pPr>
    <w:rPr>
      <w:rFonts w:eastAsia="楷体_GB2312"/>
      <w:b/>
      <w:sz w:val="36"/>
    </w:rPr>
  </w:style>
  <w:style w:type="paragraph" w:styleId="25">
    <w:name w:val="Normal (Web)"/>
    <w:basedOn w:val="1"/>
    <w:autoRedefine/>
    <w:qFormat/>
    <w:uiPriority w:val="0"/>
    <w:pPr>
      <w:spacing w:after="150"/>
      <w:jc w:val="left"/>
    </w:pPr>
    <w:rPr>
      <w:rFonts w:ascii="微软雅黑" w:hAnsi="微软雅黑" w:eastAsia="微软雅黑"/>
      <w:color w:val="323232"/>
      <w:kern w:val="0"/>
      <w:sz w:val="24"/>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style>
  <w:style w:type="character" w:styleId="31">
    <w:name w:val="FollowedHyperlink"/>
    <w:basedOn w:val="29"/>
    <w:autoRedefine/>
    <w:qFormat/>
    <w:uiPriority w:val="0"/>
    <w:rPr>
      <w:color w:val="444444"/>
      <w:sz w:val="21"/>
      <w:szCs w:val="21"/>
      <w:u w:val="none"/>
    </w:rPr>
  </w:style>
  <w:style w:type="character" w:styleId="32">
    <w:name w:val="Hyperlink"/>
    <w:basedOn w:val="29"/>
    <w:autoRedefine/>
    <w:qFormat/>
    <w:uiPriority w:val="0"/>
    <w:rPr>
      <w:color w:val="444444"/>
      <w:sz w:val="21"/>
      <w:szCs w:val="21"/>
      <w:u w:val="none"/>
    </w:rPr>
  </w:style>
  <w:style w:type="character" w:customStyle="1" w:styleId="33">
    <w:name w:val="标题 2 Char"/>
    <w:basedOn w:val="29"/>
    <w:link w:val="8"/>
    <w:autoRedefine/>
    <w:qFormat/>
    <w:uiPriority w:val="0"/>
    <w:rPr>
      <w:rFonts w:ascii="Arial" w:hAnsi="Arial" w:eastAsia="黑体"/>
      <w:b/>
      <w:bCs/>
      <w:sz w:val="32"/>
      <w:szCs w:val="32"/>
    </w:rPr>
  </w:style>
  <w:style w:type="paragraph" w:customStyle="1" w:styleId="34">
    <w:name w:val="文档正文"/>
    <w:basedOn w:val="1"/>
    <w:autoRedefine/>
    <w:qFormat/>
    <w:uiPriority w:val="99"/>
    <w:pPr>
      <w:adjustRightInd w:val="0"/>
      <w:spacing w:line="480" w:lineRule="atLeast"/>
      <w:ind w:firstLine="567"/>
      <w:textAlignment w:val="baseline"/>
    </w:pPr>
    <w:rPr>
      <w:kern w:val="0"/>
      <w:sz w:val="28"/>
    </w:rPr>
  </w:style>
  <w:style w:type="paragraph" w:customStyle="1" w:styleId="35">
    <w:name w:val="Default"/>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36">
    <w:name w:val="无间隔1"/>
    <w:basedOn w:val="1"/>
    <w:next w:val="37"/>
    <w:autoRedefine/>
    <w:qFormat/>
    <w:uiPriority w:val="1"/>
    <w:pPr>
      <w:spacing w:line="400" w:lineRule="exact"/>
    </w:pPr>
    <w:rPr>
      <w:sz w:val="24"/>
    </w:rPr>
  </w:style>
  <w:style w:type="paragraph" w:customStyle="1" w:styleId="3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38">
    <w:name w:val="hover16"/>
    <w:basedOn w:val="29"/>
    <w:autoRedefine/>
    <w:qFormat/>
    <w:uiPriority w:val="0"/>
  </w:style>
  <w:style w:type="paragraph" w:customStyle="1" w:styleId="39">
    <w:name w:val="样式2"/>
    <w:basedOn w:val="12"/>
    <w:autoRedefine/>
    <w:qFormat/>
    <w:uiPriority w:val="0"/>
    <w:pPr>
      <w:tabs>
        <w:tab w:val="left" w:pos="425"/>
      </w:tabs>
      <w:snapToGrid/>
      <w:spacing w:before="120" w:after="120" w:line="360" w:lineRule="auto"/>
      <w:ind w:left="425" w:hanging="425"/>
    </w:pPr>
    <w:rPr>
      <w:rFonts w:ascii="Times New Roman"/>
      <w:b/>
      <w:color w:val="auto"/>
      <w:szCs w:val="20"/>
    </w:rPr>
  </w:style>
  <w:style w:type="character" w:customStyle="1" w:styleId="40">
    <w:name w:val="hover15"/>
    <w:basedOn w:val="29"/>
    <w:autoRedefine/>
    <w:qFormat/>
    <w:uiPriority w:val="0"/>
  </w:style>
  <w:style w:type="character" w:customStyle="1" w:styleId="41">
    <w:name w:val="hover"/>
    <w:basedOn w:val="29"/>
    <w:autoRedefine/>
    <w:qFormat/>
    <w:uiPriority w:val="0"/>
  </w:style>
  <w:style w:type="paragraph" w:styleId="42">
    <w:name w:val="List Paragraph"/>
    <w:basedOn w:val="1"/>
    <w:autoRedefine/>
    <w:qFormat/>
    <w:uiPriority w:val="34"/>
    <w:pPr>
      <w:ind w:firstLine="420" w:firstLineChars="200"/>
    </w:pPr>
  </w:style>
  <w:style w:type="character" w:customStyle="1" w:styleId="43">
    <w:name w:val="样式 楷体_GB2312 四号 加粗"/>
    <w:basedOn w:val="29"/>
    <w:autoRedefine/>
    <w:qFormat/>
    <w:uiPriority w:val="0"/>
    <w:rPr>
      <w:rFonts w:ascii="楷体_GB2312" w:hAnsi="楷体_GB2312" w:eastAsia="楷体_GB2312"/>
      <w:b/>
      <w:bCs/>
      <w:sz w:val="28"/>
    </w:rPr>
  </w:style>
  <w:style w:type="paragraph" w:customStyle="1" w:styleId="44">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45">
    <w:name w:val="其他"/>
    <w:basedOn w:val="1"/>
    <w:autoRedefine/>
    <w:qFormat/>
    <w:uiPriority w:val="0"/>
    <w:pPr>
      <w:spacing w:line="439" w:lineRule="exact"/>
      <w:ind w:left="340" w:firstLine="480"/>
    </w:pPr>
    <w:rPr>
      <w:rFonts w:ascii="宋体" w:hAnsi="宋体" w:eastAsia="宋体" w:cs="宋体"/>
      <w:sz w:val="19"/>
      <w:szCs w:val="19"/>
    </w:rPr>
  </w:style>
  <w:style w:type="paragraph" w:styleId="46">
    <w:name w:val="No Spacing"/>
    <w:next w:val="21"/>
    <w:autoRedefine/>
    <w:qFormat/>
    <w:uiPriority w:val="1"/>
    <w:pPr>
      <w:widowControl w:val="0"/>
      <w:spacing w:after="200" w:line="276" w:lineRule="auto"/>
      <w:jc w:val="both"/>
    </w:pPr>
    <w:rPr>
      <w:rFonts w:ascii="Times New Roman" w:hAnsi="Times New Roman" w:eastAsia="宋体" w:cs="Times New Roman"/>
      <w:kern w:val="2"/>
      <w:sz w:val="24"/>
      <w:szCs w:val="24"/>
      <w:lang w:val="en-US" w:eastAsia="zh-CN" w:bidi="ar-SA"/>
    </w:rPr>
  </w:style>
  <w:style w:type="character" w:customStyle="1" w:styleId="47">
    <w:name w:val="hover17"/>
    <w:basedOn w:val="29"/>
    <w:autoRedefine/>
    <w:qFormat/>
    <w:uiPriority w:val="0"/>
  </w:style>
  <w:style w:type="character" w:customStyle="1" w:styleId="48">
    <w:name w:val="font41"/>
    <w:basedOn w:val="29"/>
    <w:autoRedefine/>
    <w:qFormat/>
    <w:uiPriority w:val="0"/>
    <w:rPr>
      <w:rFonts w:hint="eastAsia" w:ascii="宋体" w:hAnsi="宋体" w:eastAsia="宋体" w:cs="宋体"/>
      <w:color w:val="000000"/>
      <w:sz w:val="22"/>
      <w:szCs w:val="22"/>
      <w:u w:val="none"/>
    </w:rPr>
  </w:style>
  <w:style w:type="character" w:customStyle="1" w:styleId="49">
    <w:name w:val="font11"/>
    <w:basedOn w:val="29"/>
    <w:autoRedefine/>
    <w:qFormat/>
    <w:uiPriority w:val="0"/>
    <w:rPr>
      <w:rFonts w:hint="eastAsia" w:ascii="宋体" w:hAnsi="宋体" w:eastAsia="宋体" w:cs="宋体"/>
      <w:color w:val="C00000"/>
      <w:sz w:val="22"/>
      <w:szCs w:val="22"/>
      <w:u w:val="none"/>
    </w:rPr>
  </w:style>
  <w:style w:type="character" w:customStyle="1" w:styleId="50">
    <w:name w:val="font01"/>
    <w:basedOn w:val="29"/>
    <w:autoRedefine/>
    <w:qFormat/>
    <w:uiPriority w:val="0"/>
    <w:rPr>
      <w:rFonts w:hint="eastAsia" w:ascii="宋体" w:hAnsi="宋体" w:eastAsia="宋体" w:cs="宋体"/>
      <w:color w:val="FF0000"/>
      <w:sz w:val="22"/>
      <w:szCs w:val="22"/>
      <w:u w:val="none"/>
    </w:rPr>
  </w:style>
  <w:style w:type="paragraph" w:customStyle="1" w:styleId="51">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2">
    <w:name w:val="索引 11"/>
    <w:basedOn w:val="1"/>
    <w:next w:val="1"/>
    <w:autoRedefine/>
    <w:qFormat/>
    <w:uiPriority w:val="0"/>
    <w:pPr>
      <w:spacing w:line="360" w:lineRule="auto"/>
    </w:pPr>
    <w:rPr>
      <w:rFonts w:ascii="仿宋_GB2312" w:eastAsia="仿宋_GB2312"/>
      <w:sz w:val="24"/>
      <w:szCs w:val="20"/>
    </w:rPr>
  </w:style>
  <w:style w:type="paragraph" w:customStyle="1" w:styleId="53">
    <w:name w:val="纯文本1"/>
    <w:basedOn w:val="1"/>
    <w:autoRedefine/>
    <w:qFormat/>
    <w:uiPriority w:val="0"/>
    <w:rPr>
      <w:rFonts w:ascii="宋体" w:hAnsi="Courier New" w:eastAsia="宋体" w:cs="Times New Roman"/>
      <w:szCs w:val="22"/>
    </w:rPr>
  </w:style>
  <w:style w:type="paragraph" w:customStyle="1" w:styleId="5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5">
    <w:name w:val="样式 标题 2 + Times New Roman 四号 非加粗 段前: 5 磅 段后: 0 磅 行距: 固定值 20..."/>
    <w:basedOn w:val="8"/>
    <w:autoRedefine/>
    <w:qFormat/>
    <w:uiPriority w:val="0"/>
    <w:pPr>
      <w:keepLines/>
      <w:autoSpaceDE/>
      <w:autoSpaceDN/>
      <w:spacing w:before="100" w:line="400" w:lineRule="exact"/>
      <w:jc w:val="both"/>
    </w:pPr>
    <w:rPr>
      <w:rFonts w:ascii="Times New Roman" w:hAnsi="Times New Roman" w:eastAsia="黑体" w:cs="宋体"/>
      <w:color w:val="auto"/>
      <w:kern w:val="2"/>
      <w:sz w:val="28"/>
      <w:szCs w:val="20"/>
    </w:rPr>
  </w:style>
  <w:style w:type="character" w:customStyle="1" w:styleId="56">
    <w:name w:val="NormalCharacter"/>
    <w:semiHidden/>
    <w:qFormat/>
    <w:uiPriority w:val="0"/>
    <w:rPr>
      <w:kern w:val="2"/>
      <w:sz w:val="21"/>
      <w:szCs w:val="24"/>
      <w:lang w:val="en-US" w:eastAsia="zh-CN" w:bidi="ar-SA"/>
    </w:rPr>
  </w:style>
  <w:style w:type="paragraph" w:customStyle="1" w:styleId="57">
    <w:name w:val="Table Paragraph"/>
    <w:basedOn w:val="1"/>
    <w:next w:val="1"/>
    <w:qFormat/>
    <w:uiPriority w:val="0"/>
    <w:pPr>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2717</Words>
  <Characters>2995</Characters>
  <Lines>136</Lines>
  <Paragraphs>38</Paragraphs>
  <TotalTime>29</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2020-05-26T02:35:00Z</dcterms:created>
  <dc:creator>Administrator</dc:creator>
  <cp:lastModifiedBy>Administrator</cp:lastModifiedBy>
  <cp:lastPrinted>2025-04-10T00:30:00Z</cp:lastPrinted>
  <dcterms:modified xsi:type="dcterms:W3CDTF">2026-04-10T01:26:51Z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9F5AF9E35F7C4AE8B71C8EEA8191FBD2_13</vt:lpwstr>
  </property>
  <property fmtid="{D5CDD505-2E9C-101B-9397-08002B2CF9AE}" pid="3" name="KSOProductBuildVer">
    <vt:lpwstr>2052-12.1.0.25225</vt:lpwstr>
  </property>
  <property fmtid="{D5CDD505-2E9C-101B-9397-08002B2CF9AE}" pid="4" name="KSOTemplateDocerSaveRecord">
    <vt:lpwstr>eyJoZGlkIjoiNDgyMjg3YTI0NWU4NmFkNmY2ZjFkY2QwYjY5NmMxNGMiLCJ1c2VySWQiOiIxMjgyOTgzNTcyIn0=</vt:lpwstr>
  </property>
</Properties>
</file>