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641BA">
      <w:pPr>
        <w:widowControl w:val="0"/>
        <w:snapToGrid w:val="0"/>
        <w:spacing w:line="560" w:lineRule="exact"/>
        <w:ind w:firstLine="241" w:firstLineChars="50"/>
        <w:jc w:val="center"/>
        <w:rPr>
          <w:rFonts w:eastAsia="黑体"/>
          <w:b/>
          <w:spacing w:val="40"/>
          <w:sz w:val="40"/>
          <w:szCs w:val="40"/>
        </w:rPr>
      </w:pPr>
    </w:p>
    <w:p w14:paraId="7C45EC7E">
      <w:pPr>
        <w:widowControl w:val="0"/>
        <w:snapToGrid w:val="0"/>
        <w:spacing w:line="560" w:lineRule="exact"/>
        <w:ind w:firstLine="241" w:firstLineChars="50"/>
        <w:jc w:val="center"/>
        <w:rPr>
          <w:rFonts w:eastAsia="黑体"/>
          <w:b/>
          <w:spacing w:val="40"/>
          <w:sz w:val="40"/>
          <w:szCs w:val="40"/>
        </w:rPr>
      </w:pPr>
    </w:p>
    <w:p w14:paraId="65AEA4AB">
      <w:pPr>
        <w:widowControl w:val="0"/>
        <w:snapToGrid w:val="0"/>
        <w:spacing w:line="560" w:lineRule="exact"/>
        <w:ind w:firstLine="241" w:firstLineChars="50"/>
        <w:jc w:val="center"/>
        <w:rPr>
          <w:rFonts w:eastAsia="黑体"/>
          <w:b/>
          <w:spacing w:val="40"/>
          <w:sz w:val="40"/>
          <w:szCs w:val="40"/>
        </w:rPr>
      </w:pPr>
    </w:p>
    <w:p w14:paraId="50B16788">
      <w:pPr>
        <w:widowControl w:val="0"/>
        <w:snapToGrid w:val="0"/>
        <w:spacing w:line="560" w:lineRule="exact"/>
        <w:ind w:firstLine="221" w:firstLineChars="50"/>
        <w:jc w:val="center"/>
        <w:rPr>
          <w:rFonts w:hint="eastAsia" w:ascii="黑体" w:hAnsi="Times New Roman" w:eastAsia="黑体" w:cs="Times New Roman"/>
          <w:b/>
          <w:color w:val="auto"/>
          <w:sz w:val="44"/>
          <w:szCs w:val="44"/>
          <w:highlight w:val="none"/>
          <w:u w:color="000000"/>
          <w:lang w:val="en-US" w:eastAsia="zh-CN" w:bidi="ar-SA"/>
        </w:rPr>
      </w:pPr>
      <w:r>
        <w:rPr>
          <w:rFonts w:hint="eastAsia" w:ascii="黑体" w:hAnsi="Times New Roman" w:eastAsia="黑体" w:cs="Times New Roman"/>
          <w:b/>
          <w:color w:val="auto"/>
          <w:sz w:val="44"/>
          <w:szCs w:val="44"/>
          <w:highlight w:val="none"/>
          <w:u w:color="000000"/>
          <w:lang w:val="en-US" w:eastAsia="zh-CN" w:bidi="ar-SA"/>
        </w:rPr>
        <w:t>河南省第十五届运动会青少年竞技组</w:t>
      </w:r>
    </w:p>
    <w:p w14:paraId="1E588AE7">
      <w:pPr>
        <w:widowControl w:val="0"/>
        <w:snapToGrid w:val="0"/>
        <w:spacing w:line="560" w:lineRule="exact"/>
        <w:ind w:firstLine="221" w:firstLineChars="50"/>
        <w:jc w:val="center"/>
        <w:rPr>
          <w:rFonts w:hint="eastAsia" w:ascii="黑体" w:eastAsia="黑体"/>
          <w:b/>
          <w:spacing w:val="40"/>
          <w:sz w:val="44"/>
          <w:szCs w:val="44"/>
          <w:lang w:eastAsia="zh-CN"/>
        </w:rPr>
      </w:pPr>
      <w:r>
        <w:rPr>
          <w:rFonts w:hint="eastAsia" w:ascii="黑体" w:hAnsi="Times New Roman" w:eastAsia="黑体" w:cs="Times New Roman"/>
          <w:b/>
          <w:color w:val="auto"/>
          <w:sz w:val="44"/>
          <w:szCs w:val="44"/>
          <w:highlight w:val="none"/>
          <w:u w:color="000000"/>
          <w:lang w:val="en-US" w:eastAsia="zh-CN" w:bidi="ar-SA"/>
        </w:rPr>
        <w:t>（公路自行车、场地自行车）比赛组织服务</w:t>
      </w:r>
    </w:p>
    <w:p w14:paraId="5AA5C187">
      <w:pPr>
        <w:widowControl w:val="0"/>
        <w:snapToGrid w:val="0"/>
        <w:spacing w:before="240" w:beforeLines="100" w:line="560" w:lineRule="exact"/>
        <w:jc w:val="center"/>
        <w:rPr>
          <w:rFonts w:eastAsia="黑体"/>
          <w:b/>
          <w:sz w:val="44"/>
        </w:rPr>
      </w:pPr>
    </w:p>
    <w:p w14:paraId="572D5BCD">
      <w:pPr>
        <w:widowControl w:val="0"/>
        <w:snapToGrid w:val="0"/>
        <w:spacing w:before="240" w:beforeLines="100" w:line="240" w:lineRule="auto"/>
        <w:jc w:val="center"/>
        <w:rPr>
          <w:rFonts w:eastAsia="黑体"/>
          <w:b/>
          <w:sz w:val="44"/>
        </w:rPr>
      </w:pPr>
    </w:p>
    <w:p w14:paraId="140BA10E">
      <w:pPr>
        <w:widowControl w:val="0"/>
        <w:snapToGrid w:val="0"/>
        <w:spacing w:before="240" w:beforeLines="100" w:line="240" w:lineRule="auto"/>
        <w:jc w:val="center"/>
        <w:rPr>
          <w:rFonts w:eastAsia="黑体"/>
          <w:b/>
          <w:sz w:val="44"/>
        </w:rPr>
      </w:pPr>
    </w:p>
    <w:p w14:paraId="318AB591">
      <w:pPr>
        <w:widowControl w:val="0"/>
        <w:snapToGrid w:val="0"/>
        <w:spacing w:before="240" w:beforeLines="100" w:line="240" w:lineRule="auto"/>
        <w:jc w:val="center"/>
        <w:rPr>
          <w:rFonts w:ascii="华文新魏" w:hAnsi="微软雅黑" w:eastAsia="华文新魏"/>
          <w:b/>
          <w:sz w:val="116"/>
          <w:szCs w:val="116"/>
        </w:rPr>
      </w:pPr>
      <w:r>
        <w:rPr>
          <w:rFonts w:hint="eastAsia" w:ascii="华文新魏" w:hAnsi="微软雅黑" w:eastAsia="华文新魏"/>
          <w:b/>
          <w:sz w:val="116"/>
          <w:szCs w:val="116"/>
        </w:rPr>
        <w:t>磋</w:t>
      </w:r>
      <w:r>
        <w:rPr>
          <w:rFonts w:ascii="华文新魏" w:hAnsi="微软雅黑" w:eastAsia="华文新魏"/>
          <w:b/>
          <w:sz w:val="116"/>
          <w:szCs w:val="116"/>
        </w:rPr>
        <w:t xml:space="preserve"> </w:t>
      </w:r>
      <w:r>
        <w:rPr>
          <w:rFonts w:hint="eastAsia" w:ascii="华文新魏" w:hAnsi="微软雅黑" w:eastAsia="华文新魏"/>
          <w:b/>
          <w:sz w:val="116"/>
          <w:szCs w:val="116"/>
        </w:rPr>
        <w:t>商</w:t>
      </w:r>
      <w:r>
        <w:rPr>
          <w:rFonts w:ascii="华文新魏" w:hAnsi="微软雅黑" w:eastAsia="华文新魏"/>
          <w:b/>
          <w:sz w:val="116"/>
          <w:szCs w:val="116"/>
        </w:rPr>
        <w:t xml:space="preserve"> </w:t>
      </w:r>
      <w:r>
        <w:rPr>
          <w:rFonts w:hint="eastAsia" w:ascii="华文新魏" w:hAnsi="微软雅黑" w:eastAsia="华文新魏"/>
          <w:b/>
          <w:sz w:val="116"/>
          <w:szCs w:val="116"/>
        </w:rPr>
        <w:t>文</w:t>
      </w:r>
      <w:r>
        <w:rPr>
          <w:rFonts w:ascii="华文新魏" w:hAnsi="微软雅黑" w:eastAsia="华文新魏"/>
          <w:b/>
          <w:sz w:val="116"/>
          <w:szCs w:val="116"/>
        </w:rPr>
        <w:t xml:space="preserve"> </w:t>
      </w:r>
      <w:r>
        <w:rPr>
          <w:rFonts w:hint="eastAsia" w:ascii="华文新魏" w:hAnsi="微软雅黑" w:eastAsia="华文新魏"/>
          <w:b/>
          <w:sz w:val="116"/>
          <w:szCs w:val="116"/>
        </w:rPr>
        <w:t>件</w:t>
      </w:r>
    </w:p>
    <w:p w14:paraId="53F15C75">
      <w:pPr>
        <w:widowControl w:val="0"/>
        <w:snapToGrid w:val="0"/>
        <w:spacing w:before="240" w:beforeLines="100" w:line="560" w:lineRule="exact"/>
        <w:jc w:val="center"/>
        <w:rPr>
          <w:rFonts w:hint="default" w:ascii="宋体" w:hAnsi="宋体" w:eastAsia="宋体"/>
          <w:color w:val="FF0000"/>
          <w:sz w:val="32"/>
          <w:szCs w:val="32"/>
          <w:lang w:val="en-US" w:eastAsia="zh-CN"/>
        </w:rPr>
      </w:pPr>
      <w:r>
        <w:rPr>
          <w:rFonts w:hint="eastAsia" w:ascii="宋体" w:hAnsi="宋体"/>
          <w:sz w:val="32"/>
          <w:szCs w:val="32"/>
        </w:rPr>
        <w:t>项目编号：</w:t>
      </w:r>
      <w:r>
        <w:rPr>
          <w:rFonts w:hint="eastAsia" w:ascii="宋体" w:hAnsi="宋体" w:eastAsia="宋体" w:cs="Times New Roman"/>
          <w:color w:val="000000"/>
          <w:sz w:val="32"/>
          <w:szCs w:val="32"/>
          <w:u w:color="000000"/>
          <w:lang w:val="en-US" w:eastAsia="zh-CN" w:bidi="ar-SA"/>
        </w:rPr>
        <w:t>安财磋商采购-2026-44</w:t>
      </w:r>
    </w:p>
    <w:p w14:paraId="6CD7ABEB">
      <w:pPr>
        <w:widowControl w:val="0"/>
        <w:snapToGrid w:val="0"/>
        <w:spacing w:before="240" w:beforeLines="100" w:line="560" w:lineRule="exact"/>
        <w:jc w:val="center"/>
        <w:rPr>
          <w:rFonts w:eastAsia="黑体"/>
          <w:b/>
          <w:sz w:val="44"/>
        </w:rPr>
      </w:pPr>
    </w:p>
    <w:p w14:paraId="033ACFDD">
      <w:pPr>
        <w:widowControl w:val="0"/>
        <w:snapToGrid w:val="0"/>
        <w:spacing w:before="240" w:beforeLines="100" w:line="560" w:lineRule="exact"/>
        <w:jc w:val="center"/>
        <w:rPr>
          <w:rFonts w:eastAsia="黑体"/>
          <w:b/>
          <w:sz w:val="44"/>
        </w:rPr>
      </w:pPr>
    </w:p>
    <w:p w14:paraId="0E601D8C">
      <w:pPr>
        <w:widowControl w:val="0"/>
        <w:snapToGrid w:val="0"/>
        <w:spacing w:before="240" w:beforeLines="100" w:line="560" w:lineRule="exact"/>
        <w:jc w:val="center"/>
        <w:rPr>
          <w:rFonts w:eastAsia="黑体"/>
          <w:b/>
          <w:sz w:val="44"/>
        </w:rPr>
      </w:pPr>
    </w:p>
    <w:p w14:paraId="20A068AC">
      <w:pPr>
        <w:widowControl w:val="0"/>
        <w:snapToGrid w:val="0"/>
        <w:spacing w:before="240" w:beforeLines="100" w:line="560" w:lineRule="exact"/>
        <w:rPr>
          <w:rFonts w:eastAsia="黑体"/>
          <w:b/>
          <w:sz w:val="44"/>
        </w:rPr>
      </w:pPr>
    </w:p>
    <w:p w14:paraId="06E8A600">
      <w:pPr>
        <w:widowControl w:val="0"/>
        <w:snapToGrid w:val="0"/>
        <w:spacing w:line="660" w:lineRule="exact"/>
        <w:ind w:firstLine="540" w:firstLineChars="168"/>
        <w:rPr>
          <w:rFonts w:hint="eastAsia" w:ascii="黑体" w:hAnsi="黑体" w:eastAsia="黑体"/>
          <w:b/>
          <w:color w:val="FF0000"/>
          <w:sz w:val="32"/>
          <w:szCs w:val="32"/>
          <w:highlight w:val="none"/>
          <w:lang w:eastAsia="zh-CN"/>
        </w:rPr>
      </w:pPr>
      <w:r>
        <w:rPr>
          <w:rFonts w:hint="eastAsia" w:ascii="黑体" w:hAnsi="黑体" w:eastAsia="黑体"/>
          <w:b/>
          <w:color w:val="auto"/>
          <w:sz w:val="32"/>
          <w:szCs w:val="32"/>
        </w:rPr>
        <w:t>采购人：</w:t>
      </w:r>
      <w:r>
        <w:rPr>
          <w:rFonts w:hint="eastAsia" w:ascii="黑体" w:hAnsi="黑体" w:eastAsia="黑体"/>
          <w:b/>
          <w:color w:val="000000" w:themeColor="text1"/>
          <w:sz w:val="32"/>
          <w:szCs w:val="32"/>
          <w:highlight w:val="none"/>
          <w:lang w:eastAsia="zh-CN"/>
          <w14:textFill>
            <w14:solidFill>
              <w14:schemeClr w14:val="tx1"/>
            </w14:solidFill>
          </w14:textFill>
        </w:rPr>
        <w:t>河南省第十五届运动会安阳市执行委员会</w:t>
      </w:r>
    </w:p>
    <w:p w14:paraId="3318402A">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14:paraId="0779229E">
      <w:pPr>
        <w:widowControl w:val="0"/>
        <w:snapToGrid w:val="0"/>
        <w:spacing w:line="660" w:lineRule="exact"/>
        <w:ind w:firstLine="540" w:firstLineChars="168"/>
        <w:rPr>
          <w:rFonts w:ascii="黑体" w:hAnsi="黑体" w:eastAsia="黑体"/>
          <w:b/>
          <w:color w:val="auto"/>
          <w:sz w:val="32"/>
          <w:szCs w:val="32"/>
        </w:rPr>
      </w:pPr>
    </w:p>
    <w:p w14:paraId="5F489A8F">
      <w:pPr>
        <w:jc w:val="center"/>
        <w:rPr>
          <w:rFonts w:hint="eastAsia" w:ascii="黑体" w:hAnsi="黑体" w:eastAsia="黑体"/>
          <w:color w:val="0000FF"/>
          <w:sz w:val="36"/>
          <w:szCs w:val="36"/>
          <w:lang w:val="zh-CN"/>
        </w:rPr>
      </w:pPr>
    </w:p>
    <w:p w14:paraId="732149DE">
      <w:pPr>
        <w:pStyle w:val="50"/>
        <w:jc w:val="center"/>
        <w:rPr>
          <w:rFonts w:ascii="Cambria" w:hAnsi="Cambria" w:eastAsia="宋体" w:cs="Times New Roman"/>
          <w:b/>
          <w:bCs/>
          <w:color w:val="auto"/>
          <w:kern w:val="0"/>
          <w:sz w:val="28"/>
          <w:szCs w:val="28"/>
          <w:u w:color="000000"/>
          <w:lang w:val="en-US" w:eastAsia="zh-CN" w:bidi="ar-SA"/>
        </w:rPr>
      </w:pPr>
      <w:r>
        <w:rPr>
          <w:rFonts w:hint="eastAsia" w:ascii="黑体" w:hAnsi="黑体" w:eastAsia="黑体"/>
          <w:color w:val="auto"/>
          <w:sz w:val="36"/>
          <w:szCs w:val="36"/>
          <w:lang w:val="zh-CN"/>
        </w:rPr>
        <w:t>目录</w:t>
      </w:r>
      <w:r>
        <w:rPr>
          <w:color w:val="auto"/>
        </w:rPr>
        <w:fldChar w:fldCharType="begin"/>
      </w:r>
      <w:r>
        <w:rPr>
          <w:color w:val="auto"/>
        </w:rPr>
        <w:instrText xml:space="preserve"> TOC \o "1-3" \h \z \u </w:instrText>
      </w:r>
      <w:r>
        <w:rPr>
          <w:color w:val="auto"/>
        </w:rPr>
        <w:fldChar w:fldCharType="separate"/>
      </w:r>
    </w:p>
    <w:p w14:paraId="5BACFD33">
      <w:pPr>
        <w:pStyle w:val="11"/>
        <w:tabs>
          <w:tab w:val="right" w:leader="dot" w:pos="9381"/>
        </w:tabs>
        <w:rPr>
          <w:color w:val="auto"/>
        </w:rPr>
      </w:pPr>
      <w:r>
        <w:rPr>
          <w:color w:val="auto"/>
        </w:rPr>
        <w:fldChar w:fldCharType="begin"/>
      </w:r>
      <w:r>
        <w:rPr>
          <w:color w:val="auto"/>
        </w:rPr>
        <w:instrText xml:space="preserve"> HYPERLINK \l _Toc12274 </w:instrText>
      </w:r>
      <w:r>
        <w:rPr>
          <w:color w:val="auto"/>
        </w:rPr>
        <w:fldChar w:fldCharType="separate"/>
      </w:r>
      <w:r>
        <w:rPr>
          <w:rFonts w:hint="eastAsia" w:eastAsia="黑体"/>
          <w:color w:val="auto"/>
          <w:szCs w:val="36"/>
        </w:rPr>
        <w:t>第一章</w:t>
      </w:r>
      <w:r>
        <w:rPr>
          <w:rFonts w:eastAsia="黑体"/>
          <w:color w:val="auto"/>
          <w:szCs w:val="36"/>
        </w:rPr>
        <w:t xml:space="preserve">  </w:t>
      </w:r>
      <w:r>
        <w:rPr>
          <w:rFonts w:hint="eastAsia" w:eastAsia="黑体"/>
          <w:color w:val="auto"/>
          <w:szCs w:val="36"/>
        </w:rPr>
        <w:t>竞争性磋商公告</w:t>
      </w:r>
      <w:r>
        <w:rPr>
          <w:color w:val="auto"/>
        </w:rPr>
        <w:tab/>
      </w:r>
      <w:r>
        <w:rPr>
          <w:color w:val="auto"/>
        </w:rPr>
        <w:fldChar w:fldCharType="begin"/>
      </w:r>
      <w:r>
        <w:rPr>
          <w:color w:val="auto"/>
        </w:rPr>
        <w:instrText xml:space="preserve"> PAGEREF _Toc12274 \h </w:instrText>
      </w:r>
      <w:r>
        <w:rPr>
          <w:color w:val="auto"/>
        </w:rPr>
        <w:fldChar w:fldCharType="separate"/>
      </w:r>
      <w:r>
        <w:rPr>
          <w:color w:val="auto"/>
        </w:rPr>
        <w:t>- 1 -</w:t>
      </w:r>
      <w:r>
        <w:rPr>
          <w:color w:val="auto"/>
        </w:rPr>
        <w:fldChar w:fldCharType="end"/>
      </w:r>
      <w:r>
        <w:rPr>
          <w:color w:val="auto"/>
        </w:rPr>
        <w:fldChar w:fldCharType="end"/>
      </w:r>
    </w:p>
    <w:p w14:paraId="2A8AB94F">
      <w:pPr>
        <w:pStyle w:val="11"/>
        <w:tabs>
          <w:tab w:val="right" w:leader="dot" w:pos="9381"/>
        </w:tabs>
        <w:rPr>
          <w:color w:val="auto"/>
        </w:rPr>
      </w:pPr>
      <w:r>
        <w:rPr>
          <w:color w:val="auto"/>
        </w:rPr>
        <w:fldChar w:fldCharType="begin"/>
      </w:r>
      <w:r>
        <w:rPr>
          <w:color w:val="auto"/>
        </w:rPr>
        <w:instrText xml:space="preserve"> HYPERLINK \l _Toc31197 </w:instrText>
      </w:r>
      <w:r>
        <w:rPr>
          <w:color w:val="auto"/>
        </w:rPr>
        <w:fldChar w:fldCharType="separate"/>
      </w:r>
      <w:r>
        <w:rPr>
          <w:rFonts w:hint="eastAsia" w:eastAsia="黑体"/>
          <w:color w:val="auto"/>
          <w:szCs w:val="36"/>
        </w:rPr>
        <w:t>第二章</w:t>
      </w:r>
      <w:r>
        <w:rPr>
          <w:rFonts w:eastAsia="黑体"/>
          <w:color w:val="auto"/>
          <w:szCs w:val="36"/>
        </w:rPr>
        <w:t xml:space="preserve">  </w:t>
      </w:r>
      <w:r>
        <w:rPr>
          <w:rFonts w:hint="eastAsia" w:eastAsia="黑体"/>
          <w:color w:val="auto"/>
          <w:szCs w:val="36"/>
        </w:rPr>
        <w:t>采购项目及服务要求</w:t>
      </w:r>
      <w:r>
        <w:rPr>
          <w:color w:val="auto"/>
        </w:rPr>
        <w:tab/>
      </w:r>
      <w:r>
        <w:rPr>
          <w:color w:val="auto"/>
        </w:rPr>
        <w:fldChar w:fldCharType="begin"/>
      </w:r>
      <w:r>
        <w:rPr>
          <w:color w:val="auto"/>
        </w:rPr>
        <w:instrText xml:space="preserve"> PAGEREF _Toc31197 \h </w:instrText>
      </w:r>
      <w:r>
        <w:rPr>
          <w:color w:val="auto"/>
        </w:rPr>
        <w:fldChar w:fldCharType="separate"/>
      </w:r>
      <w:r>
        <w:rPr>
          <w:color w:val="auto"/>
        </w:rPr>
        <w:t>- 6 -</w:t>
      </w:r>
      <w:r>
        <w:rPr>
          <w:color w:val="auto"/>
        </w:rPr>
        <w:fldChar w:fldCharType="end"/>
      </w:r>
      <w:r>
        <w:rPr>
          <w:color w:val="auto"/>
        </w:rPr>
        <w:fldChar w:fldCharType="end"/>
      </w:r>
    </w:p>
    <w:p w14:paraId="3BA6C0AF">
      <w:pPr>
        <w:pStyle w:val="13"/>
        <w:tabs>
          <w:tab w:val="right" w:leader="dot" w:pos="9381"/>
        </w:tabs>
        <w:rPr>
          <w:color w:val="auto"/>
        </w:rPr>
      </w:pPr>
      <w:r>
        <w:rPr>
          <w:color w:val="auto"/>
        </w:rPr>
        <w:fldChar w:fldCharType="begin"/>
      </w:r>
      <w:r>
        <w:rPr>
          <w:color w:val="auto"/>
        </w:rPr>
        <w:instrText xml:space="preserve"> HYPERLINK \l _Toc12896 </w:instrText>
      </w:r>
      <w:r>
        <w:rPr>
          <w:color w:val="auto"/>
        </w:rPr>
        <w:fldChar w:fldCharType="separate"/>
      </w:r>
      <w:r>
        <w:rPr>
          <w:rFonts w:ascii="黑体" w:hAnsi="黑体" w:eastAsia="黑体"/>
          <w:color w:val="auto"/>
        </w:rPr>
        <w:t xml:space="preserve">1. </w:t>
      </w:r>
      <w:r>
        <w:rPr>
          <w:rFonts w:hint="eastAsia" w:ascii="黑体" w:hAnsi="黑体" w:eastAsia="黑体"/>
          <w:color w:val="auto"/>
        </w:rPr>
        <w:t>采购项目、标段（包）划分、磋商报价</w:t>
      </w:r>
      <w:r>
        <w:rPr>
          <w:color w:val="auto"/>
        </w:rPr>
        <w:tab/>
      </w:r>
      <w:r>
        <w:rPr>
          <w:color w:val="auto"/>
        </w:rPr>
        <w:fldChar w:fldCharType="begin"/>
      </w:r>
      <w:r>
        <w:rPr>
          <w:color w:val="auto"/>
        </w:rPr>
        <w:instrText xml:space="preserve"> PAGEREF _Toc12896 \h </w:instrText>
      </w:r>
      <w:r>
        <w:rPr>
          <w:color w:val="auto"/>
        </w:rPr>
        <w:fldChar w:fldCharType="separate"/>
      </w:r>
      <w:r>
        <w:rPr>
          <w:color w:val="auto"/>
        </w:rPr>
        <w:t>- 6 -</w:t>
      </w:r>
      <w:r>
        <w:rPr>
          <w:color w:val="auto"/>
        </w:rPr>
        <w:fldChar w:fldCharType="end"/>
      </w:r>
      <w:r>
        <w:rPr>
          <w:color w:val="auto"/>
        </w:rPr>
        <w:fldChar w:fldCharType="end"/>
      </w:r>
    </w:p>
    <w:p w14:paraId="7C19F015">
      <w:pPr>
        <w:pStyle w:val="13"/>
        <w:tabs>
          <w:tab w:val="right" w:leader="dot" w:pos="9381"/>
        </w:tabs>
        <w:rPr>
          <w:color w:val="auto"/>
        </w:rPr>
      </w:pPr>
      <w:r>
        <w:rPr>
          <w:color w:val="auto"/>
        </w:rPr>
        <w:fldChar w:fldCharType="begin"/>
      </w:r>
      <w:r>
        <w:rPr>
          <w:color w:val="auto"/>
        </w:rPr>
        <w:instrText xml:space="preserve"> HYPERLINK \l _Toc30716 </w:instrText>
      </w:r>
      <w:r>
        <w:rPr>
          <w:color w:val="auto"/>
        </w:rPr>
        <w:fldChar w:fldCharType="separate"/>
      </w:r>
      <w:r>
        <w:rPr>
          <w:rFonts w:ascii="黑体" w:hAnsi="黑体" w:eastAsia="黑体"/>
          <w:color w:val="auto"/>
        </w:rPr>
        <w:t xml:space="preserve">2. </w:t>
      </w:r>
      <w:r>
        <w:rPr>
          <w:rFonts w:hint="eastAsia" w:ascii="黑体" w:hAnsi="黑体" w:eastAsia="黑体"/>
          <w:color w:val="auto"/>
        </w:rPr>
        <w:t>标段（包）内容（范围）及服务要求</w:t>
      </w:r>
      <w:r>
        <w:rPr>
          <w:color w:val="auto"/>
        </w:rPr>
        <w:tab/>
      </w:r>
      <w:r>
        <w:rPr>
          <w:color w:val="auto"/>
        </w:rPr>
        <w:fldChar w:fldCharType="begin"/>
      </w:r>
      <w:r>
        <w:rPr>
          <w:color w:val="auto"/>
        </w:rPr>
        <w:instrText xml:space="preserve"> PAGEREF _Toc30716 \h </w:instrText>
      </w:r>
      <w:r>
        <w:rPr>
          <w:color w:val="auto"/>
        </w:rPr>
        <w:fldChar w:fldCharType="separate"/>
      </w:r>
      <w:r>
        <w:rPr>
          <w:color w:val="auto"/>
        </w:rPr>
        <w:t>- 7 -</w:t>
      </w:r>
      <w:r>
        <w:rPr>
          <w:color w:val="auto"/>
        </w:rPr>
        <w:fldChar w:fldCharType="end"/>
      </w:r>
      <w:r>
        <w:rPr>
          <w:color w:val="auto"/>
        </w:rPr>
        <w:fldChar w:fldCharType="end"/>
      </w:r>
    </w:p>
    <w:p w14:paraId="6DB6D456">
      <w:pPr>
        <w:pStyle w:val="13"/>
        <w:tabs>
          <w:tab w:val="right" w:leader="dot" w:pos="9381"/>
        </w:tabs>
        <w:rPr>
          <w:color w:val="auto"/>
        </w:rPr>
      </w:pPr>
      <w:r>
        <w:rPr>
          <w:color w:val="auto"/>
        </w:rPr>
        <w:fldChar w:fldCharType="begin"/>
      </w:r>
      <w:r>
        <w:rPr>
          <w:color w:val="auto"/>
        </w:rPr>
        <w:instrText xml:space="preserve"> HYPERLINK \l _Toc1003 </w:instrText>
      </w:r>
      <w:r>
        <w:rPr>
          <w:color w:val="auto"/>
        </w:rPr>
        <w:fldChar w:fldCharType="separate"/>
      </w:r>
      <w:r>
        <w:rPr>
          <w:rFonts w:hint="eastAsia" w:ascii="黑体" w:hAnsi="黑体" w:eastAsia="黑体"/>
          <w:color w:val="auto"/>
        </w:rPr>
        <w:t>3</w:t>
      </w:r>
      <w:r>
        <w:rPr>
          <w:rFonts w:ascii="黑体" w:hAnsi="黑体" w:eastAsia="黑体"/>
          <w:color w:val="auto"/>
        </w:rPr>
        <w:t xml:space="preserve">. </w:t>
      </w:r>
      <w:r>
        <w:rPr>
          <w:rFonts w:hint="eastAsia" w:ascii="黑体" w:hAnsi="黑体" w:eastAsia="黑体"/>
          <w:color w:val="auto"/>
        </w:rPr>
        <w:t>项目其他要求</w:t>
      </w:r>
      <w:r>
        <w:rPr>
          <w:color w:val="auto"/>
        </w:rPr>
        <w:tab/>
      </w:r>
      <w:r>
        <w:rPr>
          <w:color w:val="auto"/>
        </w:rPr>
        <w:fldChar w:fldCharType="begin"/>
      </w:r>
      <w:r>
        <w:rPr>
          <w:color w:val="auto"/>
        </w:rPr>
        <w:instrText xml:space="preserve"> PAGEREF _Toc1003 \h </w:instrText>
      </w:r>
      <w:r>
        <w:rPr>
          <w:color w:val="auto"/>
        </w:rPr>
        <w:fldChar w:fldCharType="separate"/>
      </w:r>
      <w:r>
        <w:rPr>
          <w:color w:val="auto"/>
        </w:rPr>
        <w:t>- 15 -</w:t>
      </w:r>
      <w:r>
        <w:rPr>
          <w:color w:val="auto"/>
        </w:rPr>
        <w:fldChar w:fldCharType="end"/>
      </w:r>
      <w:r>
        <w:rPr>
          <w:color w:val="auto"/>
        </w:rPr>
        <w:fldChar w:fldCharType="end"/>
      </w:r>
    </w:p>
    <w:p w14:paraId="0F5B9D80">
      <w:pPr>
        <w:pStyle w:val="11"/>
        <w:tabs>
          <w:tab w:val="right" w:leader="dot" w:pos="9381"/>
        </w:tabs>
        <w:rPr>
          <w:color w:val="auto"/>
        </w:rPr>
      </w:pPr>
      <w:r>
        <w:rPr>
          <w:color w:val="auto"/>
        </w:rPr>
        <w:fldChar w:fldCharType="begin"/>
      </w:r>
      <w:r>
        <w:rPr>
          <w:color w:val="auto"/>
        </w:rPr>
        <w:instrText xml:space="preserve"> HYPERLINK \l _Toc2890 </w:instrText>
      </w:r>
      <w:r>
        <w:rPr>
          <w:color w:val="auto"/>
        </w:rPr>
        <w:fldChar w:fldCharType="separate"/>
      </w:r>
      <w:r>
        <w:rPr>
          <w:rFonts w:hint="eastAsia" w:eastAsia="黑体"/>
          <w:color w:val="auto"/>
          <w:szCs w:val="36"/>
        </w:rPr>
        <w:t>第三章</w:t>
      </w:r>
      <w:r>
        <w:rPr>
          <w:rFonts w:eastAsia="黑体"/>
          <w:color w:val="auto"/>
          <w:szCs w:val="36"/>
        </w:rPr>
        <w:t xml:space="preserve">  </w:t>
      </w:r>
      <w:r>
        <w:rPr>
          <w:rFonts w:hint="eastAsia" w:eastAsia="黑体"/>
          <w:color w:val="auto"/>
          <w:szCs w:val="36"/>
        </w:rPr>
        <w:t>供应商须知</w:t>
      </w:r>
      <w:r>
        <w:rPr>
          <w:color w:val="auto"/>
        </w:rPr>
        <w:tab/>
      </w:r>
      <w:r>
        <w:rPr>
          <w:color w:val="auto"/>
        </w:rPr>
        <w:fldChar w:fldCharType="begin"/>
      </w:r>
      <w:r>
        <w:rPr>
          <w:color w:val="auto"/>
        </w:rPr>
        <w:instrText xml:space="preserve"> PAGEREF _Toc2890 \h </w:instrText>
      </w:r>
      <w:r>
        <w:rPr>
          <w:color w:val="auto"/>
        </w:rPr>
        <w:fldChar w:fldCharType="separate"/>
      </w:r>
      <w:r>
        <w:rPr>
          <w:color w:val="auto"/>
        </w:rPr>
        <w:t>- 16 -</w:t>
      </w:r>
      <w:r>
        <w:rPr>
          <w:color w:val="auto"/>
        </w:rPr>
        <w:fldChar w:fldCharType="end"/>
      </w:r>
      <w:r>
        <w:rPr>
          <w:color w:val="auto"/>
        </w:rPr>
        <w:fldChar w:fldCharType="end"/>
      </w:r>
    </w:p>
    <w:p w14:paraId="2969CB00">
      <w:pPr>
        <w:pStyle w:val="13"/>
        <w:tabs>
          <w:tab w:val="right" w:leader="dot" w:pos="9381"/>
        </w:tabs>
        <w:rPr>
          <w:color w:val="auto"/>
        </w:rPr>
      </w:pPr>
      <w:r>
        <w:rPr>
          <w:color w:val="auto"/>
        </w:rPr>
        <w:fldChar w:fldCharType="begin"/>
      </w:r>
      <w:r>
        <w:rPr>
          <w:color w:val="auto"/>
        </w:rPr>
        <w:instrText xml:space="preserve"> HYPERLINK \l _Toc28506 </w:instrText>
      </w:r>
      <w:r>
        <w:rPr>
          <w:color w:val="auto"/>
        </w:rPr>
        <w:fldChar w:fldCharType="separate"/>
      </w:r>
      <w:r>
        <w:rPr>
          <w:rFonts w:hint="eastAsia" w:eastAsia="黑体"/>
          <w:color w:val="auto"/>
          <w:szCs w:val="28"/>
        </w:rPr>
        <w:t>供应商须知前附表</w:t>
      </w:r>
      <w:r>
        <w:rPr>
          <w:color w:val="auto"/>
        </w:rPr>
        <w:tab/>
      </w:r>
      <w:r>
        <w:rPr>
          <w:color w:val="auto"/>
        </w:rPr>
        <w:fldChar w:fldCharType="begin"/>
      </w:r>
      <w:r>
        <w:rPr>
          <w:color w:val="auto"/>
        </w:rPr>
        <w:instrText xml:space="preserve"> PAGEREF _Toc28506 \h </w:instrText>
      </w:r>
      <w:r>
        <w:rPr>
          <w:color w:val="auto"/>
        </w:rPr>
        <w:fldChar w:fldCharType="separate"/>
      </w:r>
      <w:r>
        <w:rPr>
          <w:color w:val="auto"/>
        </w:rPr>
        <w:t>- 16 -</w:t>
      </w:r>
      <w:r>
        <w:rPr>
          <w:color w:val="auto"/>
        </w:rPr>
        <w:fldChar w:fldCharType="end"/>
      </w:r>
      <w:r>
        <w:rPr>
          <w:color w:val="auto"/>
        </w:rPr>
        <w:fldChar w:fldCharType="end"/>
      </w:r>
    </w:p>
    <w:p w14:paraId="78562BE3">
      <w:pPr>
        <w:pStyle w:val="13"/>
        <w:tabs>
          <w:tab w:val="right" w:leader="dot" w:pos="9381"/>
        </w:tabs>
        <w:rPr>
          <w:color w:val="auto"/>
        </w:rPr>
      </w:pPr>
      <w:r>
        <w:rPr>
          <w:color w:val="auto"/>
        </w:rPr>
        <w:fldChar w:fldCharType="begin"/>
      </w:r>
      <w:r>
        <w:rPr>
          <w:color w:val="auto"/>
        </w:rPr>
        <w:instrText xml:space="preserve"> HYPERLINK \l _Toc8590 </w:instrText>
      </w:r>
      <w:r>
        <w:rPr>
          <w:color w:val="auto"/>
        </w:rPr>
        <w:fldChar w:fldCharType="separate"/>
      </w:r>
      <w:r>
        <w:rPr>
          <w:rFonts w:ascii="黑体" w:hAnsi="黑体" w:eastAsia="黑体" w:cs="楷体_GB2312"/>
          <w:bCs/>
          <w:color w:val="auto"/>
          <w:szCs w:val="28"/>
          <w:lang w:val="zh-CN"/>
        </w:rPr>
        <w:t xml:space="preserve">1. </w:t>
      </w:r>
      <w:r>
        <w:rPr>
          <w:rFonts w:hint="eastAsia" w:ascii="黑体" w:hAnsi="黑体" w:eastAsia="黑体" w:cs="楷体_GB2312"/>
          <w:bCs/>
          <w:color w:val="auto"/>
          <w:szCs w:val="28"/>
          <w:lang w:val="zh-CN"/>
        </w:rPr>
        <w:t>总则</w:t>
      </w:r>
      <w:r>
        <w:rPr>
          <w:color w:val="auto"/>
        </w:rPr>
        <w:tab/>
      </w:r>
      <w:r>
        <w:rPr>
          <w:color w:val="auto"/>
        </w:rPr>
        <w:fldChar w:fldCharType="begin"/>
      </w:r>
      <w:r>
        <w:rPr>
          <w:color w:val="auto"/>
        </w:rPr>
        <w:instrText xml:space="preserve"> PAGEREF _Toc8590 \h </w:instrText>
      </w:r>
      <w:r>
        <w:rPr>
          <w:color w:val="auto"/>
        </w:rPr>
        <w:fldChar w:fldCharType="separate"/>
      </w:r>
      <w:r>
        <w:rPr>
          <w:color w:val="auto"/>
        </w:rPr>
        <w:t>- 19 -</w:t>
      </w:r>
      <w:r>
        <w:rPr>
          <w:color w:val="auto"/>
        </w:rPr>
        <w:fldChar w:fldCharType="end"/>
      </w:r>
      <w:r>
        <w:rPr>
          <w:color w:val="auto"/>
        </w:rPr>
        <w:fldChar w:fldCharType="end"/>
      </w:r>
    </w:p>
    <w:p w14:paraId="515445AA">
      <w:pPr>
        <w:pStyle w:val="13"/>
        <w:tabs>
          <w:tab w:val="right" w:leader="dot" w:pos="9381"/>
        </w:tabs>
        <w:rPr>
          <w:color w:val="auto"/>
        </w:rPr>
      </w:pPr>
      <w:r>
        <w:rPr>
          <w:color w:val="auto"/>
        </w:rPr>
        <w:fldChar w:fldCharType="begin"/>
      </w:r>
      <w:r>
        <w:rPr>
          <w:color w:val="auto"/>
        </w:rPr>
        <w:instrText xml:space="preserve"> HYPERLINK \l _Toc18678 </w:instrText>
      </w:r>
      <w:r>
        <w:rPr>
          <w:color w:val="auto"/>
        </w:rPr>
        <w:fldChar w:fldCharType="separate"/>
      </w:r>
      <w:r>
        <w:rPr>
          <w:rFonts w:ascii="黑体" w:hAnsi="黑体" w:eastAsia="黑体" w:cs="楷体_GB2312"/>
          <w:bCs/>
          <w:color w:val="auto"/>
          <w:szCs w:val="28"/>
          <w:lang w:val="zh-CN"/>
        </w:rPr>
        <w:t xml:space="preserve">2. </w:t>
      </w:r>
      <w:r>
        <w:rPr>
          <w:rFonts w:hint="eastAsia" w:ascii="黑体" w:hAnsi="黑体" w:eastAsia="黑体" w:cs="楷体_GB2312"/>
          <w:bCs/>
          <w:color w:val="auto"/>
          <w:szCs w:val="28"/>
          <w:lang w:val="zh-CN"/>
        </w:rPr>
        <w:t>《磋商文件》</w:t>
      </w:r>
      <w:r>
        <w:rPr>
          <w:color w:val="auto"/>
        </w:rPr>
        <w:tab/>
      </w:r>
      <w:r>
        <w:rPr>
          <w:color w:val="auto"/>
        </w:rPr>
        <w:fldChar w:fldCharType="begin"/>
      </w:r>
      <w:r>
        <w:rPr>
          <w:color w:val="auto"/>
        </w:rPr>
        <w:instrText xml:space="preserve"> PAGEREF _Toc18678 \h </w:instrText>
      </w:r>
      <w:r>
        <w:rPr>
          <w:color w:val="auto"/>
        </w:rPr>
        <w:fldChar w:fldCharType="separate"/>
      </w:r>
      <w:r>
        <w:rPr>
          <w:color w:val="auto"/>
        </w:rPr>
        <w:t>- 22 -</w:t>
      </w:r>
      <w:r>
        <w:rPr>
          <w:color w:val="auto"/>
        </w:rPr>
        <w:fldChar w:fldCharType="end"/>
      </w:r>
      <w:r>
        <w:rPr>
          <w:color w:val="auto"/>
        </w:rPr>
        <w:fldChar w:fldCharType="end"/>
      </w:r>
    </w:p>
    <w:p w14:paraId="07C46982">
      <w:pPr>
        <w:pStyle w:val="13"/>
        <w:tabs>
          <w:tab w:val="right" w:leader="dot" w:pos="9381"/>
        </w:tabs>
        <w:rPr>
          <w:color w:val="auto"/>
        </w:rPr>
      </w:pPr>
      <w:r>
        <w:rPr>
          <w:color w:val="auto"/>
        </w:rPr>
        <w:fldChar w:fldCharType="begin"/>
      </w:r>
      <w:r>
        <w:rPr>
          <w:color w:val="auto"/>
        </w:rPr>
        <w:instrText xml:space="preserve"> HYPERLINK \l _Toc19751 </w:instrText>
      </w:r>
      <w:r>
        <w:rPr>
          <w:color w:val="auto"/>
        </w:rPr>
        <w:fldChar w:fldCharType="separate"/>
      </w:r>
      <w:r>
        <w:rPr>
          <w:rFonts w:ascii="黑体" w:hAnsi="黑体" w:eastAsia="黑体" w:cs="楷体_GB2312"/>
          <w:bCs/>
          <w:color w:val="auto"/>
          <w:szCs w:val="28"/>
          <w:lang w:val="zh-CN"/>
        </w:rPr>
        <w:t xml:space="preserve">3. </w:t>
      </w:r>
      <w:r>
        <w:rPr>
          <w:rFonts w:hint="eastAsia" w:ascii="黑体" w:hAnsi="黑体" w:eastAsia="黑体" w:cs="楷体_GB2312"/>
          <w:bCs/>
          <w:color w:val="auto"/>
          <w:szCs w:val="28"/>
          <w:lang w:val="zh-CN"/>
        </w:rPr>
        <w:t>《响应文件》</w:t>
      </w:r>
      <w:r>
        <w:rPr>
          <w:color w:val="auto"/>
        </w:rPr>
        <w:tab/>
      </w:r>
      <w:r>
        <w:rPr>
          <w:color w:val="auto"/>
        </w:rPr>
        <w:fldChar w:fldCharType="begin"/>
      </w:r>
      <w:r>
        <w:rPr>
          <w:color w:val="auto"/>
        </w:rPr>
        <w:instrText xml:space="preserve"> PAGEREF _Toc19751 \h </w:instrText>
      </w:r>
      <w:r>
        <w:rPr>
          <w:color w:val="auto"/>
        </w:rPr>
        <w:fldChar w:fldCharType="separate"/>
      </w:r>
      <w:r>
        <w:rPr>
          <w:color w:val="auto"/>
        </w:rPr>
        <w:t>- 23 -</w:t>
      </w:r>
      <w:r>
        <w:rPr>
          <w:color w:val="auto"/>
        </w:rPr>
        <w:fldChar w:fldCharType="end"/>
      </w:r>
      <w:r>
        <w:rPr>
          <w:color w:val="auto"/>
        </w:rPr>
        <w:fldChar w:fldCharType="end"/>
      </w:r>
    </w:p>
    <w:p w14:paraId="57EC9D39">
      <w:pPr>
        <w:pStyle w:val="13"/>
        <w:tabs>
          <w:tab w:val="right" w:leader="dot" w:pos="9381"/>
        </w:tabs>
        <w:rPr>
          <w:color w:val="auto"/>
        </w:rPr>
      </w:pPr>
      <w:r>
        <w:rPr>
          <w:color w:val="auto"/>
        </w:rPr>
        <w:fldChar w:fldCharType="begin"/>
      </w:r>
      <w:r>
        <w:rPr>
          <w:color w:val="auto"/>
        </w:rPr>
        <w:instrText xml:space="preserve"> HYPERLINK \l _Toc29704 </w:instrText>
      </w:r>
      <w:r>
        <w:rPr>
          <w:color w:val="auto"/>
        </w:rPr>
        <w:fldChar w:fldCharType="separate"/>
      </w:r>
      <w:r>
        <w:rPr>
          <w:rFonts w:ascii="黑体" w:hAnsi="黑体" w:eastAsia="黑体" w:cs="楷体_GB2312"/>
          <w:bCs/>
          <w:color w:val="auto"/>
          <w:szCs w:val="28"/>
          <w:highlight w:val="none"/>
          <w:lang w:val="zh-CN"/>
        </w:rPr>
        <w:t>4.</w:t>
      </w:r>
      <w:r>
        <w:rPr>
          <w:rFonts w:hint="eastAsia" w:ascii="黑体" w:hAnsi="黑体" w:eastAsia="黑体" w:cs="楷体_GB2312"/>
          <w:bCs/>
          <w:color w:val="auto"/>
          <w:szCs w:val="28"/>
          <w:highlight w:val="none"/>
          <w:lang w:val="zh-CN"/>
        </w:rPr>
        <w:t>《响应文件》的提交</w:t>
      </w:r>
      <w:r>
        <w:rPr>
          <w:color w:val="auto"/>
        </w:rPr>
        <w:tab/>
      </w:r>
      <w:r>
        <w:rPr>
          <w:color w:val="auto"/>
        </w:rPr>
        <w:fldChar w:fldCharType="begin"/>
      </w:r>
      <w:r>
        <w:rPr>
          <w:color w:val="auto"/>
        </w:rPr>
        <w:instrText xml:space="preserve"> PAGEREF _Toc29704 \h </w:instrText>
      </w:r>
      <w:r>
        <w:rPr>
          <w:color w:val="auto"/>
        </w:rPr>
        <w:fldChar w:fldCharType="separate"/>
      </w:r>
      <w:r>
        <w:rPr>
          <w:color w:val="auto"/>
        </w:rPr>
        <w:t>- 26 -</w:t>
      </w:r>
      <w:r>
        <w:rPr>
          <w:color w:val="auto"/>
        </w:rPr>
        <w:fldChar w:fldCharType="end"/>
      </w:r>
      <w:r>
        <w:rPr>
          <w:color w:val="auto"/>
        </w:rPr>
        <w:fldChar w:fldCharType="end"/>
      </w:r>
    </w:p>
    <w:p w14:paraId="6ABC943E">
      <w:pPr>
        <w:pStyle w:val="13"/>
        <w:tabs>
          <w:tab w:val="right" w:leader="dot" w:pos="9381"/>
        </w:tabs>
        <w:rPr>
          <w:color w:val="auto"/>
        </w:rPr>
      </w:pPr>
      <w:r>
        <w:rPr>
          <w:color w:val="auto"/>
        </w:rPr>
        <w:fldChar w:fldCharType="begin"/>
      </w:r>
      <w:r>
        <w:rPr>
          <w:color w:val="auto"/>
        </w:rPr>
        <w:instrText xml:space="preserve"> HYPERLINK \l _Toc15606 </w:instrText>
      </w:r>
      <w:r>
        <w:rPr>
          <w:color w:val="auto"/>
        </w:rPr>
        <w:fldChar w:fldCharType="separate"/>
      </w:r>
      <w:r>
        <w:rPr>
          <w:rFonts w:ascii="黑体" w:hAnsi="黑体" w:eastAsia="黑体" w:cs="楷体_GB2312"/>
          <w:bCs/>
          <w:color w:val="auto"/>
          <w:szCs w:val="28"/>
          <w:lang w:val="zh-CN"/>
        </w:rPr>
        <w:t>5.</w:t>
      </w:r>
      <w:r>
        <w:rPr>
          <w:rFonts w:hint="eastAsia" w:ascii="黑体" w:hAnsi="黑体" w:eastAsia="黑体" w:cs="楷体_GB2312"/>
          <w:bCs/>
          <w:color w:val="auto"/>
          <w:szCs w:val="28"/>
          <w:lang w:val="zh-CN"/>
        </w:rPr>
        <w:t>《响应文件》的开启</w:t>
      </w:r>
      <w:r>
        <w:rPr>
          <w:color w:val="auto"/>
        </w:rPr>
        <w:tab/>
      </w:r>
      <w:r>
        <w:rPr>
          <w:color w:val="auto"/>
        </w:rPr>
        <w:fldChar w:fldCharType="begin"/>
      </w:r>
      <w:r>
        <w:rPr>
          <w:color w:val="auto"/>
        </w:rPr>
        <w:instrText xml:space="preserve"> PAGEREF _Toc15606 \h </w:instrText>
      </w:r>
      <w:r>
        <w:rPr>
          <w:color w:val="auto"/>
        </w:rPr>
        <w:fldChar w:fldCharType="separate"/>
      </w:r>
      <w:r>
        <w:rPr>
          <w:color w:val="auto"/>
        </w:rPr>
        <w:t>- 27 -</w:t>
      </w:r>
      <w:r>
        <w:rPr>
          <w:color w:val="auto"/>
        </w:rPr>
        <w:fldChar w:fldCharType="end"/>
      </w:r>
      <w:r>
        <w:rPr>
          <w:color w:val="auto"/>
        </w:rPr>
        <w:fldChar w:fldCharType="end"/>
      </w:r>
    </w:p>
    <w:p w14:paraId="12C69ED1">
      <w:pPr>
        <w:pStyle w:val="13"/>
        <w:tabs>
          <w:tab w:val="right" w:leader="dot" w:pos="9381"/>
        </w:tabs>
        <w:rPr>
          <w:color w:val="auto"/>
        </w:rPr>
      </w:pPr>
      <w:r>
        <w:rPr>
          <w:color w:val="auto"/>
        </w:rPr>
        <w:fldChar w:fldCharType="begin"/>
      </w:r>
      <w:r>
        <w:rPr>
          <w:color w:val="auto"/>
        </w:rPr>
        <w:instrText xml:space="preserve"> HYPERLINK \l _Toc25003 </w:instrText>
      </w:r>
      <w:r>
        <w:rPr>
          <w:color w:val="auto"/>
        </w:rPr>
        <w:fldChar w:fldCharType="separate"/>
      </w:r>
      <w:r>
        <w:rPr>
          <w:rFonts w:ascii="黑体" w:hAnsi="黑体" w:eastAsia="黑体" w:cs="楷体_GB2312"/>
          <w:bCs/>
          <w:color w:val="auto"/>
          <w:szCs w:val="28"/>
          <w:lang w:val="zh-CN"/>
        </w:rPr>
        <w:t xml:space="preserve">6. </w:t>
      </w:r>
      <w:r>
        <w:rPr>
          <w:rFonts w:hint="eastAsia" w:ascii="黑体" w:hAnsi="黑体" w:eastAsia="黑体" w:cs="楷体_GB2312"/>
          <w:bCs/>
          <w:color w:val="auto"/>
          <w:szCs w:val="28"/>
          <w:lang w:val="zh-CN"/>
        </w:rPr>
        <w:t>评审</w:t>
      </w:r>
      <w:r>
        <w:rPr>
          <w:color w:val="auto"/>
        </w:rPr>
        <w:tab/>
      </w:r>
      <w:r>
        <w:rPr>
          <w:color w:val="auto"/>
        </w:rPr>
        <w:fldChar w:fldCharType="begin"/>
      </w:r>
      <w:r>
        <w:rPr>
          <w:color w:val="auto"/>
        </w:rPr>
        <w:instrText xml:space="preserve"> PAGEREF _Toc25003 \h </w:instrText>
      </w:r>
      <w:r>
        <w:rPr>
          <w:color w:val="auto"/>
        </w:rPr>
        <w:fldChar w:fldCharType="separate"/>
      </w:r>
      <w:r>
        <w:rPr>
          <w:color w:val="auto"/>
        </w:rPr>
        <w:t>- 28 -</w:t>
      </w:r>
      <w:r>
        <w:rPr>
          <w:color w:val="auto"/>
        </w:rPr>
        <w:fldChar w:fldCharType="end"/>
      </w:r>
      <w:r>
        <w:rPr>
          <w:color w:val="auto"/>
        </w:rPr>
        <w:fldChar w:fldCharType="end"/>
      </w:r>
    </w:p>
    <w:p w14:paraId="582B39EB">
      <w:pPr>
        <w:pStyle w:val="13"/>
        <w:tabs>
          <w:tab w:val="right" w:leader="dot" w:pos="9381"/>
        </w:tabs>
        <w:rPr>
          <w:color w:val="auto"/>
        </w:rPr>
      </w:pPr>
      <w:r>
        <w:rPr>
          <w:color w:val="auto"/>
        </w:rPr>
        <w:fldChar w:fldCharType="begin"/>
      </w:r>
      <w:r>
        <w:rPr>
          <w:color w:val="auto"/>
        </w:rPr>
        <w:instrText xml:space="preserve"> HYPERLINK \l _Toc3200 </w:instrText>
      </w:r>
      <w:r>
        <w:rPr>
          <w:color w:val="auto"/>
        </w:rPr>
        <w:fldChar w:fldCharType="separate"/>
      </w:r>
      <w:r>
        <w:rPr>
          <w:rFonts w:ascii="黑体" w:hAnsi="黑体" w:eastAsia="黑体" w:cs="楷体_GB2312"/>
          <w:bCs/>
          <w:color w:val="auto"/>
          <w:szCs w:val="28"/>
          <w:lang w:val="zh-CN"/>
        </w:rPr>
        <w:t xml:space="preserve">7. </w:t>
      </w:r>
      <w:r>
        <w:rPr>
          <w:rFonts w:hint="eastAsia" w:ascii="黑体" w:hAnsi="黑体" w:eastAsia="黑体" w:cs="楷体_GB2312"/>
          <w:bCs/>
          <w:color w:val="auto"/>
          <w:szCs w:val="28"/>
          <w:lang w:val="zh-CN"/>
        </w:rPr>
        <w:t>授予合同</w:t>
      </w:r>
      <w:r>
        <w:rPr>
          <w:color w:val="auto"/>
        </w:rPr>
        <w:tab/>
      </w:r>
      <w:r>
        <w:rPr>
          <w:color w:val="auto"/>
        </w:rPr>
        <w:fldChar w:fldCharType="begin"/>
      </w:r>
      <w:r>
        <w:rPr>
          <w:color w:val="auto"/>
        </w:rPr>
        <w:instrText xml:space="preserve"> PAGEREF _Toc3200 \h </w:instrText>
      </w:r>
      <w:r>
        <w:rPr>
          <w:color w:val="auto"/>
        </w:rPr>
        <w:fldChar w:fldCharType="separate"/>
      </w:r>
      <w:r>
        <w:rPr>
          <w:color w:val="auto"/>
        </w:rPr>
        <w:t>- 28 -</w:t>
      </w:r>
      <w:r>
        <w:rPr>
          <w:color w:val="auto"/>
        </w:rPr>
        <w:fldChar w:fldCharType="end"/>
      </w:r>
      <w:r>
        <w:rPr>
          <w:color w:val="auto"/>
        </w:rPr>
        <w:fldChar w:fldCharType="end"/>
      </w:r>
    </w:p>
    <w:p w14:paraId="5BD0A786">
      <w:pPr>
        <w:pStyle w:val="13"/>
        <w:tabs>
          <w:tab w:val="right" w:leader="dot" w:pos="9381"/>
        </w:tabs>
        <w:rPr>
          <w:color w:val="auto"/>
        </w:rPr>
      </w:pPr>
      <w:r>
        <w:rPr>
          <w:color w:val="auto"/>
        </w:rPr>
        <w:fldChar w:fldCharType="begin"/>
      </w:r>
      <w:r>
        <w:rPr>
          <w:color w:val="auto"/>
        </w:rPr>
        <w:instrText xml:space="preserve"> HYPERLINK \l _Toc15064 </w:instrText>
      </w:r>
      <w:r>
        <w:rPr>
          <w:color w:val="auto"/>
        </w:rPr>
        <w:fldChar w:fldCharType="separate"/>
      </w:r>
      <w:r>
        <w:rPr>
          <w:rFonts w:ascii="黑体" w:hAnsi="黑体" w:eastAsia="黑体" w:cs="楷体_GB2312"/>
          <w:bCs/>
          <w:color w:val="auto"/>
          <w:szCs w:val="28"/>
          <w:highlight w:val="none"/>
          <w:lang w:val="zh-CN"/>
        </w:rPr>
        <w:t xml:space="preserve">8. </w:t>
      </w:r>
      <w:r>
        <w:rPr>
          <w:rFonts w:hint="eastAsia" w:ascii="黑体" w:hAnsi="黑体" w:eastAsia="黑体" w:cs="楷体_GB2312"/>
          <w:bCs/>
          <w:color w:val="auto"/>
          <w:szCs w:val="28"/>
          <w:highlight w:val="none"/>
          <w:lang w:val="zh-CN"/>
        </w:rPr>
        <w:t>验收</w:t>
      </w:r>
      <w:r>
        <w:rPr>
          <w:color w:val="auto"/>
        </w:rPr>
        <w:tab/>
      </w:r>
      <w:r>
        <w:rPr>
          <w:color w:val="auto"/>
        </w:rPr>
        <w:fldChar w:fldCharType="begin"/>
      </w:r>
      <w:r>
        <w:rPr>
          <w:color w:val="auto"/>
        </w:rPr>
        <w:instrText xml:space="preserve"> PAGEREF _Toc15064 \h </w:instrText>
      </w:r>
      <w:r>
        <w:rPr>
          <w:color w:val="auto"/>
        </w:rPr>
        <w:fldChar w:fldCharType="separate"/>
      </w:r>
      <w:r>
        <w:rPr>
          <w:color w:val="auto"/>
        </w:rPr>
        <w:t>- 30 -</w:t>
      </w:r>
      <w:r>
        <w:rPr>
          <w:color w:val="auto"/>
        </w:rPr>
        <w:fldChar w:fldCharType="end"/>
      </w:r>
      <w:r>
        <w:rPr>
          <w:color w:val="auto"/>
        </w:rPr>
        <w:fldChar w:fldCharType="end"/>
      </w:r>
    </w:p>
    <w:p w14:paraId="01DE01C3">
      <w:pPr>
        <w:pStyle w:val="13"/>
        <w:tabs>
          <w:tab w:val="right" w:leader="dot" w:pos="9381"/>
        </w:tabs>
        <w:rPr>
          <w:color w:val="auto"/>
        </w:rPr>
      </w:pPr>
      <w:r>
        <w:rPr>
          <w:color w:val="auto"/>
        </w:rPr>
        <w:fldChar w:fldCharType="begin"/>
      </w:r>
      <w:r>
        <w:rPr>
          <w:color w:val="auto"/>
        </w:rPr>
        <w:instrText xml:space="preserve"> HYPERLINK \l _Toc30265 </w:instrText>
      </w:r>
      <w:r>
        <w:rPr>
          <w:color w:val="auto"/>
        </w:rPr>
        <w:fldChar w:fldCharType="separate"/>
      </w:r>
      <w:r>
        <w:rPr>
          <w:rFonts w:ascii="黑体" w:hAnsi="黑体" w:eastAsia="黑体" w:cs="楷体_GB2312"/>
          <w:bCs/>
          <w:color w:val="auto"/>
          <w:szCs w:val="28"/>
          <w:lang w:val="zh-CN"/>
        </w:rPr>
        <w:t>9.</w:t>
      </w:r>
      <w:r>
        <w:rPr>
          <w:rFonts w:hint="eastAsia" w:ascii="黑体" w:hAnsi="黑体" w:eastAsia="黑体" w:cs="楷体_GB2312"/>
          <w:bCs/>
          <w:color w:val="auto"/>
          <w:szCs w:val="28"/>
          <w:lang w:val="zh-CN"/>
        </w:rPr>
        <w:t>付款</w:t>
      </w:r>
      <w:r>
        <w:rPr>
          <w:color w:val="auto"/>
        </w:rPr>
        <w:tab/>
      </w:r>
      <w:r>
        <w:rPr>
          <w:color w:val="auto"/>
        </w:rPr>
        <w:fldChar w:fldCharType="begin"/>
      </w:r>
      <w:r>
        <w:rPr>
          <w:color w:val="auto"/>
        </w:rPr>
        <w:instrText xml:space="preserve"> PAGEREF _Toc30265 \h </w:instrText>
      </w:r>
      <w:r>
        <w:rPr>
          <w:color w:val="auto"/>
        </w:rPr>
        <w:fldChar w:fldCharType="separate"/>
      </w:r>
      <w:r>
        <w:rPr>
          <w:color w:val="auto"/>
        </w:rPr>
        <w:t>- 31 -</w:t>
      </w:r>
      <w:r>
        <w:rPr>
          <w:color w:val="auto"/>
        </w:rPr>
        <w:fldChar w:fldCharType="end"/>
      </w:r>
      <w:r>
        <w:rPr>
          <w:color w:val="auto"/>
        </w:rPr>
        <w:fldChar w:fldCharType="end"/>
      </w:r>
    </w:p>
    <w:p w14:paraId="19F24115">
      <w:pPr>
        <w:pStyle w:val="13"/>
        <w:tabs>
          <w:tab w:val="right" w:leader="dot" w:pos="9381"/>
        </w:tabs>
        <w:rPr>
          <w:color w:val="auto"/>
        </w:rPr>
      </w:pPr>
      <w:r>
        <w:rPr>
          <w:color w:val="auto"/>
        </w:rPr>
        <w:fldChar w:fldCharType="begin"/>
      </w:r>
      <w:r>
        <w:rPr>
          <w:color w:val="auto"/>
        </w:rPr>
        <w:instrText xml:space="preserve"> HYPERLINK \l _Toc14348 </w:instrText>
      </w:r>
      <w:r>
        <w:rPr>
          <w:color w:val="auto"/>
        </w:rPr>
        <w:fldChar w:fldCharType="separate"/>
      </w:r>
      <w:r>
        <w:rPr>
          <w:rFonts w:ascii="黑体" w:hAnsi="黑体" w:eastAsia="黑体" w:cs="楷体_GB2312"/>
          <w:bCs/>
          <w:color w:val="auto"/>
          <w:szCs w:val="28"/>
          <w:lang w:val="zh-CN"/>
        </w:rPr>
        <w:t xml:space="preserve">10. </w:t>
      </w:r>
      <w:r>
        <w:rPr>
          <w:rFonts w:hint="eastAsia" w:ascii="黑体" w:hAnsi="黑体" w:eastAsia="黑体" w:cs="楷体_GB2312"/>
          <w:bCs/>
          <w:color w:val="auto"/>
          <w:szCs w:val="28"/>
          <w:lang w:val="zh-CN"/>
        </w:rPr>
        <w:t>其他</w:t>
      </w:r>
      <w:r>
        <w:rPr>
          <w:color w:val="auto"/>
        </w:rPr>
        <w:tab/>
      </w:r>
      <w:r>
        <w:rPr>
          <w:color w:val="auto"/>
        </w:rPr>
        <w:fldChar w:fldCharType="begin"/>
      </w:r>
      <w:r>
        <w:rPr>
          <w:color w:val="auto"/>
        </w:rPr>
        <w:instrText xml:space="preserve"> PAGEREF _Toc14348 \h </w:instrText>
      </w:r>
      <w:r>
        <w:rPr>
          <w:color w:val="auto"/>
        </w:rPr>
        <w:fldChar w:fldCharType="separate"/>
      </w:r>
      <w:r>
        <w:rPr>
          <w:color w:val="auto"/>
        </w:rPr>
        <w:t>- 31 -</w:t>
      </w:r>
      <w:r>
        <w:rPr>
          <w:color w:val="auto"/>
        </w:rPr>
        <w:fldChar w:fldCharType="end"/>
      </w:r>
      <w:r>
        <w:rPr>
          <w:color w:val="auto"/>
        </w:rPr>
        <w:fldChar w:fldCharType="end"/>
      </w:r>
    </w:p>
    <w:p w14:paraId="78EEB299">
      <w:pPr>
        <w:pStyle w:val="13"/>
        <w:tabs>
          <w:tab w:val="right" w:leader="dot" w:pos="9381"/>
        </w:tabs>
        <w:rPr>
          <w:color w:val="auto"/>
        </w:rPr>
      </w:pPr>
      <w:r>
        <w:rPr>
          <w:color w:val="auto"/>
        </w:rPr>
        <w:fldChar w:fldCharType="begin"/>
      </w:r>
      <w:r>
        <w:rPr>
          <w:color w:val="auto"/>
        </w:rPr>
        <w:instrText xml:space="preserve"> HYPERLINK \l _Toc283 </w:instrText>
      </w:r>
      <w:r>
        <w:rPr>
          <w:color w:val="auto"/>
        </w:rPr>
        <w:fldChar w:fldCharType="separate"/>
      </w:r>
      <w:r>
        <w:rPr>
          <w:rFonts w:ascii="黑体" w:hAnsi="黑体" w:eastAsia="黑体" w:cs="楷体_GB2312"/>
          <w:bCs/>
          <w:color w:val="auto"/>
          <w:szCs w:val="28"/>
          <w:lang w:val="zh-CN"/>
        </w:rPr>
        <w:t>1</w:t>
      </w:r>
      <w:r>
        <w:rPr>
          <w:rFonts w:hint="eastAsia" w:ascii="黑体" w:hAnsi="黑体" w:eastAsia="黑体" w:cs="楷体_GB2312"/>
          <w:bCs/>
          <w:color w:val="auto"/>
          <w:szCs w:val="28"/>
          <w:lang w:val="zh-CN"/>
        </w:rPr>
        <w:t>1</w:t>
      </w:r>
      <w:r>
        <w:rPr>
          <w:rFonts w:ascii="黑体" w:hAnsi="黑体" w:eastAsia="黑体" w:cs="楷体_GB2312"/>
          <w:bCs/>
          <w:color w:val="auto"/>
          <w:szCs w:val="28"/>
          <w:lang w:val="zh-CN"/>
        </w:rPr>
        <w:t>.</w:t>
      </w:r>
      <w:r>
        <w:rPr>
          <w:rFonts w:hint="eastAsia" w:ascii="黑体" w:hAnsi="黑体" w:eastAsia="黑体" w:cs="楷体_GB2312"/>
          <w:bCs/>
          <w:color w:val="auto"/>
          <w:szCs w:val="28"/>
          <w:lang w:val="zh-CN"/>
        </w:rPr>
        <w:t xml:space="preserve"> 河南省政府采购合同融资政策告知函</w:t>
      </w:r>
      <w:r>
        <w:rPr>
          <w:color w:val="auto"/>
        </w:rPr>
        <w:tab/>
      </w:r>
      <w:r>
        <w:rPr>
          <w:color w:val="auto"/>
        </w:rPr>
        <w:fldChar w:fldCharType="begin"/>
      </w:r>
      <w:r>
        <w:rPr>
          <w:color w:val="auto"/>
        </w:rPr>
        <w:instrText xml:space="preserve"> PAGEREF _Toc283 \h </w:instrText>
      </w:r>
      <w:r>
        <w:rPr>
          <w:color w:val="auto"/>
        </w:rPr>
        <w:fldChar w:fldCharType="separate"/>
      </w:r>
      <w:r>
        <w:rPr>
          <w:color w:val="auto"/>
        </w:rPr>
        <w:t>- 31 -</w:t>
      </w:r>
      <w:r>
        <w:rPr>
          <w:color w:val="auto"/>
        </w:rPr>
        <w:fldChar w:fldCharType="end"/>
      </w:r>
      <w:r>
        <w:rPr>
          <w:color w:val="auto"/>
        </w:rPr>
        <w:fldChar w:fldCharType="end"/>
      </w:r>
    </w:p>
    <w:p w14:paraId="28836FB6">
      <w:pPr>
        <w:pStyle w:val="11"/>
        <w:tabs>
          <w:tab w:val="right" w:leader="dot" w:pos="9381"/>
        </w:tabs>
        <w:rPr>
          <w:color w:val="auto"/>
        </w:rPr>
      </w:pPr>
      <w:r>
        <w:rPr>
          <w:color w:val="auto"/>
        </w:rPr>
        <w:fldChar w:fldCharType="begin"/>
      </w:r>
      <w:r>
        <w:rPr>
          <w:color w:val="auto"/>
        </w:rPr>
        <w:instrText xml:space="preserve"> HYPERLINK \l _Toc31494 </w:instrText>
      </w:r>
      <w:r>
        <w:rPr>
          <w:color w:val="auto"/>
        </w:rPr>
        <w:fldChar w:fldCharType="separate"/>
      </w:r>
      <w:r>
        <w:rPr>
          <w:rFonts w:hint="eastAsia" w:ascii="黑体" w:hAnsi="黑体" w:eastAsia="黑体"/>
          <w:color w:val="auto"/>
          <w:szCs w:val="36"/>
          <w:lang w:val="zh-CN"/>
        </w:rPr>
        <w:t>第四章</w:t>
      </w:r>
      <w:r>
        <w:rPr>
          <w:rFonts w:ascii="黑体" w:hAnsi="黑体" w:eastAsia="黑体"/>
          <w:color w:val="auto"/>
          <w:szCs w:val="36"/>
          <w:lang w:val="zh-CN"/>
        </w:rPr>
        <w:t xml:space="preserve">  </w:t>
      </w:r>
      <w:r>
        <w:rPr>
          <w:rFonts w:hint="eastAsia" w:ascii="黑体" w:hAnsi="黑体" w:eastAsia="黑体"/>
          <w:color w:val="auto"/>
          <w:szCs w:val="36"/>
          <w:lang w:val="zh-CN"/>
        </w:rPr>
        <w:t>评审办法</w:t>
      </w:r>
      <w:r>
        <w:rPr>
          <w:color w:val="auto"/>
        </w:rPr>
        <w:tab/>
      </w:r>
      <w:r>
        <w:rPr>
          <w:color w:val="auto"/>
        </w:rPr>
        <w:fldChar w:fldCharType="begin"/>
      </w:r>
      <w:r>
        <w:rPr>
          <w:color w:val="auto"/>
        </w:rPr>
        <w:instrText xml:space="preserve"> PAGEREF _Toc31494 \h </w:instrText>
      </w:r>
      <w:r>
        <w:rPr>
          <w:color w:val="auto"/>
        </w:rPr>
        <w:fldChar w:fldCharType="separate"/>
      </w:r>
      <w:r>
        <w:rPr>
          <w:color w:val="auto"/>
        </w:rPr>
        <w:t>- 32 -</w:t>
      </w:r>
      <w:r>
        <w:rPr>
          <w:color w:val="auto"/>
        </w:rPr>
        <w:fldChar w:fldCharType="end"/>
      </w:r>
      <w:r>
        <w:rPr>
          <w:color w:val="auto"/>
        </w:rPr>
        <w:fldChar w:fldCharType="end"/>
      </w:r>
    </w:p>
    <w:p w14:paraId="3459D6DE">
      <w:pPr>
        <w:pStyle w:val="13"/>
        <w:tabs>
          <w:tab w:val="right" w:leader="dot" w:pos="9381"/>
        </w:tabs>
        <w:rPr>
          <w:color w:val="auto"/>
        </w:rPr>
      </w:pPr>
      <w:r>
        <w:rPr>
          <w:color w:val="auto"/>
        </w:rPr>
        <w:fldChar w:fldCharType="begin"/>
      </w:r>
      <w:r>
        <w:rPr>
          <w:color w:val="auto"/>
        </w:rPr>
        <w:instrText xml:space="preserve"> HYPERLINK \l _Toc19440 </w:instrText>
      </w:r>
      <w:r>
        <w:rPr>
          <w:color w:val="auto"/>
        </w:rPr>
        <w:fldChar w:fldCharType="separate"/>
      </w:r>
      <w:r>
        <w:rPr>
          <w:rFonts w:hint="eastAsia" w:ascii="黑体" w:hAnsi="黑体" w:eastAsia="黑体"/>
          <w:color w:val="auto"/>
          <w:szCs w:val="28"/>
        </w:rPr>
        <w:t>评审办法前附表</w:t>
      </w:r>
      <w:r>
        <w:rPr>
          <w:color w:val="auto"/>
        </w:rPr>
        <w:tab/>
      </w:r>
      <w:r>
        <w:rPr>
          <w:color w:val="auto"/>
        </w:rPr>
        <w:fldChar w:fldCharType="begin"/>
      </w:r>
      <w:r>
        <w:rPr>
          <w:color w:val="auto"/>
        </w:rPr>
        <w:instrText xml:space="preserve"> PAGEREF _Toc19440 \h </w:instrText>
      </w:r>
      <w:r>
        <w:rPr>
          <w:color w:val="auto"/>
        </w:rPr>
        <w:fldChar w:fldCharType="separate"/>
      </w:r>
      <w:r>
        <w:rPr>
          <w:color w:val="auto"/>
        </w:rPr>
        <w:t>- 32 -</w:t>
      </w:r>
      <w:r>
        <w:rPr>
          <w:color w:val="auto"/>
        </w:rPr>
        <w:fldChar w:fldCharType="end"/>
      </w:r>
      <w:r>
        <w:rPr>
          <w:color w:val="auto"/>
        </w:rPr>
        <w:fldChar w:fldCharType="end"/>
      </w:r>
    </w:p>
    <w:p w14:paraId="29385F72">
      <w:pPr>
        <w:pStyle w:val="13"/>
        <w:tabs>
          <w:tab w:val="right" w:leader="dot" w:pos="9381"/>
        </w:tabs>
        <w:rPr>
          <w:color w:val="auto"/>
        </w:rPr>
      </w:pPr>
      <w:r>
        <w:rPr>
          <w:color w:val="auto"/>
        </w:rPr>
        <w:fldChar w:fldCharType="begin"/>
      </w:r>
      <w:r>
        <w:rPr>
          <w:color w:val="auto"/>
        </w:rPr>
        <w:instrText xml:space="preserve"> HYPERLINK \l _Toc9055 </w:instrText>
      </w:r>
      <w:r>
        <w:rPr>
          <w:color w:val="auto"/>
        </w:rPr>
        <w:fldChar w:fldCharType="separate"/>
      </w:r>
      <w:r>
        <w:rPr>
          <w:rFonts w:ascii="黑体" w:hAnsi="黑体" w:eastAsia="黑体" w:cs="楷体_GB2312"/>
          <w:bCs/>
          <w:color w:val="auto"/>
          <w:szCs w:val="28"/>
          <w:lang w:val="zh-CN"/>
        </w:rPr>
        <w:t xml:space="preserve">1. </w:t>
      </w:r>
      <w:r>
        <w:rPr>
          <w:rFonts w:hint="eastAsia" w:ascii="黑体" w:hAnsi="黑体" w:eastAsia="黑体" w:cs="楷体_GB2312"/>
          <w:bCs/>
          <w:color w:val="auto"/>
          <w:szCs w:val="28"/>
          <w:lang w:val="zh-CN"/>
        </w:rPr>
        <w:t>评审方法（评定成交的标准）</w:t>
      </w:r>
      <w:r>
        <w:rPr>
          <w:color w:val="auto"/>
        </w:rPr>
        <w:tab/>
      </w:r>
      <w:r>
        <w:rPr>
          <w:color w:val="auto"/>
        </w:rPr>
        <w:fldChar w:fldCharType="begin"/>
      </w:r>
      <w:r>
        <w:rPr>
          <w:color w:val="auto"/>
        </w:rPr>
        <w:instrText xml:space="preserve"> PAGEREF _Toc9055 \h </w:instrText>
      </w:r>
      <w:r>
        <w:rPr>
          <w:color w:val="auto"/>
        </w:rPr>
        <w:fldChar w:fldCharType="separate"/>
      </w:r>
      <w:r>
        <w:rPr>
          <w:color w:val="auto"/>
        </w:rPr>
        <w:t>- 35 -</w:t>
      </w:r>
      <w:r>
        <w:rPr>
          <w:color w:val="auto"/>
        </w:rPr>
        <w:fldChar w:fldCharType="end"/>
      </w:r>
      <w:r>
        <w:rPr>
          <w:color w:val="auto"/>
        </w:rPr>
        <w:fldChar w:fldCharType="end"/>
      </w:r>
    </w:p>
    <w:p w14:paraId="3AD1EACF">
      <w:pPr>
        <w:pStyle w:val="13"/>
        <w:tabs>
          <w:tab w:val="right" w:leader="dot" w:pos="9381"/>
        </w:tabs>
        <w:rPr>
          <w:color w:val="auto"/>
        </w:rPr>
      </w:pPr>
      <w:r>
        <w:rPr>
          <w:color w:val="auto"/>
        </w:rPr>
        <w:fldChar w:fldCharType="begin"/>
      </w:r>
      <w:r>
        <w:rPr>
          <w:color w:val="auto"/>
        </w:rPr>
        <w:instrText xml:space="preserve"> HYPERLINK \l _Toc27645 </w:instrText>
      </w:r>
      <w:r>
        <w:rPr>
          <w:color w:val="auto"/>
        </w:rPr>
        <w:fldChar w:fldCharType="separate"/>
      </w:r>
      <w:r>
        <w:rPr>
          <w:rFonts w:ascii="黑体" w:hAnsi="黑体" w:eastAsia="黑体" w:cs="楷体_GB2312"/>
          <w:bCs/>
          <w:color w:val="auto"/>
          <w:szCs w:val="28"/>
          <w:lang w:val="zh-CN"/>
        </w:rPr>
        <w:t xml:space="preserve">2. </w:t>
      </w:r>
      <w:r>
        <w:rPr>
          <w:rFonts w:hint="eastAsia" w:ascii="黑体" w:hAnsi="黑体" w:eastAsia="黑体" w:cs="楷体_GB2312"/>
          <w:bCs/>
          <w:color w:val="auto"/>
          <w:szCs w:val="28"/>
          <w:lang w:val="zh-CN"/>
        </w:rPr>
        <w:t>评审标准</w:t>
      </w:r>
      <w:r>
        <w:rPr>
          <w:color w:val="auto"/>
        </w:rPr>
        <w:tab/>
      </w:r>
      <w:r>
        <w:rPr>
          <w:color w:val="auto"/>
        </w:rPr>
        <w:fldChar w:fldCharType="begin"/>
      </w:r>
      <w:r>
        <w:rPr>
          <w:color w:val="auto"/>
        </w:rPr>
        <w:instrText xml:space="preserve"> PAGEREF _Toc27645 \h </w:instrText>
      </w:r>
      <w:r>
        <w:rPr>
          <w:color w:val="auto"/>
        </w:rPr>
        <w:fldChar w:fldCharType="separate"/>
      </w:r>
      <w:r>
        <w:rPr>
          <w:color w:val="auto"/>
        </w:rPr>
        <w:t>- 35 -</w:t>
      </w:r>
      <w:r>
        <w:rPr>
          <w:color w:val="auto"/>
        </w:rPr>
        <w:fldChar w:fldCharType="end"/>
      </w:r>
      <w:r>
        <w:rPr>
          <w:color w:val="auto"/>
        </w:rPr>
        <w:fldChar w:fldCharType="end"/>
      </w:r>
    </w:p>
    <w:p w14:paraId="06DDF26C">
      <w:pPr>
        <w:pStyle w:val="13"/>
        <w:tabs>
          <w:tab w:val="right" w:leader="dot" w:pos="9381"/>
        </w:tabs>
        <w:rPr>
          <w:color w:val="auto"/>
        </w:rPr>
      </w:pPr>
      <w:r>
        <w:rPr>
          <w:color w:val="auto"/>
        </w:rPr>
        <w:fldChar w:fldCharType="begin"/>
      </w:r>
      <w:r>
        <w:rPr>
          <w:color w:val="auto"/>
        </w:rPr>
        <w:instrText xml:space="preserve"> HYPERLINK \l _Toc23827 </w:instrText>
      </w:r>
      <w:r>
        <w:rPr>
          <w:color w:val="auto"/>
        </w:rPr>
        <w:fldChar w:fldCharType="separate"/>
      </w:r>
      <w:r>
        <w:rPr>
          <w:rFonts w:ascii="黑体" w:hAnsi="黑体" w:eastAsia="黑体" w:cs="楷体_GB2312"/>
          <w:bCs/>
          <w:color w:val="auto"/>
          <w:szCs w:val="28"/>
          <w:lang w:val="zh-CN"/>
        </w:rPr>
        <w:t xml:space="preserve">3. </w:t>
      </w:r>
      <w:r>
        <w:rPr>
          <w:rFonts w:hint="eastAsia" w:ascii="黑体" w:hAnsi="黑体" w:eastAsia="黑体" w:cs="楷体_GB2312"/>
          <w:bCs/>
          <w:color w:val="auto"/>
          <w:szCs w:val="28"/>
          <w:lang w:val="zh-CN"/>
        </w:rPr>
        <w:t>评审程序</w:t>
      </w:r>
      <w:r>
        <w:rPr>
          <w:color w:val="auto"/>
        </w:rPr>
        <w:tab/>
      </w:r>
      <w:r>
        <w:rPr>
          <w:color w:val="auto"/>
        </w:rPr>
        <w:fldChar w:fldCharType="begin"/>
      </w:r>
      <w:r>
        <w:rPr>
          <w:color w:val="auto"/>
        </w:rPr>
        <w:instrText xml:space="preserve"> PAGEREF _Toc23827 \h </w:instrText>
      </w:r>
      <w:r>
        <w:rPr>
          <w:color w:val="auto"/>
        </w:rPr>
        <w:fldChar w:fldCharType="separate"/>
      </w:r>
      <w:r>
        <w:rPr>
          <w:color w:val="auto"/>
        </w:rPr>
        <w:t>- 35 -</w:t>
      </w:r>
      <w:r>
        <w:rPr>
          <w:color w:val="auto"/>
        </w:rPr>
        <w:fldChar w:fldCharType="end"/>
      </w:r>
      <w:r>
        <w:rPr>
          <w:color w:val="auto"/>
        </w:rPr>
        <w:fldChar w:fldCharType="end"/>
      </w:r>
    </w:p>
    <w:p w14:paraId="615D07B1">
      <w:pPr>
        <w:pStyle w:val="13"/>
        <w:tabs>
          <w:tab w:val="right" w:leader="dot" w:pos="9381"/>
        </w:tabs>
        <w:rPr>
          <w:color w:val="auto"/>
        </w:rPr>
      </w:pPr>
      <w:r>
        <w:rPr>
          <w:color w:val="auto"/>
        </w:rPr>
        <w:fldChar w:fldCharType="begin"/>
      </w:r>
      <w:r>
        <w:rPr>
          <w:color w:val="auto"/>
        </w:rPr>
        <w:instrText xml:space="preserve"> HYPERLINK \l _Toc16878 </w:instrText>
      </w:r>
      <w:r>
        <w:rPr>
          <w:color w:val="auto"/>
        </w:rPr>
        <w:fldChar w:fldCharType="separate"/>
      </w:r>
      <w:r>
        <w:rPr>
          <w:rFonts w:ascii="黑体" w:hAnsi="黑体" w:eastAsia="黑体" w:cs="楷体_GB2312"/>
          <w:bCs/>
          <w:color w:val="auto"/>
          <w:szCs w:val="28"/>
          <w:lang w:val="zh-CN"/>
        </w:rPr>
        <w:t xml:space="preserve">4. </w:t>
      </w:r>
      <w:r>
        <w:rPr>
          <w:rFonts w:hint="eastAsia" w:ascii="黑体" w:hAnsi="黑体" w:eastAsia="黑体" w:cs="楷体_GB2312"/>
          <w:bCs/>
          <w:color w:val="auto"/>
          <w:szCs w:val="28"/>
          <w:lang w:val="zh-CN"/>
        </w:rPr>
        <w:t>政府采购促进中小企业发展扶持政策</w:t>
      </w:r>
      <w:r>
        <w:rPr>
          <w:color w:val="auto"/>
        </w:rPr>
        <w:tab/>
      </w:r>
      <w:r>
        <w:rPr>
          <w:color w:val="auto"/>
        </w:rPr>
        <w:fldChar w:fldCharType="begin"/>
      </w:r>
      <w:r>
        <w:rPr>
          <w:color w:val="auto"/>
        </w:rPr>
        <w:instrText xml:space="preserve"> PAGEREF _Toc16878 \h </w:instrText>
      </w:r>
      <w:r>
        <w:rPr>
          <w:color w:val="auto"/>
        </w:rPr>
        <w:fldChar w:fldCharType="separate"/>
      </w:r>
      <w:r>
        <w:rPr>
          <w:color w:val="auto"/>
        </w:rPr>
        <w:t>- 40 -</w:t>
      </w:r>
      <w:r>
        <w:rPr>
          <w:color w:val="auto"/>
        </w:rPr>
        <w:fldChar w:fldCharType="end"/>
      </w:r>
      <w:r>
        <w:rPr>
          <w:color w:val="auto"/>
        </w:rPr>
        <w:fldChar w:fldCharType="end"/>
      </w:r>
    </w:p>
    <w:p w14:paraId="2D760359">
      <w:pPr>
        <w:pStyle w:val="13"/>
        <w:tabs>
          <w:tab w:val="right" w:leader="dot" w:pos="9381"/>
        </w:tabs>
        <w:rPr>
          <w:color w:val="auto"/>
        </w:rPr>
      </w:pPr>
      <w:r>
        <w:rPr>
          <w:color w:val="auto"/>
        </w:rPr>
        <w:fldChar w:fldCharType="begin"/>
      </w:r>
      <w:r>
        <w:rPr>
          <w:color w:val="auto"/>
        </w:rPr>
        <w:instrText xml:space="preserve"> HYPERLINK \l _Toc24633 </w:instrText>
      </w:r>
      <w:r>
        <w:rPr>
          <w:color w:val="auto"/>
        </w:rPr>
        <w:fldChar w:fldCharType="separate"/>
      </w:r>
      <w:r>
        <w:rPr>
          <w:rFonts w:hint="eastAsia" w:ascii="黑体" w:hAnsi="黑体" w:eastAsia="黑体" w:cs="楷体_GB2312"/>
          <w:bCs/>
          <w:color w:val="auto"/>
          <w:szCs w:val="28"/>
          <w:highlight w:val="none"/>
          <w:lang w:val="zh-CN"/>
        </w:rPr>
        <w:t>5. 对本国产品的支持政策</w:t>
      </w:r>
      <w:r>
        <w:rPr>
          <w:color w:val="auto"/>
        </w:rPr>
        <w:tab/>
      </w:r>
      <w:r>
        <w:rPr>
          <w:color w:val="auto"/>
        </w:rPr>
        <w:fldChar w:fldCharType="begin"/>
      </w:r>
      <w:r>
        <w:rPr>
          <w:color w:val="auto"/>
        </w:rPr>
        <w:instrText xml:space="preserve"> PAGEREF _Toc24633 \h </w:instrText>
      </w:r>
      <w:r>
        <w:rPr>
          <w:color w:val="auto"/>
        </w:rPr>
        <w:fldChar w:fldCharType="separate"/>
      </w:r>
      <w:r>
        <w:rPr>
          <w:color w:val="auto"/>
        </w:rPr>
        <w:t>- 41 -</w:t>
      </w:r>
      <w:r>
        <w:rPr>
          <w:color w:val="auto"/>
        </w:rPr>
        <w:fldChar w:fldCharType="end"/>
      </w:r>
      <w:r>
        <w:rPr>
          <w:color w:val="auto"/>
        </w:rPr>
        <w:fldChar w:fldCharType="end"/>
      </w:r>
    </w:p>
    <w:p w14:paraId="510F7A9B">
      <w:pPr>
        <w:pStyle w:val="13"/>
        <w:tabs>
          <w:tab w:val="right" w:leader="dot" w:pos="9381"/>
        </w:tabs>
        <w:rPr>
          <w:color w:val="auto"/>
        </w:rPr>
      </w:pPr>
      <w:r>
        <w:rPr>
          <w:color w:val="auto"/>
        </w:rPr>
        <w:fldChar w:fldCharType="begin"/>
      </w:r>
      <w:r>
        <w:rPr>
          <w:color w:val="auto"/>
        </w:rPr>
        <w:instrText xml:space="preserve"> HYPERLINK \l _Toc32560 </w:instrText>
      </w:r>
      <w:r>
        <w:rPr>
          <w:color w:val="auto"/>
        </w:rPr>
        <w:fldChar w:fldCharType="separate"/>
      </w:r>
      <w:r>
        <w:rPr>
          <w:rFonts w:hint="eastAsia" w:ascii="黑体" w:hAnsi="黑体" w:eastAsia="黑体" w:cs="楷体_GB2312"/>
          <w:bCs/>
          <w:color w:val="auto"/>
          <w:szCs w:val="28"/>
          <w:highlight w:val="none"/>
          <w:lang w:val="zh-CN"/>
        </w:rPr>
        <w:t>6</w:t>
      </w:r>
      <w:r>
        <w:rPr>
          <w:rFonts w:hint="eastAsia" w:ascii="黑体" w:hAnsi="黑体" w:eastAsia="黑体" w:cs="楷体_GB2312"/>
          <w:bCs/>
          <w:color w:val="auto"/>
          <w:szCs w:val="28"/>
          <w:highlight w:val="none"/>
          <w:lang w:val="en-US" w:eastAsia="zh-CN"/>
        </w:rPr>
        <w:t>.</w:t>
      </w:r>
      <w:r>
        <w:rPr>
          <w:rFonts w:hint="eastAsia" w:ascii="黑体" w:hAnsi="黑体" w:eastAsia="黑体" w:cs="楷体_GB2312"/>
          <w:bCs/>
          <w:color w:val="auto"/>
          <w:szCs w:val="28"/>
          <w:highlight w:val="none"/>
          <w:lang w:val="zh-CN"/>
        </w:rPr>
        <w:t>异常低价审查</w:t>
      </w:r>
      <w:r>
        <w:rPr>
          <w:color w:val="auto"/>
        </w:rPr>
        <w:tab/>
      </w:r>
      <w:r>
        <w:rPr>
          <w:color w:val="auto"/>
        </w:rPr>
        <w:fldChar w:fldCharType="begin"/>
      </w:r>
      <w:r>
        <w:rPr>
          <w:color w:val="auto"/>
        </w:rPr>
        <w:instrText xml:space="preserve"> PAGEREF _Toc32560 \h </w:instrText>
      </w:r>
      <w:r>
        <w:rPr>
          <w:color w:val="auto"/>
        </w:rPr>
        <w:fldChar w:fldCharType="separate"/>
      </w:r>
      <w:r>
        <w:rPr>
          <w:color w:val="auto"/>
        </w:rPr>
        <w:t>- 41 -</w:t>
      </w:r>
      <w:r>
        <w:rPr>
          <w:color w:val="auto"/>
        </w:rPr>
        <w:fldChar w:fldCharType="end"/>
      </w:r>
      <w:r>
        <w:rPr>
          <w:color w:val="auto"/>
        </w:rPr>
        <w:fldChar w:fldCharType="end"/>
      </w:r>
    </w:p>
    <w:p w14:paraId="5A718E6F">
      <w:pPr>
        <w:pStyle w:val="11"/>
        <w:tabs>
          <w:tab w:val="right" w:leader="dot" w:pos="9381"/>
        </w:tabs>
        <w:rPr>
          <w:color w:val="auto"/>
        </w:rPr>
      </w:pPr>
      <w:r>
        <w:rPr>
          <w:color w:val="auto"/>
        </w:rPr>
        <w:fldChar w:fldCharType="begin"/>
      </w:r>
      <w:r>
        <w:rPr>
          <w:color w:val="auto"/>
        </w:rPr>
        <w:instrText xml:space="preserve"> HYPERLINK \l _Toc21363 </w:instrText>
      </w:r>
      <w:r>
        <w:rPr>
          <w:color w:val="auto"/>
        </w:rPr>
        <w:fldChar w:fldCharType="separate"/>
      </w:r>
      <w:r>
        <w:rPr>
          <w:rFonts w:hint="eastAsia" w:ascii="黑体" w:eastAsia="黑体"/>
          <w:color w:val="auto"/>
          <w:szCs w:val="36"/>
        </w:rPr>
        <w:t>第五章</w:t>
      </w:r>
      <w:r>
        <w:rPr>
          <w:rFonts w:ascii="黑体" w:eastAsia="黑体"/>
          <w:color w:val="auto"/>
          <w:szCs w:val="36"/>
        </w:rPr>
        <w:t xml:space="preserve">  </w:t>
      </w:r>
      <w:r>
        <w:rPr>
          <w:rFonts w:hint="eastAsia" w:ascii="黑体" w:eastAsia="黑体"/>
          <w:color w:val="auto"/>
          <w:szCs w:val="36"/>
        </w:rPr>
        <w:t>合同主要条款</w:t>
      </w:r>
      <w:r>
        <w:rPr>
          <w:color w:val="auto"/>
        </w:rPr>
        <w:tab/>
      </w:r>
      <w:r>
        <w:rPr>
          <w:color w:val="auto"/>
        </w:rPr>
        <w:fldChar w:fldCharType="begin"/>
      </w:r>
      <w:r>
        <w:rPr>
          <w:color w:val="auto"/>
        </w:rPr>
        <w:instrText xml:space="preserve"> PAGEREF _Toc21363 \h </w:instrText>
      </w:r>
      <w:r>
        <w:rPr>
          <w:color w:val="auto"/>
        </w:rPr>
        <w:fldChar w:fldCharType="separate"/>
      </w:r>
      <w:r>
        <w:rPr>
          <w:color w:val="auto"/>
        </w:rPr>
        <w:t>- 43 -</w:t>
      </w:r>
      <w:r>
        <w:rPr>
          <w:color w:val="auto"/>
        </w:rPr>
        <w:fldChar w:fldCharType="end"/>
      </w:r>
      <w:r>
        <w:rPr>
          <w:color w:val="auto"/>
        </w:rPr>
        <w:fldChar w:fldCharType="end"/>
      </w:r>
    </w:p>
    <w:p w14:paraId="2AF77B47">
      <w:pPr>
        <w:pStyle w:val="11"/>
        <w:tabs>
          <w:tab w:val="right" w:leader="dot" w:pos="9381"/>
        </w:tabs>
        <w:rPr>
          <w:color w:val="auto"/>
        </w:rPr>
      </w:pPr>
      <w:r>
        <w:rPr>
          <w:color w:val="auto"/>
        </w:rPr>
        <w:fldChar w:fldCharType="begin"/>
      </w:r>
      <w:r>
        <w:rPr>
          <w:color w:val="auto"/>
        </w:rPr>
        <w:instrText xml:space="preserve"> HYPERLINK \l _Toc10019 </w:instrText>
      </w:r>
      <w:r>
        <w:rPr>
          <w:color w:val="auto"/>
        </w:rPr>
        <w:fldChar w:fldCharType="separate"/>
      </w:r>
      <w:r>
        <w:rPr>
          <w:rFonts w:hint="eastAsia" w:ascii="黑体" w:hAnsi="黑体" w:eastAsia="黑体"/>
          <w:color w:val="auto"/>
          <w:szCs w:val="36"/>
          <w:lang w:val="zh-CN"/>
        </w:rPr>
        <w:t>第六章</w:t>
      </w:r>
      <w:r>
        <w:rPr>
          <w:rFonts w:ascii="黑体" w:hAnsi="黑体" w:eastAsia="黑体"/>
          <w:color w:val="auto"/>
          <w:szCs w:val="36"/>
          <w:lang w:val="zh-CN"/>
        </w:rPr>
        <w:t xml:space="preserve">  </w:t>
      </w:r>
      <w:r>
        <w:rPr>
          <w:rFonts w:hint="eastAsia" w:ascii="黑体" w:hAnsi="黑体" w:eastAsia="黑体"/>
          <w:color w:val="auto"/>
          <w:szCs w:val="36"/>
          <w:lang w:val="zh-CN"/>
        </w:rPr>
        <w:t>《响应文件》格式</w:t>
      </w:r>
      <w:r>
        <w:rPr>
          <w:color w:val="auto"/>
        </w:rPr>
        <w:tab/>
      </w:r>
      <w:r>
        <w:rPr>
          <w:color w:val="auto"/>
        </w:rPr>
        <w:fldChar w:fldCharType="begin"/>
      </w:r>
      <w:r>
        <w:rPr>
          <w:color w:val="auto"/>
        </w:rPr>
        <w:instrText xml:space="preserve"> PAGEREF _Toc10019 \h </w:instrText>
      </w:r>
      <w:r>
        <w:rPr>
          <w:color w:val="auto"/>
        </w:rPr>
        <w:fldChar w:fldCharType="separate"/>
      </w:r>
      <w:r>
        <w:rPr>
          <w:color w:val="auto"/>
        </w:rPr>
        <w:t>- 47 -</w:t>
      </w:r>
      <w:r>
        <w:rPr>
          <w:color w:val="auto"/>
        </w:rPr>
        <w:fldChar w:fldCharType="end"/>
      </w:r>
      <w:r>
        <w:rPr>
          <w:color w:val="auto"/>
        </w:rPr>
        <w:fldChar w:fldCharType="end"/>
      </w:r>
    </w:p>
    <w:p w14:paraId="73E60F0A">
      <w:pPr>
        <w:jc w:val="center"/>
      </w:pPr>
      <w:r>
        <w:rPr>
          <w:color w:val="auto"/>
        </w:rPr>
        <w:fldChar w:fldCharType="end"/>
      </w:r>
    </w:p>
    <w:p w14:paraId="572111F8">
      <w:pPr>
        <w:widowControl w:val="0"/>
        <w:snapToGrid w:val="0"/>
        <w:spacing w:line="660" w:lineRule="exact"/>
        <w:ind w:firstLine="607" w:firstLineChars="168"/>
        <w:rPr>
          <w:rFonts w:ascii="黑体" w:hAnsi="黑体" w:eastAsia="黑体"/>
          <w:b/>
          <w:color w:val="auto"/>
          <w:sz w:val="36"/>
          <w:szCs w:val="36"/>
        </w:rPr>
      </w:pPr>
    </w:p>
    <w:p w14:paraId="20C57FE3">
      <w:pPr>
        <w:widowControl w:val="0"/>
        <w:snapToGrid w:val="0"/>
        <w:spacing w:line="560" w:lineRule="exact"/>
        <w:ind w:firstLine="181" w:firstLineChars="50"/>
        <w:rPr>
          <w:rFonts w:ascii="黑体" w:eastAsia="黑体"/>
          <w:b/>
          <w:color w:val="FF0000"/>
          <w:sz w:val="36"/>
          <w:szCs w:val="36"/>
        </w:rPr>
        <w:sectPr>
          <w:pgSz w:w="11905" w:h="16837"/>
          <w:pgMar w:top="1418" w:right="1106" w:bottom="1418" w:left="1418" w:header="567" w:footer="567" w:gutter="0"/>
          <w:pgNumType w:fmt="numberInDash" w:start="0"/>
          <w:cols w:space="720" w:num="1"/>
          <w:titlePg/>
        </w:sectPr>
      </w:pPr>
    </w:p>
    <w:p w14:paraId="615A6CEB">
      <w:pPr>
        <w:widowControl w:val="0"/>
        <w:snapToGrid w:val="0"/>
        <w:spacing w:line="560" w:lineRule="exact"/>
        <w:jc w:val="left"/>
        <w:rPr>
          <w:rFonts w:ascii="宋体"/>
          <w:b/>
          <w:color w:val="00B050"/>
          <w:sz w:val="24"/>
          <w:szCs w:val="24"/>
        </w:rPr>
      </w:pPr>
    </w:p>
    <w:p w14:paraId="2D15D43F">
      <w:pPr>
        <w:widowControl w:val="0"/>
        <w:snapToGrid w:val="0"/>
        <w:spacing w:line="560" w:lineRule="exact"/>
        <w:jc w:val="center"/>
        <w:outlineLvl w:val="0"/>
        <w:rPr>
          <w:sz w:val="36"/>
          <w:szCs w:val="36"/>
        </w:rPr>
      </w:pPr>
      <w:bookmarkStart w:id="0" w:name="_Toc12274"/>
      <w:r>
        <w:rPr>
          <w:rFonts w:hint="eastAsia" w:eastAsia="黑体"/>
          <w:b/>
          <w:sz w:val="36"/>
          <w:szCs w:val="36"/>
        </w:rPr>
        <w:t>第一章</w:t>
      </w:r>
      <w:r>
        <w:rPr>
          <w:rFonts w:eastAsia="黑体"/>
          <w:b/>
          <w:sz w:val="36"/>
          <w:szCs w:val="36"/>
        </w:rPr>
        <w:t xml:space="preserve">  </w:t>
      </w:r>
      <w:r>
        <w:rPr>
          <w:rFonts w:hint="eastAsia" w:eastAsia="黑体"/>
          <w:b/>
          <w:sz w:val="36"/>
          <w:szCs w:val="36"/>
        </w:rPr>
        <w:t>竞争性磋商公告</w:t>
      </w:r>
      <w:bookmarkEnd w:id="0"/>
    </w:p>
    <w:p w14:paraId="5FE0A838">
      <w:pPr>
        <w:widowControl w:val="0"/>
        <w:snapToGrid w:val="0"/>
        <w:spacing w:line="360" w:lineRule="auto"/>
        <w:ind w:firstLine="566"/>
        <w:rPr>
          <w:sz w:val="28"/>
          <w:szCs w:val="28"/>
        </w:rPr>
      </w:pPr>
    </w:p>
    <w:p w14:paraId="2667C44B">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14:paraId="67026963">
      <w:pPr>
        <w:widowControl w:val="0"/>
        <w:adjustRightInd w:val="0"/>
        <w:snapToGrid w:val="0"/>
        <w:spacing w:line="360" w:lineRule="auto"/>
        <w:ind w:firstLine="540" w:firstLineChars="225"/>
        <w:jc w:val="left"/>
        <w:rPr>
          <w:rFonts w:ascii="宋体" w:hAnsi="宋体"/>
          <w:color w:val="FF0000"/>
          <w:sz w:val="24"/>
          <w:szCs w:val="24"/>
        </w:rPr>
      </w:pPr>
      <w:r>
        <w:rPr>
          <w:rFonts w:ascii="宋体" w:hAnsi="宋体"/>
          <w:color w:val="auto"/>
          <w:sz w:val="24"/>
          <w:szCs w:val="24"/>
        </w:rPr>
        <w:t>1.1</w:t>
      </w:r>
      <w:r>
        <w:rPr>
          <w:rFonts w:hint="eastAsia" w:ascii="宋体" w:hAnsi="宋体"/>
          <w:color w:val="auto"/>
          <w:sz w:val="24"/>
          <w:szCs w:val="24"/>
        </w:rPr>
        <w:t>项目编号：</w:t>
      </w:r>
      <w:r>
        <w:rPr>
          <w:rFonts w:hint="eastAsia" w:ascii="宋体" w:hAnsi="宋体" w:eastAsia="宋体" w:cs="Times New Roman"/>
          <w:color w:val="auto"/>
          <w:sz w:val="24"/>
          <w:szCs w:val="24"/>
          <w:u w:color="000000"/>
          <w:lang w:val="en-US" w:eastAsia="zh-CN" w:bidi="ar-SA"/>
        </w:rPr>
        <w:t>安财磋商采购-2026-</w:t>
      </w:r>
      <w:r>
        <w:rPr>
          <w:rFonts w:hint="eastAsia" w:ascii="宋体" w:hAnsi="宋体" w:cs="Times New Roman"/>
          <w:color w:val="auto"/>
          <w:sz w:val="24"/>
          <w:szCs w:val="24"/>
          <w:u w:color="000000"/>
          <w:lang w:val="en-US" w:eastAsia="zh-CN" w:bidi="ar-SA"/>
        </w:rPr>
        <w:t xml:space="preserve">44 </w:t>
      </w:r>
    </w:p>
    <w:p w14:paraId="0FC88CB6">
      <w:pPr>
        <w:widowControl w:val="0"/>
        <w:adjustRightInd w:val="0"/>
        <w:snapToGrid w:val="0"/>
        <w:spacing w:line="360" w:lineRule="auto"/>
        <w:ind w:firstLine="540" w:firstLineChars="225"/>
        <w:jc w:val="left"/>
        <w:rPr>
          <w:rFonts w:hint="eastAsia" w:ascii="宋体" w:hAnsi="宋体"/>
          <w:color w:val="auto"/>
          <w:sz w:val="24"/>
          <w:szCs w:val="24"/>
          <w:lang w:eastAsia="zh-CN"/>
        </w:rPr>
      </w:pPr>
      <w:r>
        <w:rPr>
          <w:rFonts w:ascii="宋体" w:hAnsi="宋体"/>
          <w:color w:val="auto"/>
          <w:sz w:val="24"/>
          <w:szCs w:val="24"/>
        </w:rPr>
        <w:t>1.2</w:t>
      </w:r>
      <w:r>
        <w:rPr>
          <w:rFonts w:hint="eastAsia" w:ascii="宋体" w:hAnsi="宋体"/>
          <w:color w:val="auto"/>
          <w:sz w:val="24"/>
          <w:szCs w:val="24"/>
        </w:rPr>
        <w:t>项目名称：</w:t>
      </w:r>
      <w:r>
        <w:rPr>
          <w:rFonts w:hint="eastAsia" w:ascii="宋体" w:hAnsi="宋体"/>
          <w:color w:val="auto"/>
          <w:sz w:val="24"/>
          <w:szCs w:val="24"/>
          <w:lang w:eastAsia="zh-CN"/>
        </w:rPr>
        <w:t>河南省第十五届运动会青少年竞技组（公路自行车、场地自行车）比赛组织服务</w:t>
      </w:r>
    </w:p>
    <w:p w14:paraId="37E3F2BA">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1.3采购方式：竞争性磋商</w:t>
      </w:r>
    </w:p>
    <w:p w14:paraId="0D26719D">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rPr>
        <w:t>1.</w:t>
      </w:r>
      <w:r>
        <w:rPr>
          <w:rFonts w:hint="eastAsia" w:ascii="宋体" w:hAnsi="宋体"/>
          <w:color w:val="auto"/>
          <w:sz w:val="24"/>
          <w:szCs w:val="24"/>
        </w:rPr>
        <w:t>4预算金额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1579200</w:t>
      </w:r>
      <w:r>
        <w:rPr>
          <w:rFonts w:hint="eastAsia" w:ascii="宋体" w:hAnsi="宋体"/>
          <w:color w:val="auto"/>
          <w:sz w:val="24"/>
          <w:szCs w:val="24"/>
          <w:highlight w:val="none"/>
        </w:rPr>
        <w:t>元</w:t>
      </w:r>
      <w:r>
        <w:rPr>
          <w:rFonts w:ascii="宋体" w:hAnsi="宋体"/>
          <w:color w:val="auto"/>
          <w:sz w:val="24"/>
          <w:szCs w:val="24"/>
          <w:highlight w:val="none"/>
        </w:rPr>
        <w:t xml:space="preserve"> </w:t>
      </w:r>
    </w:p>
    <w:p w14:paraId="5312ED7A">
      <w:pPr>
        <w:adjustRightInd w:val="0"/>
        <w:snapToGrid w:val="0"/>
        <w:spacing w:line="360" w:lineRule="auto"/>
        <w:ind w:firstLine="540" w:firstLineChars="225"/>
        <w:rPr>
          <w:rFonts w:hint="eastAsia" w:ascii="宋体" w:eastAsia="宋体"/>
          <w:b/>
          <w:color w:val="auto"/>
          <w:szCs w:val="21"/>
          <w:highlight w:val="none"/>
          <w:lang w:eastAsia="zh-CN"/>
        </w:rPr>
      </w:pPr>
      <w:r>
        <w:rPr>
          <w:rFonts w:hint="eastAsia" w:ascii="宋体" w:hAnsi="宋体"/>
          <w:color w:val="auto"/>
          <w:sz w:val="24"/>
          <w:szCs w:val="24"/>
        </w:rPr>
        <w:t>1.5采购需求：</w:t>
      </w:r>
      <w:bookmarkStart w:id="1" w:name="OLE_LINK3"/>
      <w:r>
        <w:rPr>
          <w:rFonts w:hint="eastAsia" w:ascii="宋体" w:hAnsi="宋体"/>
          <w:color w:val="auto"/>
          <w:sz w:val="24"/>
          <w:szCs w:val="24"/>
          <w:lang w:eastAsia="zh-CN"/>
        </w:rPr>
        <w:t>自行车比赛组织服务</w:t>
      </w:r>
      <w:r>
        <w:rPr>
          <w:rFonts w:hint="eastAsia" w:ascii="宋体" w:hAnsi="宋体"/>
          <w:color w:val="auto"/>
          <w:sz w:val="24"/>
          <w:szCs w:val="24"/>
          <w:highlight w:val="none"/>
        </w:rPr>
        <w:t>，技术服务参数详见《磋商文件》“基本技术服务要求”</w:t>
      </w:r>
      <w:r>
        <w:rPr>
          <w:rFonts w:hint="eastAsia"/>
          <w:color w:val="auto"/>
          <w:sz w:val="24"/>
          <w:szCs w:val="24"/>
          <w:highlight w:val="none"/>
          <w:lang w:eastAsia="zh-CN"/>
        </w:rPr>
        <w:t>。</w:t>
      </w:r>
      <w:bookmarkEnd w:id="1"/>
    </w:p>
    <w:p w14:paraId="1CF3A43E">
      <w:pPr>
        <w:adjustRightInd w:val="0"/>
        <w:snapToGrid w:val="0"/>
        <w:spacing w:line="360" w:lineRule="auto"/>
        <w:ind w:firstLine="540" w:firstLineChars="225"/>
        <w:rPr>
          <w:rFonts w:hint="eastAsia" w:eastAsia="宋体"/>
          <w:color w:val="auto"/>
          <w:sz w:val="24"/>
          <w:szCs w:val="24"/>
          <w:lang w:eastAsia="zh-CN"/>
        </w:rPr>
      </w:pPr>
      <w:r>
        <w:rPr>
          <w:rFonts w:hint="eastAsia" w:ascii="宋体" w:hAnsi="宋体"/>
          <w:color w:val="auto"/>
          <w:sz w:val="24"/>
          <w:szCs w:val="24"/>
        </w:rPr>
        <w:t>1.6合同履行期限：签订合同后至赛事结束</w:t>
      </w:r>
      <w:r>
        <w:rPr>
          <w:rFonts w:hint="eastAsia" w:ascii="宋体" w:hAnsi="宋体"/>
          <w:color w:val="auto"/>
          <w:sz w:val="24"/>
          <w:szCs w:val="24"/>
          <w:lang w:eastAsia="zh-CN"/>
        </w:rPr>
        <w:t>。</w:t>
      </w:r>
    </w:p>
    <w:p w14:paraId="46D21C1B">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1.7本项目（是/否）接受联合体投标：否</w:t>
      </w:r>
    </w:p>
    <w:p w14:paraId="1E2CFC88">
      <w:pPr>
        <w:widowControl w:val="0"/>
        <w:adjustRightInd w:val="0"/>
        <w:snapToGrid w:val="0"/>
        <w:spacing w:line="360" w:lineRule="auto"/>
        <w:ind w:firstLine="540" w:firstLineChars="225"/>
        <w:jc w:val="left"/>
        <w:rPr>
          <w:rFonts w:ascii="宋体"/>
          <w:color w:val="auto"/>
          <w:sz w:val="24"/>
          <w:szCs w:val="24"/>
        </w:rPr>
      </w:pPr>
      <w:r>
        <w:rPr>
          <w:rFonts w:hint="eastAsia" w:ascii="宋体" w:hAnsi="宋体"/>
          <w:color w:val="auto"/>
          <w:sz w:val="24"/>
          <w:szCs w:val="24"/>
        </w:rPr>
        <w:t>1.8是否接受进口产品：否</w:t>
      </w:r>
    </w:p>
    <w:p w14:paraId="026DE74B">
      <w:pPr>
        <w:widowControl w:val="0"/>
        <w:snapToGrid w:val="0"/>
        <w:spacing w:line="360" w:lineRule="auto"/>
        <w:ind w:firstLine="566"/>
        <w:rPr>
          <w:color w:val="auto"/>
          <w:sz w:val="28"/>
          <w:szCs w:val="28"/>
        </w:rPr>
      </w:pPr>
    </w:p>
    <w:p w14:paraId="52AC4E91">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2.申请人的资格要求：</w:t>
      </w:r>
    </w:p>
    <w:p w14:paraId="093495A5">
      <w:pPr>
        <w:widowControl w:val="0"/>
        <w:adjustRightInd w:val="0"/>
        <w:snapToGrid w:val="0"/>
        <w:spacing w:line="360" w:lineRule="auto"/>
        <w:ind w:firstLine="540" w:firstLineChars="225"/>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2.1满足《中华人民共和国政府采购法》第二十二条规定；</w:t>
      </w:r>
    </w:p>
    <w:p w14:paraId="199DD04E">
      <w:pPr>
        <w:widowControl w:val="0"/>
        <w:adjustRightInd w:val="0"/>
        <w:snapToGrid w:val="0"/>
        <w:spacing w:line="360" w:lineRule="auto"/>
        <w:ind w:firstLine="540" w:firstLineChars="225"/>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2.2落实政府采购政策需满足的资格要求：本</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专门面向中小企业采购，■提供《中小企业声明函》。</w:t>
      </w:r>
    </w:p>
    <w:p w14:paraId="06C4B240">
      <w:pPr>
        <w:widowControl w:val="0"/>
        <w:adjustRightInd w:val="0"/>
        <w:snapToGrid w:val="0"/>
        <w:spacing w:line="360" w:lineRule="auto"/>
        <w:ind w:firstLine="540" w:firstLineChars="225"/>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2.3本项目的特定资格要求：</w:t>
      </w:r>
    </w:p>
    <w:p w14:paraId="65A6FA9B">
      <w:pPr>
        <w:widowControl w:val="0"/>
        <w:adjustRightInd w:val="0"/>
        <w:snapToGrid w:val="0"/>
        <w:spacing w:line="360" w:lineRule="auto"/>
        <w:ind w:firstLine="540" w:firstLineChars="225"/>
        <w:jc w:val="left"/>
        <w:rPr>
          <w:rFonts w:ascii="宋体"/>
          <w:color w:val="auto"/>
          <w:sz w:val="24"/>
          <w:szCs w:val="24"/>
          <w:highlight w:val="none"/>
        </w:rPr>
      </w:pPr>
      <w:bookmarkStart w:id="2" w:name="OLE_LINK4"/>
      <w:r>
        <w:rPr>
          <w:rFonts w:hint="eastAsia" w:ascii="宋体" w:hAnsi="宋体" w:eastAsia="宋体" w:cs="Times New Roman"/>
          <w:color w:val="auto"/>
          <w:sz w:val="24"/>
          <w:szCs w:val="24"/>
          <w:highlight w:val="none"/>
        </w:rPr>
        <w:t>2.3.1满足《中华人民共和国政府采购法》第二十二条第一款规定的供应商基础性资格要求；供应商自行承诺并承担后果，承诺书不实的，按《政府采购法》有关提供虚假材料的有关规定给予处罚。</w:t>
      </w:r>
    </w:p>
    <w:p w14:paraId="432B35C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438FBB3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679BB76B">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61A266E0">
      <w:pPr>
        <w:widowControl w:val="0"/>
        <w:snapToGrid w:val="0"/>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color w:val="auto"/>
          <w:sz w:val="24"/>
          <w:szCs w:val="24"/>
          <w:highlight w:val="none"/>
          <w:lang w:eastAsia="zh-CN"/>
        </w:rPr>
        <w:t>。</w:t>
      </w:r>
    </w:p>
    <w:p w14:paraId="17443EC0">
      <w:pPr>
        <w:widowControl w:val="0"/>
        <w:snapToGrid w:val="0"/>
        <w:spacing w:line="360" w:lineRule="auto"/>
        <w:ind w:firstLine="540" w:firstLineChars="225"/>
        <w:rPr>
          <w:color w:val="FF00FF"/>
          <w:szCs w:val="21"/>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5146BAE">
      <w:pPr>
        <w:widowControl w:val="0"/>
        <w:snapToGrid w:val="0"/>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2.3.3项目的特定资格要求：</w:t>
      </w:r>
    </w:p>
    <w:p w14:paraId="58CEFE6F">
      <w:pPr>
        <w:widowControl w:val="0"/>
        <w:snapToGrid w:val="0"/>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（1）具备法律、行政法规规定的其他条件。</w:t>
      </w:r>
    </w:p>
    <w:p w14:paraId="3536E3D0">
      <w:pPr>
        <w:widowControl w:val="0"/>
        <w:snapToGrid w:val="0"/>
        <w:spacing w:line="360" w:lineRule="auto"/>
        <w:ind w:firstLine="540" w:firstLineChars="2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（2）本项目（是/否）接受联合体投标：同“项目基本情况”1.7款要求</w:t>
      </w:r>
      <w:r>
        <w:rPr>
          <w:rFonts w:hint="eastAsia" w:ascii="宋体" w:hAnsi="宋体" w:eastAsia="宋体" w:cs="Times New Roman"/>
          <w:color w:val="auto"/>
          <w:sz w:val="24"/>
          <w:szCs w:val="24"/>
          <w:highlight w:val="none"/>
          <w:lang w:eastAsia="zh-CN"/>
        </w:rPr>
        <w:t>。</w:t>
      </w:r>
    </w:p>
    <w:p w14:paraId="31F0516D">
      <w:pPr>
        <w:widowControl w:val="0"/>
        <w:adjustRightInd w:val="0"/>
        <w:spacing w:before="120" w:beforeLines="50" w:line="300" w:lineRule="auto"/>
        <w:ind w:firstLine="540" w:firstLineChars="225"/>
        <w:rPr>
          <w:color w:val="auto"/>
          <w:sz w:val="24"/>
          <w:szCs w:val="24"/>
        </w:rPr>
      </w:pPr>
      <w:r>
        <w:rPr>
          <w:rFonts w:hint="eastAsia"/>
          <w:color w:val="auto"/>
          <w:sz w:val="24"/>
          <w:szCs w:val="24"/>
        </w:rPr>
        <w:t>注：（1）所有证照均应为有效的证照；文中“近”、“前”指距投标截止时间。</w:t>
      </w:r>
    </w:p>
    <w:p w14:paraId="1900F8BC">
      <w:pPr>
        <w:widowControl w:val="0"/>
        <w:adjustRightInd w:val="0"/>
        <w:spacing w:before="120" w:beforeLines="50" w:line="300" w:lineRule="auto"/>
        <w:ind w:firstLine="540" w:firstLineChars="225"/>
        <w:rPr>
          <w:color w:val="auto"/>
          <w:sz w:val="24"/>
          <w:szCs w:val="24"/>
        </w:rPr>
      </w:pPr>
      <w:r>
        <w:rPr>
          <w:rFonts w:hint="eastAsia"/>
          <w:color w:val="auto"/>
          <w:sz w:val="24"/>
          <w:szCs w:val="24"/>
        </w:rPr>
        <w:t>（2）资格证明材料（文件）应附于《响应文件》中并经供应商</w:t>
      </w:r>
      <w:r>
        <w:rPr>
          <w:rFonts w:hint="eastAsia" w:ascii="宋体" w:hAnsi="宋体" w:cs="楷体_GB2312"/>
          <w:color w:val="auto"/>
          <w:sz w:val="24"/>
        </w:rPr>
        <w:t>电子签章</w:t>
      </w:r>
      <w:r>
        <w:rPr>
          <w:rFonts w:hint="eastAsia"/>
          <w:color w:val="auto"/>
          <w:sz w:val="24"/>
          <w:szCs w:val="24"/>
        </w:rPr>
        <w:t>。供应商对资格证明文件真实性有效合规承担责任，提供虚假材料的为无效投标并将进一步追究其责任。</w:t>
      </w:r>
    </w:p>
    <w:p w14:paraId="4D790681">
      <w:pPr>
        <w:pStyle w:val="15"/>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（3）本项目采取资格后审，开标后，将由磋商小组对供应商的资格证明材料（文件）进行资格审核，未按要求逐一提供、或资格审查不合格的为无效投标，供应商应自负其风险费用。</w:t>
      </w:r>
      <w:bookmarkEnd w:id="2"/>
    </w:p>
    <w:p w14:paraId="7A681D01">
      <w:pPr>
        <w:widowControl w:val="0"/>
        <w:adjustRightInd w:val="0"/>
        <w:snapToGrid w:val="0"/>
        <w:spacing w:line="360" w:lineRule="auto"/>
        <w:ind w:firstLine="540" w:firstLineChars="225"/>
        <w:jc w:val="left"/>
        <w:rPr>
          <w:rFonts w:ascii="宋体"/>
          <w:color w:val="FF0000"/>
          <w:sz w:val="24"/>
          <w:szCs w:val="24"/>
        </w:rPr>
      </w:pPr>
    </w:p>
    <w:p w14:paraId="7C36F389">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．获取磋商文件</w:t>
      </w:r>
    </w:p>
    <w:p w14:paraId="7BA631CF">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24</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30</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14:paraId="12C9361F">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登录安阳市公共资源交易中心网站（</w:t>
      </w:r>
      <w:r>
        <w:rPr>
          <w:b/>
          <w:bCs/>
          <w:color w:val="auto"/>
          <w:sz w:val="24"/>
          <w:szCs w:val="24"/>
        </w:rPr>
        <w:t>https://ggzy.anyang.gov.cn</w:t>
      </w:r>
      <w:r>
        <w:rPr>
          <w:rFonts w:hint="eastAsia"/>
          <w:b/>
          <w:bCs/>
          <w:color w:val="auto"/>
          <w:sz w:val="24"/>
          <w:szCs w:val="24"/>
        </w:rPr>
        <w:t>），在【交易主体登录】入口完成注册。凭数字证书下载磋商文件及其它资料。</w:t>
      </w:r>
    </w:p>
    <w:p w14:paraId="3C98050D">
      <w:pPr>
        <w:spacing w:line="360" w:lineRule="auto"/>
        <w:ind w:firstLine="540"/>
        <w:rPr>
          <w:b/>
          <w:bCs/>
          <w:color w:val="auto"/>
          <w:sz w:val="24"/>
          <w:szCs w:val="24"/>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14:paraId="7AA31738">
      <w:pPr>
        <w:spacing w:line="360" w:lineRule="auto"/>
        <w:ind w:firstLine="540"/>
        <w:rPr>
          <w:b/>
          <w:bCs/>
          <w:color w:val="auto"/>
          <w:sz w:val="24"/>
          <w:szCs w:val="24"/>
        </w:rPr>
      </w:pPr>
      <w:bookmarkStart w:id="3" w:name="OLE_LINK5"/>
      <w:r>
        <w:rPr>
          <w:rFonts w:hint="eastAsia"/>
          <w:b/>
          <w:bCs/>
          <w:color w:val="auto"/>
          <w:sz w:val="24"/>
          <w:szCs w:val="24"/>
        </w:rPr>
        <w:t>具体流程请查询安阳市公共资源交易中心网站-服务指南-操作手册-《安阳市公共资源交易系统投标人（供应商）操作手册》。</w:t>
      </w:r>
      <w:r>
        <w:rPr>
          <w:b/>
          <w:bCs/>
          <w:color w:val="auto"/>
          <w:sz w:val="24"/>
          <w:szCs w:val="24"/>
        </w:rPr>
        <w:t>如有技术问题请咨询</w:t>
      </w:r>
      <w:r>
        <w:rPr>
          <w:rFonts w:hint="eastAsia"/>
          <w:b/>
          <w:bCs/>
          <w:color w:val="auto"/>
          <w:sz w:val="24"/>
          <w:szCs w:val="24"/>
        </w:rPr>
        <w:t>400-998-0000、0372-3387739。</w:t>
      </w:r>
    </w:p>
    <w:bookmarkEnd w:id="3"/>
    <w:p w14:paraId="7474D7F3">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14:paraId="70006982">
      <w:pPr>
        <w:widowControl w:val="0"/>
        <w:snapToGrid w:val="0"/>
        <w:spacing w:line="360" w:lineRule="auto"/>
        <w:rPr>
          <w:sz w:val="24"/>
          <w:szCs w:val="24"/>
        </w:rPr>
      </w:pPr>
    </w:p>
    <w:p w14:paraId="08561256">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.首次响应文件提交</w:t>
      </w:r>
    </w:p>
    <w:p w14:paraId="696460C6">
      <w:pPr>
        <w:widowControl w:val="0"/>
        <w:adjustRightInd w:val="0"/>
        <w:spacing w:before="120" w:beforeLines="50" w:line="300" w:lineRule="auto"/>
        <w:ind w:firstLine="540" w:firstLineChars="225"/>
        <w:rPr>
          <w:rFonts w:hint="eastAsia" w:ascii="宋体" w:hAnsi="宋体"/>
          <w:color w:val="auto"/>
          <w:sz w:val="24"/>
          <w:szCs w:val="24"/>
        </w:rPr>
      </w:pPr>
      <w:r>
        <w:rPr>
          <w:rFonts w:hint="eastAsia" w:ascii="宋体" w:hAnsi="宋体"/>
          <w:color w:val="auto"/>
          <w:sz w:val="24"/>
          <w:szCs w:val="24"/>
        </w:rPr>
        <w:t>4.1截止时间：2026年</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6</w:t>
      </w:r>
      <w:r>
        <w:rPr>
          <w:rFonts w:hint="eastAsia" w:ascii="宋体" w:hAnsi="宋体"/>
          <w:color w:val="auto"/>
          <w:sz w:val="24"/>
          <w:szCs w:val="24"/>
        </w:rPr>
        <w:t>日09时00分（北京时间）</w:t>
      </w:r>
    </w:p>
    <w:p w14:paraId="5574A13A">
      <w:pPr>
        <w:widowControl w:val="0"/>
        <w:adjustRightInd w:val="0"/>
        <w:spacing w:before="120" w:beforeLines="50" w:line="300" w:lineRule="auto"/>
        <w:ind w:firstLine="540" w:firstLineChars="225"/>
        <w:rPr>
          <w:color w:val="auto"/>
          <w:sz w:val="24"/>
          <w:szCs w:val="24"/>
        </w:rPr>
      </w:pPr>
      <w:r>
        <w:rPr>
          <w:rFonts w:hint="eastAsia"/>
          <w:color w:val="auto"/>
          <w:sz w:val="24"/>
          <w:szCs w:val="24"/>
        </w:rPr>
        <w:t>4.2地点：于安阳市公共资源交易平台网上上传递交、并由供应商在规定时间远程解密。</w:t>
      </w:r>
    </w:p>
    <w:p w14:paraId="47A6AA3A">
      <w:pPr>
        <w:widowControl w:val="0"/>
        <w:snapToGrid w:val="0"/>
        <w:spacing w:line="360" w:lineRule="auto"/>
        <w:rPr>
          <w:rFonts w:ascii="微软雅黑" w:hAnsi="微软雅黑" w:eastAsia="微软雅黑"/>
          <w:szCs w:val="21"/>
        </w:rPr>
      </w:pPr>
    </w:p>
    <w:p w14:paraId="002D1ED4">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5.首次响应文件开启</w:t>
      </w:r>
    </w:p>
    <w:p w14:paraId="16A14B29">
      <w:pPr>
        <w:widowControl w:val="0"/>
        <w:adjustRightInd w:val="0"/>
        <w:spacing w:before="120" w:beforeLines="50" w:line="300" w:lineRule="auto"/>
        <w:ind w:firstLine="540" w:firstLineChars="225"/>
        <w:rPr>
          <w:color w:val="auto"/>
          <w:sz w:val="24"/>
          <w:szCs w:val="24"/>
        </w:rPr>
      </w:pPr>
      <w:r>
        <w:rPr>
          <w:rFonts w:hint="eastAsia"/>
          <w:color w:val="auto"/>
          <w:sz w:val="24"/>
          <w:szCs w:val="24"/>
        </w:rPr>
        <w:t>5.1时间：2026年</w:t>
      </w:r>
      <w:r>
        <w:rPr>
          <w:rFonts w:hint="eastAsia"/>
          <w:color w:val="auto"/>
          <w:sz w:val="24"/>
          <w:szCs w:val="24"/>
          <w:lang w:val="en-US" w:eastAsia="zh-CN"/>
        </w:rPr>
        <w:t>7</w:t>
      </w:r>
      <w:r>
        <w:rPr>
          <w:rFonts w:hint="eastAsia"/>
          <w:color w:val="auto"/>
          <w:sz w:val="24"/>
          <w:szCs w:val="24"/>
        </w:rPr>
        <w:t>月</w:t>
      </w:r>
      <w:r>
        <w:rPr>
          <w:rFonts w:hint="eastAsia"/>
          <w:color w:val="auto"/>
          <w:sz w:val="24"/>
          <w:szCs w:val="24"/>
          <w:lang w:val="en-US" w:eastAsia="zh-CN"/>
        </w:rPr>
        <w:t>6</w:t>
      </w:r>
      <w:r>
        <w:rPr>
          <w:rFonts w:hint="eastAsia"/>
          <w:color w:val="auto"/>
          <w:sz w:val="24"/>
          <w:szCs w:val="24"/>
        </w:rPr>
        <w:t>日09时00分（北京时间）</w:t>
      </w:r>
    </w:p>
    <w:p w14:paraId="17562775">
      <w:pPr>
        <w:widowControl w:val="0"/>
        <w:adjustRightInd w:val="0"/>
        <w:spacing w:before="120" w:beforeLines="50" w:line="300" w:lineRule="auto"/>
        <w:ind w:firstLine="540" w:firstLineChars="225"/>
        <w:rPr>
          <w:color w:val="auto"/>
          <w:sz w:val="24"/>
          <w:szCs w:val="24"/>
        </w:rPr>
      </w:pPr>
      <w:r>
        <w:rPr>
          <w:rFonts w:hint="eastAsia"/>
          <w:color w:val="auto"/>
          <w:sz w:val="24"/>
          <w:szCs w:val="24"/>
        </w:rPr>
        <w:t>5.2地点（管理员网上操作地点）：安阳市公共资源交易中心五楼集中开标大厅</w:t>
      </w:r>
      <w:r>
        <w:rPr>
          <w:rFonts w:hint="eastAsia"/>
          <w:color w:val="auto"/>
          <w:sz w:val="24"/>
          <w:szCs w:val="24"/>
          <w:lang w:val="en-US" w:eastAsia="zh-CN"/>
        </w:rPr>
        <w:t>9</w:t>
      </w:r>
      <w:r>
        <w:rPr>
          <w:rFonts w:hint="eastAsia"/>
          <w:color w:val="auto"/>
          <w:sz w:val="24"/>
          <w:szCs w:val="24"/>
        </w:rPr>
        <w:t>室（安阳市文峰大道东段559号安阳市民之家）。</w:t>
      </w:r>
    </w:p>
    <w:p w14:paraId="0AF94F36">
      <w:pPr>
        <w:widowControl w:val="0"/>
        <w:adjustRightInd w:val="0"/>
        <w:spacing w:before="120" w:beforeLines="50" w:line="300" w:lineRule="auto"/>
        <w:ind w:firstLine="540" w:firstLineChars="225"/>
        <w:rPr>
          <w:b/>
          <w:bCs/>
          <w:color w:val="auto"/>
          <w:sz w:val="24"/>
          <w:szCs w:val="24"/>
        </w:rPr>
      </w:pPr>
      <w:r>
        <w:rPr>
          <w:rFonts w:hint="eastAsia" w:ascii="宋体" w:hAnsi="宋体"/>
          <w:color w:val="auto"/>
          <w:sz w:val="24"/>
          <w:szCs w:val="24"/>
        </w:rPr>
        <w:t>5.3</w:t>
      </w:r>
      <w:bookmarkStart w:id="4" w:name="OLE_LINK6"/>
      <w:r>
        <w:rPr>
          <w:b/>
          <w:bCs/>
          <w:color w:val="auto"/>
          <w:sz w:val="24"/>
          <w:szCs w:val="24"/>
        </w:rPr>
        <w:t>本项目采用远程不见面交易的模式，开标当日，</w:t>
      </w:r>
      <w:r>
        <w:rPr>
          <w:rFonts w:hint="eastAsia"/>
          <w:b/>
          <w:bCs/>
          <w:color w:val="auto"/>
          <w:sz w:val="24"/>
          <w:szCs w:val="24"/>
        </w:rPr>
        <w:t>供应商</w:t>
      </w:r>
      <w:r>
        <w:rPr>
          <w:b/>
          <w:bCs/>
          <w:color w:val="auto"/>
          <w:sz w:val="24"/>
          <w:szCs w:val="24"/>
        </w:rPr>
        <w:t>无需到开标现场参加开标会议，</w:t>
      </w:r>
      <w:r>
        <w:rPr>
          <w:rFonts w:hint="eastAsia"/>
          <w:b/>
          <w:bCs/>
          <w:color w:val="auto"/>
          <w:sz w:val="24"/>
          <w:szCs w:val="24"/>
        </w:rPr>
        <w:t>供应商</w:t>
      </w:r>
      <w:r>
        <w:rPr>
          <w:b/>
          <w:bCs/>
          <w:color w:val="auto"/>
          <w:sz w:val="24"/>
          <w:szCs w:val="24"/>
        </w:rPr>
        <w:t>应当在投标截止时间前，使用IE浏览器登录到安阳市公共资源交易不见面开标大厅，点击右上方【登录】按钮进入，在线准时参加开标活动并进行</w:t>
      </w:r>
      <w:r>
        <w:rPr>
          <w:rFonts w:hint="eastAsia"/>
          <w:b/>
          <w:bCs/>
          <w:color w:val="auto"/>
          <w:sz w:val="24"/>
          <w:szCs w:val="24"/>
        </w:rPr>
        <w:t>响应</w:t>
      </w:r>
      <w:r>
        <w:rPr>
          <w:b/>
          <w:bCs/>
          <w:color w:val="auto"/>
          <w:sz w:val="24"/>
          <w:szCs w:val="24"/>
        </w:rPr>
        <w:t>文件解密等。因</w:t>
      </w:r>
      <w:r>
        <w:rPr>
          <w:rFonts w:hint="eastAsia"/>
          <w:b/>
          <w:bCs/>
          <w:color w:val="auto"/>
          <w:sz w:val="24"/>
          <w:szCs w:val="24"/>
        </w:rPr>
        <w:t>供应商</w:t>
      </w:r>
      <w:r>
        <w:rPr>
          <w:b/>
          <w:bCs/>
          <w:color w:val="auto"/>
          <w:sz w:val="24"/>
          <w:szCs w:val="24"/>
        </w:rPr>
        <w:t>原因未能解密、解密失败或解密超时的将被拒绝。</w:t>
      </w:r>
    </w:p>
    <w:bookmarkEnd w:id="4"/>
    <w:p w14:paraId="51F2B8B2">
      <w:pPr>
        <w:widowControl w:val="0"/>
        <w:snapToGrid w:val="0"/>
        <w:spacing w:line="360" w:lineRule="auto"/>
        <w:rPr>
          <w:rFonts w:ascii="黑体" w:hAnsi="黑体" w:eastAsia="黑体"/>
          <w:b/>
          <w:color w:val="0033CC"/>
          <w:sz w:val="28"/>
          <w:szCs w:val="28"/>
        </w:rPr>
      </w:pPr>
    </w:p>
    <w:p w14:paraId="45A1311B">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14:paraId="109EDCBF">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rFonts w:hint="eastAsia" w:ascii="宋体" w:hAnsi="宋体" w:cs="宋体"/>
          <w:color w:val="auto"/>
          <w:sz w:val="24"/>
          <w:szCs w:val="24"/>
        </w:rPr>
        <w:t>全国公共资源交易平台（河南省·安阳市）</w:t>
      </w:r>
      <w:r>
        <w:rPr>
          <w:rFonts w:hint="eastAsia" w:ascii="宋体" w:hAnsi="宋体"/>
          <w:color w:val="auto"/>
          <w:sz w:val="24"/>
          <w:szCs w:val="24"/>
        </w:rPr>
        <w:t>安阳市公共资源交易中心”</w:t>
      </w:r>
      <w:r>
        <w:rPr>
          <w:rFonts w:hint="eastAsia" w:ascii="宋体" w:hAnsi="宋体" w:cs="宋体"/>
          <w:color w:val="auto"/>
          <w:sz w:val="24"/>
          <w:szCs w:val="24"/>
        </w:rPr>
        <w:t>、</w:t>
      </w:r>
      <w:r>
        <w:rPr>
          <w:rFonts w:hint="eastAsia" w:ascii="宋体" w:hAnsi="宋体"/>
          <w:color w:val="auto"/>
          <w:sz w:val="24"/>
          <w:szCs w:val="24"/>
        </w:rPr>
        <w:t>“安阳招标采购网”网站上同期发布。公告期限为三个工作日</w:t>
      </w:r>
      <w:r>
        <w:rPr>
          <w:rFonts w:hint="eastAsia" w:ascii="宋体" w:hAnsi="宋体" w:cs="宋体"/>
          <w:color w:val="auto"/>
          <w:sz w:val="24"/>
          <w:szCs w:val="24"/>
        </w:rPr>
        <w:t>。</w:t>
      </w:r>
    </w:p>
    <w:p w14:paraId="2E4447B3">
      <w:pPr>
        <w:widowControl w:val="0"/>
        <w:tabs>
          <w:tab w:val="left" w:pos="39"/>
          <w:tab w:val="left" w:pos="96"/>
        </w:tabs>
        <w:snapToGrid w:val="0"/>
        <w:spacing w:line="360" w:lineRule="auto"/>
        <w:ind w:firstLine="663" w:firstLineChars="236"/>
        <w:rPr>
          <w:rFonts w:ascii="黑体" w:hAnsi="黑体" w:eastAsia="黑体"/>
          <w:b/>
          <w:color w:val="0033CC"/>
          <w:sz w:val="28"/>
          <w:szCs w:val="28"/>
        </w:rPr>
      </w:pPr>
    </w:p>
    <w:p w14:paraId="60E1DCAC">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506958FF">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支持绿色建筑、绿色建材，支持不发达、少数民族地区的企业，促进自主创新产业发展，支持脱贫攻坚、本国产品的支持政策等</w:t>
      </w:r>
      <w:r>
        <w:rPr>
          <w:rFonts w:hint="eastAsia"/>
          <w:color w:val="auto"/>
          <w:sz w:val="24"/>
          <w:szCs w:val="24"/>
          <w:highlight w:val="none"/>
        </w:rPr>
        <w:t>。</w:t>
      </w:r>
    </w:p>
    <w:p w14:paraId="326187F9">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520E20DD">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3C030B3F">
      <w:pPr>
        <w:pStyle w:val="15"/>
        <w:shd w:val="clear" w:color="auto" w:fill="FFFFFF"/>
        <w:adjustRightInd w:val="0"/>
        <w:spacing w:before="50" w:beforeAutospacing="0" w:after="0" w:afterAutospacing="0" w:line="300" w:lineRule="auto"/>
        <w:ind w:firstLine="540" w:firstLineChars="225"/>
        <w:rPr>
          <w:rFonts w:cs="Times New Roman"/>
          <w:color w:val="auto"/>
          <w:highlight w:val="none"/>
        </w:rPr>
      </w:pPr>
      <w:bookmarkStart w:id="5" w:name="_Toc28359008"/>
      <w:bookmarkStart w:id="6" w:name="_Toc35393796"/>
      <w:bookmarkStart w:id="7" w:name="_Toc35393627"/>
      <w:bookmarkStart w:id="8" w:name="_Toc28359085"/>
      <w:r>
        <w:rPr>
          <w:rFonts w:hint="eastAsia"/>
          <w:color w:val="auto"/>
          <w:highlight w:val="none"/>
        </w:rPr>
        <w:t>7.3</w:t>
      </w:r>
      <w:r>
        <w:rPr>
          <w:color w:val="auto"/>
          <w:highlight w:val="none"/>
        </w:rPr>
        <w:t>.</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589FED90">
      <w:pPr>
        <w:widowControl w:val="0"/>
        <w:tabs>
          <w:tab w:val="left" w:pos="39"/>
          <w:tab w:val="left" w:pos="96"/>
        </w:tabs>
        <w:snapToGrid w:val="0"/>
        <w:spacing w:line="360" w:lineRule="auto"/>
        <w:ind w:firstLine="590" w:firstLineChars="245"/>
        <w:rPr>
          <w:b/>
          <w:color w:val="auto"/>
          <w:sz w:val="24"/>
          <w:szCs w:val="24"/>
        </w:rPr>
      </w:pPr>
      <w:r>
        <w:rPr>
          <w:rFonts w:hint="eastAsia" w:ascii="宋体"/>
          <w:b/>
          <w:color w:val="auto"/>
          <w:sz w:val="24"/>
          <w:szCs w:val="24"/>
        </w:rPr>
        <w:t>7</w:t>
      </w:r>
      <w:r>
        <w:rPr>
          <w:rFonts w:ascii="宋体"/>
          <w:b/>
          <w:color w:val="auto"/>
          <w:sz w:val="24"/>
          <w:szCs w:val="24"/>
        </w:rPr>
        <w:t>.</w:t>
      </w:r>
      <w:r>
        <w:rPr>
          <w:rFonts w:hint="eastAsia" w:ascii="宋体"/>
          <w:b/>
          <w:color w:val="auto"/>
          <w:sz w:val="24"/>
          <w:szCs w:val="24"/>
        </w:rPr>
        <w:t>3.</w:t>
      </w:r>
      <w:r>
        <w:rPr>
          <w:rFonts w:ascii="宋体"/>
          <w:b/>
          <w:color w:val="auto"/>
          <w:sz w:val="24"/>
          <w:szCs w:val="24"/>
        </w:rPr>
        <w:t>1</w:t>
      </w:r>
      <w:r>
        <w:rPr>
          <w:rFonts w:hint="eastAsia" w:ascii="宋体" w:hAnsi="宋体"/>
          <w:b/>
          <w:color w:val="auto"/>
          <w:sz w:val="24"/>
          <w:szCs w:val="24"/>
        </w:rPr>
        <w:t>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cs="宋体"/>
          <w:color w:val="auto"/>
          <w:sz w:val="24"/>
          <w:szCs w:val="24"/>
        </w:rPr>
        <w:t>·</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rPr>
          <w:color w:val="auto"/>
        </w:rPr>
        <w:fldChar w:fldCharType="begin"/>
      </w:r>
      <w:r>
        <w:rPr>
          <w:color w:val="auto"/>
        </w:rPr>
        <w:instrText xml:space="preserve"> HYPERLINK "https://ggzy.anyang.gov.cn" </w:instrText>
      </w:r>
      <w:r>
        <w:rPr>
          <w:color w:val="auto"/>
        </w:rPr>
        <w:fldChar w:fldCharType="separate"/>
      </w:r>
      <w:r>
        <w:rPr>
          <w:rStyle w:val="22"/>
          <w:b/>
          <w:color w:val="auto"/>
          <w:sz w:val="24"/>
          <w:szCs w:val="24"/>
        </w:rPr>
        <w:t>https://ggzy.anyang.gov.cn</w:t>
      </w:r>
      <w:r>
        <w:rPr>
          <w:rStyle w:val="22"/>
          <w:b/>
          <w:color w:val="auto"/>
          <w:sz w:val="24"/>
          <w:szCs w:val="24"/>
        </w:rPr>
        <w:fldChar w:fldCharType="end"/>
      </w:r>
    </w:p>
    <w:p w14:paraId="2AE64B60">
      <w:pPr>
        <w:widowControl w:val="0"/>
        <w:tabs>
          <w:tab w:val="left" w:pos="39"/>
          <w:tab w:val="left" w:pos="96"/>
        </w:tabs>
        <w:snapToGrid w:val="0"/>
        <w:spacing w:line="360" w:lineRule="auto"/>
        <w:ind w:firstLine="590" w:firstLineChars="245"/>
        <w:rPr>
          <w:rFonts w:ascii="宋体"/>
          <w:b/>
          <w:color w:val="auto"/>
          <w:sz w:val="24"/>
          <w:szCs w:val="24"/>
        </w:rPr>
      </w:pPr>
      <w:r>
        <w:rPr>
          <w:rFonts w:hint="eastAsia" w:ascii="宋体" w:hAnsi="宋体"/>
          <w:b/>
          <w:color w:val="auto"/>
          <w:sz w:val="24"/>
          <w:szCs w:val="24"/>
        </w:rPr>
        <w:t>磋商文件</w:t>
      </w:r>
      <w:r>
        <w:rPr>
          <w:rFonts w:ascii="宋体" w:hAnsi="宋体"/>
          <w:b/>
          <w:color w:val="auto"/>
          <w:sz w:val="24"/>
          <w:szCs w:val="24"/>
        </w:rPr>
        <w:t>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14:paraId="72385541">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w:t>
      </w:r>
      <w:r>
        <w:rPr>
          <w:rFonts w:ascii="宋体"/>
          <w:b/>
          <w:color w:val="auto"/>
          <w:sz w:val="24"/>
          <w:szCs w:val="24"/>
        </w:rPr>
        <w:t>.</w:t>
      </w:r>
      <w:r>
        <w:rPr>
          <w:rFonts w:hint="eastAsia" w:ascii="宋体"/>
          <w:b/>
          <w:color w:val="auto"/>
          <w:sz w:val="24"/>
          <w:szCs w:val="24"/>
        </w:rPr>
        <w:t>3.</w:t>
      </w:r>
      <w:r>
        <w:rPr>
          <w:rFonts w:ascii="宋体"/>
          <w:b/>
          <w:color w:val="auto"/>
          <w:sz w:val="24"/>
          <w:szCs w:val="24"/>
        </w:rPr>
        <w:t>2</w:t>
      </w:r>
      <w:r>
        <w:rPr>
          <w:rFonts w:hint="eastAsia" w:ascii="宋体"/>
          <w:b/>
          <w:color w:val="auto"/>
          <w:sz w:val="24"/>
          <w:szCs w:val="24"/>
        </w:rPr>
        <w:t>投标文件制作软件：在安阳市公共资源交易平台进行下载、并安装投标文件制作工具，查看磋商文件和制作电子投标文件。</w:t>
      </w:r>
    </w:p>
    <w:p w14:paraId="443F9EC3">
      <w:pPr>
        <w:widowControl w:val="0"/>
        <w:snapToGrid w:val="0"/>
        <w:spacing w:line="360" w:lineRule="auto"/>
        <w:jc w:val="left"/>
        <w:rPr>
          <w:rFonts w:ascii="黑体" w:hAnsi="黑体" w:eastAsia="黑体"/>
          <w:b/>
          <w:color w:val="auto"/>
          <w:sz w:val="28"/>
          <w:szCs w:val="28"/>
        </w:rPr>
      </w:pPr>
    </w:p>
    <w:p w14:paraId="7B407360">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5"/>
      <w:bookmarkEnd w:id="6"/>
      <w:bookmarkEnd w:id="7"/>
      <w:bookmarkEnd w:id="8"/>
    </w:p>
    <w:p w14:paraId="147C96DC">
      <w:pPr>
        <w:ind w:firstLine="600" w:firstLineChars="250"/>
        <w:jc w:val="left"/>
        <w:rPr>
          <w:rFonts w:ascii="宋体" w:hAnsi="宋体"/>
          <w:color w:val="auto"/>
          <w:sz w:val="24"/>
          <w:szCs w:val="24"/>
        </w:rPr>
      </w:pPr>
      <w:r>
        <w:rPr>
          <w:rFonts w:hint="eastAsia" w:ascii="宋体" w:hAnsi="宋体" w:cs="宋体"/>
          <w:color w:val="auto"/>
          <w:sz w:val="24"/>
          <w:szCs w:val="24"/>
        </w:rPr>
        <w:t>8.1采购人信息</w:t>
      </w:r>
    </w:p>
    <w:p w14:paraId="77A91F4D">
      <w:pPr>
        <w:spacing w:line="360" w:lineRule="auto"/>
        <w:ind w:left="1079" w:leftChars="371" w:hanging="300" w:hangingChars="125"/>
        <w:jc w:val="left"/>
        <w:rPr>
          <w:rFonts w:hint="eastAsia" w:ascii="宋体" w:hAnsi="宋体" w:eastAsia="宋体"/>
          <w:color w:val="FF0000"/>
          <w:sz w:val="24"/>
          <w:szCs w:val="24"/>
          <w:lang w:eastAsia="zh-CN"/>
        </w:rPr>
      </w:pPr>
      <w:r>
        <w:rPr>
          <w:rFonts w:hint="eastAsia" w:ascii="宋体" w:hAnsi="宋体"/>
          <w:sz w:val="24"/>
          <w:szCs w:val="24"/>
        </w:rPr>
        <w:t>名 称：</w:t>
      </w:r>
      <w:r>
        <w:rPr>
          <w:rFonts w:hint="eastAsia" w:ascii="宋体" w:hAnsi="宋体"/>
          <w:sz w:val="24"/>
          <w:szCs w:val="24"/>
          <w:lang w:eastAsia="zh-CN"/>
        </w:rPr>
        <w:t>河南省第十五届运动会安阳市执行委员会</w:t>
      </w:r>
    </w:p>
    <w:p w14:paraId="222DCF8E">
      <w:pPr>
        <w:spacing w:line="360" w:lineRule="auto"/>
        <w:ind w:left="1079" w:leftChars="371" w:hanging="300" w:hangingChars="125"/>
        <w:jc w:val="left"/>
        <w:rPr>
          <w:rFonts w:ascii="宋体" w:hAnsi="宋体"/>
          <w:sz w:val="24"/>
          <w:szCs w:val="24"/>
        </w:rPr>
      </w:pPr>
      <w:r>
        <w:rPr>
          <w:rFonts w:hint="eastAsia" w:ascii="宋体" w:hAnsi="宋体"/>
          <w:sz w:val="24"/>
          <w:szCs w:val="24"/>
        </w:rPr>
        <w:t>地址：</w:t>
      </w:r>
      <w:r>
        <w:rPr>
          <w:rFonts w:hint="eastAsia" w:ascii="宋体" w:hAnsi="宋体"/>
          <w:color w:val="auto"/>
          <w:sz w:val="24"/>
          <w:szCs w:val="24"/>
          <w:highlight w:val="none"/>
        </w:rPr>
        <w:t>安阳市文峰区文体中心2号门</w:t>
      </w:r>
      <w:r>
        <w:rPr>
          <w:rFonts w:hint="eastAsia" w:ascii="宋体" w:hAnsi="宋体"/>
          <w:sz w:val="24"/>
          <w:szCs w:val="24"/>
        </w:rPr>
        <w:t>　</w:t>
      </w:r>
      <w:r>
        <w:rPr>
          <w:rFonts w:hint="eastAsia" w:ascii="宋体" w:hAnsi="宋体"/>
          <w:color w:val="FF0000"/>
          <w:sz w:val="24"/>
          <w:szCs w:val="24"/>
        </w:rPr>
        <w:t xml:space="preserve">       </w:t>
      </w:r>
      <w:r>
        <w:rPr>
          <w:rFonts w:hint="eastAsia" w:ascii="宋体" w:hAnsi="宋体"/>
          <w:sz w:val="24"/>
          <w:szCs w:val="24"/>
        </w:rPr>
        <w:t>　</w:t>
      </w:r>
    </w:p>
    <w:p w14:paraId="534D6290">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联系人：牛超    </w:t>
      </w:r>
    </w:p>
    <w:p w14:paraId="3C349D14">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联系方式：18037283103  </w:t>
      </w:r>
      <w:bookmarkStart w:id="9" w:name="_Toc28359009"/>
      <w:bookmarkStart w:id="10" w:name="_Toc28359086"/>
    </w:p>
    <w:bookmarkEnd w:id="9"/>
    <w:bookmarkEnd w:id="10"/>
    <w:p w14:paraId="6157B56C">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p>
    <w:p w14:paraId="260B5CBE">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4B6EF759">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w:t>
      </w:r>
      <w:bookmarkStart w:id="11" w:name="OLE_LINK7"/>
      <w:r>
        <w:rPr>
          <w:rFonts w:hint="eastAsia" w:ascii="宋体" w:hAnsi="宋体"/>
          <w:color w:val="auto"/>
          <w:sz w:val="24"/>
          <w:szCs w:val="24"/>
          <w:highlight w:val="none"/>
        </w:rPr>
        <w:t>安阳市安钢大道39号（人民大道北地下道口南侧、安阳粮食产业集团-后院办公楼五楼）</w:t>
      </w:r>
      <w:bookmarkEnd w:id="11"/>
      <w:r>
        <w:rPr>
          <w:rFonts w:hint="eastAsia" w:ascii="宋体" w:hAnsi="宋体"/>
          <w:color w:val="auto"/>
          <w:sz w:val="24"/>
          <w:szCs w:val="24"/>
          <w:highlight w:val="none"/>
        </w:rPr>
        <w:t>　</w:t>
      </w:r>
    </w:p>
    <w:p w14:paraId="25669543">
      <w:pPr>
        <w:spacing w:line="360" w:lineRule="auto"/>
        <w:ind w:firstLine="720" w:firstLineChars="3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陶文雯</w:t>
      </w:r>
    </w:p>
    <w:p w14:paraId="2926F118">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12" w:name="OLE_LINK8"/>
      <w:bookmarkStart w:id="13" w:name="_Toc28359087"/>
      <w:bookmarkStart w:id="14" w:name="_Toc28359010"/>
      <w:r>
        <w:rPr>
          <w:rFonts w:hint="eastAsia" w:ascii="宋体" w:hAnsi="宋体"/>
          <w:color w:val="auto"/>
          <w:sz w:val="24"/>
          <w:szCs w:val="24"/>
          <w:highlight w:val="none"/>
        </w:rPr>
        <w:t>0372-2283981、2283982</w:t>
      </w:r>
      <w:bookmarkEnd w:id="12"/>
      <w:r>
        <w:rPr>
          <w:rFonts w:hint="eastAsia" w:ascii="宋体" w:hAnsi="宋体"/>
          <w:color w:val="auto"/>
          <w:sz w:val="24"/>
          <w:szCs w:val="24"/>
          <w:highlight w:val="none"/>
        </w:rPr>
        <w:t xml:space="preserve">   财务部咨询电话：0372-2283983　</w:t>
      </w:r>
    </w:p>
    <w:p w14:paraId="4889501D">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13"/>
      <w:bookmarkEnd w:id="14"/>
    </w:p>
    <w:p w14:paraId="12A1BE47">
      <w:pPr>
        <w:spacing w:line="360" w:lineRule="auto"/>
        <w:ind w:firstLine="720" w:firstLineChars="300"/>
        <w:rPr>
          <w:rFonts w:hAnsi="宋体"/>
          <w:color w:val="auto"/>
          <w:sz w:val="24"/>
          <w:szCs w:val="24"/>
          <w:highlight w:val="none"/>
        </w:rPr>
      </w:pPr>
      <w:r>
        <w:rPr>
          <w:rFonts w:hint="eastAsia" w:hAnsi="宋体"/>
          <w:color w:val="auto"/>
          <w:sz w:val="24"/>
          <w:szCs w:val="24"/>
          <w:highlight w:val="none"/>
        </w:rPr>
        <w:t>项目联系人：</w:t>
      </w:r>
      <w:r>
        <w:rPr>
          <w:rFonts w:hint="eastAsia" w:ascii="宋体" w:hAnsi="宋体"/>
          <w:color w:val="auto"/>
          <w:sz w:val="24"/>
          <w:szCs w:val="24"/>
          <w:highlight w:val="none"/>
          <w:lang w:eastAsia="zh-CN"/>
        </w:rPr>
        <w:t>陶文雯</w:t>
      </w:r>
      <w:r>
        <w:rPr>
          <w:rFonts w:hint="eastAsia" w:hAnsi="宋体"/>
          <w:color w:val="auto"/>
          <w:sz w:val="24"/>
          <w:szCs w:val="24"/>
          <w:highlight w:val="none"/>
        </w:rPr>
        <w:t xml:space="preserve">  </w:t>
      </w:r>
    </w:p>
    <w:p w14:paraId="233ED659">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联系方式：13937245785</w:t>
      </w:r>
    </w:p>
    <w:p w14:paraId="65344CDF">
      <w:pPr>
        <w:pStyle w:val="15"/>
        <w:shd w:val="clear" w:color="auto" w:fill="FFFFFF"/>
        <w:adjustRightInd w:val="0"/>
        <w:spacing w:before="50" w:beforeAutospacing="0" w:after="0" w:afterAutospacing="0" w:line="300" w:lineRule="auto"/>
        <w:rPr>
          <w:color w:val="00B050"/>
        </w:rPr>
      </w:pPr>
    </w:p>
    <w:p w14:paraId="3F0B9989">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r>
        <w:rPr>
          <w:rFonts w:ascii="黑体" w:hAnsi="黑体" w:eastAsia="黑体"/>
          <w:b/>
          <w:color w:val="auto"/>
          <w:sz w:val="28"/>
          <w:szCs w:val="28"/>
        </w:rPr>
        <w:t xml:space="preserve"> </w:t>
      </w:r>
    </w:p>
    <w:p w14:paraId="700982D3">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：供应商完成注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14:paraId="2443A13B">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9.2 获取《磋商文件》：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获取磋商文件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14:paraId="5FC2C765">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rPr>
        <w:t>9.3 《磋商文件》</w:t>
      </w:r>
      <w:r>
        <w:rPr>
          <w:rFonts w:hint="eastAsia" w:ascii="宋体" w:hAnsi="宋体"/>
          <w:color w:val="auto"/>
          <w:sz w:val="24"/>
          <w:szCs w:val="24"/>
          <w:highlight w:val="none"/>
        </w:rPr>
        <w:t>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磋商文件的澄清、修改、补充的通知，及相应时间变更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5999A875">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9.4《响应文件》编制：在安阳市公共资源交易中心网站下载并安装投标文件制作工具、进行编制，按《磋商文件》第三章“供应商须知”第3条第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《响应文件》的编制”执行，</w:t>
      </w:r>
      <w:r>
        <w:rPr>
          <w:rFonts w:hint="eastAsia" w:ascii="黑体" w:hAnsi="黑体" w:eastAsia="黑体" w:cs="楷体_GB2312"/>
          <w:b/>
          <w:color w:val="auto"/>
          <w:sz w:val="24"/>
          <w:highlight w:val="none"/>
          <w:lang w:val="zh-CN"/>
        </w:rPr>
        <w:t>否则将会评定为无效投标。</w:t>
      </w:r>
    </w:p>
    <w:p w14:paraId="7BBCB98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9.5《响应文件》递交：</w:t>
      </w:r>
      <w:r>
        <w:rPr>
          <w:rFonts w:hint="eastAsia" w:ascii="宋体" w:hAnsi="宋体"/>
          <w:color w:val="auto"/>
          <w:sz w:val="24"/>
          <w:szCs w:val="24"/>
          <w:highlight w:val="none"/>
        </w:rPr>
        <w:t>供应商应在投标截止时间前上传加密的电子投标文件（*.aytf）到安阳市公共资源交易平台，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b/>
          <w:color w:val="auto"/>
          <w:sz w:val="24"/>
          <w:szCs w:val="24"/>
          <w:highlight w:val="none"/>
        </w:rPr>
        <w:t>4. 《响应文件》的提交</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210B3E61">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w:t>
      </w:r>
      <w:r>
        <w:rPr>
          <w:rFonts w:hint="eastAsia"/>
          <w:bCs/>
          <w:color w:val="auto"/>
          <w:sz w:val="24"/>
          <w:szCs w:val="24"/>
          <w:highlight w:val="none"/>
        </w:rPr>
        <w:t>供应商</w:t>
      </w:r>
      <w:r>
        <w:rPr>
          <w:bCs/>
          <w:color w:val="auto"/>
          <w:sz w:val="24"/>
          <w:szCs w:val="24"/>
          <w:highlight w:val="none"/>
        </w:rPr>
        <w:t>无需到开标现场参加开标会议，投标人应当在投标截</w:t>
      </w:r>
      <w:r>
        <w:rPr>
          <w:bCs/>
          <w:color w:val="auto"/>
          <w:sz w:val="24"/>
          <w:szCs w:val="24"/>
        </w:rPr>
        <w:t>止时间前，使用IE浏览器登录到安阳市公共资源交易不见面开标大厅，点击右上方【登录】按钮进入，在线准时参加开标活动并进行投标文件解密等。</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“5</w:t>
      </w:r>
      <w:r>
        <w:rPr>
          <w:rFonts w:hint="eastAsia"/>
          <w:b/>
          <w:color w:val="auto"/>
          <w:sz w:val="24"/>
          <w:szCs w:val="24"/>
        </w:rPr>
        <w:t>《响应文件》的开启</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14:paraId="54A4CAB4">
      <w:pPr>
        <w:widowControl w:val="0"/>
        <w:tabs>
          <w:tab w:val="left" w:pos="39"/>
          <w:tab w:val="left" w:pos="96"/>
        </w:tabs>
        <w:snapToGrid w:val="0"/>
        <w:spacing w:line="360" w:lineRule="auto"/>
        <w:ind w:firstLine="480" w:firstLineChars="200"/>
        <w:rPr>
          <w:rFonts w:ascii="黑体" w:hAnsi="黑体" w:eastAsia="黑体" w:cs="楷体_GB2312"/>
          <w:b/>
          <w:color w:val="auto"/>
          <w:sz w:val="24"/>
          <w:lang w:val="zh-CN"/>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b/>
          <w:color w:val="auto"/>
          <w:sz w:val="24"/>
          <w:szCs w:val="24"/>
        </w:rPr>
        <w:t>磋商</w:t>
      </w:r>
      <w:r>
        <w:rPr>
          <w:b/>
          <w:color w:val="auto"/>
          <w:sz w:val="24"/>
          <w:szCs w:val="24"/>
        </w:rPr>
        <w:t>：</w:t>
      </w:r>
      <w:r>
        <w:rPr>
          <w:rFonts w:hint="eastAsia" w:ascii="宋体" w:hAnsi="宋体"/>
          <w:color w:val="auto"/>
          <w:sz w:val="24"/>
        </w:rPr>
        <w:t>时刻关注电子开标室并及时澄清，有</w:t>
      </w:r>
      <w:r>
        <w:rPr>
          <w:rFonts w:ascii="宋体" w:hAnsi="宋体"/>
          <w:color w:val="auto"/>
          <w:sz w:val="24"/>
        </w:rPr>
        <w:t>效</w:t>
      </w:r>
      <w:r>
        <w:rPr>
          <w:rFonts w:hint="eastAsia" w:ascii="宋体" w:hAnsi="宋体"/>
          <w:color w:val="auto"/>
          <w:sz w:val="24"/>
        </w:rPr>
        <w:t>供应商</w:t>
      </w:r>
      <w:r>
        <w:rPr>
          <w:rFonts w:ascii="宋体" w:hAnsi="宋体"/>
          <w:color w:val="auto"/>
          <w:sz w:val="24"/>
        </w:rPr>
        <w:t>在规定时间进行</w:t>
      </w:r>
      <w:r>
        <w:rPr>
          <w:rFonts w:hint="eastAsia" w:ascii="宋体" w:hAnsi="宋体"/>
          <w:color w:val="auto"/>
          <w:sz w:val="24"/>
        </w:rPr>
        <w:t>最后报价</w:t>
      </w:r>
      <w:r>
        <w:rPr>
          <w:rFonts w:ascii="宋体" w:hAnsi="宋体"/>
          <w:color w:val="auto"/>
          <w:sz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》第四章“评审办法”</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14:paraId="6B2FE32D">
      <w:pPr>
        <w:widowControl w:val="0"/>
        <w:tabs>
          <w:tab w:val="left" w:pos="39"/>
          <w:tab w:val="left" w:pos="96"/>
        </w:tabs>
        <w:snapToGrid w:val="0"/>
        <w:spacing w:line="360" w:lineRule="auto"/>
        <w:ind w:firstLine="540" w:firstLineChars="225"/>
        <w:rPr>
          <w:rFonts w:ascii="宋体" w:hAnsi="宋体" w:cs="楷体_GB2312"/>
          <w:color w:val="auto"/>
          <w:sz w:val="24"/>
          <w:lang w:val="zh-CN"/>
        </w:rPr>
      </w:pPr>
      <w:r>
        <w:rPr>
          <w:rFonts w:hint="eastAsia" w:ascii="宋体" w:hAnsi="宋体" w:cs="楷体_GB2312"/>
          <w:color w:val="auto"/>
          <w:sz w:val="24"/>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2B356B57">
      <w:pPr>
        <w:widowControl w:val="0"/>
        <w:tabs>
          <w:tab w:val="left" w:pos="39"/>
          <w:tab w:val="left" w:pos="96"/>
        </w:tabs>
        <w:snapToGrid w:val="0"/>
        <w:spacing w:line="360" w:lineRule="auto"/>
        <w:ind w:firstLine="540" w:firstLineChars="225"/>
        <w:rPr>
          <w:rFonts w:ascii="宋体" w:hAnsi="宋体" w:cs="楷体_GB2312"/>
          <w:color w:val="auto"/>
          <w:sz w:val="24"/>
          <w:lang w:val="zh-CN"/>
        </w:rPr>
      </w:pPr>
      <w:r>
        <w:rPr>
          <w:rFonts w:hint="eastAsia" w:ascii="宋体" w:hAnsi="宋体" w:cs="楷体_GB2312"/>
          <w:color w:val="auto"/>
          <w:sz w:val="24"/>
          <w:lang w:val="zh-CN"/>
        </w:rPr>
        <w:t>①锁名称变更前建议先在交易系统修改单位名称为最新的，变更完成后再变更锁名称，以免因名称不一致无法正常登录系统。</w:t>
      </w:r>
    </w:p>
    <w:p w14:paraId="4E16D008">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s="楷体_GB2312"/>
          <w:color w:val="auto"/>
          <w:sz w:val="24"/>
          <w:lang w:val="zh-CN"/>
        </w:rPr>
        <w:t>②锁延期之后序列号可能会发生改变（视不同CA而定），变更后需要重新进行绑定。</w:t>
      </w:r>
    </w:p>
    <w:p w14:paraId="14D8A604">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9.9 政府采购电子交易中，供应商网上电子交易的系统操作规则应以安阳市公共资源交易平台即时发布的相关规则为准。</w:t>
      </w:r>
    </w:p>
    <w:p w14:paraId="4590442A">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9.10 望供应商充分熟悉网上电子交易操作流程、以便有效投标。</w:t>
      </w:r>
    </w:p>
    <w:p w14:paraId="4F6D8BBD">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bCs/>
          <w:color w:val="auto"/>
          <w:sz w:val="24"/>
          <w:szCs w:val="24"/>
        </w:rPr>
        <w:t>9.11 如遇到网上系统操作等技术问题请咨询</w:t>
      </w:r>
      <w:r>
        <w:rPr>
          <w:rFonts w:hint="eastAsia" w:ascii="宋体" w:hAnsi="宋体"/>
          <w:color w:val="auto"/>
          <w:sz w:val="24"/>
          <w:szCs w:val="24"/>
        </w:rPr>
        <w:t>400-998-0000、0372-3387739。</w:t>
      </w:r>
    </w:p>
    <w:p w14:paraId="037FA132">
      <w:pPr>
        <w:widowControl w:val="0"/>
        <w:tabs>
          <w:tab w:val="left" w:pos="39"/>
          <w:tab w:val="left" w:pos="96"/>
        </w:tabs>
        <w:snapToGrid w:val="0"/>
        <w:spacing w:line="360" w:lineRule="auto"/>
        <w:ind w:firstLine="540" w:firstLineChars="225"/>
        <w:rPr>
          <w:rFonts w:ascii="宋体"/>
          <w:color w:val="auto"/>
          <w:sz w:val="24"/>
          <w:szCs w:val="24"/>
        </w:rPr>
      </w:pPr>
    </w:p>
    <w:p w14:paraId="44B1151E">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14:paraId="7186918D">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二〇二六年</w:t>
      </w:r>
      <w:r>
        <w:rPr>
          <w:rFonts w:hint="eastAsia" w:ascii="宋体"/>
          <w:color w:val="auto"/>
          <w:sz w:val="24"/>
          <w:szCs w:val="24"/>
          <w:lang w:val="en-US" w:eastAsia="zh-CN"/>
        </w:rPr>
        <w:t>六</w:t>
      </w:r>
      <w:r>
        <w:rPr>
          <w:rFonts w:hint="eastAsia" w:ascii="宋体"/>
          <w:color w:val="auto"/>
          <w:sz w:val="24"/>
          <w:szCs w:val="24"/>
        </w:rPr>
        <w:t>月</w:t>
      </w:r>
      <w:r>
        <w:rPr>
          <w:rFonts w:hint="eastAsia" w:ascii="宋体"/>
          <w:color w:val="auto"/>
          <w:sz w:val="24"/>
          <w:szCs w:val="24"/>
          <w:lang w:val="en-US" w:eastAsia="zh-CN"/>
        </w:rPr>
        <w:t>二十三</w:t>
      </w:r>
      <w:r>
        <w:rPr>
          <w:rFonts w:hint="eastAsia" w:ascii="宋体"/>
          <w:color w:val="auto"/>
          <w:sz w:val="24"/>
          <w:szCs w:val="24"/>
        </w:rPr>
        <w:t>日</w:t>
      </w:r>
    </w:p>
    <w:p w14:paraId="0F0FAC53">
      <w:pPr>
        <w:widowControl w:val="0"/>
        <w:tabs>
          <w:tab w:val="left" w:pos="39"/>
          <w:tab w:val="left" w:pos="96"/>
        </w:tabs>
        <w:snapToGrid w:val="0"/>
        <w:spacing w:line="360" w:lineRule="auto"/>
        <w:rPr>
          <w:rFonts w:eastAsia="方正黑体简体"/>
          <w:color w:val="auto"/>
          <w:sz w:val="28"/>
          <w:szCs w:val="28"/>
        </w:rPr>
      </w:pPr>
    </w:p>
    <w:p w14:paraId="403C409B">
      <w:pPr>
        <w:widowControl w:val="0"/>
        <w:tabs>
          <w:tab w:val="left" w:pos="39"/>
          <w:tab w:val="left" w:pos="96"/>
        </w:tabs>
        <w:snapToGrid w:val="0"/>
        <w:spacing w:line="360" w:lineRule="auto"/>
        <w:ind w:firstLine="632" w:firstLineChars="225"/>
        <w:rPr>
          <w:rFonts w:eastAsia="方正黑体简体"/>
          <w:color w:val="auto"/>
          <w:sz w:val="28"/>
          <w:szCs w:val="28"/>
        </w:rPr>
      </w:pPr>
      <w:r>
        <w:rPr>
          <w:rFonts w:ascii="黑体" w:hAnsi="黑体" w:eastAsia="黑体"/>
          <w:b/>
          <w:color w:val="FF0000"/>
          <w:sz w:val="28"/>
          <w:szCs w:val="28"/>
          <w:highlight w:val="yellow"/>
        </w:rPr>
        <w:br w:type="page"/>
      </w:r>
    </w:p>
    <w:p w14:paraId="10AE9CC9">
      <w:pPr>
        <w:widowControl w:val="0"/>
        <w:snapToGrid w:val="0"/>
        <w:spacing w:line="360" w:lineRule="auto"/>
        <w:jc w:val="center"/>
        <w:outlineLvl w:val="0"/>
        <w:rPr>
          <w:rFonts w:eastAsia="方正黑体简体"/>
          <w:color w:val="auto"/>
          <w:sz w:val="36"/>
          <w:szCs w:val="36"/>
        </w:rPr>
      </w:pPr>
      <w:bookmarkStart w:id="15" w:name="_Toc31197"/>
      <w:r>
        <w:rPr>
          <w:rFonts w:hint="eastAsia" w:eastAsia="黑体"/>
          <w:b/>
          <w:sz w:val="36"/>
          <w:szCs w:val="36"/>
        </w:rPr>
        <w:t>第二章</w:t>
      </w:r>
      <w:r>
        <w:rPr>
          <w:rFonts w:eastAsia="黑体"/>
          <w:b/>
          <w:sz w:val="36"/>
          <w:szCs w:val="36"/>
        </w:rPr>
        <w:t xml:space="preserve">  </w:t>
      </w:r>
      <w:r>
        <w:rPr>
          <w:rFonts w:hint="eastAsia" w:eastAsia="黑体"/>
          <w:b/>
          <w:sz w:val="36"/>
          <w:szCs w:val="36"/>
        </w:rPr>
        <w:t>采购项目及服务要求</w:t>
      </w:r>
      <w:bookmarkEnd w:id="15"/>
    </w:p>
    <w:p w14:paraId="6AB44EC5">
      <w:pPr>
        <w:widowControl w:val="0"/>
        <w:snapToGrid w:val="0"/>
        <w:spacing w:line="360" w:lineRule="auto"/>
        <w:jc w:val="both"/>
        <w:rPr>
          <w:b/>
          <w:sz w:val="28"/>
        </w:rPr>
      </w:pPr>
    </w:p>
    <w:p w14:paraId="067E4805">
      <w:pPr>
        <w:widowControl w:val="0"/>
        <w:snapToGrid w:val="0"/>
        <w:spacing w:line="360" w:lineRule="auto"/>
        <w:ind w:firstLine="422" w:firstLineChars="150"/>
        <w:jc w:val="left"/>
        <w:outlineLvl w:val="1"/>
        <w:rPr>
          <w:rFonts w:ascii="黑体" w:hAnsi="黑体" w:eastAsia="黑体"/>
          <w:b/>
          <w:color w:val="auto"/>
          <w:sz w:val="28"/>
        </w:rPr>
      </w:pPr>
      <w:bookmarkStart w:id="16" w:name="_Toc12896"/>
      <w:r>
        <w:rPr>
          <w:rFonts w:ascii="黑体" w:hAnsi="黑体" w:eastAsia="黑体"/>
          <w:b/>
          <w:color w:val="auto"/>
          <w:sz w:val="28"/>
        </w:rPr>
        <w:t xml:space="preserve">1. </w:t>
      </w:r>
      <w:r>
        <w:rPr>
          <w:rFonts w:hint="eastAsia" w:ascii="黑体" w:hAnsi="黑体" w:eastAsia="黑体"/>
          <w:b/>
          <w:color w:val="auto"/>
          <w:sz w:val="28"/>
        </w:rPr>
        <w:t>采购项目、标段（包）划分、磋商报价</w:t>
      </w:r>
      <w:bookmarkEnd w:id="16"/>
    </w:p>
    <w:p w14:paraId="1BF74F42">
      <w:pPr>
        <w:widowControl w:val="0"/>
        <w:snapToGrid w:val="0"/>
        <w:spacing w:line="360" w:lineRule="auto"/>
        <w:ind w:firstLine="482" w:firstLineChars="200"/>
        <w:jc w:val="left"/>
        <w:rPr>
          <w:rFonts w:hint="eastAsia" w:ascii="宋体" w:hAnsi="宋体"/>
          <w:color w:val="auto"/>
          <w:sz w:val="24"/>
          <w:szCs w:val="24"/>
          <w:lang w:eastAsia="zh-CN"/>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ascii="宋体" w:hAnsi="宋体"/>
          <w:color w:val="auto"/>
          <w:sz w:val="24"/>
          <w:szCs w:val="24"/>
          <w:lang w:eastAsia="zh-CN"/>
        </w:rPr>
        <w:t>河南省第十五届运动会青少年竞技组（公路自行车、场地自行车）比赛组织服务</w:t>
      </w:r>
    </w:p>
    <w:p w14:paraId="6962AEEA">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标段（包）划分及其服务期服务地点</w:t>
      </w:r>
      <w:r>
        <w:rPr>
          <w:rFonts w:hint="eastAsia"/>
          <w:color w:val="auto"/>
          <w:sz w:val="24"/>
          <w:szCs w:val="24"/>
        </w:rPr>
        <w:t>：本次采购项目划分为</w:t>
      </w:r>
      <w:r>
        <w:rPr>
          <w:rFonts w:hint="eastAsia"/>
          <w:color w:val="auto"/>
          <w:sz w:val="24"/>
          <w:szCs w:val="24"/>
          <w:lang w:val="en-US" w:eastAsia="zh-CN"/>
        </w:rPr>
        <w:t>1</w:t>
      </w:r>
      <w:r>
        <w:rPr>
          <w:rFonts w:hint="eastAsia"/>
          <w:color w:val="auto"/>
          <w:sz w:val="24"/>
          <w:szCs w:val="24"/>
        </w:rPr>
        <w:t>个标段（包）。</w:t>
      </w:r>
    </w:p>
    <w:tbl>
      <w:tblPr>
        <w:tblStyle w:val="17"/>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800"/>
        <w:gridCol w:w="2308"/>
        <w:gridCol w:w="2142"/>
        <w:gridCol w:w="1378"/>
      </w:tblGrid>
      <w:tr w14:paraId="3A74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4" w:type="dxa"/>
            <w:gridSpan w:val="5"/>
            <w:vAlign w:val="center"/>
          </w:tcPr>
          <w:p w14:paraId="1CBA896A">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14:paraId="19C0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76" w:type="dxa"/>
            <w:vAlign w:val="center"/>
          </w:tcPr>
          <w:p w14:paraId="4DD1D010">
            <w:pPr>
              <w:widowControl w:val="0"/>
              <w:snapToGrid w:val="0"/>
              <w:spacing w:line="240" w:lineRule="auto"/>
              <w:jc w:val="center"/>
              <w:rPr>
                <w:b/>
                <w:color w:val="auto"/>
                <w:sz w:val="24"/>
                <w:szCs w:val="24"/>
              </w:rPr>
            </w:pPr>
            <w:r>
              <w:rPr>
                <w:rFonts w:hint="eastAsia"/>
                <w:b/>
                <w:color w:val="auto"/>
                <w:sz w:val="24"/>
                <w:szCs w:val="24"/>
              </w:rPr>
              <w:t>项目名称</w:t>
            </w:r>
          </w:p>
        </w:tc>
        <w:tc>
          <w:tcPr>
            <w:tcW w:w="1800" w:type="dxa"/>
            <w:vAlign w:val="center"/>
          </w:tcPr>
          <w:p w14:paraId="07BB304D">
            <w:pPr>
              <w:widowControl w:val="0"/>
              <w:snapToGrid w:val="0"/>
              <w:spacing w:line="240" w:lineRule="auto"/>
              <w:jc w:val="center"/>
              <w:rPr>
                <w:b/>
                <w:color w:val="auto"/>
                <w:sz w:val="24"/>
                <w:szCs w:val="24"/>
              </w:rPr>
            </w:pPr>
            <w:r>
              <w:rPr>
                <w:rFonts w:hint="eastAsia"/>
                <w:b/>
                <w:color w:val="auto"/>
                <w:sz w:val="24"/>
                <w:szCs w:val="24"/>
              </w:rPr>
              <w:t>标段（包）名称</w:t>
            </w:r>
          </w:p>
        </w:tc>
        <w:tc>
          <w:tcPr>
            <w:tcW w:w="2308" w:type="dxa"/>
            <w:vAlign w:val="center"/>
          </w:tcPr>
          <w:p w14:paraId="2E5FFADD">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2142" w:type="dxa"/>
            <w:vAlign w:val="center"/>
          </w:tcPr>
          <w:p w14:paraId="010F8C9F">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14:paraId="2F661720">
            <w:pPr>
              <w:widowControl w:val="0"/>
              <w:snapToGrid w:val="0"/>
              <w:spacing w:line="240" w:lineRule="auto"/>
              <w:jc w:val="center"/>
              <w:rPr>
                <w:b/>
                <w:color w:val="auto"/>
                <w:sz w:val="24"/>
                <w:szCs w:val="24"/>
              </w:rPr>
            </w:pPr>
            <w:r>
              <w:rPr>
                <w:rFonts w:hint="eastAsia" w:ascii="宋体" w:hAnsi="宋体"/>
                <w:b/>
                <w:color w:val="auto"/>
                <w:sz w:val="24"/>
                <w:szCs w:val="24"/>
              </w:rPr>
              <w:t>（服务期）</w:t>
            </w:r>
          </w:p>
        </w:tc>
        <w:tc>
          <w:tcPr>
            <w:tcW w:w="1378" w:type="dxa"/>
            <w:vAlign w:val="center"/>
          </w:tcPr>
          <w:p w14:paraId="3CE85E0A">
            <w:pPr>
              <w:widowControl w:val="0"/>
              <w:snapToGrid w:val="0"/>
              <w:spacing w:line="240" w:lineRule="auto"/>
              <w:jc w:val="center"/>
              <w:rPr>
                <w:b/>
                <w:color w:val="auto"/>
                <w:sz w:val="24"/>
                <w:szCs w:val="24"/>
              </w:rPr>
            </w:pPr>
            <w:r>
              <w:rPr>
                <w:rFonts w:hint="eastAsia" w:ascii="宋体" w:hAnsi="宋体"/>
                <w:b/>
                <w:color w:val="auto"/>
                <w:sz w:val="24"/>
                <w:szCs w:val="24"/>
              </w:rPr>
              <w:t>服务地点</w:t>
            </w:r>
          </w:p>
        </w:tc>
      </w:tr>
      <w:tr w14:paraId="6B1C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6" w:type="dxa"/>
            <w:vAlign w:val="center"/>
          </w:tcPr>
          <w:p w14:paraId="1D2DE97E">
            <w:pPr>
              <w:widowControl w:val="0"/>
              <w:snapToGrid w:val="0"/>
              <w:spacing w:line="240" w:lineRule="auto"/>
              <w:rPr>
                <w:rFonts w:hint="eastAsia" w:eastAsia="宋体"/>
                <w:color w:val="auto"/>
                <w:sz w:val="24"/>
                <w:szCs w:val="24"/>
                <w:lang w:eastAsia="zh-CN"/>
              </w:rPr>
            </w:pPr>
            <w:r>
              <w:rPr>
                <w:rFonts w:hint="eastAsia"/>
                <w:color w:val="auto"/>
                <w:sz w:val="24"/>
                <w:szCs w:val="24"/>
                <w:lang w:eastAsia="zh-CN"/>
              </w:rPr>
              <w:t>河南省第十五届运动会青少年竞技组（公路自行车、场地自行车）比赛组织服务</w:t>
            </w:r>
          </w:p>
        </w:tc>
        <w:tc>
          <w:tcPr>
            <w:tcW w:w="1800" w:type="dxa"/>
            <w:vAlign w:val="center"/>
          </w:tcPr>
          <w:p w14:paraId="71C9E181">
            <w:pPr>
              <w:widowControl w:val="0"/>
              <w:snapToGrid w:val="0"/>
              <w:spacing w:line="240" w:lineRule="auto"/>
              <w:rPr>
                <w:rFonts w:hint="default" w:eastAsia="宋体"/>
                <w:color w:val="auto"/>
                <w:sz w:val="24"/>
                <w:szCs w:val="24"/>
                <w:lang w:val="en-US" w:eastAsia="zh-CN"/>
              </w:rPr>
            </w:pPr>
            <w:r>
              <w:rPr>
                <w:rFonts w:hint="eastAsia"/>
                <w:color w:val="auto"/>
                <w:sz w:val="24"/>
                <w:szCs w:val="24"/>
                <w:lang w:val="en-US" w:eastAsia="zh-CN"/>
              </w:rPr>
              <w:t>同项目名称</w:t>
            </w:r>
          </w:p>
        </w:tc>
        <w:tc>
          <w:tcPr>
            <w:tcW w:w="2308" w:type="dxa"/>
            <w:vAlign w:val="center"/>
          </w:tcPr>
          <w:p w14:paraId="0C50FA82">
            <w:pPr>
              <w:widowControl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条：标段（包）内容（范围）及服务要求”</w:t>
            </w:r>
          </w:p>
        </w:tc>
        <w:tc>
          <w:tcPr>
            <w:tcW w:w="2142" w:type="dxa"/>
            <w:vAlign w:val="center"/>
          </w:tcPr>
          <w:p w14:paraId="3D57F04B">
            <w:pPr>
              <w:widowControl w:val="0"/>
              <w:snapToGrid w:val="0"/>
              <w:spacing w:line="240" w:lineRule="auto"/>
              <w:rPr>
                <w:color w:val="auto"/>
                <w:sz w:val="24"/>
                <w:szCs w:val="24"/>
              </w:rPr>
            </w:pPr>
            <w:r>
              <w:rPr>
                <w:rFonts w:hint="eastAsia"/>
                <w:color w:val="auto"/>
                <w:sz w:val="24"/>
                <w:szCs w:val="24"/>
              </w:rPr>
              <w:t>见竞争性磋商公告</w:t>
            </w:r>
            <w:r>
              <w:rPr>
                <w:color w:val="auto"/>
                <w:sz w:val="24"/>
                <w:szCs w:val="24"/>
              </w:rPr>
              <w:t>1.6</w:t>
            </w:r>
          </w:p>
        </w:tc>
        <w:tc>
          <w:tcPr>
            <w:tcW w:w="1378" w:type="dxa"/>
            <w:vAlign w:val="center"/>
          </w:tcPr>
          <w:p w14:paraId="1C8EABCF">
            <w:pPr>
              <w:widowControl w:val="0"/>
              <w:snapToGrid w:val="0"/>
              <w:spacing w:line="240" w:lineRule="auto"/>
              <w:rPr>
                <w:color w:val="auto"/>
                <w:sz w:val="24"/>
                <w:szCs w:val="24"/>
              </w:rPr>
            </w:pPr>
            <w:r>
              <w:rPr>
                <w:rFonts w:hint="eastAsia"/>
                <w:color w:val="auto"/>
                <w:sz w:val="24"/>
                <w:szCs w:val="24"/>
              </w:rPr>
              <w:t>采购人指定地点</w:t>
            </w:r>
          </w:p>
        </w:tc>
      </w:tr>
    </w:tbl>
    <w:p w14:paraId="365AE262">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磋商报价（价格构成）</w:t>
      </w:r>
    </w:p>
    <w:p w14:paraId="66CEA93D">
      <w:pPr>
        <w:widowControl w:val="0"/>
        <w:snapToGrid w:val="0"/>
        <w:spacing w:line="360" w:lineRule="auto"/>
        <w:ind w:firstLine="480" w:firstLineChars="200"/>
        <w:jc w:val="left"/>
        <w:rPr>
          <w:color w:val="auto"/>
          <w:sz w:val="24"/>
          <w:szCs w:val="24"/>
        </w:rPr>
      </w:pPr>
      <w:r>
        <w:rPr>
          <w:color w:val="auto"/>
          <w:sz w:val="24"/>
          <w:szCs w:val="24"/>
        </w:rPr>
        <w:t>1.3.1</w:t>
      </w:r>
      <w:r>
        <w:rPr>
          <w:rFonts w:hint="eastAsia"/>
          <w:color w:val="auto"/>
          <w:sz w:val="24"/>
          <w:szCs w:val="24"/>
        </w:rPr>
        <w:t>供应商的磋商报价应为达到服务要求下的目的地交验价</w:t>
      </w:r>
      <w:r>
        <w:rPr>
          <w:rFonts w:hint="eastAsia"/>
          <w:color w:val="FF0000"/>
          <w:sz w:val="24"/>
          <w:szCs w:val="24"/>
        </w:rPr>
        <w:t>，</w:t>
      </w:r>
      <w:r>
        <w:rPr>
          <w:rFonts w:hint="eastAsia"/>
          <w:color w:val="auto"/>
          <w:sz w:val="24"/>
          <w:szCs w:val="24"/>
        </w:rPr>
        <w:t>包括人工费、</w:t>
      </w:r>
      <w:r>
        <w:rPr>
          <w:rFonts w:hint="eastAsia"/>
          <w:color w:val="auto"/>
          <w:sz w:val="24"/>
          <w:szCs w:val="24"/>
          <w:lang w:eastAsia="zh-CN"/>
        </w:rPr>
        <w:t>器材及</w:t>
      </w:r>
      <w:r>
        <w:rPr>
          <w:rFonts w:hint="eastAsia"/>
          <w:color w:val="auto"/>
          <w:sz w:val="24"/>
          <w:szCs w:val="24"/>
        </w:rPr>
        <w:t>材料费、相关税费、交通费、</w:t>
      </w:r>
      <w:r>
        <w:rPr>
          <w:rFonts w:hint="eastAsia"/>
          <w:color w:val="auto"/>
          <w:sz w:val="24"/>
          <w:szCs w:val="24"/>
          <w:lang w:eastAsia="zh-CN"/>
        </w:rPr>
        <w:t>食宿费、劳务费、补助费、场地费、医护费、运营费、</w:t>
      </w:r>
      <w:r>
        <w:rPr>
          <w:rFonts w:hint="eastAsia"/>
          <w:color w:val="auto"/>
          <w:sz w:val="24"/>
          <w:szCs w:val="24"/>
        </w:rPr>
        <w:t>知识产权（如有）、保险、所涉货物包装、技术服务费等与采购项目（标段（包））相关的、必须的款项及费用（包括未列明而完成交验所必须的所有费用、材料、工具、设施）。</w:t>
      </w:r>
      <w:r>
        <w:rPr>
          <w:rFonts w:hint="eastAsia" w:ascii="宋体" w:hAnsi="宋体"/>
          <w:color w:val="auto"/>
          <w:sz w:val="24"/>
          <w:szCs w:val="24"/>
        </w:rPr>
        <w:t>成交价格在成交合同范围内固定不变。</w:t>
      </w:r>
    </w:p>
    <w:p w14:paraId="20875816">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本次竞争性磋商共二次报价（含系统中</w:t>
      </w:r>
      <w:r>
        <w:rPr>
          <w:rFonts w:hint="eastAsia"/>
          <w:b/>
          <w:color w:val="auto"/>
          <w:sz w:val="24"/>
          <w:szCs w:val="24"/>
        </w:rPr>
        <w:t>开标一览表</w:t>
      </w:r>
      <w:r>
        <w:rPr>
          <w:rFonts w:hint="eastAsia"/>
          <w:color w:val="auto"/>
          <w:sz w:val="24"/>
          <w:szCs w:val="24"/>
        </w:rPr>
        <w:t>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49C48227">
      <w:pPr>
        <w:autoSpaceDE w:val="0"/>
        <w:autoSpaceDN w:val="0"/>
        <w:adjustRightInd w:val="0"/>
        <w:snapToGrid w:val="0"/>
        <w:spacing w:before="120" w:beforeLines="50" w:line="300" w:lineRule="auto"/>
        <w:ind w:firstLine="569" w:firstLineChars="236"/>
        <w:jc w:val="left"/>
        <w:rPr>
          <w:b/>
          <w:color w:val="auto"/>
          <w:sz w:val="24"/>
          <w:szCs w:val="24"/>
        </w:rPr>
      </w:pPr>
      <w:r>
        <w:rPr>
          <w:rFonts w:hint="eastAsia"/>
          <w:b/>
          <w:color w:val="auto"/>
          <w:sz w:val="24"/>
          <w:szCs w:val="24"/>
        </w:rPr>
        <w:t>价</w:t>
      </w:r>
      <w:r>
        <w:rPr>
          <w:b/>
          <w:color w:val="auto"/>
          <w:sz w:val="24"/>
          <w:szCs w:val="24"/>
        </w:rPr>
        <w:t>格</w:t>
      </w:r>
      <w:r>
        <w:rPr>
          <w:rFonts w:hint="eastAsia"/>
          <w:b/>
          <w:color w:val="auto"/>
          <w:sz w:val="24"/>
          <w:szCs w:val="24"/>
        </w:rPr>
        <w:t>磋商</w:t>
      </w:r>
      <w:r>
        <w:rPr>
          <w:b/>
          <w:color w:val="auto"/>
          <w:sz w:val="24"/>
          <w:szCs w:val="24"/>
        </w:rPr>
        <w:t>规</w:t>
      </w:r>
      <w:r>
        <w:rPr>
          <w:rFonts w:hint="eastAsia"/>
          <w:b/>
          <w:color w:val="auto"/>
          <w:sz w:val="24"/>
          <w:szCs w:val="24"/>
        </w:rPr>
        <w:t>则</w:t>
      </w:r>
      <w:r>
        <w:rPr>
          <w:b/>
          <w:color w:val="auto"/>
          <w:sz w:val="24"/>
          <w:szCs w:val="24"/>
        </w:rPr>
        <w:t>详见第四章</w:t>
      </w:r>
      <w:r>
        <w:rPr>
          <w:rFonts w:hint="eastAsia"/>
          <w:b/>
          <w:color w:val="auto"/>
          <w:sz w:val="24"/>
          <w:szCs w:val="24"/>
        </w:rPr>
        <w:t>“评审办法”</w:t>
      </w:r>
      <w:r>
        <w:rPr>
          <w:b/>
          <w:color w:val="auto"/>
          <w:sz w:val="24"/>
          <w:szCs w:val="24"/>
        </w:rPr>
        <w:t>第</w:t>
      </w:r>
      <w:r>
        <w:rPr>
          <w:rFonts w:hint="eastAsia"/>
          <w:b/>
          <w:color w:val="auto"/>
          <w:sz w:val="24"/>
          <w:szCs w:val="24"/>
        </w:rPr>
        <w:t>“</w:t>
      </w:r>
      <w:r>
        <w:rPr>
          <w:b/>
          <w:color w:val="auto"/>
          <w:sz w:val="24"/>
          <w:szCs w:val="24"/>
        </w:rPr>
        <w:t>3.</w:t>
      </w:r>
      <w:r>
        <w:rPr>
          <w:rFonts w:hint="eastAsia"/>
          <w:b/>
          <w:color w:val="auto"/>
          <w:sz w:val="24"/>
          <w:szCs w:val="24"/>
        </w:rPr>
        <w:t>4</w:t>
      </w:r>
      <w:r>
        <w:rPr>
          <w:b/>
          <w:color w:val="auto"/>
          <w:sz w:val="24"/>
          <w:szCs w:val="24"/>
        </w:rPr>
        <w:t xml:space="preserve">.7 </w:t>
      </w:r>
      <w:r>
        <w:rPr>
          <w:rFonts w:hint="eastAsia"/>
          <w:b/>
          <w:color w:val="auto"/>
          <w:sz w:val="24"/>
          <w:szCs w:val="24"/>
        </w:rPr>
        <w:t>价格磋商”</w:t>
      </w:r>
      <w:r>
        <w:rPr>
          <w:b/>
          <w:color w:val="auto"/>
          <w:sz w:val="24"/>
          <w:szCs w:val="24"/>
        </w:rPr>
        <w:t>条款</w:t>
      </w:r>
      <w:r>
        <w:rPr>
          <w:rFonts w:hint="eastAsia"/>
          <w:b/>
          <w:color w:val="auto"/>
          <w:sz w:val="24"/>
          <w:szCs w:val="24"/>
        </w:rPr>
        <w:t>。</w:t>
      </w:r>
    </w:p>
    <w:p w14:paraId="34057596">
      <w:pPr>
        <w:widowControl w:val="0"/>
        <w:snapToGrid w:val="0"/>
        <w:spacing w:line="360" w:lineRule="auto"/>
        <w:ind w:firstLine="480" w:firstLineChars="200"/>
        <w:jc w:val="left"/>
        <w:rPr>
          <w:color w:val="auto"/>
          <w:sz w:val="24"/>
          <w:szCs w:val="24"/>
        </w:rPr>
      </w:pPr>
    </w:p>
    <w:p w14:paraId="75A9BF41">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如供应商的磋商报价未超过</w:t>
      </w:r>
      <w:r>
        <w:rPr>
          <w:rFonts w:hint="eastAsia" w:ascii="宋体" w:hAnsi="宋体" w:cs="楷体_GB2312"/>
          <w:bCs/>
          <w:color w:val="auto"/>
          <w:sz w:val="24"/>
          <w:lang w:val="zh-CN"/>
        </w:rPr>
        <w:t>预算金额</w:t>
      </w:r>
      <w:r>
        <w:rPr>
          <w:rFonts w:hint="eastAsia"/>
          <w:color w:val="auto"/>
          <w:sz w:val="24"/>
          <w:szCs w:val="24"/>
        </w:rPr>
        <w:t>（见竞争性磋商公告</w:t>
      </w:r>
      <w:r>
        <w:rPr>
          <w:color w:val="auto"/>
          <w:sz w:val="24"/>
          <w:szCs w:val="24"/>
        </w:rPr>
        <w:t>1.</w:t>
      </w:r>
      <w:r>
        <w:rPr>
          <w:rFonts w:hint="eastAsia"/>
          <w:color w:val="auto"/>
          <w:sz w:val="24"/>
          <w:szCs w:val="24"/>
        </w:rPr>
        <w:t>4）的供应商不足三家的，该标段（包）做废标处理。</w:t>
      </w:r>
    </w:p>
    <w:p w14:paraId="49576577">
      <w:pPr>
        <w:widowControl w:val="0"/>
        <w:snapToGrid w:val="0"/>
        <w:spacing w:line="360" w:lineRule="auto"/>
        <w:ind w:firstLine="480" w:firstLineChars="200"/>
        <w:jc w:val="left"/>
        <w:rPr>
          <w:color w:val="auto"/>
          <w:sz w:val="24"/>
          <w:szCs w:val="24"/>
        </w:rPr>
      </w:pPr>
      <w:r>
        <w:rPr>
          <w:color w:val="auto"/>
          <w:sz w:val="24"/>
          <w:szCs w:val="24"/>
        </w:rPr>
        <w:t>1.3.4</w:t>
      </w:r>
      <w:r>
        <w:rPr>
          <w:rFonts w:hint="eastAsia"/>
          <w:color w:val="auto"/>
          <w:sz w:val="24"/>
          <w:szCs w:val="24"/>
        </w:rPr>
        <w:t>遵循第三章供应商须知</w:t>
      </w:r>
      <w:r>
        <w:rPr>
          <w:color w:val="auto"/>
          <w:sz w:val="24"/>
          <w:szCs w:val="24"/>
        </w:rPr>
        <w:t>3.7.</w:t>
      </w:r>
      <w:r>
        <w:rPr>
          <w:rFonts w:hint="eastAsia"/>
          <w:color w:val="auto"/>
          <w:sz w:val="24"/>
          <w:szCs w:val="24"/>
        </w:rPr>
        <w:t>5项规定。</w:t>
      </w:r>
    </w:p>
    <w:p w14:paraId="2D501D5C">
      <w:pPr>
        <w:spacing w:line="560" w:lineRule="exact"/>
        <w:ind w:firstLine="562" w:firstLineChars="200"/>
        <w:rPr>
          <w:rFonts w:ascii="黑体" w:hAnsi="黑体" w:eastAsia="黑体"/>
          <w:b/>
          <w:color w:val="auto"/>
          <w:sz w:val="28"/>
        </w:rPr>
      </w:pPr>
    </w:p>
    <w:p w14:paraId="10337AF2">
      <w:pPr>
        <w:spacing w:line="560" w:lineRule="exact"/>
        <w:ind w:firstLine="562" w:firstLineChars="200"/>
        <w:outlineLvl w:val="1"/>
        <w:rPr>
          <w:rFonts w:ascii="黑体" w:hAnsi="黑体" w:eastAsia="黑体"/>
          <w:b/>
          <w:color w:val="auto"/>
          <w:sz w:val="28"/>
        </w:rPr>
      </w:pPr>
      <w:bookmarkStart w:id="17" w:name="_Toc30716"/>
      <w:r>
        <w:rPr>
          <w:rFonts w:ascii="黑体" w:hAnsi="黑体" w:eastAsia="黑体"/>
          <w:b/>
          <w:color w:val="auto"/>
          <w:sz w:val="28"/>
        </w:rPr>
        <w:t xml:space="preserve">2. </w:t>
      </w:r>
      <w:r>
        <w:rPr>
          <w:rFonts w:hint="eastAsia" w:ascii="黑体" w:hAnsi="黑体" w:eastAsia="黑体"/>
          <w:b/>
          <w:color w:val="auto"/>
          <w:sz w:val="28"/>
        </w:rPr>
        <w:t>标段（包）内容（范围）及服务要求</w:t>
      </w:r>
      <w:bookmarkEnd w:id="17"/>
    </w:p>
    <w:p w14:paraId="3AD2F724">
      <w:pPr>
        <w:adjustRightInd w:val="0"/>
        <w:snapToGrid w:val="0"/>
        <w:spacing w:before="120" w:beforeLines="50" w:line="300" w:lineRule="auto"/>
        <w:ind w:firstLine="482" w:firstLineChars="200"/>
        <w:rPr>
          <w:rFonts w:hint="eastAsia"/>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总体服务（方案）要求及标段（包）内容（范围）：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14:paraId="349A9F9A">
      <w:pPr>
        <w:adjustRightInd w:val="0"/>
        <w:snapToGrid w:val="0"/>
        <w:spacing w:before="120"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w:t>
      </w:r>
      <w:r>
        <w:rPr>
          <w:rFonts w:ascii="黑体" w:hAnsi="黑体" w:eastAsia="黑体"/>
          <w:b/>
          <w:color w:val="auto"/>
          <w:sz w:val="24"/>
          <w:szCs w:val="24"/>
        </w:rPr>
        <w:t xml:space="preserve"> </w:t>
      </w:r>
      <w:r>
        <w:rPr>
          <w:rFonts w:hint="eastAsia" w:ascii="黑体" w:hAnsi="黑体" w:eastAsia="黑体"/>
          <w:b/>
          <w:color w:val="auto"/>
          <w:sz w:val="24"/>
          <w:szCs w:val="24"/>
        </w:rPr>
        <w:t>项目落实的政府采购政策（法规标准条款）</w:t>
      </w:r>
    </w:p>
    <w:p w14:paraId="7C19D7AE">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w:t>
      </w:r>
      <w:r>
        <w:rPr>
          <w:rFonts w:ascii="宋体" w:hAnsi="宋体" w:cs="宋体"/>
          <w:sz w:val="24"/>
          <w:szCs w:val="24"/>
        </w:rPr>
        <w:t>当具有</w:t>
      </w:r>
      <w:r>
        <w:rPr>
          <w:rFonts w:hint="eastAsia" w:ascii="宋体" w:hAnsi="宋体" w:cs="宋体"/>
          <w:sz w:val="24"/>
          <w:szCs w:val="24"/>
        </w:rPr>
        <w:t>相</w:t>
      </w:r>
      <w:r>
        <w:rPr>
          <w:rFonts w:ascii="宋体" w:hAnsi="宋体" w:cs="宋体"/>
          <w:sz w:val="24"/>
          <w:szCs w:val="24"/>
        </w:rPr>
        <w:t>应</w:t>
      </w:r>
      <w:r>
        <w:rPr>
          <w:rFonts w:hint="eastAsia" w:ascii="宋体" w:hAnsi="宋体" w:cs="宋体"/>
          <w:sz w:val="24"/>
          <w:szCs w:val="24"/>
        </w:rPr>
        <w:t>的认证证书（认证证书应当为国家确定的认证机构出具、且应处于有效期之内</w:t>
      </w:r>
      <w:r>
        <w:rPr>
          <w:rFonts w:ascii="宋体" w:hAnsi="宋体" w:cs="宋体"/>
          <w:sz w:val="24"/>
          <w:szCs w:val="24"/>
        </w:rPr>
        <w:t>）</w:t>
      </w:r>
      <w:r>
        <w:rPr>
          <w:rFonts w:hint="eastAsia" w:ascii="宋体" w:hAnsi="宋体" w:cs="宋体"/>
          <w:sz w:val="24"/>
          <w:szCs w:val="24"/>
        </w:rPr>
        <w:t>，投</w:t>
      </w:r>
      <w:r>
        <w:rPr>
          <w:rFonts w:ascii="宋体" w:hAnsi="宋体" w:cs="宋体"/>
          <w:sz w:val="24"/>
          <w:szCs w:val="24"/>
        </w:rPr>
        <w:t>标文件中应当提供</w:t>
      </w:r>
      <w:r>
        <w:rPr>
          <w:rFonts w:hint="eastAsia" w:ascii="宋体" w:hAnsi="宋体" w:cs="宋体"/>
          <w:sz w:val="24"/>
          <w:szCs w:val="24"/>
        </w:rPr>
        <w:t>相</w:t>
      </w:r>
      <w:r>
        <w:rPr>
          <w:rFonts w:ascii="宋体" w:hAnsi="宋体" w:cs="宋体"/>
          <w:sz w:val="24"/>
          <w:szCs w:val="24"/>
        </w:rPr>
        <w:t>应</w:t>
      </w:r>
      <w:r>
        <w:rPr>
          <w:rFonts w:hint="eastAsia" w:ascii="宋体" w:hAnsi="宋体" w:cs="宋体"/>
          <w:sz w:val="24"/>
          <w:szCs w:val="24"/>
        </w:rPr>
        <w:t>的认证</w:t>
      </w:r>
      <w:r>
        <w:rPr>
          <w:rFonts w:hint="eastAsia" w:ascii="宋体" w:hAnsi="宋体" w:cs="宋体"/>
          <w:color w:val="auto"/>
          <w:sz w:val="24"/>
          <w:szCs w:val="24"/>
          <w:highlight w:val="none"/>
        </w:rPr>
        <w:t>证书（认证证书应当为国家确定的认证机构出具、且应处于有效期之内）。</w:t>
      </w:r>
    </w:p>
    <w:p w14:paraId="4AF6DCE8">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9E78CFF">
      <w:pPr>
        <w:adjustRightInd w:val="0"/>
        <w:snapToGrid w:val="0"/>
        <w:spacing w:before="120"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6EA54B77">
      <w:pPr>
        <w:adjustRightInd w:val="0"/>
        <w:snapToGrid w:val="0"/>
        <w:spacing w:before="120"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5D582C7D">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4DEB3662">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02FA3912">
      <w:pPr>
        <w:adjustRightInd w:val="0"/>
        <w:snapToGrid w:val="0"/>
        <w:spacing w:before="120"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2AAE25EA">
      <w:pPr>
        <w:adjustRightInd w:val="0"/>
        <w:snapToGrid w:val="0"/>
        <w:spacing w:before="120" w:beforeLines="50" w:line="300" w:lineRule="auto"/>
        <w:ind w:firstLine="480" w:firstLineChars="200"/>
        <w:rPr>
          <w:rFonts w:ascii="宋体" w:hAnsi="宋体"/>
          <w:sz w:val="24"/>
          <w:szCs w:val="24"/>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w:t>
      </w:r>
      <w:r>
        <w:rPr>
          <w:rFonts w:hint="eastAsia" w:ascii="宋体" w:hAnsi="宋体"/>
          <w:sz w:val="24"/>
          <w:szCs w:val="24"/>
        </w:rPr>
        <w:t>评审办法”第</w:t>
      </w:r>
      <w:r>
        <w:rPr>
          <w:rFonts w:ascii="宋体" w:hAnsi="宋体"/>
          <w:sz w:val="24"/>
          <w:szCs w:val="24"/>
        </w:rPr>
        <w:t>4</w:t>
      </w:r>
      <w:r>
        <w:rPr>
          <w:rFonts w:hint="eastAsia" w:ascii="宋体" w:hAnsi="宋体"/>
          <w:sz w:val="24"/>
          <w:szCs w:val="24"/>
        </w:rPr>
        <w:t>条。</w:t>
      </w:r>
    </w:p>
    <w:p w14:paraId="5C632D1A">
      <w:pPr>
        <w:adjustRightInd w:val="0"/>
        <w:snapToGrid w:val="0"/>
        <w:spacing w:before="120" w:beforeLines="50" w:line="30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8促进残疾人就业、支持监狱企业发展：见第四章“评审办法”第</w:t>
      </w:r>
      <w:r>
        <w:rPr>
          <w:rFonts w:ascii="宋体" w:hAnsi="宋体"/>
          <w:sz w:val="24"/>
          <w:szCs w:val="24"/>
        </w:rPr>
        <w:t>4</w:t>
      </w:r>
      <w:r>
        <w:rPr>
          <w:rFonts w:hint="eastAsia" w:ascii="宋体" w:hAnsi="宋体"/>
          <w:sz w:val="24"/>
          <w:szCs w:val="24"/>
        </w:rPr>
        <w:t>条。</w:t>
      </w:r>
    </w:p>
    <w:p w14:paraId="5C216D3D">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9</w:t>
      </w:r>
      <w:r>
        <w:rPr>
          <w:rFonts w:ascii="宋体" w:hAnsi="宋体"/>
          <w:sz w:val="24"/>
          <w:szCs w:val="24"/>
        </w:rPr>
        <w:t xml:space="preserve"> </w:t>
      </w:r>
      <w:r>
        <w:rPr>
          <w:rFonts w:hint="eastAsia" w:ascii="宋体" w:hAnsi="宋体"/>
          <w:sz w:val="24"/>
          <w:szCs w:val="24"/>
        </w:rPr>
        <w:t>所供</w:t>
      </w:r>
      <w:r>
        <w:rPr>
          <w:rFonts w:hint="eastAsia" w:ascii="宋体" w:hAnsi="宋体"/>
          <w:color w:val="auto"/>
          <w:sz w:val="24"/>
          <w:szCs w:val="24"/>
        </w:rPr>
        <w:t>产品</w:t>
      </w:r>
      <w:r>
        <w:rPr>
          <w:rFonts w:hint="eastAsia" w:ascii="宋体" w:hAnsi="宋体"/>
          <w:color w:val="auto"/>
          <w:sz w:val="24"/>
          <w:szCs w:val="24"/>
          <w:highlight w:val="none"/>
        </w:rPr>
        <w:t>有商品包装的应当使用绿色包装。所供产品有其他环保政策要求的，应符合相关环保法律政策要求。</w:t>
      </w:r>
    </w:p>
    <w:p w14:paraId="152DF5D0">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4D7A1333">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2.2.11 执行《国务院办公厅关于在政府采购中实施本国产品标准及相关政策的通知》。</w:t>
      </w:r>
    </w:p>
    <w:p w14:paraId="7A371B5B">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52288ED7">
      <w:pPr>
        <w:widowControl w:val="0"/>
        <w:adjustRightInd w:val="0"/>
        <w:snapToGrid w:val="0"/>
        <w:spacing w:before="120" w:beforeLines="50" w:line="300" w:lineRule="auto"/>
        <w:ind w:left="22" w:firstLine="555"/>
        <w:rPr>
          <w:sz w:val="24"/>
          <w:szCs w:val="24"/>
        </w:rPr>
      </w:pPr>
      <w:r>
        <w:rPr>
          <w:rFonts w:hint="eastAsia"/>
          <w:color w:val="auto"/>
          <w:sz w:val="24"/>
          <w:szCs w:val="24"/>
          <w:highlight w:val="none"/>
        </w:rPr>
        <w:t>供应商所报响应服务（及所涉货物材料设施）应符合国家质量标准、部颁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w:t>
      </w:r>
    </w:p>
    <w:p w14:paraId="452ADD86">
      <w:pPr>
        <w:spacing w:line="56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4具体服务要求及标段（包）内容（范围）</w:t>
      </w:r>
    </w:p>
    <w:p w14:paraId="01D7362E">
      <w:pPr>
        <w:spacing w:line="560" w:lineRule="exact"/>
        <w:ind w:firstLine="482" w:firstLineChars="200"/>
        <w:rPr>
          <w:rFonts w:hint="eastAsia" w:ascii="黑体" w:hAnsi="黑体" w:eastAsia="黑体"/>
          <w:b/>
          <w:color w:val="auto"/>
          <w:sz w:val="24"/>
          <w:szCs w:val="24"/>
          <w:highlight w:val="none"/>
          <w:lang w:eastAsia="zh-CN"/>
        </w:rPr>
      </w:pPr>
      <w:r>
        <w:rPr>
          <w:rFonts w:hint="eastAsia" w:ascii="黑体" w:hAnsi="黑体" w:eastAsia="黑体"/>
          <w:b/>
          <w:color w:val="auto"/>
          <w:sz w:val="24"/>
          <w:szCs w:val="24"/>
          <w:highlight w:val="none"/>
        </w:rPr>
        <w:t>一、</w:t>
      </w:r>
      <w:r>
        <w:rPr>
          <w:rFonts w:hint="eastAsia" w:ascii="黑体" w:hAnsi="黑体" w:eastAsia="黑体"/>
          <w:b/>
          <w:color w:val="auto"/>
          <w:sz w:val="24"/>
          <w:szCs w:val="24"/>
          <w:highlight w:val="none"/>
          <w:lang w:eastAsia="zh-CN"/>
        </w:rPr>
        <w:t>服务要求</w:t>
      </w:r>
    </w:p>
    <w:p w14:paraId="334B46DC">
      <w:pPr>
        <w:widowControl w:val="0"/>
        <w:adjustRightInd w:val="0"/>
        <w:snapToGrid w:val="0"/>
        <w:spacing w:before="120" w:beforeLines="50" w:line="300" w:lineRule="auto"/>
        <w:ind w:left="22" w:firstLine="555"/>
        <w:rPr>
          <w:rFonts w:ascii="黑体" w:hAnsi="黑体" w:eastAsia="黑体"/>
          <w:b/>
          <w:color w:val="auto"/>
          <w:sz w:val="24"/>
          <w:szCs w:val="24"/>
          <w:highlight w:val="none"/>
        </w:rPr>
      </w:pPr>
      <w:r>
        <w:rPr>
          <w:rFonts w:hint="eastAsia" w:ascii="Times New Roman" w:hAnsi="Times New Roman" w:eastAsia="宋体" w:cs="Times New Roman"/>
          <w:color w:val="auto"/>
          <w:sz w:val="24"/>
          <w:szCs w:val="24"/>
          <w:highlight w:val="none"/>
          <w:lang w:val="en-US" w:eastAsia="zh-CN"/>
        </w:rPr>
        <w:t>成交供应商必须熟悉竞赛政策和赛事流程，并且要有办赛经验。包括但不限于承担运动员、裁判员的食宿、交通、医疗以及保证比赛顺利进行的器材、宣传、裁判员用品等费用。负责比赛活动全程的统筹管理、协调等服务工作。</w:t>
      </w:r>
    </w:p>
    <w:p w14:paraId="29203E37">
      <w:pPr>
        <w:spacing w:line="560" w:lineRule="exact"/>
        <w:ind w:firstLine="482" w:firstLineChars="200"/>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二、赛事</w:t>
      </w:r>
      <w:r>
        <w:rPr>
          <w:rFonts w:hint="eastAsia" w:ascii="黑体" w:hAnsi="黑体" w:eastAsia="黑体"/>
          <w:b/>
          <w:color w:val="auto"/>
          <w:sz w:val="24"/>
          <w:szCs w:val="24"/>
          <w:highlight w:val="none"/>
          <w:lang w:val="en-US" w:eastAsia="zh-CN"/>
        </w:rPr>
        <w:t>所需器材</w:t>
      </w:r>
      <w:r>
        <w:rPr>
          <w:rFonts w:hint="eastAsia" w:ascii="黑体" w:hAnsi="黑体" w:eastAsia="黑体"/>
          <w:b/>
          <w:color w:val="auto"/>
          <w:sz w:val="24"/>
          <w:szCs w:val="24"/>
          <w:highlight w:val="none"/>
        </w:rPr>
        <w:t>清单：</w:t>
      </w:r>
    </w:p>
    <w:p w14:paraId="18F0B57C">
      <w:pPr>
        <w:widowControl w:val="0"/>
        <w:adjustRightInd w:val="0"/>
        <w:snapToGrid w:val="0"/>
        <w:spacing w:before="120" w:beforeLines="50" w:line="300" w:lineRule="auto"/>
        <w:ind w:left="22" w:firstLine="555"/>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w:t>
      </w:r>
      <w:r>
        <w:rPr>
          <w:rFonts w:hint="eastAsia" w:cs="Times New Roman"/>
          <w:color w:val="auto"/>
          <w:sz w:val="24"/>
          <w:szCs w:val="24"/>
          <w:highlight w:val="none"/>
          <w:lang w:val="en-US" w:eastAsia="zh-CN"/>
        </w:rPr>
        <w:t>公路</w:t>
      </w:r>
      <w:r>
        <w:rPr>
          <w:rFonts w:hint="eastAsia" w:ascii="Times New Roman" w:hAnsi="Times New Roman" w:eastAsia="宋体" w:cs="Times New Roman"/>
          <w:color w:val="auto"/>
          <w:sz w:val="24"/>
          <w:szCs w:val="24"/>
          <w:highlight w:val="none"/>
          <w:lang w:val="en-US" w:eastAsia="zh-CN"/>
        </w:rPr>
        <w:t>自行车比赛器材清单</w:t>
      </w:r>
    </w:p>
    <w:tbl>
      <w:tblPr>
        <w:tblStyle w:val="74"/>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5228"/>
        <w:gridCol w:w="950"/>
        <w:gridCol w:w="1144"/>
        <w:gridCol w:w="1473"/>
      </w:tblGrid>
      <w:tr w14:paraId="3022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419" w:type="dxa"/>
            <w:gridSpan w:val="5"/>
            <w:vAlign w:val="top"/>
          </w:tcPr>
          <w:p w14:paraId="5CEE7CD3">
            <w:pPr>
              <w:pStyle w:val="73"/>
              <w:spacing w:before="183" w:line="219" w:lineRule="auto"/>
              <w:ind w:left="3175"/>
              <w:rPr>
                <w:color w:val="auto"/>
                <w:sz w:val="24"/>
                <w:szCs w:val="24"/>
                <w:highlight w:val="none"/>
              </w:rPr>
            </w:pPr>
            <w:r>
              <w:rPr>
                <w:color w:val="auto"/>
                <w:sz w:val="24"/>
                <w:szCs w:val="24"/>
                <w:highlight w:val="none"/>
              </w:rPr>
              <w:t>省运会公路自行车比赛器材清单</w:t>
            </w:r>
          </w:p>
        </w:tc>
      </w:tr>
      <w:tr w14:paraId="09D8A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624" w:type="dxa"/>
            <w:vAlign w:val="top"/>
          </w:tcPr>
          <w:p w14:paraId="3718567E">
            <w:pPr>
              <w:pStyle w:val="73"/>
              <w:spacing w:before="182" w:line="221" w:lineRule="auto"/>
              <w:ind w:left="75"/>
              <w:rPr>
                <w:color w:val="auto"/>
                <w:sz w:val="24"/>
                <w:szCs w:val="24"/>
                <w:highlight w:val="none"/>
              </w:rPr>
            </w:pPr>
            <w:r>
              <w:rPr>
                <w:color w:val="auto"/>
                <w:spacing w:val="7"/>
                <w:sz w:val="24"/>
                <w:szCs w:val="24"/>
                <w:highlight w:val="none"/>
              </w:rPr>
              <w:t>序号</w:t>
            </w:r>
          </w:p>
        </w:tc>
        <w:tc>
          <w:tcPr>
            <w:tcW w:w="5228" w:type="dxa"/>
            <w:vAlign w:val="top"/>
          </w:tcPr>
          <w:p w14:paraId="371FAFB7">
            <w:pPr>
              <w:pStyle w:val="73"/>
              <w:spacing w:before="179" w:line="219" w:lineRule="auto"/>
              <w:ind w:left="2201"/>
              <w:rPr>
                <w:color w:val="auto"/>
                <w:sz w:val="24"/>
                <w:szCs w:val="24"/>
                <w:highlight w:val="none"/>
              </w:rPr>
            </w:pPr>
            <w:r>
              <w:rPr>
                <w:color w:val="auto"/>
                <w:spacing w:val="3"/>
                <w:sz w:val="24"/>
                <w:szCs w:val="24"/>
                <w:highlight w:val="none"/>
              </w:rPr>
              <w:t>器材名称</w:t>
            </w:r>
          </w:p>
        </w:tc>
        <w:tc>
          <w:tcPr>
            <w:tcW w:w="950" w:type="dxa"/>
            <w:vAlign w:val="top"/>
          </w:tcPr>
          <w:p w14:paraId="675ABC4C">
            <w:pPr>
              <w:pStyle w:val="73"/>
              <w:spacing w:before="181" w:line="220" w:lineRule="auto"/>
              <w:ind w:left="247"/>
              <w:rPr>
                <w:color w:val="auto"/>
                <w:sz w:val="24"/>
                <w:szCs w:val="24"/>
                <w:highlight w:val="none"/>
              </w:rPr>
            </w:pPr>
            <w:r>
              <w:rPr>
                <w:color w:val="auto"/>
                <w:spacing w:val="4"/>
                <w:sz w:val="24"/>
                <w:szCs w:val="24"/>
                <w:highlight w:val="none"/>
              </w:rPr>
              <w:t>单位</w:t>
            </w:r>
          </w:p>
        </w:tc>
        <w:tc>
          <w:tcPr>
            <w:tcW w:w="1144" w:type="dxa"/>
            <w:vAlign w:val="top"/>
          </w:tcPr>
          <w:p w14:paraId="69E81D69">
            <w:pPr>
              <w:pStyle w:val="73"/>
              <w:spacing w:before="181" w:line="219" w:lineRule="auto"/>
              <w:ind w:left="347"/>
              <w:rPr>
                <w:color w:val="auto"/>
                <w:sz w:val="24"/>
                <w:szCs w:val="24"/>
                <w:highlight w:val="none"/>
              </w:rPr>
            </w:pPr>
            <w:r>
              <w:rPr>
                <w:color w:val="auto"/>
                <w:spacing w:val="4"/>
                <w:sz w:val="24"/>
                <w:szCs w:val="24"/>
                <w:highlight w:val="none"/>
              </w:rPr>
              <w:t>数量</w:t>
            </w:r>
          </w:p>
        </w:tc>
        <w:tc>
          <w:tcPr>
            <w:tcW w:w="1473" w:type="dxa"/>
            <w:vAlign w:val="top"/>
          </w:tcPr>
          <w:p w14:paraId="28B270B8">
            <w:pPr>
              <w:pStyle w:val="73"/>
              <w:spacing w:before="182" w:line="221" w:lineRule="auto"/>
              <w:ind w:left="509"/>
              <w:rPr>
                <w:color w:val="auto"/>
                <w:sz w:val="24"/>
                <w:szCs w:val="24"/>
                <w:highlight w:val="none"/>
              </w:rPr>
            </w:pPr>
            <w:r>
              <w:rPr>
                <w:color w:val="auto"/>
                <w:spacing w:val="6"/>
                <w:sz w:val="24"/>
                <w:szCs w:val="24"/>
                <w:highlight w:val="none"/>
              </w:rPr>
              <w:t>备注</w:t>
            </w:r>
          </w:p>
        </w:tc>
      </w:tr>
      <w:tr w14:paraId="4382D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624" w:type="dxa"/>
            <w:vAlign w:val="top"/>
          </w:tcPr>
          <w:p w14:paraId="088FCFF0">
            <w:pPr>
              <w:pStyle w:val="73"/>
              <w:spacing w:before="216" w:line="241" w:lineRule="auto"/>
              <w:ind w:left="255"/>
              <w:rPr>
                <w:color w:val="auto"/>
                <w:sz w:val="24"/>
                <w:szCs w:val="24"/>
                <w:highlight w:val="none"/>
              </w:rPr>
            </w:pPr>
            <w:r>
              <w:rPr>
                <w:color w:val="auto"/>
                <w:sz w:val="24"/>
                <w:szCs w:val="24"/>
                <w:highlight w:val="none"/>
              </w:rPr>
              <w:t>1</w:t>
            </w:r>
          </w:p>
        </w:tc>
        <w:tc>
          <w:tcPr>
            <w:tcW w:w="5228" w:type="dxa"/>
            <w:vAlign w:val="top"/>
          </w:tcPr>
          <w:p w14:paraId="7E56B629">
            <w:pPr>
              <w:pStyle w:val="73"/>
              <w:spacing w:before="194" w:line="221" w:lineRule="auto"/>
              <w:ind w:left="2201"/>
              <w:rPr>
                <w:color w:val="auto"/>
                <w:sz w:val="24"/>
                <w:szCs w:val="24"/>
                <w:highlight w:val="none"/>
              </w:rPr>
            </w:pPr>
            <w:r>
              <w:rPr>
                <w:color w:val="auto"/>
                <w:spacing w:val="2"/>
                <w:sz w:val="24"/>
                <w:szCs w:val="24"/>
                <w:highlight w:val="none"/>
              </w:rPr>
              <w:t>计时系统</w:t>
            </w:r>
          </w:p>
        </w:tc>
        <w:tc>
          <w:tcPr>
            <w:tcW w:w="950" w:type="dxa"/>
            <w:vAlign w:val="top"/>
          </w:tcPr>
          <w:p w14:paraId="121D8805">
            <w:pPr>
              <w:pStyle w:val="73"/>
              <w:spacing w:before="193" w:line="220" w:lineRule="auto"/>
              <w:ind w:left="367"/>
              <w:rPr>
                <w:color w:val="auto"/>
                <w:sz w:val="24"/>
                <w:szCs w:val="24"/>
                <w:highlight w:val="none"/>
              </w:rPr>
            </w:pPr>
            <w:r>
              <w:rPr>
                <w:color w:val="auto"/>
                <w:sz w:val="24"/>
                <w:szCs w:val="24"/>
                <w:highlight w:val="none"/>
              </w:rPr>
              <w:t>套</w:t>
            </w:r>
          </w:p>
        </w:tc>
        <w:tc>
          <w:tcPr>
            <w:tcW w:w="1144" w:type="dxa"/>
            <w:vAlign w:val="top"/>
          </w:tcPr>
          <w:p w14:paraId="191C31ED">
            <w:pPr>
              <w:pStyle w:val="73"/>
              <w:spacing w:before="216" w:line="241" w:lineRule="auto"/>
              <w:ind w:left="528"/>
              <w:rPr>
                <w:color w:val="auto"/>
                <w:sz w:val="24"/>
                <w:szCs w:val="24"/>
                <w:highlight w:val="none"/>
              </w:rPr>
            </w:pPr>
            <w:r>
              <w:rPr>
                <w:color w:val="auto"/>
                <w:sz w:val="24"/>
                <w:szCs w:val="24"/>
                <w:highlight w:val="none"/>
              </w:rPr>
              <w:t>1</w:t>
            </w:r>
          </w:p>
        </w:tc>
        <w:tc>
          <w:tcPr>
            <w:tcW w:w="1473" w:type="dxa"/>
            <w:vMerge w:val="restart"/>
            <w:tcBorders>
              <w:bottom w:val="nil"/>
            </w:tcBorders>
            <w:vAlign w:val="top"/>
          </w:tcPr>
          <w:p w14:paraId="1437CD5E">
            <w:pPr>
              <w:spacing w:line="279" w:lineRule="auto"/>
              <w:rPr>
                <w:rFonts w:ascii="Arial"/>
                <w:color w:val="auto"/>
                <w:sz w:val="24"/>
                <w:szCs w:val="24"/>
                <w:highlight w:val="none"/>
              </w:rPr>
            </w:pPr>
          </w:p>
          <w:p w14:paraId="1133B079">
            <w:pPr>
              <w:spacing w:line="279" w:lineRule="auto"/>
              <w:rPr>
                <w:rFonts w:ascii="Arial"/>
                <w:color w:val="auto"/>
                <w:sz w:val="24"/>
                <w:szCs w:val="24"/>
                <w:highlight w:val="none"/>
              </w:rPr>
            </w:pPr>
          </w:p>
          <w:p w14:paraId="50088B6F">
            <w:pPr>
              <w:spacing w:line="280" w:lineRule="auto"/>
              <w:rPr>
                <w:rFonts w:ascii="Arial"/>
                <w:color w:val="auto"/>
                <w:sz w:val="24"/>
                <w:szCs w:val="24"/>
                <w:highlight w:val="none"/>
              </w:rPr>
            </w:pPr>
          </w:p>
          <w:p w14:paraId="4D912E41">
            <w:pPr>
              <w:spacing w:line="280" w:lineRule="auto"/>
              <w:rPr>
                <w:rFonts w:ascii="Arial"/>
                <w:color w:val="auto"/>
                <w:sz w:val="24"/>
                <w:szCs w:val="24"/>
                <w:highlight w:val="none"/>
              </w:rPr>
            </w:pPr>
          </w:p>
          <w:p w14:paraId="250A666C">
            <w:pPr>
              <w:pStyle w:val="73"/>
              <w:spacing w:before="78" w:line="220" w:lineRule="auto"/>
              <w:ind w:left="509"/>
              <w:rPr>
                <w:color w:val="auto"/>
                <w:sz w:val="24"/>
                <w:szCs w:val="24"/>
                <w:highlight w:val="none"/>
              </w:rPr>
            </w:pPr>
            <w:r>
              <w:rPr>
                <w:color w:val="auto"/>
                <w:spacing w:val="9"/>
                <w:sz w:val="24"/>
                <w:szCs w:val="24"/>
                <w:highlight w:val="none"/>
              </w:rPr>
              <w:t>租赁</w:t>
            </w:r>
          </w:p>
        </w:tc>
      </w:tr>
      <w:tr w14:paraId="397B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24" w:type="dxa"/>
            <w:vAlign w:val="top"/>
          </w:tcPr>
          <w:p w14:paraId="074586A2">
            <w:pPr>
              <w:pStyle w:val="73"/>
              <w:spacing w:before="208" w:line="241" w:lineRule="auto"/>
              <w:ind w:left="255"/>
              <w:rPr>
                <w:color w:val="auto"/>
                <w:sz w:val="24"/>
                <w:szCs w:val="24"/>
                <w:highlight w:val="none"/>
              </w:rPr>
            </w:pPr>
            <w:r>
              <w:rPr>
                <w:color w:val="auto"/>
                <w:sz w:val="24"/>
                <w:szCs w:val="24"/>
                <w:highlight w:val="none"/>
              </w:rPr>
              <w:t>2</w:t>
            </w:r>
          </w:p>
        </w:tc>
        <w:tc>
          <w:tcPr>
            <w:tcW w:w="5228" w:type="dxa"/>
            <w:vAlign w:val="top"/>
          </w:tcPr>
          <w:p w14:paraId="06A3F150">
            <w:pPr>
              <w:pStyle w:val="73"/>
              <w:spacing w:before="185" w:line="220" w:lineRule="auto"/>
              <w:ind w:left="2080"/>
              <w:rPr>
                <w:color w:val="auto"/>
                <w:sz w:val="24"/>
                <w:szCs w:val="24"/>
                <w:highlight w:val="none"/>
              </w:rPr>
            </w:pPr>
            <w:r>
              <w:rPr>
                <w:color w:val="auto"/>
                <w:spacing w:val="2"/>
                <w:sz w:val="24"/>
                <w:szCs w:val="24"/>
                <w:highlight w:val="none"/>
              </w:rPr>
              <w:t>出发台搭建</w:t>
            </w:r>
          </w:p>
        </w:tc>
        <w:tc>
          <w:tcPr>
            <w:tcW w:w="950" w:type="dxa"/>
            <w:vAlign w:val="top"/>
          </w:tcPr>
          <w:p w14:paraId="5DBEE83A">
            <w:pPr>
              <w:pStyle w:val="73"/>
              <w:spacing w:before="185" w:line="220" w:lineRule="auto"/>
              <w:ind w:left="367"/>
              <w:rPr>
                <w:color w:val="auto"/>
                <w:sz w:val="24"/>
                <w:szCs w:val="24"/>
                <w:highlight w:val="none"/>
              </w:rPr>
            </w:pPr>
            <w:r>
              <w:rPr>
                <w:color w:val="auto"/>
                <w:sz w:val="24"/>
                <w:szCs w:val="24"/>
                <w:highlight w:val="none"/>
              </w:rPr>
              <w:t>套</w:t>
            </w:r>
          </w:p>
        </w:tc>
        <w:tc>
          <w:tcPr>
            <w:tcW w:w="1144" w:type="dxa"/>
            <w:vAlign w:val="top"/>
          </w:tcPr>
          <w:p w14:paraId="573FA05E">
            <w:pPr>
              <w:pStyle w:val="73"/>
              <w:spacing w:before="208" w:line="241" w:lineRule="auto"/>
              <w:ind w:left="528"/>
              <w:rPr>
                <w:color w:val="auto"/>
                <w:sz w:val="24"/>
                <w:szCs w:val="24"/>
                <w:highlight w:val="none"/>
              </w:rPr>
            </w:pPr>
            <w:r>
              <w:rPr>
                <w:color w:val="auto"/>
                <w:sz w:val="24"/>
                <w:szCs w:val="24"/>
                <w:highlight w:val="none"/>
              </w:rPr>
              <w:t>1</w:t>
            </w:r>
          </w:p>
        </w:tc>
        <w:tc>
          <w:tcPr>
            <w:tcW w:w="1473" w:type="dxa"/>
            <w:vMerge w:val="continue"/>
            <w:tcBorders>
              <w:top w:val="nil"/>
              <w:bottom w:val="nil"/>
            </w:tcBorders>
            <w:vAlign w:val="top"/>
          </w:tcPr>
          <w:p w14:paraId="558AFB57">
            <w:pPr>
              <w:rPr>
                <w:rFonts w:ascii="Arial"/>
                <w:color w:val="auto"/>
                <w:sz w:val="24"/>
                <w:szCs w:val="24"/>
                <w:highlight w:val="none"/>
              </w:rPr>
            </w:pPr>
          </w:p>
        </w:tc>
      </w:tr>
      <w:tr w14:paraId="7F589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624" w:type="dxa"/>
            <w:vAlign w:val="top"/>
          </w:tcPr>
          <w:p w14:paraId="56E5C66D">
            <w:pPr>
              <w:pStyle w:val="73"/>
              <w:spacing w:before="309"/>
              <w:ind w:left="255"/>
              <w:rPr>
                <w:color w:val="auto"/>
                <w:sz w:val="24"/>
                <w:szCs w:val="24"/>
                <w:highlight w:val="none"/>
              </w:rPr>
            </w:pPr>
            <w:r>
              <w:rPr>
                <w:color w:val="auto"/>
                <w:sz w:val="24"/>
                <w:szCs w:val="24"/>
                <w:highlight w:val="none"/>
              </w:rPr>
              <w:t>3</w:t>
            </w:r>
          </w:p>
        </w:tc>
        <w:tc>
          <w:tcPr>
            <w:tcW w:w="5228" w:type="dxa"/>
            <w:vAlign w:val="top"/>
          </w:tcPr>
          <w:p w14:paraId="2095391D">
            <w:pPr>
              <w:pStyle w:val="73"/>
              <w:spacing w:before="154" w:line="219" w:lineRule="auto"/>
              <w:jc w:val="right"/>
              <w:rPr>
                <w:color w:val="auto"/>
                <w:sz w:val="24"/>
                <w:szCs w:val="24"/>
                <w:highlight w:val="none"/>
              </w:rPr>
            </w:pPr>
            <w:r>
              <w:rPr>
                <w:color w:val="auto"/>
                <w:spacing w:val="4"/>
                <w:sz w:val="24"/>
                <w:szCs w:val="24"/>
                <w:highlight w:val="none"/>
              </w:rPr>
              <w:t>龙门架、挂车架、铁马、帐篷、A字板、注水旗、</w:t>
            </w:r>
          </w:p>
          <w:p w14:paraId="079ABA85">
            <w:pPr>
              <w:pStyle w:val="73"/>
              <w:spacing w:before="6" w:line="219" w:lineRule="auto"/>
              <w:ind w:left="1181"/>
              <w:rPr>
                <w:color w:val="auto"/>
                <w:sz w:val="24"/>
                <w:szCs w:val="24"/>
                <w:highlight w:val="none"/>
              </w:rPr>
            </w:pPr>
            <w:r>
              <w:rPr>
                <w:color w:val="auto"/>
                <w:sz w:val="24"/>
                <w:szCs w:val="24"/>
                <w:highlight w:val="none"/>
              </w:rPr>
              <w:t>队区标示牌、地毯、礼宾杆。</w:t>
            </w:r>
          </w:p>
        </w:tc>
        <w:tc>
          <w:tcPr>
            <w:tcW w:w="950" w:type="dxa"/>
            <w:vAlign w:val="top"/>
          </w:tcPr>
          <w:p w14:paraId="79C7874D">
            <w:pPr>
              <w:pStyle w:val="73"/>
              <w:spacing w:before="286" w:line="220" w:lineRule="auto"/>
              <w:ind w:left="367"/>
              <w:rPr>
                <w:color w:val="auto"/>
                <w:sz w:val="24"/>
                <w:szCs w:val="24"/>
                <w:highlight w:val="none"/>
              </w:rPr>
            </w:pPr>
            <w:r>
              <w:rPr>
                <w:color w:val="auto"/>
                <w:sz w:val="24"/>
                <w:szCs w:val="24"/>
                <w:highlight w:val="none"/>
              </w:rPr>
              <w:t>套</w:t>
            </w:r>
          </w:p>
        </w:tc>
        <w:tc>
          <w:tcPr>
            <w:tcW w:w="1144" w:type="dxa"/>
            <w:vAlign w:val="top"/>
          </w:tcPr>
          <w:p w14:paraId="3FDAB3FF">
            <w:pPr>
              <w:pStyle w:val="73"/>
              <w:spacing w:before="309" w:line="241" w:lineRule="auto"/>
              <w:ind w:left="528"/>
              <w:rPr>
                <w:color w:val="auto"/>
                <w:sz w:val="24"/>
                <w:szCs w:val="24"/>
                <w:highlight w:val="none"/>
              </w:rPr>
            </w:pPr>
            <w:r>
              <w:rPr>
                <w:color w:val="auto"/>
                <w:sz w:val="24"/>
                <w:szCs w:val="24"/>
                <w:highlight w:val="none"/>
              </w:rPr>
              <w:t>1</w:t>
            </w:r>
          </w:p>
        </w:tc>
        <w:tc>
          <w:tcPr>
            <w:tcW w:w="1473" w:type="dxa"/>
            <w:vMerge w:val="continue"/>
            <w:tcBorders>
              <w:top w:val="nil"/>
              <w:bottom w:val="nil"/>
            </w:tcBorders>
            <w:vAlign w:val="top"/>
          </w:tcPr>
          <w:p w14:paraId="6422DC3F">
            <w:pPr>
              <w:rPr>
                <w:rFonts w:ascii="Arial"/>
                <w:color w:val="auto"/>
                <w:sz w:val="24"/>
                <w:szCs w:val="24"/>
                <w:highlight w:val="none"/>
              </w:rPr>
            </w:pPr>
          </w:p>
        </w:tc>
      </w:tr>
      <w:tr w14:paraId="7F2B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624" w:type="dxa"/>
            <w:vAlign w:val="top"/>
          </w:tcPr>
          <w:p w14:paraId="5950769B">
            <w:pPr>
              <w:pStyle w:val="73"/>
              <w:spacing w:before="211" w:line="241" w:lineRule="auto"/>
              <w:ind w:left="255"/>
              <w:rPr>
                <w:color w:val="auto"/>
                <w:sz w:val="24"/>
                <w:szCs w:val="24"/>
                <w:highlight w:val="none"/>
              </w:rPr>
            </w:pPr>
            <w:r>
              <w:rPr>
                <w:color w:val="auto"/>
                <w:sz w:val="24"/>
                <w:szCs w:val="24"/>
                <w:highlight w:val="none"/>
              </w:rPr>
              <w:t>4</w:t>
            </w:r>
          </w:p>
        </w:tc>
        <w:tc>
          <w:tcPr>
            <w:tcW w:w="5228" w:type="dxa"/>
            <w:vAlign w:val="top"/>
          </w:tcPr>
          <w:p w14:paraId="7428D33F">
            <w:pPr>
              <w:pStyle w:val="73"/>
              <w:spacing w:before="188" w:line="220" w:lineRule="auto"/>
              <w:ind w:left="1601"/>
              <w:rPr>
                <w:color w:val="auto"/>
                <w:sz w:val="24"/>
                <w:szCs w:val="24"/>
                <w:highlight w:val="none"/>
              </w:rPr>
            </w:pPr>
            <w:r>
              <w:rPr>
                <w:color w:val="auto"/>
                <w:spacing w:val="5"/>
                <w:sz w:val="24"/>
                <w:szCs w:val="24"/>
                <w:highlight w:val="none"/>
              </w:rPr>
              <w:t>颁奖台(单人组合型)</w:t>
            </w:r>
          </w:p>
        </w:tc>
        <w:tc>
          <w:tcPr>
            <w:tcW w:w="950" w:type="dxa"/>
            <w:vAlign w:val="top"/>
          </w:tcPr>
          <w:p w14:paraId="15EBD7C9">
            <w:pPr>
              <w:pStyle w:val="73"/>
              <w:spacing w:before="187" w:line="219" w:lineRule="auto"/>
              <w:ind w:left="367"/>
              <w:rPr>
                <w:color w:val="auto"/>
                <w:sz w:val="24"/>
                <w:szCs w:val="24"/>
                <w:highlight w:val="none"/>
              </w:rPr>
            </w:pPr>
            <w:r>
              <w:rPr>
                <w:color w:val="auto"/>
                <w:sz w:val="24"/>
                <w:szCs w:val="24"/>
                <w:highlight w:val="none"/>
              </w:rPr>
              <w:t>个</w:t>
            </w:r>
          </w:p>
        </w:tc>
        <w:tc>
          <w:tcPr>
            <w:tcW w:w="1144" w:type="dxa"/>
            <w:vAlign w:val="top"/>
          </w:tcPr>
          <w:p w14:paraId="683D0462">
            <w:pPr>
              <w:pStyle w:val="73"/>
              <w:spacing w:before="211" w:line="241" w:lineRule="auto"/>
              <w:ind w:left="528"/>
              <w:rPr>
                <w:color w:val="auto"/>
                <w:sz w:val="24"/>
                <w:szCs w:val="24"/>
                <w:highlight w:val="none"/>
              </w:rPr>
            </w:pPr>
            <w:r>
              <w:rPr>
                <w:color w:val="auto"/>
                <w:sz w:val="24"/>
                <w:szCs w:val="24"/>
                <w:highlight w:val="none"/>
              </w:rPr>
              <w:t>1</w:t>
            </w:r>
          </w:p>
        </w:tc>
        <w:tc>
          <w:tcPr>
            <w:tcW w:w="1473" w:type="dxa"/>
            <w:vMerge w:val="continue"/>
            <w:tcBorders>
              <w:top w:val="nil"/>
            </w:tcBorders>
            <w:vAlign w:val="top"/>
          </w:tcPr>
          <w:p w14:paraId="0DF93523">
            <w:pPr>
              <w:rPr>
                <w:rFonts w:ascii="Arial"/>
                <w:color w:val="auto"/>
                <w:sz w:val="24"/>
                <w:szCs w:val="24"/>
                <w:highlight w:val="none"/>
              </w:rPr>
            </w:pPr>
          </w:p>
        </w:tc>
      </w:tr>
      <w:tr w14:paraId="0F7C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624" w:type="dxa"/>
            <w:vAlign w:val="center"/>
          </w:tcPr>
          <w:p w14:paraId="44F1EDA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default"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5</w:t>
            </w:r>
          </w:p>
        </w:tc>
        <w:tc>
          <w:tcPr>
            <w:tcW w:w="5228" w:type="dxa"/>
            <w:vAlign w:val="center"/>
          </w:tcPr>
          <w:p w14:paraId="3E77E23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冰柜（含冰块）</w:t>
            </w:r>
          </w:p>
        </w:tc>
        <w:tc>
          <w:tcPr>
            <w:tcW w:w="950" w:type="dxa"/>
            <w:vAlign w:val="center"/>
          </w:tcPr>
          <w:p w14:paraId="6C7A616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1</w:t>
            </w:r>
          </w:p>
        </w:tc>
        <w:tc>
          <w:tcPr>
            <w:tcW w:w="1144" w:type="dxa"/>
            <w:vAlign w:val="center"/>
          </w:tcPr>
          <w:p w14:paraId="094B8C7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个</w:t>
            </w:r>
          </w:p>
        </w:tc>
        <w:tc>
          <w:tcPr>
            <w:tcW w:w="1473" w:type="dxa"/>
            <w:vAlign w:val="center"/>
          </w:tcPr>
          <w:p w14:paraId="21D58EF3">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0CE3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624" w:type="dxa"/>
            <w:shd w:val="clear" w:color="auto" w:fill="auto"/>
            <w:vAlign w:val="center"/>
          </w:tcPr>
          <w:p w14:paraId="4930A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6</w:t>
            </w:r>
          </w:p>
        </w:tc>
        <w:tc>
          <w:tcPr>
            <w:tcW w:w="5228" w:type="dxa"/>
            <w:shd w:val="clear" w:color="auto" w:fill="auto"/>
            <w:vAlign w:val="center"/>
          </w:tcPr>
          <w:p w14:paraId="41FE9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color="000000"/>
                <w:lang w:val="en-US" w:eastAsia="zh-CN" w:bidi="ar-SA"/>
              </w:rPr>
            </w:pPr>
            <w:r>
              <w:rPr>
                <w:rFonts w:hint="eastAsia" w:asciiTheme="minorEastAsia" w:hAnsiTheme="minorEastAsia" w:eastAsiaTheme="minorEastAsia" w:cstheme="minorEastAsia"/>
                <w:i w:val="0"/>
                <w:iCs w:val="0"/>
                <w:color w:val="auto"/>
                <w:sz w:val="24"/>
                <w:szCs w:val="24"/>
                <w:highlight w:val="none"/>
                <w:u w:val="none"/>
              </w:rPr>
              <w:t>赛事直播</w:t>
            </w:r>
          </w:p>
        </w:tc>
        <w:tc>
          <w:tcPr>
            <w:tcW w:w="950" w:type="dxa"/>
            <w:shd w:val="clear" w:color="auto" w:fill="auto"/>
            <w:vAlign w:val="center"/>
          </w:tcPr>
          <w:p w14:paraId="6AF05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w:t>
            </w:r>
          </w:p>
        </w:tc>
        <w:tc>
          <w:tcPr>
            <w:tcW w:w="1144" w:type="dxa"/>
            <w:shd w:val="clear" w:color="auto" w:fill="auto"/>
            <w:vAlign w:val="center"/>
          </w:tcPr>
          <w:p w14:paraId="5841C4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4"/>
                <w:szCs w:val="24"/>
                <w:highlight w:val="none"/>
                <w:u w:val="none" w:color="000000"/>
                <w:lang w:val="en-US" w:eastAsia="zh-CN" w:bidi="ar"/>
              </w:rPr>
            </w:pPr>
            <w:r>
              <w:rPr>
                <w:rStyle w:val="68"/>
                <w:rFonts w:hint="eastAsia" w:asciiTheme="minorEastAsia" w:hAnsiTheme="minorEastAsia" w:eastAsiaTheme="minorEastAsia" w:cstheme="minorEastAsia"/>
                <w:color w:val="auto"/>
                <w:sz w:val="24"/>
                <w:szCs w:val="24"/>
                <w:highlight w:val="none"/>
                <w:u w:color="000000"/>
                <w:lang w:val="en-US" w:eastAsia="zh-CN" w:bidi="ar"/>
              </w:rPr>
              <w:t>项</w:t>
            </w:r>
          </w:p>
        </w:tc>
        <w:tc>
          <w:tcPr>
            <w:tcW w:w="1473" w:type="dxa"/>
            <w:shd w:val="clear" w:color="auto" w:fill="auto"/>
            <w:vAlign w:val="center"/>
          </w:tcPr>
          <w:p w14:paraId="56385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z w:val="24"/>
                <w:szCs w:val="24"/>
                <w:highlight w:val="none"/>
                <w:u w:val="none" w:color="000000"/>
                <w:lang w:val="en-US" w:eastAsia="zh-CN" w:bidi="ar"/>
              </w:rPr>
            </w:pPr>
          </w:p>
        </w:tc>
      </w:tr>
    </w:tbl>
    <w:p w14:paraId="0B393F35">
      <w:pPr>
        <w:widowControl w:val="0"/>
        <w:adjustRightInd w:val="0"/>
        <w:snapToGrid w:val="0"/>
        <w:spacing w:before="120" w:beforeLines="50" w:line="300" w:lineRule="auto"/>
        <w:ind w:left="22" w:firstLine="555"/>
        <w:rPr>
          <w:rFonts w:hint="eastAsia" w:ascii="Times New Roman" w:hAnsi="Times New Roman" w:eastAsia="宋体" w:cs="Times New Roman"/>
          <w:color w:val="auto"/>
          <w:sz w:val="24"/>
          <w:szCs w:val="24"/>
          <w:highlight w:val="none"/>
          <w:lang w:val="en-US" w:eastAsia="zh-CN"/>
        </w:rPr>
      </w:pPr>
    </w:p>
    <w:p w14:paraId="1B06DEA7">
      <w:pPr>
        <w:widowControl w:val="0"/>
        <w:adjustRightInd w:val="0"/>
        <w:snapToGrid w:val="0"/>
        <w:spacing w:before="120" w:beforeLines="50" w:line="300" w:lineRule="auto"/>
        <w:ind w:left="22" w:firstLine="555"/>
        <w:rPr>
          <w:rFonts w:hint="eastAsia" w:ascii="Times New Roman" w:hAnsi="Times New Roman" w:eastAsia="宋体" w:cs="Times New Roman"/>
          <w:color w:val="auto"/>
          <w:sz w:val="24"/>
          <w:szCs w:val="24"/>
          <w:highlight w:val="none"/>
          <w:lang w:val="en-US" w:eastAsia="zh-CN"/>
        </w:rPr>
      </w:pPr>
    </w:p>
    <w:p w14:paraId="77A62E46">
      <w:pPr>
        <w:widowControl w:val="0"/>
        <w:adjustRightInd w:val="0"/>
        <w:snapToGrid w:val="0"/>
        <w:spacing w:before="120" w:beforeLines="50" w:line="300" w:lineRule="auto"/>
        <w:ind w:left="22" w:firstLine="555"/>
        <w:rPr>
          <w:rFonts w:hint="eastAsia" w:ascii="Times New Roman" w:hAnsi="Times New Roman" w:eastAsia="宋体" w:cs="Times New Roman"/>
          <w:color w:val="auto"/>
          <w:sz w:val="24"/>
          <w:szCs w:val="24"/>
          <w:highlight w:val="none"/>
          <w:lang w:val="en-US" w:eastAsia="zh-CN"/>
        </w:rPr>
      </w:pPr>
    </w:p>
    <w:tbl>
      <w:tblPr>
        <w:tblStyle w:val="74"/>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3071"/>
        <w:gridCol w:w="1208"/>
        <w:gridCol w:w="1428"/>
        <w:gridCol w:w="2643"/>
      </w:tblGrid>
      <w:tr w14:paraId="6B33F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419" w:type="dxa"/>
            <w:gridSpan w:val="5"/>
            <w:vAlign w:val="center"/>
          </w:tcPr>
          <w:p w14:paraId="07D7F074">
            <w:pPr>
              <w:keepNext w:val="0"/>
              <w:keepLines w:val="0"/>
              <w:pageBreakBefore w:val="0"/>
              <w:widowControl/>
              <w:kinsoku/>
              <w:wordWrap/>
              <w:overflowPunct/>
              <w:topLinePunct w:val="0"/>
              <w:autoSpaceDE/>
              <w:autoSpaceDN/>
              <w:bidi w:val="0"/>
              <w:adjustRightInd/>
              <w:snapToGrid/>
              <w:spacing w:line="240" w:lineRule="auto"/>
              <w:ind w:left="0" w:firstLine="1920" w:firstLineChars="800"/>
              <w:jc w:val="center"/>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省运会公路自行车比赛裁判员用品清单</w:t>
            </w:r>
          </w:p>
        </w:tc>
      </w:tr>
      <w:tr w14:paraId="7048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69" w:type="dxa"/>
            <w:vAlign w:val="center"/>
          </w:tcPr>
          <w:p w14:paraId="6651468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序号</w:t>
            </w:r>
          </w:p>
        </w:tc>
        <w:tc>
          <w:tcPr>
            <w:tcW w:w="3071" w:type="dxa"/>
            <w:vAlign w:val="center"/>
          </w:tcPr>
          <w:p w14:paraId="3D2C369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名称</w:t>
            </w:r>
          </w:p>
        </w:tc>
        <w:tc>
          <w:tcPr>
            <w:tcW w:w="1208" w:type="dxa"/>
            <w:vAlign w:val="center"/>
          </w:tcPr>
          <w:p w14:paraId="50C5692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数量</w:t>
            </w:r>
          </w:p>
        </w:tc>
        <w:tc>
          <w:tcPr>
            <w:tcW w:w="1428" w:type="dxa"/>
            <w:vAlign w:val="center"/>
          </w:tcPr>
          <w:p w14:paraId="7DD22D6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单位</w:t>
            </w:r>
          </w:p>
        </w:tc>
        <w:tc>
          <w:tcPr>
            <w:tcW w:w="2643" w:type="dxa"/>
            <w:vAlign w:val="center"/>
          </w:tcPr>
          <w:p w14:paraId="7D3D747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备</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注</w:t>
            </w:r>
          </w:p>
        </w:tc>
      </w:tr>
      <w:tr w14:paraId="34F9F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69" w:type="dxa"/>
            <w:vAlign w:val="center"/>
          </w:tcPr>
          <w:p w14:paraId="5A6FE3E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71" w:type="dxa"/>
            <w:vAlign w:val="center"/>
          </w:tcPr>
          <w:p w14:paraId="2BDBF1E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对讲机</w:t>
            </w:r>
          </w:p>
        </w:tc>
        <w:tc>
          <w:tcPr>
            <w:tcW w:w="1208" w:type="dxa"/>
            <w:vAlign w:val="center"/>
          </w:tcPr>
          <w:p w14:paraId="52570C2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30</w:t>
            </w:r>
          </w:p>
        </w:tc>
        <w:tc>
          <w:tcPr>
            <w:tcW w:w="1428" w:type="dxa"/>
            <w:vAlign w:val="center"/>
          </w:tcPr>
          <w:p w14:paraId="12F1C2E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2643" w:type="dxa"/>
            <w:vAlign w:val="center"/>
          </w:tcPr>
          <w:p w14:paraId="3841D4A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和各岗位通讯</w:t>
            </w:r>
          </w:p>
        </w:tc>
      </w:tr>
      <w:tr w14:paraId="3A17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vAlign w:val="center"/>
          </w:tcPr>
          <w:p w14:paraId="20DD2AE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071" w:type="dxa"/>
            <w:vAlign w:val="center"/>
          </w:tcPr>
          <w:p w14:paraId="45539F4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计时器</w:t>
            </w:r>
          </w:p>
        </w:tc>
        <w:tc>
          <w:tcPr>
            <w:tcW w:w="1208" w:type="dxa"/>
            <w:vAlign w:val="center"/>
          </w:tcPr>
          <w:p w14:paraId="2C6FE69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05599E3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742A2C0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备用计时</w:t>
            </w:r>
          </w:p>
        </w:tc>
      </w:tr>
      <w:tr w14:paraId="2BDC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273634E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071" w:type="dxa"/>
            <w:vAlign w:val="center"/>
          </w:tcPr>
          <w:p w14:paraId="4249797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发令枪</w:t>
            </w:r>
          </w:p>
        </w:tc>
        <w:tc>
          <w:tcPr>
            <w:tcW w:w="1208" w:type="dxa"/>
            <w:vAlign w:val="center"/>
          </w:tcPr>
          <w:p w14:paraId="12E42D5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8" w:type="dxa"/>
            <w:vAlign w:val="center"/>
          </w:tcPr>
          <w:p w14:paraId="139CC73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把</w:t>
            </w:r>
          </w:p>
        </w:tc>
        <w:tc>
          <w:tcPr>
            <w:tcW w:w="2643" w:type="dxa"/>
            <w:vAlign w:val="center"/>
          </w:tcPr>
          <w:p w14:paraId="22A2CF7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含子弹</w:t>
            </w:r>
          </w:p>
        </w:tc>
      </w:tr>
      <w:tr w14:paraId="7A899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7191C0B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071" w:type="dxa"/>
            <w:vAlign w:val="center"/>
          </w:tcPr>
          <w:p w14:paraId="04882A6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发令台记录本</w:t>
            </w:r>
          </w:p>
        </w:tc>
        <w:tc>
          <w:tcPr>
            <w:tcW w:w="1208" w:type="dxa"/>
            <w:vAlign w:val="center"/>
          </w:tcPr>
          <w:p w14:paraId="714BD36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1945EFF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p>
        </w:tc>
        <w:tc>
          <w:tcPr>
            <w:tcW w:w="2643" w:type="dxa"/>
            <w:vAlign w:val="center"/>
          </w:tcPr>
          <w:p w14:paraId="18E1525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记录发令情况</w:t>
            </w:r>
          </w:p>
        </w:tc>
      </w:tr>
      <w:tr w14:paraId="41C0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69" w:type="dxa"/>
            <w:vAlign w:val="center"/>
          </w:tcPr>
          <w:p w14:paraId="34161BF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071" w:type="dxa"/>
            <w:vAlign w:val="center"/>
          </w:tcPr>
          <w:p w14:paraId="36E3957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信号旗</w:t>
            </w:r>
          </w:p>
        </w:tc>
        <w:tc>
          <w:tcPr>
            <w:tcW w:w="1208" w:type="dxa"/>
            <w:vAlign w:val="center"/>
          </w:tcPr>
          <w:p w14:paraId="6AA4FA8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8" w:type="dxa"/>
            <w:vAlign w:val="center"/>
          </w:tcPr>
          <w:p w14:paraId="78B9E14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w:t>
            </w:r>
          </w:p>
        </w:tc>
        <w:tc>
          <w:tcPr>
            <w:tcW w:w="2643" w:type="dxa"/>
            <w:vAlign w:val="center"/>
          </w:tcPr>
          <w:p w14:paraId="131A9A8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红绿各一面</w:t>
            </w:r>
          </w:p>
        </w:tc>
      </w:tr>
      <w:tr w14:paraId="3C814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46EE1BC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071" w:type="dxa"/>
            <w:vAlign w:val="center"/>
          </w:tcPr>
          <w:p w14:paraId="29EB545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成绩记录表</w:t>
            </w:r>
          </w:p>
        </w:tc>
        <w:tc>
          <w:tcPr>
            <w:tcW w:w="1208" w:type="dxa"/>
            <w:vAlign w:val="center"/>
          </w:tcPr>
          <w:p w14:paraId="333D842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50</w:t>
            </w:r>
          </w:p>
        </w:tc>
        <w:tc>
          <w:tcPr>
            <w:tcW w:w="1428" w:type="dxa"/>
            <w:vAlign w:val="center"/>
          </w:tcPr>
          <w:p w14:paraId="3FE2967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488C39C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记录原始成绩</w:t>
            </w:r>
          </w:p>
        </w:tc>
      </w:tr>
      <w:tr w14:paraId="1BF5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255FA96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071" w:type="dxa"/>
            <w:vAlign w:val="center"/>
          </w:tcPr>
          <w:p w14:paraId="5602359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签字笔</w:t>
            </w:r>
          </w:p>
        </w:tc>
        <w:tc>
          <w:tcPr>
            <w:tcW w:w="1208" w:type="dxa"/>
            <w:vAlign w:val="center"/>
          </w:tcPr>
          <w:p w14:paraId="7125120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20</w:t>
            </w:r>
          </w:p>
        </w:tc>
        <w:tc>
          <w:tcPr>
            <w:tcW w:w="1428" w:type="dxa"/>
            <w:vAlign w:val="center"/>
          </w:tcPr>
          <w:p w14:paraId="71F5F61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w:t>
            </w:r>
          </w:p>
        </w:tc>
        <w:tc>
          <w:tcPr>
            <w:tcW w:w="2643" w:type="dxa"/>
            <w:vAlign w:val="center"/>
          </w:tcPr>
          <w:p w14:paraId="72C1A10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黑色</w:t>
            </w:r>
          </w:p>
        </w:tc>
      </w:tr>
      <w:tr w14:paraId="08028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2B080FE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071" w:type="dxa"/>
            <w:vAlign w:val="center"/>
          </w:tcPr>
          <w:p w14:paraId="7B946AE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犯规记录表</w:t>
            </w:r>
          </w:p>
        </w:tc>
        <w:tc>
          <w:tcPr>
            <w:tcW w:w="1208" w:type="dxa"/>
            <w:vAlign w:val="center"/>
          </w:tcPr>
          <w:p w14:paraId="4B62BA5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30</w:t>
            </w:r>
          </w:p>
        </w:tc>
        <w:tc>
          <w:tcPr>
            <w:tcW w:w="1428" w:type="dxa"/>
            <w:vAlign w:val="center"/>
          </w:tcPr>
          <w:p w14:paraId="25369A1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033CA34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记录转身犯规</w:t>
            </w:r>
          </w:p>
        </w:tc>
      </w:tr>
      <w:tr w14:paraId="51AE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069" w:type="dxa"/>
            <w:vAlign w:val="center"/>
          </w:tcPr>
          <w:p w14:paraId="746FC06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071" w:type="dxa"/>
            <w:vAlign w:val="center"/>
          </w:tcPr>
          <w:p w14:paraId="26CD8A8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标记笔</w:t>
            </w:r>
          </w:p>
        </w:tc>
        <w:tc>
          <w:tcPr>
            <w:tcW w:w="1208" w:type="dxa"/>
            <w:vAlign w:val="center"/>
          </w:tcPr>
          <w:p w14:paraId="53046B6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10</w:t>
            </w:r>
          </w:p>
        </w:tc>
        <w:tc>
          <w:tcPr>
            <w:tcW w:w="1428" w:type="dxa"/>
            <w:vAlign w:val="center"/>
          </w:tcPr>
          <w:p w14:paraId="35EF3E9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w:t>
            </w:r>
          </w:p>
        </w:tc>
        <w:tc>
          <w:tcPr>
            <w:tcW w:w="2643" w:type="dxa"/>
            <w:vAlign w:val="center"/>
          </w:tcPr>
          <w:p w14:paraId="41337E0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红色</w:t>
            </w:r>
          </w:p>
        </w:tc>
      </w:tr>
      <w:tr w14:paraId="3B5B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69" w:type="dxa"/>
            <w:vAlign w:val="center"/>
          </w:tcPr>
          <w:p w14:paraId="5D9DCB2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10</w:t>
            </w:r>
          </w:p>
        </w:tc>
        <w:tc>
          <w:tcPr>
            <w:tcW w:w="3071" w:type="dxa"/>
            <w:vAlign w:val="center"/>
          </w:tcPr>
          <w:p w14:paraId="4612542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检录表</w:t>
            </w:r>
          </w:p>
        </w:tc>
        <w:tc>
          <w:tcPr>
            <w:tcW w:w="1208" w:type="dxa"/>
            <w:vAlign w:val="center"/>
          </w:tcPr>
          <w:p w14:paraId="7E8193A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20</w:t>
            </w:r>
          </w:p>
        </w:tc>
        <w:tc>
          <w:tcPr>
            <w:tcW w:w="1428" w:type="dxa"/>
            <w:vAlign w:val="center"/>
          </w:tcPr>
          <w:p w14:paraId="5A5D294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1132E41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运动员信息</w:t>
            </w:r>
          </w:p>
        </w:tc>
      </w:tr>
      <w:tr w14:paraId="2678B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2481779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11</w:t>
            </w:r>
          </w:p>
        </w:tc>
        <w:tc>
          <w:tcPr>
            <w:tcW w:w="3071" w:type="dxa"/>
            <w:vAlign w:val="center"/>
          </w:tcPr>
          <w:p w14:paraId="518AE96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扩音器</w:t>
            </w:r>
          </w:p>
        </w:tc>
        <w:tc>
          <w:tcPr>
            <w:tcW w:w="1208" w:type="dxa"/>
            <w:vAlign w:val="center"/>
          </w:tcPr>
          <w:p w14:paraId="6531429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73AB67D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1796E1A1">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796A4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vAlign w:val="center"/>
          </w:tcPr>
          <w:p w14:paraId="71C83EE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12</w:t>
            </w:r>
          </w:p>
        </w:tc>
        <w:tc>
          <w:tcPr>
            <w:tcW w:w="3071" w:type="dxa"/>
            <w:vAlign w:val="center"/>
          </w:tcPr>
          <w:p w14:paraId="2563457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成绩确认单</w:t>
            </w:r>
          </w:p>
        </w:tc>
        <w:tc>
          <w:tcPr>
            <w:tcW w:w="1208" w:type="dxa"/>
            <w:vAlign w:val="center"/>
          </w:tcPr>
          <w:p w14:paraId="56CC180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20</w:t>
            </w:r>
          </w:p>
        </w:tc>
        <w:tc>
          <w:tcPr>
            <w:tcW w:w="1428" w:type="dxa"/>
            <w:vAlign w:val="center"/>
          </w:tcPr>
          <w:p w14:paraId="4A3B57E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514F4283">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4306D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69" w:type="dxa"/>
            <w:vAlign w:val="center"/>
          </w:tcPr>
          <w:p w14:paraId="4C4553C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13</w:t>
            </w:r>
          </w:p>
        </w:tc>
        <w:tc>
          <w:tcPr>
            <w:tcW w:w="3071" w:type="dxa"/>
            <w:vAlign w:val="center"/>
          </w:tcPr>
          <w:p w14:paraId="5B7AA7E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拉杆音响带话筒</w:t>
            </w:r>
          </w:p>
        </w:tc>
        <w:tc>
          <w:tcPr>
            <w:tcW w:w="1208" w:type="dxa"/>
            <w:vAlign w:val="center"/>
          </w:tcPr>
          <w:p w14:paraId="014CDFC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4FA6270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2643" w:type="dxa"/>
            <w:vAlign w:val="center"/>
          </w:tcPr>
          <w:p w14:paraId="0A1D8D4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检录用</w:t>
            </w:r>
          </w:p>
        </w:tc>
      </w:tr>
      <w:tr w14:paraId="61F51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5F59452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14</w:t>
            </w:r>
          </w:p>
        </w:tc>
        <w:tc>
          <w:tcPr>
            <w:tcW w:w="3071" w:type="dxa"/>
            <w:vAlign w:val="center"/>
          </w:tcPr>
          <w:p w14:paraId="60FBA33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手持话筒带电池</w:t>
            </w:r>
          </w:p>
        </w:tc>
        <w:tc>
          <w:tcPr>
            <w:tcW w:w="1208" w:type="dxa"/>
            <w:vAlign w:val="center"/>
          </w:tcPr>
          <w:p w14:paraId="5F75014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28" w:type="dxa"/>
            <w:vAlign w:val="center"/>
          </w:tcPr>
          <w:p w14:paraId="27ACA8C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4A07B295">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1B37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69" w:type="dxa"/>
            <w:vAlign w:val="center"/>
          </w:tcPr>
          <w:p w14:paraId="7272C00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15</w:t>
            </w:r>
          </w:p>
        </w:tc>
        <w:tc>
          <w:tcPr>
            <w:tcW w:w="3071" w:type="dxa"/>
            <w:vAlign w:val="center"/>
          </w:tcPr>
          <w:p w14:paraId="3B3412A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警戒带，隔离桩</w:t>
            </w:r>
          </w:p>
        </w:tc>
        <w:tc>
          <w:tcPr>
            <w:tcW w:w="1208" w:type="dxa"/>
            <w:vAlign w:val="center"/>
          </w:tcPr>
          <w:p w14:paraId="1AD96C1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若干</w:t>
            </w:r>
          </w:p>
        </w:tc>
        <w:tc>
          <w:tcPr>
            <w:tcW w:w="1428" w:type="dxa"/>
            <w:vAlign w:val="center"/>
          </w:tcPr>
          <w:p w14:paraId="6834C259">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c>
          <w:tcPr>
            <w:tcW w:w="2643" w:type="dxa"/>
            <w:vAlign w:val="center"/>
          </w:tcPr>
          <w:p w14:paraId="547D0F92">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16F4D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1DAC3B0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16</w:t>
            </w:r>
          </w:p>
        </w:tc>
        <w:tc>
          <w:tcPr>
            <w:tcW w:w="3071" w:type="dxa"/>
            <w:vAlign w:val="center"/>
          </w:tcPr>
          <w:p w14:paraId="5ECCBCD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燕尾夹，白板笔</w:t>
            </w:r>
          </w:p>
        </w:tc>
        <w:tc>
          <w:tcPr>
            <w:tcW w:w="1208" w:type="dxa"/>
            <w:vAlign w:val="center"/>
          </w:tcPr>
          <w:p w14:paraId="3D393E4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若干</w:t>
            </w:r>
          </w:p>
        </w:tc>
        <w:tc>
          <w:tcPr>
            <w:tcW w:w="1428" w:type="dxa"/>
            <w:vAlign w:val="center"/>
          </w:tcPr>
          <w:p w14:paraId="6CFDFEEE">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c>
          <w:tcPr>
            <w:tcW w:w="2643" w:type="dxa"/>
            <w:vAlign w:val="center"/>
          </w:tcPr>
          <w:p w14:paraId="41B3716E">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58B5A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6BB74D4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17</w:t>
            </w:r>
          </w:p>
        </w:tc>
        <w:tc>
          <w:tcPr>
            <w:tcW w:w="3071" w:type="dxa"/>
            <w:vAlign w:val="center"/>
          </w:tcPr>
          <w:p w14:paraId="057903C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带架子白板、板擦</w:t>
            </w:r>
          </w:p>
        </w:tc>
        <w:tc>
          <w:tcPr>
            <w:tcW w:w="1208" w:type="dxa"/>
            <w:vAlign w:val="center"/>
          </w:tcPr>
          <w:p w14:paraId="61748DF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8" w:type="dxa"/>
            <w:vAlign w:val="center"/>
          </w:tcPr>
          <w:p w14:paraId="3D588F4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2643" w:type="dxa"/>
            <w:vAlign w:val="center"/>
          </w:tcPr>
          <w:p w14:paraId="14C6E051">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3C95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619F332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18</w:t>
            </w:r>
          </w:p>
        </w:tc>
        <w:tc>
          <w:tcPr>
            <w:tcW w:w="3071" w:type="dxa"/>
            <w:vAlign w:val="center"/>
          </w:tcPr>
          <w:p w14:paraId="5CE5E94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4人位长凳</w:t>
            </w:r>
          </w:p>
        </w:tc>
        <w:tc>
          <w:tcPr>
            <w:tcW w:w="1208" w:type="dxa"/>
            <w:vAlign w:val="center"/>
          </w:tcPr>
          <w:p w14:paraId="5AB1C9B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16</w:t>
            </w:r>
          </w:p>
        </w:tc>
        <w:tc>
          <w:tcPr>
            <w:tcW w:w="1428" w:type="dxa"/>
            <w:vAlign w:val="center"/>
          </w:tcPr>
          <w:p w14:paraId="36A697B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4636E03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运动员坐</w:t>
            </w:r>
          </w:p>
        </w:tc>
      </w:tr>
      <w:tr w14:paraId="5690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69" w:type="dxa"/>
            <w:vAlign w:val="center"/>
          </w:tcPr>
          <w:p w14:paraId="12A5056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19</w:t>
            </w:r>
          </w:p>
        </w:tc>
        <w:tc>
          <w:tcPr>
            <w:tcW w:w="3071" w:type="dxa"/>
            <w:vAlign w:val="center"/>
          </w:tcPr>
          <w:p w14:paraId="3F9DC43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电源、带线插板</w:t>
            </w:r>
          </w:p>
        </w:tc>
        <w:tc>
          <w:tcPr>
            <w:tcW w:w="1208" w:type="dxa"/>
            <w:vAlign w:val="center"/>
          </w:tcPr>
          <w:p w14:paraId="70BB060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若干</w:t>
            </w:r>
          </w:p>
        </w:tc>
        <w:tc>
          <w:tcPr>
            <w:tcW w:w="1428" w:type="dxa"/>
            <w:vAlign w:val="center"/>
          </w:tcPr>
          <w:p w14:paraId="248BF63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3E333B6F">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2E5B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69" w:type="dxa"/>
            <w:vAlign w:val="center"/>
          </w:tcPr>
          <w:p w14:paraId="35BAACF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20</w:t>
            </w:r>
          </w:p>
        </w:tc>
        <w:tc>
          <w:tcPr>
            <w:tcW w:w="3071" w:type="dxa"/>
            <w:vAlign w:val="center"/>
          </w:tcPr>
          <w:p w14:paraId="788AA8F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打印复印一体机</w:t>
            </w:r>
          </w:p>
        </w:tc>
        <w:tc>
          <w:tcPr>
            <w:tcW w:w="1208" w:type="dxa"/>
            <w:vAlign w:val="center"/>
          </w:tcPr>
          <w:p w14:paraId="7E96477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5A51615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2643" w:type="dxa"/>
            <w:vAlign w:val="center"/>
          </w:tcPr>
          <w:p w14:paraId="21E26B96">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5F1C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069" w:type="dxa"/>
            <w:vAlign w:val="center"/>
          </w:tcPr>
          <w:p w14:paraId="7B2F06D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21</w:t>
            </w:r>
          </w:p>
        </w:tc>
        <w:tc>
          <w:tcPr>
            <w:tcW w:w="3071" w:type="dxa"/>
            <w:vAlign w:val="center"/>
          </w:tcPr>
          <w:p w14:paraId="30FE7B5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针式打印机</w:t>
            </w:r>
          </w:p>
        </w:tc>
        <w:tc>
          <w:tcPr>
            <w:tcW w:w="1208" w:type="dxa"/>
            <w:vAlign w:val="center"/>
          </w:tcPr>
          <w:p w14:paraId="55CE0A0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52456B1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2643" w:type="dxa"/>
            <w:vAlign w:val="center"/>
          </w:tcPr>
          <w:p w14:paraId="4E1734C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打印证书用</w:t>
            </w:r>
          </w:p>
        </w:tc>
      </w:tr>
      <w:tr w14:paraId="51270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6FC1A0B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22</w:t>
            </w:r>
          </w:p>
        </w:tc>
        <w:tc>
          <w:tcPr>
            <w:tcW w:w="3071" w:type="dxa"/>
            <w:vAlign w:val="center"/>
          </w:tcPr>
          <w:p w14:paraId="09ADFE5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档案袋</w:t>
            </w:r>
          </w:p>
        </w:tc>
        <w:tc>
          <w:tcPr>
            <w:tcW w:w="1208" w:type="dxa"/>
            <w:vAlign w:val="center"/>
          </w:tcPr>
          <w:p w14:paraId="3D30C2A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50</w:t>
            </w:r>
          </w:p>
        </w:tc>
        <w:tc>
          <w:tcPr>
            <w:tcW w:w="1428" w:type="dxa"/>
            <w:vAlign w:val="center"/>
          </w:tcPr>
          <w:p w14:paraId="4C1E101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45377901">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4A66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vAlign w:val="center"/>
          </w:tcPr>
          <w:p w14:paraId="647CD9A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23</w:t>
            </w:r>
          </w:p>
        </w:tc>
        <w:tc>
          <w:tcPr>
            <w:tcW w:w="3071" w:type="dxa"/>
            <w:vAlign w:val="center"/>
          </w:tcPr>
          <w:p w14:paraId="75BF6CF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打印纸(A4)</w:t>
            </w:r>
          </w:p>
        </w:tc>
        <w:tc>
          <w:tcPr>
            <w:tcW w:w="1208" w:type="dxa"/>
            <w:vAlign w:val="center"/>
          </w:tcPr>
          <w:p w14:paraId="3EFB6A7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20</w:t>
            </w:r>
          </w:p>
        </w:tc>
        <w:tc>
          <w:tcPr>
            <w:tcW w:w="1428" w:type="dxa"/>
            <w:vAlign w:val="center"/>
          </w:tcPr>
          <w:p w14:paraId="6C1D5B5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w:t>
            </w:r>
          </w:p>
        </w:tc>
        <w:tc>
          <w:tcPr>
            <w:tcW w:w="2643" w:type="dxa"/>
            <w:vAlign w:val="center"/>
          </w:tcPr>
          <w:p w14:paraId="5C8469A3">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776B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vAlign w:val="center"/>
          </w:tcPr>
          <w:p w14:paraId="7CFF34B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24</w:t>
            </w:r>
          </w:p>
        </w:tc>
        <w:tc>
          <w:tcPr>
            <w:tcW w:w="3071" w:type="dxa"/>
            <w:vAlign w:val="center"/>
          </w:tcPr>
          <w:p w14:paraId="612F316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订书机</w:t>
            </w:r>
          </w:p>
        </w:tc>
        <w:tc>
          <w:tcPr>
            <w:tcW w:w="1208" w:type="dxa"/>
            <w:vAlign w:val="center"/>
          </w:tcPr>
          <w:p w14:paraId="20ED983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8" w:type="dxa"/>
            <w:vAlign w:val="center"/>
          </w:tcPr>
          <w:p w14:paraId="3A3EFB2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4A5BB1EC">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443F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69" w:type="dxa"/>
            <w:vAlign w:val="center"/>
          </w:tcPr>
          <w:p w14:paraId="363234A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25</w:t>
            </w:r>
          </w:p>
        </w:tc>
        <w:tc>
          <w:tcPr>
            <w:tcW w:w="3071" w:type="dxa"/>
            <w:vAlign w:val="center"/>
          </w:tcPr>
          <w:p w14:paraId="124DBE9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订书针</w:t>
            </w:r>
          </w:p>
        </w:tc>
        <w:tc>
          <w:tcPr>
            <w:tcW w:w="1208" w:type="dxa"/>
            <w:vAlign w:val="center"/>
          </w:tcPr>
          <w:p w14:paraId="7AF8BFC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428" w:type="dxa"/>
            <w:vAlign w:val="center"/>
          </w:tcPr>
          <w:p w14:paraId="5997683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盒</w:t>
            </w:r>
          </w:p>
        </w:tc>
        <w:tc>
          <w:tcPr>
            <w:tcW w:w="2643" w:type="dxa"/>
            <w:vAlign w:val="center"/>
          </w:tcPr>
          <w:p w14:paraId="16FE0B61">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1784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60CABFE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26</w:t>
            </w:r>
          </w:p>
        </w:tc>
        <w:tc>
          <w:tcPr>
            <w:tcW w:w="3071" w:type="dxa"/>
            <w:vAlign w:val="center"/>
          </w:tcPr>
          <w:p w14:paraId="0B0D285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大透明胶带</w:t>
            </w:r>
          </w:p>
        </w:tc>
        <w:tc>
          <w:tcPr>
            <w:tcW w:w="1208" w:type="dxa"/>
            <w:vAlign w:val="center"/>
          </w:tcPr>
          <w:p w14:paraId="6464DDE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8" w:type="dxa"/>
            <w:vAlign w:val="center"/>
          </w:tcPr>
          <w:p w14:paraId="602CD29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卷</w:t>
            </w:r>
          </w:p>
        </w:tc>
        <w:tc>
          <w:tcPr>
            <w:tcW w:w="2643" w:type="dxa"/>
            <w:vAlign w:val="center"/>
          </w:tcPr>
          <w:p w14:paraId="58CDEA9E">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5F5D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69" w:type="dxa"/>
            <w:vAlign w:val="center"/>
          </w:tcPr>
          <w:p w14:paraId="2EF330D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27</w:t>
            </w:r>
          </w:p>
        </w:tc>
        <w:tc>
          <w:tcPr>
            <w:tcW w:w="3071" w:type="dxa"/>
            <w:vAlign w:val="center"/>
          </w:tcPr>
          <w:p w14:paraId="0633E99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红色水笔</w:t>
            </w:r>
          </w:p>
        </w:tc>
        <w:tc>
          <w:tcPr>
            <w:tcW w:w="1208" w:type="dxa"/>
            <w:vAlign w:val="center"/>
          </w:tcPr>
          <w:p w14:paraId="5ABBF92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3C8F724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盒</w:t>
            </w:r>
          </w:p>
        </w:tc>
        <w:tc>
          <w:tcPr>
            <w:tcW w:w="2643" w:type="dxa"/>
            <w:vAlign w:val="center"/>
          </w:tcPr>
          <w:p w14:paraId="67E0E320">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21CE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vAlign w:val="center"/>
          </w:tcPr>
          <w:p w14:paraId="376C36F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28</w:t>
            </w:r>
          </w:p>
        </w:tc>
        <w:tc>
          <w:tcPr>
            <w:tcW w:w="3071" w:type="dxa"/>
            <w:vAlign w:val="center"/>
          </w:tcPr>
          <w:p w14:paraId="332D305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成绩公告板</w:t>
            </w:r>
          </w:p>
        </w:tc>
        <w:tc>
          <w:tcPr>
            <w:tcW w:w="1208" w:type="dxa"/>
            <w:vAlign w:val="center"/>
          </w:tcPr>
          <w:p w14:paraId="17D7B4D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8" w:type="dxa"/>
            <w:vAlign w:val="center"/>
          </w:tcPr>
          <w:p w14:paraId="309C3C4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027F325A">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1AE4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69" w:type="dxa"/>
            <w:vAlign w:val="center"/>
          </w:tcPr>
          <w:p w14:paraId="59834DD9">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29</w:t>
            </w:r>
          </w:p>
        </w:tc>
        <w:tc>
          <w:tcPr>
            <w:tcW w:w="3071" w:type="dxa"/>
            <w:vAlign w:val="center"/>
          </w:tcPr>
          <w:p w14:paraId="2D1203F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帐篷</w:t>
            </w:r>
          </w:p>
        </w:tc>
        <w:tc>
          <w:tcPr>
            <w:tcW w:w="1208" w:type="dxa"/>
            <w:vAlign w:val="center"/>
          </w:tcPr>
          <w:p w14:paraId="3A12381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12</w:t>
            </w:r>
          </w:p>
        </w:tc>
        <w:tc>
          <w:tcPr>
            <w:tcW w:w="1428" w:type="dxa"/>
            <w:vAlign w:val="center"/>
          </w:tcPr>
          <w:p w14:paraId="2BEDF14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顶</w:t>
            </w:r>
          </w:p>
        </w:tc>
        <w:tc>
          <w:tcPr>
            <w:tcW w:w="2643" w:type="dxa"/>
            <w:vAlign w:val="center"/>
          </w:tcPr>
          <w:p w14:paraId="75DC7FE1">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12D4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22EF01C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30</w:t>
            </w:r>
          </w:p>
        </w:tc>
        <w:tc>
          <w:tcPr>
            <w:tcW w:w="3071" w:type="dxa"/>
            <w:vAlign w:val="center"/>
          </w:tcPr>
          <w:p w14:paraId="7B38ACE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笔记本电脑</w:t>
            </w:r>
          </w:p>
        </w:tc>
        <w:tc>
          <w:tcPr>
            <w:tcW w:w="1208" w:type="dxa"/>
            <w:vAlign w:val="center"/>
          </w:tcPr>
          <w:p w14:paraId="6FB38EC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8" w:type="dxa"/>
            <w:vAlign w:val="center"/>
          </w:tcPr>
          <w:p w14:paraId="44C2EA8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2643" w:type="dxa"/>
            <w:vAlign w:val="center"/>
          </w:tcPr>
          <w:p w14:paraId="1657194E">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5A3B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0958470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31</w:t>
            </w:r>
          </w:p>
        </w:tc>
        <w:tc>
          <w:tcPr>
            <w:tcW w:w="3071" w:type="dxa"/>
            <w:vAlign w:val="center"/>
          </w:tcPr>
          <w:p w14:paraId="277A47A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透明胶带</w:t>
            </w:r>
          </w:p>
        </w:tc>
        <w:tc>
          <w:tcPr>
            <w:tcW w:w="1208" w:type="dxa"/>
            <w:vAlign w:val="center"/>
          </w:tcPr>
          <w:p w14:paraId="0624DBA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28" w:type="dxa"/>
            <w:vAlign w:val="center"/>
          </w:tcPr>
          <w:p w14:paraId="2715718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卷</w:t>
            </w:r>
          </w:p>
        </w:tc>
        <w:tc>
          <w:tcPr>
            <w:tcW w:w="2643" w:type="dxa"/>
            <w:vAlign w:val="center"/>
          </w:tcPr>
          <w:p w14:paraId="0EF61CD3">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4D475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7FE5F86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32</w:t>
            </w:r>
          </w:p>
        </w:tc>
        <w:tc>
          <w:tcPr>
            <w:tcW w:w="3071" w:type="dxa"/>
            <w:vAlign w:val="center"/>
          </w:tcPr>
          <w:p w14:paraId="618713B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一次性杯子</w:t>
            </w:r>
          </w:p>
        </w:tc>
        <w:tc>
          <w:tcPr>
            <w:tcW w:w="1208" w:type="dxa"/>
            <w:vAlign w:val="center"/>
          </w:tcPr>
          <w:p w14:paraId="104AFB1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300</w:t>
            </w:r>
          </w:p>
        </w:tc>
        <w:tc>
          <w:tcPr>
            <w:tcW w:w="1428" w:type="dxa"/>
            <w:vAlign w:val="center"/>
          </w:tcPr>
          <w:p w14:paraId="68EE4EC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60F724F7">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1C9FE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69" w:type="dxa"/>
            <w:vAlign w:val="center"/>
          </w:tcPr>
          <w:p w14:paraId="6E163678">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33</w:t>
            </w:r>
          </w:p>
        </w:tc>
        <w:tc>
          <w:tcPr>
            <w:tcW w:w="3071" w:type="dxa"/>
            <w:vAlign w:val="center"/>
          </w:tcPr>
          <w:p w14:paraId="7765BE3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一次性雨衣</w:t>
            </w:r>
          </w:p>
        </w:tc>
        <w:tc>
          <w:tcPr>
            <w:tcW w:w="1208" w:type="dxa"/>
            <w:vAlign w:val="center"/>
          </w:tcPr>
          <w:p w14:paraId="7EBE639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若干</w:t>
            </w:r>
          </w:p>
        </w:tc>
        <w:tc>
          <w:tcPr>
            <w:tcW w:w="1428" w:type="dxa"/>
            <w:vAlign w:val="center"/>
          </w:tcPr>
          <w:p w14:paraId="6467D86D">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c>
          <w:tcPr>
            <w:tcW w:w="2643" w:type="dxa"/>
            <w:vAlign w:val="center"/>
          </w:tcPr>
          <w:p w14:paraId="5A1ACE5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备用</w:t>
            </w:r>
          </w:p>
        </w:tc>
      </w:tr>
      <w:tr w14:paraId="3DAE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69" w:type="dxa"/>
            <w:vAlign w:val="center"/>
          </w:tcPr>
          <w:p w14:paraId="2343A3E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34</w:t>
            </w:r>
          </w:p>
        </w:tc>
        <w:tc>
          <w:tcPr>
            <w:tcW w:w="3071" w:type="dxa"/>
            <w:vAlign w:val="center"/>
          </w:tcPr>
          <w:p w14:paraId="774A33C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桌子</w:t>
            </w:r>
          </w:p>
        </w:tc>
        <w:tc>
          <w:tcPr>
            <w:tcW w:w="1208" w:type="dxa"/>
            <w:vAlign w:val="center"/>
          </w:tcPr>
          <w:p w14:paraId="152B383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40</w:t>
            </w:r>
          </w:p>
        </w:tc>
        <w:tc>
          <w:tcPr>
            <w:tcW w:w="1428" w:type="dxa"/>
            <w:vAlign w:val="center"/>
          </w:tcPr>
          <w:p w14:paraId="6323D97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7F83C5C0">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54DF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0548F8A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35</w:t>
            </w:r>
          </w:p>
        </w:tc>
        <w:tc>
          <w:tcPr>
            <w:tcW w:w="3071" w:type="dxa"/>
            <w:vAlign w:val="center"/>
          </w:tcPr>
          <w:p w14:paraId="6CB465CC">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凳子</w:t>
            </w:r>
          </w:p>
        </w:tc>
        <w:tc>
          <w:tcPr>
            <w:tcW w:w="1208" w:type="dxa"/>
            <w:vAlign w:val="center"/>
          </w:tcPr>
          <w:p w14:paraId="760BAAF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100</w:t>
            </w:r>
          </w:p>
        </w:tc>
        <w:tc>
          <w:tcPr>
            <w:tcW w:w="1428" w:type="dxa"/>
            <w:vAlign w:val="center"/>
          </w:tcPr>
          <w:p w14:paraId="0A0009BF">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2643" w:type="dxa"/>
            <w:vAlign w:val="center"/>
          </w:tcPr>
          <w:p w14:paraId="1DD43702">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裁判用</w:t>
            </w:r>
          </w:p>
        </w:tc>
      </w:tr>
      <w:tr w14:paraId="05860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69" w:type="dxa"/>
            <w:vAlign w:val="center"/>
          </w:tcPr>
          <w:p w14:paraId="103DD1E4">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36</w:t>
            </w:r>
          </w:p>
        </w:tc>
        <w:tc>
          <w:tcPr>
            <w:tcW w:w="3071" w:type="dxa"/>
            <w:vAlign w:val="center"/>
          </w:tcPr>
          <w:p w14:paraId="321E0DF6">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储物箱</w:t>
            </w:r>
          </w:p>
        </w:tc>
        <w:tc>
          <w:tcPr>
            <w:tcW w:w="1208" w:type="dxa"/>
            <w:vAlign w:val="center"/>
          </w:tcPr>
          <w:p w14:paraId="6B200253">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50</w:t>
            </w:r>
          </w:p>
        </w:tc>
        <w:tc>
          <w:tcPr>
            <w:tcW w:w="1428" w:type="dxa"/>
            <w:vAlign w:val="center"/>
          </w:tcPr>
          <w:p w14:paraId="7E79DC91">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2C826433">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0E85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69" w:type="dxa"/>
            <w:vAlign w:val="center"/>
          </w:tcPr>
          <w:p w14:paraId="77CE953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37</w:t>
            </w:r>
          </w:p>
        </w:tc>
        <w:tc>
          <w:tcPr>
            <w:tcW w:w="3071" w:type="dxa"/>
            <w:vAlign w:val="center"/>
          </w:tcPr>
          <w:p w14:paraId="6EA35DF7">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红卡、黄卡</w:t>
            </w:r>
          </w:p>
        </w:tc>
        <w:tc>
          <w:tcPr>
            <w:tcW w:w="1208" w:type="dxa"/>
            <w:vAlign w:val="center"/>
          </w:tcPr>
          <w:p w14:paraId="323F153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10</w:t>
            </w:r>
          </w:p>
        </w:tc>
        <w:tc>
          <w:tcPr>
            <w:tcW w:w="1428" w:type="dxa"/>
            <w:vAlign w:val="center"/>
          </w:tcPr>
          <w:p w14:paraId="61103E2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套</w:t>
            </w:r>
          </w:p>
        </w:tc>
        <w:tc>
          <w:tcPr>
            <w:tcW w:w="2643" w:type="dxa"/>
            <w:vAlign w:val="center"/>
          </w:tcPr>
          <w:p w14:paraId="093CBB3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裁判长用</w:t>
            </w:r>
          </w:p>
        </w:tc>
      </w:tr>
      <w:tr w14:paraId="0D47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vAlign w:val="center"/>
          </w:tcPr>
          <w:p w14:paraId="1F23597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36</w:t>
            </w:r>
          </w:p>
        </w:tc>
        <w:tc>
          <w:tcPr>
            <w:tcW w:w="3071" w:type="dxa"/>
            <w:vAlign w:val="center"/>
          </w:tcPr>
          <w:p w14:paraId="1AD446AB">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秒表</w:t>
            </w:r>
          </w:p>
        </w:tc>
        <w:tc>
          <w:tcPr>
            <w:tcW w:w="1208" w:type="dxa"/>
            <w:vAlign w:val="center"/>
          </w:tcPr>
          <w:p w14:paraId="4EC5D6CD">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20</w:t>
            </w:r>
          </w:p>
        </w:tc>
        <w:tc>
          <w:tcPr>
            <w:tcW w:w="1428" w:type="dxa"/>
            <w:vAlign w:val="center"/>
          </w:tcPr>
          <w:p w14:paraId="4374E11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7C3506E9">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r w14:paraId="2566D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069" w:type="dxa"/>
            <w:vAlign w:val="center"/>
          </w:tcPr>
          <w:p w14:paraId="0C11F5CA">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37</w:t>
            </w:r>
          </w:p>
        </w:tc>
        <w:tc>
          <w:tcPr>
            <w:tcW w:w="3071" w:type="dxa"/>
            <w:vAlign w:val="center"/>
          </w:tcPr>
          <w:p w14:paraId="3495FFB5">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哨子</w:t>
            </w:r>
          </w:p>
        </w:tc>
        <w:tc>
          <w:tcPr>
            <w:tcW w:w="1208" w:type="dxa"/>
            <w:vAlign w:val="center"/>
          </w:tcPr>
          <w:p w14:paraId="77BCAFBE">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50</w:t>
            </w:r>
          </w:p>
        </w:tc>
        <w:tc>
          <w:tcPr>
            <w:tcW w:w="1428" w:type="dxa"/>
            <w:vAlign w:val="center"/>
          </w:tcPr>
          <w:p w14:paraId="38C3AE70">
            <w:pPr>
              <w:pStyle w:val="73"/>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w:t>
            </w:r>
          </w:p>
        </w:tc>
        <w:tc>
          <w:tcPr>
            <w:tcW w:w="2643" w:type="dxa"/>
            <w:vAlign w:val="center"/>
          </w:tcPr>
          <w:p w14:paraId="2AA66FC0">
            <w:pPr>
              <w:keepNext w:val="0"/>
              <w:keepLines w:val="0"/>
              <w:pageBreakBefore w:val="0"/>
              <w:widowControl/>
              <w:kinsoku/>
              <w:wordWrap/>
              <w:overflowPunct/>
              <w:topLinePunct w:val="0"/>
              <w:autoSpaceDE/>
              <w:autoSpaceDN/>
              <w:bidi w:val="0"/>
              <w:adjustRightInd/>
              <w:snapToGrid/>
              <w:spacing w:line="240" w:lineRule="auto"/>
              <w:ind w:left="0"/>
              <w:jc w:val="center"/>
              <w:textAlignment w:val="baseline"/>
              <w:rPr>
                <w:rFonts w:hint="eastAsia" w:asciiTheme="minorEastAsia" w:hAnsiTheme="minorEastAsia" w:eastAsiaTheme="minorEastAsia" w:cstheme="minorEastAsia"/>
                <w:color w:val="auto"/>
                <w:sz w:val="24"/>
                <w:szCs w:val="24"/>
                <w:highlight w:val="none"/>
              </w:rPr>
            </w:pPr>
          </w:p>
        </w:tc>
      </w:tr>
    </w:tbl>
    <w:p w14:paraId="65939D1A">
      <w:pPr>
        <w:spacing w:line="56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p>
    <w:p w14:paraId="06E6605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注：成交后十日内所有器材设施供货安装到位。</w:t>
      </w:r>
    </w:p>
    <w:p w14:paraId="6E71842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p>
    <w:p w14:paraId="1AC6E13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（二）场地</w:t>
      </w:r>
      <w:r>
        <w:rPr>
          <w:rFonts w:hint="eastAsia" w:asciiTheme="minorEastAsia" w:hAnsiTheme="minorEastAsia" w:eastAsiaTheme="minorEastAsia" w:cstheme="minorEastAsia"/>
          <w:b/>
          <w:bCs/>
          <w:color w:val="auto"/>
          <w:sz w:val="24"/>
          <w:szCs w:val="24"/>
          <w:highlight w:val="none"/>
          <w:lang w:val="en-US" w:eastAsia="zh-CN"/>
        </w:rPr>
        <w:t>自行车比赛器材清单</w:t>
      </w:r>
    </w:p>
    <w:tbl>
      <w:tblPr>
        <w:tblStyle w:val="17"/>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6633"/>
        <w:gridCol w:w="987"/>
        <w:gridCol w:w="990"/>
      </w:tblGrid>
      <w:tr w14:paraId="6167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97" w:type="dxa"/>
            <w:gridSpan w:val="4"/>
            <w:tcBorders>
              <w:top w:val="nil"/>
              <w:left w:val="nil"/>
              <w:bottom w:val="nil"/>
              <w:right w:val="nil"/>
            </w:tcBorders>
            <w:shd w:val="clear" w:color="auto" w:fill="auto"/>
            <w:vAlign w:val="center"/>
          </w:tcPr>
          <w:p w14:paraId="29D34821">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场地自行车器材</w:t>
            </w:r>
          </w:p>
        </w:tc>
      </w:tr>
      <w:tr w14:paraId="6138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99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序号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B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项目</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4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单位</w:t>
            </w:r>
          </w:p>
        </w:tc>
      </w:tr>
      <w:tr w14:paraId="427B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F0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0F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主持人（含食宿及差旅）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7F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7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人</w:t>
            </w:r>
          </w:p>
        </w:tc>
      </w:tr>
      <w:tr w14:paraId="3A36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9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2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礼仪（含食宿及差旅）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9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F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人</w:t>
            </w:r>
          </w:p>
        </w:tc>
      </w:tr>
      <w:tr w14:paraId="4EC2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3</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A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公安、医疗、志愿者等工作餐、矿泉水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1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2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人</w:t>
            </w:r>
          </w:p>
        </w:tc>
      </w:tr>
      <w:tr w14:paraId="1A5A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9C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4</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8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公共社会责任险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C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F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场</w:t>
            </w:r>
          </w:p>
        </w:tc>
      </w:tr>
      <w:tr w14:paraId="21F5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0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5</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5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场馆租赁费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F8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E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4B8B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1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6</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场馆电费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85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3CE6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2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7</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1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场馆保洁</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C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98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5DF7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BB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8</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4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场馆安保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2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4E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49B2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4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9</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C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医疗保障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87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组</w:t>
            </w:r>
          </w:p>
        </w:tc>
      </w:tr>
      <w:tr w14:paraId="6062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F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10</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0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场地布置（颁奖台、音响、队区、颁奖台、龙门架、注水旗、挂车架、队区标示牌、地毯、铁马、礼宾杆等）</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E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49B6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11</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4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电计时系统（含人员食宿劳务）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E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7C0C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B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12</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2D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中立维修、验车器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A1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39AD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C9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13</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7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通讯系统</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3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73AF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14</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裁判用品（笔记本、打印机、氮气瓶、秒表、发令枪、旗帜、白板、夹板等）</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89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A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2A8D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47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15</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9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竞赛用品（号码布、证件、秩序册、成绩册等）</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D0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3506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B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16</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颁奖仪式物料</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02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330E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17</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搭建人工、运输费用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4A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D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项</w:t>
            </w:r>
          </w:p>
        </w:tc>
      </w:tr>
      <w:tr w14:paraId="532F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D76D">
            <w:pPr>
              <w:pStyle w:val="73"/>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color w:val="auto"/>
                <w:spacing w:val="-4"/>
                <w:sz w:val="24"/>
                <w:szCs w:val="24"/>
                <w:highlight w:val="none"/>
                <w:lang w:val="en-US" w:eastAsia="zh-CN"/>
              </w:rPr>
              <w:t>18</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F20B">
            <w:pPr>
              <w:pStyle w:val="73"/>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color w:val="auto"/>
                <w:spacing w:val="5"/>
                <w:sz w:val="24"/>
                <w:szCs w:val="24"/>
                <w:highlight w:val="none"/>
              </w:rPr>
              <w:t>冰柜（含冰块）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1135">
            <w:pPr>
              <w:pStyle w:val="73"/>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color w:val="auto"/>
                <w:spacing w:val="-4"/>
                <w:sz w:val="24"/>
                <w:szCs w:val="24"/>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35D">
            <w:pPr>
              <w:pStyle w:val="73"/>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color w:val="auto"/>
                <w:sz w:val="24"/>
                <w:szCs w:val="24"/>
                <w:highlight w:val="none"/>
                <w:lang w:val="en-US" w:eastAsia="zh-CN"/>
              </w:rPr>
              <w:t>个</w:t>
            </w:r>
          </w:p>
        </w:tc>
      </w:tr>
      <w:tr w14:paraId="69D7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2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19</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sz w:val="24"/>
                <w:szCs w:val="24"/>
                <w:highlight w:val="none"/>
                <w:u w:val="none"/>
              </w:rPr>
              <w:t>赛事直播</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E2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A6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color="000000"/>
                <w:lang w:val="en-US" w:eastAsia="zh-CN" w:bidi="ar"/>
              </w:rPr>
            </w:pPr>
            <w:r>
              <w:rPr>
                <w:rStyle w:val="68"/>
                <w:rFonts w:hint="eastAsia" w:asciiTheme="minorEastAsia" w:hAnsiTheme="minorEastAsia" w:eastAsiaTheme="minorEastAsia" w:cstheme="minorEastAsia"/>
                <w:color w:val="auto"/>
                <w:sz w:val="24"/>
                <w:szCs w:val="24"/>
                <w:highlight w:val="none"/>
                <w:u w:color="000000"/>
                <w:lang w:val="en-US" w:eastAsia="zh-CN" w:bidi="ar"/>
              </w:rPr>
              <w:t>项</w:t>
            </w:r>
          </w:p>
        </w:tc>
      </w:tr>
    </w:tbl>
    <w:p w14:paraId="61F141B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注：成交后十日内所有器材设施供货安装到位。</w:t>
      </w:r>
    </w:p>
    <w:p w14:paraId="5F47B8A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lang w:eastAsia="zh-CN"/>
        </w:rPr>
        <w:t>其他服务</w:t>
      </w:r>
      <w:r>
        <w:rPr>
          <w:rFonts w:hint="eastAsia" w:asciiTheme="minorEastAsia" w:hAnsiTheme="minorEastAsia" w:eastAsiaTheme="minorEastAsia" w:cstheme="minorEastAsia"/>
          <w:b/>
          <w:bCs/>
          <w:color w:val="auto"/>
          <w:sz w:val="24"/>
          <w:szCs w:val="24"/>
          <w:highlight w:val="none"/>
        </w:rPr>
        <w:t>需求</w:t>
      </w:r>
    </w:p>
    <w:p w14:paraId="7D4421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pacing w:val="2"/>
          <w:sz w:val="24"/>
          <w:szCs w:val="24"/>
          <w:highlight w:val="none"/>
          <w:u w:val="none"/>
          <w:lang w:val="en-US" w:eastAsia="zh-CN"/>
        </w:rPr>
        <w:t>公路自行车比赛于2026年8月11日到15日在安阳市林州举行，</w:t>
      </w:r>
      <w:r>
        <w:rPr>
          <w:rFonts w:hint="eastAsia" w:asciiTheme="minorEastAsia" w:hAnsiTheme="minorEastAsia" w:eastAsiaTheme="minorEastAsia" w:cstheme="minorEastAsia"/>
          <w:b w:val="0"/>
          <w:bCs w:val="0"/>
          <w:color w:val="auto"/>
          <w:sz w:val="24"/>
          <w:szCs w:val="24"/>
          <w:highlight w:val="none"/>
          <w:lang w:val="en-US" w:eastAsia="zh-CN"/>
        </w:rPr>
        <w:t>比赛场地和办公、休息室等费用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该费用包含在报价中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，符合省中心比赛要求。</w:t>
      </w:r>
    </w:p>
    <w:p w14:paraId="16D6E4BF">
      <w:pPr>
        <w:keepNext w:val="0"/>
        <w:keepLines w:val="0"/>
        <w:pageBreakBefore w:val="0"/>
        <w:widowControl w:val="0"/>
        <w:kinsoku/>
        <w:wordWrap/>
        <w:overflowPunct/>
        <w:topLinePunct w:val="0"/>
        <w:autoSpaceDE/>
        <w:autoSpaceDN/>
        <w:bidi w:val="0"/>
        <w:adjustRightInd/>
        <w:snapToGrid w:val="0"/>
        <w:spacing w:line="360" w:lineRule="auto"/>
        <w:ind w:firstLine="488"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u w:val="none"/>
          <w:lang w:val="en-US" w:eastAsia="zh-CN"/>
        </w:rPr>
        <w:t>公路自行车</w:t>
      </w:r>
      <w:r>
        <w:rPr>
          <w:rFonts w:hint="eastAsia" w:asciiTheme="minorEastAsia" w:hAnsiTheme="minorEastAsia" w:eastAsiaTheme="minorEastAsia" w:cstheme="minorEastAsia"/>
          <w:color w:val="auto"/>
          <w:sz w:val="24"/>
          <w:szCs w:val="24"/>
          <w:highlight w:val="none"/>
          <w:lang w:val="en-US" w:eastAsia="zh-CN"/>
        </w:rPr>
        <w:t>赛期约6天，运动队人数约500人，裁判人数约60人，赛事监督等人员约18人，志愿者约70人，</w:t>
      </w:r>
      <w:r>
        <w:rPr>
          <w:rFonts w:hint="eastAsia" w:asciiTheme="minorEastAsia" w:hAnsiTheme="minorEastAsia" w:eastAsiaTheme="minorEastAsia" w:cstheme="minorEastAsia"/>
          <w:b/>
          <w:bCs/>
          <w:color w:val="auto"/>
          <w:sz w:val="24"/>
          <w:szCs w:val="24"/>
          <w:highlight w:val="none"/>
          <w:lang w:val="en-US" w:eastAsia="zh-CN"/>
        </w:rPr>
        <w:t>具体人数和天数以实际为准，以上人员的食宿、薪酬、交通补贴依据相关政策、文件执行，据实结算</w:t>
      </w:r>
      <w:r>
        <w:rPr>
          <w:rFonts w:hint="eastAsia" w:asciiTheme="minorEastAsia" w:hAnsiTheme="minorEastAsia" w:eastAsiaTheme="minorEastAsia" w:cstheme="minorEastAsia"/>
          <w:color w:val="auto"/>
          <w:sz w:val="24"/>
          <w:szCs w:val="24"/>
          <w:highlight w:val="none"/>
          <w:lang w:val="en-US" w:eastAsia="zh-CN"/>
        </w:rPr>
        <w:t>。供应商需配置赛场服务人员至少14人。</w:t>
      </w:r>
    </w:p>
    <w:p w14:paraId="6BF6EF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2.场地自行车</w:t>
      </w:r>
      <w:r>
        <w:rPr>
          <w:rFonts w:hint="eastAsia" w:asciiTheme="minorEastAsia" w:hAnsiTheme="minorEastAsia" w:eastAsiaTheme="minorEastAsia" w:cstheme="minorEastAsia"/>
          <w:color w:val="auto"/>
          <w:spacing w:val="2"/>
          <w:sz w:val="24"/>
          <w:szCs w:val="24"/>
          <w:highlight w:val="none"/>
          <w:u w:val="none"/>
          <w:lang w:val="en-US" w:eastAsia="zh-CN"/>
        </w:rPr>
        <w:t>比赛于2026年8月19日到23日在洛阳自行车馆举行，</w:t>
      </w:r>
      <w:r>
        <w:rPr>
          <w:rFonts w:hint="eastAsia" w:asciiTheme="minorEastAsia" w:hAnsiTheme="minorEastAsia" w:eastAsiaTheme="minorEastAsia" w:cstheme="minorEastAsia"/>
          <w:b w:val="0"/>
          <w:bCs w:val="0"/>
          <w:color w:val="auto"/>
          <w:sz w:val="24"/>
          <w:szCs w:val="24"/>
          <w:highlight w:val="none"/>
          <w:lang w:val="en-US" w:eastAsia="zh-CN"/>
        </w:rPr>
        <w:t>比赛场地和办公、休息室等等费用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该费用包含在报价中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，符合省中心比赛要求。</w:t>
      </w:r>
    </w:p>
    <w:p w14:paraId="4F14A4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场地</w:t>
      </w:r>
      <w:r>
        <w:rPr>
          <w:rFonts w:hint="eastAsia" w:asciiTheme="minorEastAsia" w:hAnsiTheme="minorEastAsia" w:eastAsiaTheme="minorEastAsia" w:cstheme="minorEastAsia"/>
          <w:color w:val="auto"/>
          <w:spacing w:val="2"/>
          <w:sz w:val="24"/>
          <w:szCs w:val="24"/>
          <w:highlight w:val="none"/>
          <w:u w:val="none"/>
          <w:lang w:val="en-US" w:eastAsia="zh-CN"/>
        </w:rPr>
        <w:t>自行车</w:t>
      </w:r>
      <w:r>
        <w:rPr>
          <w:rFonts w:hint="eastAsia" w:asciiTheme="minorEastAsia" w:hAnsiTheme="minorEastAsia" w:eastAsiaTheme="minorEastAsia" w:cstheme="minorEastAsia"/>
          <w:color w:val="auto"/>
          <w:sz w:val="24"/>
          <w:szCs w:val="24"/>
          <w:highlight w:val="none"/>
          <w:lang w:val="en-US" w:eastAsia="zh-CN"/>
        </w:rPr>
        <w:t>赛期约6天，运动队人数约520人，裁判人数约56人，赛事监督等人员约18人，志愿者约30人，</w:t>
      </w:r>
      <w:r>
        <w:rPr>
          <w:rFonts w:hint="eastAsia" w:asciiTheme="minorEastAsia" w:hAnsiTheme="minorEastAsia" w:eastAsiaTheme="minorEastAsia" w:cstheme="minorEastAsia"/>
          <w:b/>
          <w:bCs/>
          <w:color w:val="auto"/>
          <w:sz w:val="24"/>
          <w:szCs w:val="24"/>
          <w:highlight w:val="none"/>
          <w:lang w:val="en-US" w:eastAsia="zh-CN"/>
        </w:rPr>
        <w:t>具体人数和天数以实际为准，以上人员的食宿、薪酬、交通补贴依据相关政策、文件执行，据实结算</w:t>
      </w:r>
      <w:r>
        <w:rPr>
          <w:rFonts w:hint="eastAsia" w:asciiTheme="minorEastAsia" w:hAnsiTheme="minorEastAsia" w:eastAsiaTheme="minorEastAsia" w:cstheme="minorEastAsia"/>
          <w:color w:val="auto"/>
          <w:sz w:val="24"/>
          <w:szCs w:val="24"/>
          <w:highlight w:val="none"/>
          <w:lang w:val="en-US" w:eastAsia="zh-CN"/>
        </w:rPr>
        <w:t>。供应商需配置赛场服务人员至少14人。</w:t>
      </w:r>
    </w:p>
    <w:p w14:paraId="7D757C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.签到处，检录处，卫生间等指示标示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道旗、</w:t>
      </w:r>
      <w:r>
        <w:rPr>
          <w:rFonts w:hint="eastAsia" w:asciiTheme="minorEastAsia" w:hAnsiTheme="minorEastAsia" w:eastAsiaTheme="minorEastAsia" w:cstheme="minorEastAsia"/>
          <w:color w:val="auto"/>
          <w:sz w:val="24"/>
          <w:szCs w:val="24"/>
          <w:highlight w:val="none"/>
          <w:lang w:val="en-US" w:eastAsia="zh-CN"/>
        </w:rPr>
        <w:t>A字板、</w:t>
      </w:r>
      <w:r>
        <w:rPr>
          <w:rFonts w:hint="eastAsia" w:asciiTheme="minorEastAsia" w:hAnsiTheme="minorEastAsia" w:eastAsiaTheme="minorEastAsia" w:cstheme="minorEastAsia"/>
          <w:color w:val="auto"/>
          <w:sz w:val="24"/>
          <w:szCs w:val="24"/>
          <w:highlight w:val="none"/>
        </w:rPr>
        <w:t>宣传标语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背景板</w:t>
      </w:r>
      <w:r>
        <w:rPr>
          <w:rFonts w:hint="eastAsia" w:asciiTheme="minorEastAsia" w:hAnsiTheme="minorEastAsia" w:eastAsiaTheme="minorEastAsia" w:cstheme="minorEastAsia"/>
          <w:color w:val="auto"/>
          <w:sz w:val="24"/>
          <w:szCs w:val="24"/>
          <w:highlight w:val="none"/>
        </w:rPr>
        <w:t>等，符合赛事要求。</w:t>
      </w:r>
    </w:p>
    <w:p w14:paraId="041CDC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负责提供召开赛前组委会、技术会议等相关场所（会议室），按需放置音响、投影灯、座位牌等设备，协助主办方做好赛前准备、服务工作。</w:t>
      </w:r>
    </w:p>
    <w:p w14:paraId="229D2D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5.提供赛事所需裁判服务和赛场服务人员，人数满足赛事需求，赛场服务人员应遵循采购方及赛事要求。</w:t>
      </w:r>
    </w:p>
    <w:p w14:paraId="7ED01E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6.公路自行车比赛，成交供应商</w:t>
      </w:r>
      <w:r>
        <w:rPr>
          <w:rFonts w:hint="eastAsia" w:asciiTheme="minorEastAsia" w:hAnsiTheme="minorEastAsia" w:eastAsiaTheme="minorEastAsia" w:cstheme="minorEastAsia"/>
          <w:color w:val="auto"/>
          <w:sz w:val="24"/>
          <w:szCs w:val="24"/>
          <w:highlight w:val="none"/>
        </w:rPr>
        <w:t>负责为裁判员、工作人员、志愿者</w:t>
      </w:r>
      <w:r>
        <w:rPr>
          <w:rFonts w:hint="eastAsia" w:asciiTheme="minorEastAsia" w:hAnsiTheme="minorEastAsia" w:eastAsiaTheme="minorEastAsia" w:cstheme="minorEastAsia"/>
          <w:color w:val="auto"/>
          <w:sz w:val="24"/>
          <w:szCs w:val="24"/>
          <w:highlight w:val="none"/>
          <w:lang w:val="en-US" w:eastAsia="zh-CN"/>
        </w:rPr>
        <w:t>及运动队</w:t>
      </w:r>
      <w:r>
        <w:rPr>
          <w:rFonts w:hint="eastAsia" w:asciiTheme="minorEastAsia" w:hAnsiTheme="minorEastAsia" w:eastAsiaTheme="minorEastAsia" w:cstheme="minorEastAsia"/>
          <w:color w:val="auto"/>
          <w:sz w:val="24"/>
          <w:szCs w:val="24"/>
          <w:highlight w:val="none"/>
        </w:rPr>
        <w:t>提供赛事（酒店、赛场）</w:t>
      </w:r>
      <w:r>
        <w:rPr>
          <w:rFonts w:hint="eastAsia" w:asciiTheme="minorEastAsia" w:hAnsiTheme="minorEastAsia" w:eastAsiaTheme="minorEastAsia" w:cstheme="minorEastAsia"/>
          <w:color w:val="auto"/>
          <w:sz w:val="24"/>
          <w:szCs w:val="24"/>
          <w:highlight w:val="none"/>
          <w:lang w:val="en-US" w:eastAsia="zh-CN"/>
        </w:rPr>
        <w:t>食宿及交通保障（含大巴车&lt;公路自行车13辆&gt;、120</w:t>
      </w:r>
      <w:r>
        <w:rPr>
          <w:rFonts w:hint="eastAsia" w:asciiTheme="minorEastAsia" w:hAnsiTheme="minorEastAsia" w:eastAsiaTheme="minorEastAsia" w:cstheme="minorEastAsia"/>
          <w:color w:val="auto"/>
          <w:sz w:val="24"/>
          <w:szCs w:val="24"/>
          <w:highlight w:val="none"/>
        </w:rPr>
        <w:t>医疗救护车</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辆、急救医生护士各</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名、设备和紧急救治服务费用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另提供2辆车保障赛事需要（1辆兴奋剂送检，1辆工作组备用）。</w:t>
      </w:r>
    </w:p>
    <w:p w14:paraId="52EA58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场地自行车比赛，成交供应商</w:t>
      </w:r>
      <w:r>
        <w:rPr>
          <w:rFonts w:hint="eastAsia" w:asciiTheme="minorEastAsia" w:hAnsiTheme="minorEastAsia" w:eastAsiaTheme="minorEastAsia" w:cstheme="minorEastAsia"/>
          <w:color w:val="auto"/>
          <w:sz w:val="24"/>
          <w:szCs w:val="24"/>
          <w:highlight w:val="none"/>
        </w:rPr>
        <w:t>负责为裁判员、工作人员、志愿者</w:t>
      </w:r>
      <w:r>
        <w:rPr>
          <w:rFonts w:hint="eastAsia" w:asciiTheme="minorEastAsia" w:hAnsiTheme="minorEastAsia" w:eastAsiaTheme="minorEastAsia" w:cstheme="minorEastAsia"/>
          <w:color w:val="auto"/>
          <w:sz w:val="24"/>
          <w:szCs w:val="24"/>
          <w:highlight w:val="none"/>
          <w:lang w:val="en-US" w:eastAsia="zh-CN"/>
        </w:rPr>
        <w:t>及运动队</w:t>
      </w:r>
      <w:r>
        <w:rPr>
          <w:rFonts w:hint="eastAsia" w:asciiTheme="minorEastAsia" w:hAnsiTheme="minorEastAsia" w:eastAsiaTheme="minorEastAsia" w:cstheme="minorEastAsia"/>
          <w:color w:val="auto"/>
          <w:sz w:val="24"/>
          <w:szCs w:val="24"/>
          <w:highlight w:val="none"/>
        </w:rPr>
        <w:t>提供赛事（酒店、赛场）</w:t>
      </w:r>
      <w:r>
        <w:rPr>
          <w:rFonts w:hint="eastAsia" w:asciiTheme="minorEastAsia" w:hAnsiTheme="minorEastAsia" w:eastAsiaTheme="minorEastAsia" w:cstheme="minorEastAsia"/>
          <w:color w:val="auto"/>
          <w:sz w:val="24"/>
          <w:szCs w:val="24"/>
          <w:highlight w:val="none"/>
          <w:lang w:val="en-US" w:eastAsia="zh-CN"/>
        </w:rPr>
        <w:t>食宿及交通保障（含大巴车&lt;场地自行车12辆&gt;、120</w:t>
      </w:r>
      <w:r>
        <w:rPr>
          <w:rFonts w:hint="eastAsia" w:asciiTheme="minorEastAsia" w:hAnsiTheme="minorEastAsia" w:eastAsiaTheme="minorEastAsia" w:cstheme="minorEastAsia"/>
          <w:color w:val="auto"/>
          <w:sz w:val="24"/>
          <w:szCs w:val="24"/>
          <w:highlight w:val="none"/>
        </w:rPr>
        <w:t>医疗救护车</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辆、急救医生护士各</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名、设备和紧急救治服务费用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另提供2辆车保障赛事需要（1辆兴奋剂送检，1辆工作组备用）。</w:t>
      </w:r>
    </w:p>
    <w:p w14:paraId="5EEAB8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赛事</w:t>
      </w:r>
      <w:r>
        <w:rPr>
          <w:rFonts w:hint="eastAsia" w:asciiTheme="minorEastAsia" w:hAnsiTheme="minorEastAsia" w:eastAsiaTheme="minorEastAsia" w:cstheme="minorEastAsia"/>
          <w:color w:val="auto"/>
          <w:sz w:val="24"/>
          <w:szCs w:val="24"/>
          <w:highlight w:val="none"/>
        </w:rPr>
        <w:t>要求，印制赛事活动秩序册、成绩册及相关证件（技术官员、裁判员、教练员、运动员</w:t>
      </w:r>
      <w:r>
        <w:rPr>
          <w:rFonts w:hint="eastAsia" w:asciiTheme="minorEastAsia" w:hAnsiTheme="minorEastAsia" w:eastAsiaTheme="minorEastAsia" w:cstheme="minorEastAsia"/>
          <w:color w:val="auto"/>
          <w:sz w:val="24"/>
          <w:szCs w:val="24"/>
          <w:highlight w:val="none"/>
          <w:lang w:eastAsia="zh-CN"/>
        </w:rPr>
        <w:t>、嘉宾等</w:t>
      </w:r>
      <w:r>
        <w:rPr>
          <w:rFonts w:hint="eastAsia" w:asciiTheme="minorEastAsia" w:hAnsiTheme="minorEastAsia" w:eastAsiaTheme="minorEastAsia" w:cstheme="minorEastAsia"/>
          <w:color w:val="auto"/>
          <w:sz w:val="24"/>
          <w:szCs w:val="24"/>
          <w:highlight w:val="none"/>
        </w:rPr>
        <w:t>证件）等费用，报到时为各参赛单位发放2份秩序册，赛后一周内为参赛单位寄送2份成绩册</w:t>
      </w:r>
      <w:r>
        <w:rPr>
          <w:rFonts w:hint="eastAsia" w:asciiTheme="minorEastAsia" w:hAnsiTheme="minorEastAsia" w:eastAsiaTheme="minorEastAsia" w:cstheme="minorEastAsia"/>
          <w:color w:val="auto"/>
          <w:sz w:val="24"/>
          <w:szCs w:val="24"/>
          <w:highlight w:val="none"/>
          <w:lang w:val="en-US" w:eastAsia="zh-CN"/>
        </w:rPr>
        <w:t>。</w:t>
      </w:r>
    </w:p>
    <w:p w14:paraId="57740B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8.公路自行车比赛颁奖所需颁奖台1个、奖牌90个、证书160个、吉祥物90个等；场地自行车比赛颁奖所需颁奖台1个、奖牌324个、证书544个、吉祥物324个等。</w:t>
      </w:r>
    </w:p>
    <w:p w14:paraId="0BE4F0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9.</w:t>
      </w:r>
      <w:r>
        <w:rPr>
          <w:rFonts w:hint="eastAsia" w:asciiTheme="minorEastAsia" w:hAnsiTheme="minorEastAsia" w:eastAsiaTheme="minorEastAsia" w:cstheme="minorEastAsia"/>
          <w:color w:val="auto"/>
          <w:sz w:val="24"/>
          <w:szCs w:val="24"/>
          <w:highlight w:val="none"/>
          <w:lang w:val="en-US" w:eastAsia="zh-CN"/>
        </w:rPr>
        <w:t>比赛期间需实时监测天气情况，提供每天天气、风速等天气数据。</w:t>
      </w:r>
    </w:p>
    <w:p w14:paraId="700537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赞助、招商、冠名及特许商品，其中涉及物资类的赞助及资金类的赞助，活动结束后，若有结余，全部归成交供应商所有。成交供应商在确定赛事冠名赞助商前须征求采购人意见。本项目所有赛事服务收取运动员的食宿费、交通费，(以省中心通知为准)由成交供应商收取。</w:t>
      </w:r>
    </w:p>
    <w:p w14:paraId="7A7D51DE">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特别提醒</w:t>
      </w:r>
      <w:r>
        <w:rPr>
          <w:rFonts w:hint="eastAsia" w:asciiTheme="minorEastAsia" w:hAnsiTheme="minorEastAsia" w:eastAsiaTheme="minorEastAsia" w:cstheme="minorEastAsia"/>
          <w:b/>
          <w:bCs/>
          <w:sz w:val="24"/>
          <w:szCs w:val="24"/>
          <w:highlight w:val="none"/>
        </w:rPr>
        <w:t>：</w:t>
      </w:r>
    </w:p>
    <w:p w14:paraId="157CA49F">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1.以上公路自行车和场地自行车所涉人员均为预计人数，实际人数按照秩序册数量统计为准，相关费用依据相关政策、文件执行，据实际人数据实结算。</w:t>
      </w:r>
    </w:p>
    <w:p w14:paraId="16E1A447">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2.以上服务要求中涉及到的物料数量、种类等，采购人有权根据赛事需要调整，成交供应商须无条件配合。（自行承诺）</w:t>
      </w:r>
    </w:p>
    <w:p w14:paraId="7B930D7E">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3.本项目场地赛事器材借用、租赁、购买均可，消耗品除外。消耗品</w:t>
      </w:r>
      <w:r>
        <w:rPr>
          <w:rFonts w:hint="eastAsia" w:asciiTheme="minorEastAsia" w:hAnsiTheme="minorEastAsia" w:eastAsiaTheme="minorEastAsia" w:cstheme="minorEastAsia"/>
          <w:b/>
          <w:bCs/>
          <w:color w:val="auto"/>
          <w:sz w:val="24"/>
          <w:szCs w:val="24"/>
          <w:highlight w:val="none"/>
          <w:lang w:val="en-US" w:eastAsia="zh-CN"/>
        </w:rPr>
        <w:t>为不回收</w:t>
      </w:r>
      <w:r>
        <w:rPr>
          <w:rFonts w:hint="eastAsia" w:asciiTheme="minorEastAsia" w:hAnsiTheme="minorEastAsia" w:eastAsiaTheme="minorEastAsia" w:cstheme="minorEastAsia"/>
          <w:b/>
          <w:bCs/>
          <w:sz w:val="24"/>
          <w:szCs w:val="24"/>
          <w:highlight w:val="none"/>
          <w:lang w:val="en-US" w:eastAsia="zh-CN"/>
        </w:rPr>
        <w:t>，成交供应商承诺应酌情考虑比赛消耗量，承诺须满足实际消耗量。（自行承诺）</w:t>
      </w:r>
    </w:p>
    <w:p w14:paraId="7A815180">
      <w:pPr>
        <w:numPr>
          <w:ilvl w:val="0"/>
          <w:numId w:val="0"/>
        </w:numPr>
        <w:spacing w:line="360" w:lineRule="auto"/>
        <w:ind w:firstLine="482" w:firstLineChars="200"/>
        <w:rPr>
          <w:rFonts w:hint="eastAsia" w:asciiTheme="minorEastAsia" w:hAnsiTheme="minorEastAsia" w:eastAsiaTheme="minorEastAsia" w:cstheme="minorEastAsia"/>
          <w:b/>
          <w:bCs/>
          <w:spacing w:val="1"/>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4.以上物品需满足赛事需求及国家质量规定（自行承诺）。</w:t>
      </w:r>
    </w:p>
    <w:p w14:paraId="31347E54">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p>
    <w:p w14:paraId="7DAB2D24">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（四）餐饮标准及要求</w:t>
      </w:r>
    </w:p>
    <w:p w14:paraId="66B4B9B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菜单明细</w:t>
      </w:r>
    </w:p>
    <w:p w14:paraId="47E4EA7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bCs w:val="0"/>
          <w:color w:val="auto"/>
          <w:sz w:val="24"/>
          <w:szCs w:val="24"/>
          <w:highlight w:val="none"/>
          <w:lang w:val="en-US" w:eastAsia="zh-CN"/>
        </w:rPr>
      </w:pPr>
      <w:r>
        <w:rPr>
          <w:rStyle w:val="72"/>
          <w:rFonts w:hint="eastAsia" w:asciiTheme="minorEastAsia" w:hAnsiTheme="minorEastAsia" w:eastAsiaTheme="minorEastAsia" w:cstheme="minorEastAsia"/>
          <w:b/>
          <w:bCs w:val="0"/>
          <w:color w:val="auto"/>
          <w:sz w:val="24"/>
          <w:szCs w:val="24"/>
          <w:highlight w:val="none"/>
          <w:lang w:val="en-US" w:eastAsia="zh-CN"/>
        </w:rPr>
        <w:t>荤菜</w:t>
      </w:r>
    </w:p>
    <w:tbl>
      <w:tblPr>
        <w:tblStyle w:val="1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725"/>
        <w:gridCol w:w="2010"/>
        <w:gridCol w:w="1950"/>
        <w:gridCol w:w="1650"/>
      </w:tblGrid>
      <w:tr w14:paraId="5580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237" w:type="dxa"/>
            <w:gridSpan w:val="5"/>
            <w:vAlign w:val="top"/>
          </w:tcPr>
          <w:p w14:paraId="1BB4A460">
            <w:pPr>
              <w:widowControl w:val="0"/>
              <w:suppressAutoHyphens/>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（大荤）</w:t>
            </w:r>
          </w:p>
        </w:tc>
      </w:tr>
      <w:tr w14:paraId="3BF6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69380AC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红烧肉</w:t>
            </w:r>
          </w:p>
        </w:tc>
        <w:tc>
          <w:tcPr>
            <w:tcW w:w="1725" w:type="dxa"/>
            <w:vAlign w:val="top"/>
          </w:tcPr>
          <w:p w14:paraId="742B723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土豆鸡块</w:t>
            </w:r>
          </w:p>
        </w:tc>
        <w:tc>
          <w:tcPr>
            <w:tcW w:w="2010" w:type="dxa"/>
            <w:vAlign w:val="top"/>
          </w:tcPr>
          <w:p w14:paraId="5F0E812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卤鸡腿</w:t>
            </w:r>
          </w:p>
        </w:tc>
        <w:tc>
          <w:tcPr>
            <w:tcW w:w="1950" w:type="dxa"/>
            <w:vAlign w:val="top"/>
          </w:tcPr>
          <w:p w14:paraId="27F975B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红烧鱼块</w:t>
            </w:r>
          </w:p>
        </w:tc>
        <w:tc>
          <w:tcPr>
            <w:tcW w:w="1650" w:type="dxa"/>
            <w:vAlign w:val="top"/>
          </w:tcPr>
          <w:p w14:paraId="54F11F7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香酥大虾</w:t>
            </w:r>
          </w:p>
        </w:tc>
      </w:tr>
      <w:tr w14:paraId="17B4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3366521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干煸鸭块</w:t>
            </w:r>
          </w:p>
        </w:tc>
        <w:tc>
          <w:tcPr>
            <w:tcW w:w="1725" w:type="dxa"/>
            <w:vAlign w:val="top"/>
          </w:tcPr>
          <w:p w14:paraId="60319AA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回锅肉</w:t>
            </w:r>
          </w:p>
        </w:tc>
        <w:tc>
          <w:tcPr>
            <w:tcW w:w="2010" w:type="dxa"/>
            <w:vAlign w:val="top"/>
          </w:tcPr>
          <w:p w14:paraId="65EE306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烧鸡</w:t>
            </w:r>
          </w:p>
        </w:tc>
        <w:tc>
          <w:tcPr>
            <w:tcW w:w="1950" w:type="dxa"/>
            <w:vAlign w:val="top"/>
          </w:tcPr>
          <w:p w14:paraId="0C0C1E7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鲍菇牛柳</w:t>
            </w:r>
          </w:p>
        </w:tc>
        <w:tc>
          <w:tcPr>
            <w:tcW w:w="1650" w:type="dxa"/>
            <w:vAlign w:val="top"/>
          </w:tcPr>
          <w:p w14:paraId="6AEBB9F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酱闷猪蹄</w:t>
            </w:r>
          </w:p>
        </w:tc>
      </w:tr>
      <w:tr w14:paraId="07D0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239EC61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干炸鸡排</w:t>
            </w:r>
          </w:p>
        </w:tc>
        <w:tc>
          <w:tcPr>
            <w:tcW w:w="1725" w:type="dxa"/>
            <w:vAlign w:val="top"/>
          </w:tcPr>
          <w:p w14:paraId="38F2CDE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爆炒鸡胗</w:t>
            </w:r>
          </w:p>
        </w:tc>
        <w:tc>
          <w:tcPr>
            <w:tcW w:w="2010" w:type="dxa"/>
            <w:vAlign w:val="top"/>
          </w:tcPr>
          <w:p w14:paraId="2F9A335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冬瓜排骨</w:t>
            </w:r>
          </w:p>
        </w:tc>
        <w:tc>
          <w:tcPr>
            <w:tcW w:w="1950" w:type="dxa"/>
            <w:vAlign w:val="top"/>
          </w:tcPr>
          <w:p w14:paraId="7DC794A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临沂炒鸡</w:t>
            </w:r>
          </w:p>
        </w:tc>
        <w:tc>
          <w:tcPr>
            <w:tcW w:w="1650" w:type="dxa"/>
            <w:vAlign w:val="top"/>
          </w:tcPr>
          <w:p w14:paraId="060E391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土豆牛腩</w:t>
            </w:r>
          </w:p>
        </w:tc>
      </w:tr>
      <w:tr w14:paraId="212F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902" w:type="dxa"/>
            <w:vAlign w:val="top"/>
          </w:tcPr>
          <w:p w14:paraId="26AC519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酸菜鱼</w:t>
            </w:r>
          </w:p>
        </w:tc>
        <w:tc>
          <w:tcPr>
            <w:tcW w:w="1725" w:type="dxa"/>
            <w:vAlign w:val="top"/>
          </w:tcPr>
          <w:p w14:paraId="54F782B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红烧排骨</w:t>
            </w:r>
          </w:p>
        </w:tc>
        <w:tc>
          <w:tcPr>
            <w:tcW w:w="2010" w:type="dxa"/>
            <w:vAlign w:val="top"/>
          </w:tcPr>
          <w:p w14:paraId="2E9B465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酱大骨</w:t>
            </w:r>
          </w:p>
        </w:tc>
        <w:tc>
          <w:tcPr>
            <w:tcW w:w="1950" w:type="dxa"/>
            <w:vAlign w:val="top"/>
          </w:tcPr>
          <w:p w14:paraId="1114977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红烧狮子头</w:t>
            </w:r>
          </w:p>
        </w:tc>
        <w:tc>
          <w:tcPr>
            <w:tcW w:w="1650" w:type="dxa"/>
            <w:vAlign w:val="top"/>
          </w:tcPr>
          <w:p w14:paraId="75CB437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腐乳肉</w:t>
            </w:r>
          </w:p>
        </w:tc>
      </w:tr>
      <w:tr w14:paraId="7DC1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0EFB027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老鸭炖玉米</w:t>
            </w:r>
          </w:p>
        </w:tc>
        <w:tc>
          <w:tcPr>
            <w:tcW w:w="1725" w:type="dxa"/>
            <w:vAlign w:val="top"/>
          </w:tcPr>
          <w:p w14:paraId="299EBDE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香辣鸡翅</w:t>
            </w:r>
          </w:p>
        </w:tc>
        <w:tc>
          <w:tcPr>
            <w:tcW w:w="2010" w:type="dxa"/>
            <w:vAlign w:val="top"/>
          </w:tcPr>
          <w:p w14:paraId="53F10A3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酸汤肥牛</w:t>
            </w:r>
          </w:p>
        </w:tc>
        <w:tc>
          <w:tcPr>
            <w:tcW w:w="1950" w:type="dxa"/>
            <w:vAlign w:val="top"/>
          </w:tcPr>
          <w:p w14:paraId="6440BE8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c>
          <w:tcPr>
            <w:tcW w:w="1650" w:type="dxa"/>
            <w:vAlign w:val="top"/>
          </w:tcPr>
          <w:p w14:paraId="60D901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r>
      <w:tr w14:paraId="3115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237" w:type="dxa"/>
            <w:gridSpan w:val="5"/>
            <w:vAlign w:val="top"/>
          </w:tcPr>
          <w:p w14:paraId="61FC0DE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（小荤）</w:t>
            </w:r>
          </w:p>
        </w:tc>
      </w:tr>
      <w:tr w14:paraId="21CD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3FE5978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木须肉</w:t>
            </w:r>
          </w:p>
        </w:tc>
        <w:tc>
          <w:tcPr>
            <w:tcW w:w="1725" w:type="dxa"/>
            <w:vAlign w:val="top"/>
          </w:tcPr>
          <w:p w14:paraId="3EBFDEE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蒜苔炒肉</w:t>
            </w:r>
          </w:p>
        </w:tc>
        <w:tc>
          <w:tcPr>
            <w:tcW w:w="2010" w:type="dxa"/>
            <w:vAlign w:val="top"/>
          </w:tcPr>
          <w:p w14:paraId="4B0A98B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香菇炒肉</w:t>
            </w:r>
          </w:p>
        </w:tc>
        <w:tc>
          <w:tcPr>
            <w:tcW w:w="1950" w:type="dxa"/>
            <w:vAlign w:val="top"/>
          </w:tcPr>
          <w:p w14:paraId="33B0D8E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木耳炒肉</w:t>
            </w:r>
          </w:p>
        </w:tc>
        <w:tc>
          <w:tcPr>
            <w:tcW w:w="1650" w:type="dxa"/>
            <w:vAlign w:val="top"/>
          </w:tcPr>
          <w:p w14:paraId="0DC1A1C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鱼香肉丝</w:t>
            </w:r>
          </w:p>
        </w:tc>
      </w:tr>
      <w:tr w14:paraId="2A1C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0173257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宫保鸡丁</w:t>
            </w:r>
          </w:p>
        </w:tc>
        <w:tc>
          <w:tcPr>
            <w:tcW w:w="1725" w:type="dxa"/>
            <w:vAlign w:val="top"/>
          </w:tcPr>
          <w:p w14:paraId="296DF0A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芹菜炒肉</w:t>
            </w:r>
          </w:p>
        </w:tc>
        <w:tc>
          <w:tcPr>
            <w:tcW w:w="2010" w:type="dxa"/>
            <w:vAlign w:val="top"/>
          </w:tcPr>
          <w:p w14:paraId="1CF9F80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豆腐肉末</w:t>
            </w:r>
          </w:p>
        </w:tc>
        <w:tc>
          <w:tcPr>
            <w:tcW w:w="1950" w:type="dxa"/>
            <w:vAlign w:val="top"/>
          </w:tcPr>
          <w:p w14:paraId="63D855F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黄焖酥肉皮渣</w:t>
            </w:r>
          </w:p>
        </w:tc>
        <w:tc>
          <w:tcPr>
            <w:tcW w:w="1650" w:type="dxa"/>
            <w:vAlign w:val="top"/>
          </w:tcPr>
          <w:p w14:paraId="5BFB22A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辣子鸡丁</w:t>
            </w:r>
          </w:p>
        </w:tc>
      </w:tr>
      <w:tr w14:paraId="4C9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60F9AEC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豆角炒肉</w:t>
            </w:r>
          </w:p>
        </w:tc>
        <w:tc>
          <w:tcPr>
            <w:tcW w:w="1725" w:type="dxa"/>
            <w:vAlign w:val="top"/>
          </w:tcPr>
          <w:p w14:paraId="57F5008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韭菜炒鸭血</w:t>
            </w:r>
          </w:p>
        </w:tc>
        <w:tc>
          <w:tcPr>
            <w:tcW w:w="2010" w:type="dxa"/>
            <w:vAlign w:val="top"/>
          </w:tcPr>
          <w:p w14:paraId="4506DFC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青椒炒肉</w:t>
            </w:r>
          </w:p>
        </w:tc>
        <w:tc>
          <w:tcPr>
            <w:tcW w:w="1950" w:type="dxa"/>
            <w:vAlign w:val="top"/>
          </w:tcPr>
          <w:p w14:paraId="1C4E94E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酸豆角炒肉沫</w:t>
            </w:r>
          </w:p>
        </w:tc>
        <w:tc>
          <w:tcPr>
            <w:tcW w:w="1650" w:type="dxa"/>
            <w:vAlign w:val="top"/>
          </w:tcPr>
          <w:p w14:paraId="75B93F9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小炒腊肉</w:t>
            </w:r>
          </w:p>
        </w:tc>
      </w:tr>
      <w:tr w14:paraId="4B04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7540006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蚂蚁上树</w:t>
            </w:r>
          </w:p>
        </w:tc>
        <w:tc>
          <w:tcPr>
            <w:tcW w:w="1725" w:type="dxa"/>
            <w:vAlign w:val="top"/>
          </w:tcPr>
          <w:p w14:paraId="2A384E5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糖醋里脊</w:t>
            </w:r>
          </w:p>
        </w:tc>
        <w:tc>
          <w:tcPr>
            <w:tcW w:w="2010" w:type="dxa"/>
            <w:vAlign w:val="top"/>
          </w:tcPr>
          <w:p w14:paraId="5880619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水煮肉片</w:t>
            </w:r>
          </w:p>
        </w:tc>
        <w:tc>
          <w:tcPr>
            <w:tcW w:w="1950" w:type="dxa"/>
            <w:vAlign w:val="top"/>
          </w:tcPr>
          <w:p w14:paraId="2B02F1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豆芽炒肉</w:t>
            </w:r>
          </w:p>
        </w:tc>
        <w:tc>
          <w:tcPr>
            <w:tcW w:w="1650" w:type="dxa"/>
            <w:vAlign w:val="top"/>
          </w:tcPr>
          <w:p w14:paraId="2C371CD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青椒鸡胸肉</w:t>
            </w:r>
          </w:p>
        </w:tc>
      </w:tr>
      <w:tr w14:paraId="5D96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02" w:type="dxa"/>
            <w:vAlign w:val="top"/>
          </w:tcPr>
          <w:p w14:paraId="7EE0601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肉末蒸鸡蛋</w:t>
            </w:r>
          </w:p>
        </w:tc>
        <w:tc>
          <w:tcPr>
            <w:tcW w:w="1725" w:type="dxa"/>
            <w:vAlign w:val="top"/>
          </w:tcPr>
          <w:p w14:paraId="40CBFF6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c>
          <w:tcPr>
            <w:tcW w:w="2010" w:type="dxa"/>
            <w:vAlign w:val="top"/>
          </w:tcPr>
          <w:p w14:paraId="3006F9B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c>
          <w:tcPr>
            <w:tcW w:w="1950" w:type="dxa"/>
            <w:vAlign w:val="top"/>
          </w:tcPr>
          <w:p w14:paraId="354E1F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c>
          <w:tcPr>
            <w:tcW w:w="1650" w:type="dxa"/>
            <w:vAlign w:val="top"/>
          </w:tcPr>
          <w:p w14:paraId="506F3F6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r>
    </w:tbl>
    <w:p w14:paraId="0BF9339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leftChars="0" w:firstLine="482" w:firstLineChars="200"/>
        <w:jc w:val="center"/>
        <w:textAlignment w:val="auto"/>
        <w:rPr>
          <w:rStyle w:val="72"/>
          <w:rFonts w:hint="eastAsia" w:asciiTheme="minorEastAsia" w:hAnsiTheme="minorEastAsia" w:eastAsiaTheme="minorEastAsia" w:cstheme="minorEastAsia"/>
          <w:b/>
          <w:bCs w:val="0"/>
          <w:color w:val="auto"/>
          <w:sz w:val="24"/>
          <w:szCs w:val="24"/>
          <w:highlight w:val="none"/>
          <w:lang w:val="en-US" w:eastAsia="zh-CN"/>
        </w:rPr>
      </w:pPr>
      <w:r>
        <w:rPr>
          <w:rStyle w:val="72"/>
          <w:rFonts w:hint="eastAsia" w:asciiTheme="minorEastAsia" w:hAnsiTheme="minorEastAsia" w:eastAsiaTheme="minorEastAsia" w:cstheme="minorEastAsia"/>
          <w:b/>
          <w:bCs w:val="0"/>
          <w:color w:val="auto"/>
          <w:sz w:val="24"/>
          <w:szCs w:val="24"/>
          <w:highlight w:val="none"/>
          <w:lang w:val="en-US" w:eastAsia="zh-CN"/>
        </w:rPr>
        <w:t>素菜</w:t>
      </w:r>
    </w:p>
    <w:tbl>
      <w:tblPr>
        <w:tblStyle w:val="18"/>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740"/>
        <w:gridCol w:w="1980"/>
        <w:gridCol w:w="1980"/>
        <w:gridCol w:w="1650"/>
      </w:tblGrid>
      <w:tr w14:paraId="7E76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4F971B6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西红柿炒鸡蛋</w:t>
            </w:r>
          </w:p>
        </w:tc>
        <w:tc>
          <w:tcPr>
            <w:tcW w:w="1740" w:type="dxa"/>
            <w:vAlign w:val="top"/>
          </w:tcPr>
          <w:p w14:paraId="066AA0A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烧素菜</w:t>
            </w:r>
          </w:p>
        </w:tc>
        <w:tc>
          <w:tcPr>
            <w:tcW w:w="1980" w:type="dxa"/>
            <w:vAlign w:val="top"/>
          </w:tcPr>
          <w:p w14:paraId="1438AA4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土豆丝</w:t>
            </w:r>
          </w:p>
        </w:tc>
        <w:tc>
          <w:tcPr>
            <w:tcW w:w="1980" w:type="dxa"/>
            <w:vAlign w:val="top"/>
          </w:tcPr>
          <w:p w14:paraId="5F67BB7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清炒时素</w:t>
            </w:r>
          </w:p>
        </w:tc>
        <w:tc>
          <w:tcPr>
            <w:tcW w:w="1650" w:type="dxa"/>
            <w:vAlign w:val="top"/>
          </w:tcPr>
          <w:p w14:paraId="092C6EE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炒豆芽</w:t>
            </w:r>
          </w:p>
        </w:tc>
      </w:tr>
      <w:tr w14:paraId="2B64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3D2EE1D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炒凉粉</w:t>
            </w:r>
          </w:p>
        </w:tc>
        <w:tc>
          <w:tcPr>
            <w:tcW w:w="1740" w:type="dxa"/>
            <w:vAlign w:val="top"/>
          </w:tcPr>
          <w:p w14:paraId="0F2FB27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鸡汁豆腐串</w:t>
            </w:r>
          </w:p>
        </w:tc>
        <w:tc>
          <w:tcPr>
            <w:tcW w:w="1980" w:type="dxa"/>
            <w:vAlign w:val="top"/>
          </w:tcPr>
          <w:p w14:paraId="08FD4A2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虾米冬瓜</w:t>
            </w:r>
          </w:p>
        </w:tc>
        <w:tc>
          <w:tcPr>
            <w:tcW w:w="1980" w:type="dxa"/>
            <w:vAlign w:val="top"/>
          </w:tcPr>
          <w:p w14:paraId="6D15B97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烧腐竹</w:t>
            </w:r>
          </w:p>
        </w:tc>
        <w:tc>
          <w:tcPr>
            <w:tcW w:w="1650" w:type="dxa"/>
            <w:vAlign w:val="top"/>
          </w:tcPr>
          <w:p w14:paraId="2E41C7F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烧茄尖</w:t>
            </w:r>
          </w:p>
        </w:tc>
      </w:tr>
      <w:tr w14:paraId="4E33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795E256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千叶豆腐</w:t>
            </w:r>
          </w:p>
        </w:tc>
        <w:tc>
          <w:tcPr>
            <w:tcW w:w="1740" w:type="dxa"/>
            <w:vAlign w:val="top"/>
          </w:tcPr>
          <w:p w14:paraId="043558D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炒合菜</w:t>
            </w:r>
          </w:p>
        </w:tc>
        <w:tc>
          <w:tcPr>
            <w:tcW w:w="1980" w:type="dxa"/>
            <w:vAlign w:val="top"/>
          </w:tcPr>
          <w:p w14:paraId="7DE94C9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红萝卜炒粉条</w:t>
            </w:r>
          </w:p>
        </w:tc>
        <w:tc>
          <w:tcPr>
            <w:tcW w:w="1980" w:type="dxa"/>
            <w:vAlign w:val="top"/>
          </w:tcPr>
          <w:p w14:paraId="6C63AA4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韭菜千张</w:t>
            </w:r>
          </w:p>
        </w:tc>
        <w:tc>
          <w:tcPr>
            <w:tcW w:w="1650" w:type="dxa"/>
            <w:vAlign w:val="top"/>
          </w:tcPr>
          <w:p w14:paraId="7FAD630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青瓜炒鸡蛋</w:t>
            </w:r>
          </w:p>
        </w:tc>
      </w:tr>
      <w:tr w14:paraId="1B1C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1200E6F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豆角茄子</w:t>
            </w:r>
          </w:p>
        </w:tc>
        <w:tc>
          <w:tcPr>
            <w:tcW w:w="1740" w:type="dxa"/>
            <w:vAlign w:val="top"/>
          </w:tcPr>
          <w:p w14:paraId="6F200BB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家常豆腐</w:t>
            </w:r>
          </w:p>
        </w:tc>
        <w:tc>
          <w:tcPr>
            <w:tcW w:w="1980" w:type="dxa"/>
            <w:vAlign w:val="top"/>
          </w:tcPr>
          <w:p w14:paraId="3FC6FF9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蒜蓉油麦菜</w:t>
            </w:r>
          </w:p>
        </w:tc>
        <w:tc>
          <w:tcPr>
            <w:tcW w:w="1980" w:type="dxa"/>
            <w:vAlign w:val="top"/>
          </w:tcPr>
          <w:p w14:paraId="181DE24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花菜五花肉</w:t>
            </w:r>
          </w:p>
        </w:tc>
        <w:tc>
          <w:tcPr>
            <w:tcW w:w="1650" w:type="dxa"/>
            <w:vAlign w:val="top"/>
          </w:tcPr>
          <w:p w14:paraId="02184F6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炒西葫芦</w:t>
            </w:r>
          </w:p>
        </w:tc>
      </w:tr>
      <w:tr w14:paraId="0B94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6439CF4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上海青</w:t>
            </w:r>
          </w:p>
        </w:tc>
        <w:tc>
          <w:tcPr>
            <w:tcW w:w="1740" w:type="dxa"/>
            <w:vAlign w:val="top"/>
          </w:tcPr>
          <w:p w14:paraId="7618482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麻婆豆腐</w:t>
            </w:r>
          </w:p>
        </w:tc>
        <w:tc>
          <w:tcPr>
            <w:tcW w:w="1980" w:type="dxa"/>
            <w:vAlign w:val="top"/>
          </w:tcPr>
          <w:p w14:paraId="00A8BEF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粉皮炒鸡蛋</w:t>
            </w:r>
          </w:p>
        </w:tc>
        <w:tc>
          <w:tcPr>
            <w:tcW w:w="1980" w:type="dxa"/>
            <w:vAlign w:val="top"/>
          </w:tcPr>
          <w:p w14:paraId="76A5B45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手撕包菜</w:t>
            </w:r>
          </w:p>
        </w:tc>
        <w:tc>
          <w:tcPr>
            <w:tcW w:w="1650" w:type="dxa"/>
            <w:vAlign w:val="top"/>
          </w:tcPr>
          <w:p w14:paraId="2E9F43A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蒜蓉西兰花</w:t>
            </w:r>
          </w:p>
        </w:tc>
      </w:tr>
      <w:tr w14:paraId="4D4F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3ADEC3F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大葱烧豆腐</w:t>
            </w:r>
          </w:p>
        </w:tc>
        <w:tc>
          <w:tcPr>
            <w:tcW w:w="1740" w:type="dxa"/>
            <w:vAlign w:val="top"/>
          </w:tcPr>
          <w:p w14:paraId="6289735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丝瓜炒蛋</w:t>
            </w:r>
          </w:p>
        </w:tc>
        <w:tc>
          <w:tcPr>
            <w:tcW w:w="1980" w:type="dxa"/>
            <w:vAlign w:val="top"/>
          </w:tcPr>
          <w:p w14:paraId="2592C66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孜然香菇</w:t>
            </w:r>
          </w:p>
        </w:tc>
        <w:tc>
          <w:tcPr>
            <w:tcW w:w="1980" w:type="dxa"/>
            <w:vAlign w:val="top"/>
          </w:tcPr>
          <w:p w14:paraId="3126675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r>
              <w:rPr>
                <w:rStyle w:val="72"/>
                <w:rFonts w:hint="eastAsia" w:asciiTheme="minorEastAsia" w:hAnsiTheme="minorEastAsia" w:eastAsiaTheme="minorEastAsia" w:cstheme="minorEastAsia"/>
                <w:b w:val="0"/>
                <w:bCs/>
                <w:color w:val="auto"/>
                <w:sz w:val="24"/>
                <w:szCs w:val="24"/>
                <w:highlight w:val="none"/>
                <w:lang w:val="en-US" w:eastAsia="zh-CN"/>
              </w:rPr>
              <w:t>地三鲜</w:t>
            </w:r>
          </w:p>
        </w:tc>
        <w:tc>
          <w:tcPr>
            <w:tcW w:w="1650" w:type="dxa"/>
            <w:vAlign w:val="top"/>
          </w:tcPr>
          <w:p w14:paraId="0AD9302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2"/>
                <w:rFonts w:hint="eastAsia" w:asciiTheme="minorEastAsia" w:hAnsiTheme="minorEastAsia" w:eastAsiaTheme="minorEastAsia" w:cstheme="minorEastAsia"/>
                <w:b w:val="0"/>
                <w:bCs/>
                <w:color w:val="auto"/>
                <w:sz w:val="24"/>
                <w:szCs w:val="24"/>
                <w:highlight w:val="none"/>
                <w:lang w:val="en-US" w:eastAsia="zh-CN"/>
              </w:rPr>
            </w:pPr>
          </w:p>
        </w:tc>
      </w:tr>
    </w:tbl>
    <w:p w14:paraId="183366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1、水果：当季水果即可；</w:t>
      </w:r>
    </w:p>
    <w:p w14:paraId="77B95D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2、汤：老式鸡蛋汤、水果银耳羹、西湖牛肉羹、白菜豆腐汤、五香豆沫、胡辣汤等；</w:t>
      </w:r>
    </w:p>
    <w:p w14:paraId="3B761E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3、主食：大米、馒头、包子、烧饼、卤面、水饺、打卤面等；</w:t>
      </w:r>
    </w:p>
    <w:p w14:paraId="58E418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4、中、晚要求：荤菜6个（两大荤四小荤）、素菜6个、水果2样、汤品最少1样；</w:t>
      </w:r>
    </w:p>
    <w:p w14:paraId="25C49F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5、主食最少4样；</w:t>
      </w:r>
    </w:p>
    <w:p w14:paraId="13745D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6、各酒店需按照提供的菜单进行搭配，酒店如有特色菜可报备添加，菜品如有变化双方第一时间沟通确保赛事饮食安全保障。</w:t>
      </w:r>
    </w:p>
    <w:p w14:paraId="30ED9481">
      <w:pPr>
        <w:spacing w:line="560" w:lineRule="exact"/>
        <w:ind w:firstLine="482" w:firstLineChars="200"/>
        <w:rPr>
          <w:rFonts w:hint="eastAsia" w:ascii="黑体" w:hAnsi="黑体" w:eastAsia="黑体"/>
          <w:b/>
          <w:color w:val="auto"/>
          <w:sz w:val="24"/>
          <w:szCs w:val="24"/>
          <w:highlight w:val="none"/>
          <w:lang w:eastAsia="zh-CN"/>
        </w:rPr>
      </w:pPr>
      <w:r>
        <w:rPr>
          <w:rFonts w:hint="eastAsia" w:ascii="黑体" w:hAnsi="黑体" w:eastAsia="黑体"/>
          <w:b/>
          <w:color w:val="auto"/>
          <w:sz w:val="24"/>
          <w:szCs w:val="24"/>
          <w:highlight w:val="none"/>
          <w:lang w:eastAsia="zh-CN"/>
        </w:rPr>
        <w:t>三、其他要求</w:t>
      </w:r>
    </w:p>
    <w:p w14:paraId="3946FA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项目服务实施期间，成交供应商应严格执行国家、地方、行业各项有关本项目业务管理和安全作业的法律、法规和制度，积极主动加强和服务业务及安全等有关的管理工作，并按规定承担相应的费用。成交供应商因违反规定等原因造成的一切损失和责任由成交供应商承担。</w:t>
      </w:r>
    </w:p>
    <w:p w14:paraId="5A6602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2.项目负责人应为成交供应商在职人员，具有类似本项目的服务管理经验，</w:t>
      </w:r>
      <w:r>
        <w:rPr>
          <w:rFonts w:hint="eastAsia" w:ascii="宋体" w:eastAsia="宋体" w:cs="仿宋_GB2312"/>
          <w:color w:val="auto"/>
          <w:sz w:val="24"/>
          <w:szCs w:val="24"/>
          <w:highlight w:val="none"/>
          <w:lang w:bidi="ar-SA"/>
        </w:rPr>
        <w:t>负责全程跟进</w:t>
      </w:r>
      <w:r>
        <w:rPr>
          <w:rFonts w:hint="eastAsia" w:asciiTheme="minorEastAsia" w:hAnsiTheme="minorEastAsia" w:eastAsiaTheme="minorEastAsia" w:cstheme="minorEastAsia"/>
          <w:color w:val="auto"/>
          <w:sz w:val="24"/>
          <w:szCs w:val="24"/>
          <w:highlight w:val="none"/>
          <w:lang w:val="en-US" w:eastAsia="zh-CN"/>
        </w:rPr>
        <w:t>项目进度，全面对接商务、技术、现场管理，全面协调工作。</w:t>
      </w:r>
    </w:p>
    <w:p w14:paraId="4C6827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项目组人员的数量应足够满足本项目服务需要，具有良好的职业道德和严谨的工作作风。</w:t>
      </w:r>
    </w:p>
    <w:p w14:paraId="23CA15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3.供应商负责器材及物料设置配置及供应，符合国家及行业标准要求。</w:t>
      </w:r>
    </w:p>
    <w:p w14:paraId="480CB6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4.成交供应商在组织项目服务实施期间，应按采购人实际服务需求落实所对应提供的服务工作，在项目服务实施期间应做好相关管理记录，保证满足采购人服务需求。</w:t>
      </w:r>
    </w:p>
    <w:p w14:paraId="67C85D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5.经采购人确认的项目负责人和项目组人员及数量，未经采购人书面批准不得随意调换或撤离，若自行更换或撤离，按照合同违约处理。</w:t>
      </w:r>
    </w:p>
    <w:p w14:paraId="5D350B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6.各供应商在响应文件中要结合本项目的特点和采购人上述的具体要求制定相应的服务管理措施，同时应适当考虑购买自己员工和第三方责任保险，并可在报价措施费中列支必须的费用清单。</w:t>
      </w:r>
    </w:p>
    <w:p w14:paraId="4694184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7.供应商需承诺全力做好赛事组织保障工作，保障活动圆满收官，充分展示安阳城市风貌与良好形象。（自行承诺）</w:t>
      </w:r>
    </w:p>
    <w:p w14:paraId="00B1EA76">
      <w:pPr>
        <w:shd w:val="clear" w:color="auto" w:fill="auto"/>
        <w:adjustRightInd w:val="0"/>
        <w:snapToGrid w:val="0"/>
        <w:spacing w:before="120" w:beforeLines="50" w:line="300" w:lineRule="auto"/>
        <w:ind w:firstLine="482" w:firstLineChars="200"/>
        <w:rPr>
          <w:rFonts w:hint="eastAsia" w:ascii="宋体" w:cs="仿宋_GB2312"/>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黑体" w:eastAsia="黑体"/>
          <w:b/>
          <w:color w:val="auto"/>
          <w:sz w:val="24"/>
          <w:szCs w:val="24"/>
          <w:highlight w:val="none"/>
        </w:rPr>
        <w:t>质量要求</w:t>
      </w:r>
      <w:r>
        <w:rPr>
          <w:rFonts w:hint="eastAsia" w:ascii="黑体" w:eastAsia="黑体"/>
          <w:b/>
          <w:color w:val="auto"/>
          <w:sz w:val="24"/>
          <w:szCs w:val="24"/>
          <w:highlight w:val="none"/>
          <w:lang w:eastAsia="zh-CN"/>
        </w:rPr>
        <w:t>：</w:t>
      </w:r>
      <w:r>
        <w:rPr>
          <w:rFonts w:hint="eastAsia" w:ascii="宋体" w:cs="仿宋_GB2312"/>
          <w:color w:val="auto"/>
          <w:sz w:val="24"/>
          <w:szCs w:val="24"/>
          <w:highlight w:val="none"/>
          <w:lang w:val="en-US" w:eastAsia="zh-CN" w:bidi="ar-SA"/>
        </w:rPr>
        <w:t>按时、按质、安全、圆满的配合办赛要求。</w:t>
      </w:r>
    </w:p>
    <w:p w14:paraId="0B4D21DD">
      <w:pPr>
        <w:spacing w:line="560" w:lineRule="exact"/>
        <w:ind w:firstLine="480" w:firstLineChars="200"/>
        <w:rPr>
          <w:b/>
          <w:color w:val="auto"/>
          <w:sz w:val="24"/>
          <w:szCs w:val="24"/>
        </w:rPr>
      </w:pPr>
      <w:r>
        <w:rPr>
          <w:rFonts w:hint="eastAsia"/>
          <w:color w:val="auto"/>
          <w:sz w:val="24"/>
          <w:szCs w:val="24"/>
        </w:rPr>
        <w:t>注：</w:t>
      </w:r>
      <w:r>
        <w:rPr>
          <w:rFonts w:hint="eastAsia" w:ascii="宋体" w:hAnsi="宋体"/>
          <w:b/>
          <w:color w:val="auto"/>
          <w:sz w:val="24"/>
          <w:szCs w:val="24"/>
          <w:lang w:eastAsia="zh-CN"/>
        </w:rPr>
        <w:t>本</w:t>
      </w:r>
      <w:r>
        <w:rPr>
          <w:rFonts w:hint="eastAsia" w:ascii="宋体" w:hAnsi="宋体"/>
          <w:b/>
          <w:color w:val="auto"/>
          <w:sz w:val="24"/>
          <w:szCs w:val="24"/>
        </w:rPr>
        <w:t>项目</w:t>
      </w:r>
      <w:r>
        <w:rPr>
          <w:rFonts w:hint="eastAsia"/>
          <w:b/>
          <w:color w:val="auto"/>
          <w:sz w:val="24"/>
          <w:szCs w:val="24"/>
        </w:rPr>
        <w:t>的中小企业划分标准所属行业为：</w:t>
      </w:r>
      <w:r>
        <w:rPr>
          <w:rFonts w:hint="eastAsia"/>
          <w:b/>
          <w:color w:val="auto"/>
          <w:sz w:val="24"/>
          <w:szCs w:val="24"/>
          <w:highlight w:val="none"/>
          <w:lang w:eastAsia="zh-CN"/>
        </w:rPr>
        <w:t>其他未列明行业。</w:t>
      </w:r>
    </w:p>
    <w:p w14:paraId="74D62D95">
      <w:pPr>
        <w:spacing w:line="300" w:lineRule="auto"/>
        <w:ind w:firstLine="480" w:firstLineChars="200"/>
        <w:rPr>
          <w:color w:val="auto"/>
          <w:sz w:val="24"/>
          <w:szCs w:val="24"/>
        </w:rPr>
      </w:pPr>
      <w:r>
        <w:rPr>
          <w:rFonts w:hint="eastAsia"/>
          <w:color w:val="auto"/>
          <w:sz w:val="24"/>
          <w:szCs w:val="24"/>
        </w:rPr>
        <w:t>提醒：供应商按照采购文件中标明的服务项目的所属行业、按该行业所对应的中小企业划分标准，作为服务的承接商（供应商）是否属于中小企业的判断标准。</w:t>
      </w:r>
    </w:p>
    <w:p w14:paraId="484EF554">
      <w:pPr>
        <w:spacing w:line="300" w:lineRule="auto"/>
        <w:ind w:firstLine="480" w:firstLineChars="200"/>
        <w:rPr>
          <w:color w:val="auto"/>
          <w:sz w:val="24"/>
          <w:szCs w:val="24"/>
        </w:rPr>
      </w:pPr>
      <w:r>
        <w:rPr>
          <w:rFonts w:hint="eastAsia"/>
          <w:color w:val="auto"/>
          <w:sz w:val="24"/>
          <w:szCs w:val="24"/>
        </w:rPr>
        <w:t>供应商不应按照自身的行业属性作为中小企业的判断标准（应按采购文件标明的所属行业进行判断）。</w:t>
      </w:r>
    </w:p>
    <w:p w14:paraId="682D213E">
      <w:pPr>
        <w:widowControl w:val="0"/>
        <w:adjustRightInd w:val="0"/>
        <w:snapToGrid w:val="0"/>
        <w:spacing w:before="120" w:beforeLines="50" w:line="300" w:lineRule="auto"/>
        <w:rPr>
          <w:rFonts w:ascii="宋体" w:cs="宋体"/>
          <w:b/>
          <w:color w:val="FF0000"/>
          <w:sz w:val="24"/>
          <w:szCs w:val="24"/>
        </w:rPr>
      </w:pPr>
    </w:p>
    <w:p w14:paraId="540C455E">
      <w:pPr>
        <w:adjustRightInd w:val="0"/>
        <w:snapToGrid w:val="0"/>
        <w:spacing w:before="120"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2.5安全</w:t>
      </w:r>
    </w:p>
    <w:p w14:paraId="51583426">
      <w:pPr>
        <w:widowControl w:val="0"/>
        <w:adjustRightInd w:val="0"/>
        <w:snapToGrid w:val="0"/>
        <w:spacing w:before="120" w:beforeLines="50" w:line="300" w:lineRule="auto"/>
        <w:ind w:left="22" w:firstLine="555"/>
        <w:jc w:val="left"/>
        <w:rPr>
          <w:color w:val="auto"/>
          <w:sz w:val="24"/>
          <w:szCs w:val="24"/>
        </w:rPr>
      </w:pPr>
      <w:r>
        <w:rPr>
          <w:rFonts w:hint="eastAsia"/>
          <w:color w:val="auto"/>
          <w:sz w:val="24"/>
          <w:szCs w:val="24"/>
        </w:rPr>
        <w:t>响应服务（及所涉货物材料设施）应符合国家、行业的各</w:t>
      </w:r>
      <w:r>
        <w:rPr>
          <w:color w:val="auto"/>
          <w:sz w:val="24"/>
          <w:szCs w:val="24"/>
        </w:rPr>
        <w:t>项</w:t>
      </w:r>
      <w:r>
        <w:rPr>
          <w:rFonts w:hint="eastAsia"/>
          <w:color w:val="auto"/>
          <w:sz w:val="24"/>
          <w:szCs w:val="24"/>
        </w:rPr>
        <w:t>安全标准，供应商</w:t>
      </w:r>
      <w:r>
        <w:rPr>
          <w:color w:val="auto"/>
          <w:sz w:val="24"/>
          <w:szCs w:val="24"/>
        </w:rPr>
        <w:t>对</w:t>
      </w:r>
      <w:r>
        <w:rPr>
          <w:rFonts w:hint="eastAsia"/>
          <w:color w:val="auto"/>
          <w:sz w:val="24"/>
          <w:szCs w:val="24"/>
        </w:rPr>
        <w:t>响应服务（及所涉货物材料设施）的</w:t>
      </w:r>
      <w:r>
        <w:rPr>
          <w:color w:val="auto"/>
          <w:sz w:val="24"/>
          <w:szCs w:val="24"/>
        </w:rPr>
        <w:t>安全性承担全部责任。</w:t>
      </w:r>
      <w:r>
        <w:rPr>
          <w:rFonts w:hint="eastAsia"/>
          <w:color w:val="auto"/>
          <w:sz w:val="24"/>
          <w:szCs w:val="24"/>
        </w:rPr>
        <w:t>服务期内不符合保障人身、财产安全的国家标准、行业标准的服务（及所涉货物材料设施），将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14:paraId="01FB0D4E">
      <w:pPr>
        <w:adjustRightInd w:val="0"/>
        <w:snapToGrid w:val="0"/>
        <w:spacing w:before="120"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响应</w:t>
      </w:r>
      <w:r>
        <w:rPr>
          <w:rFonts w:ascii="黑体" w:hAnsi="黑体" w:eastAsia="黑体"/>
          <w:b/>
          <w:color w:val="auto"/>
          <w:sz w:val="24"/>
          <w:szCs w:val="24"/>
        </w:rPr>
        <w:t>文件</w:t>
      </w:r>
      <w:r>
        <w:rPr>
          <w:rFonts w:hint="eastAsia" w:ascii="黑体" w:hAnsi="黑体" w:eastAsia="黑体"/>
          <w:b/>
          <w:color w:val="auto"/>
          <w:sz w:val="24"/>
          <w:szCs w:val="24"/>
        </w:rPr>
        <w:t>对“具体服务要求及标段（包）内容（范围）”的</w:t>
      </w:r>
      <w:r>
        <w:rPr>
          <w:rFonts w:ascii="黑体" w:hAnsi="黑体" w:eastAsia="黑体"/>
          <w:b/>
          <w:color w:val="auto"/>
          <w:sz w:val="24"/>
          <w:szCs w:val="24"/>
        </w:rPr>
        <w:t>响应</w:t>
      </w:r>
    </w:p>
    <w:p w14:paraId="75632107">
      <w:pPr>
        <w:widowControl w:val="0"/>
        <w:adjustRightInd w:val="0"/>
        <w:snapToGrid w:val="0"/>
        <w:spacing w:before="120" w:beforeLines="50" w:line="300" w:lineRule="auto"/>
        <w:ind w:left="22" w:firstLine="555"/>
        <w:jc w:val="left"/>
        <w:rPr>
          <w:color w:val="auto"/>
          <w:sz w:val="24"/>
          <w:szCs w:val="24"/>
        </w:rPr>
      </w:pPr>
      <w:r>
        <w:rPr>
          <w:rFonts w:hint="eastAsia"/>
          <w:color w:val="auto"/>
          <w:sz w:val="24"/>
          <w:szCs w:val="24"/>
        </w:rPr>
        <w:t>“</w:t>
      </w:r>
      <w:r>
        <w:rPr>
          <w:rFonts w:ascii="宋体" w:hAnsi="宋体"/>
          <w:color w:val="auto"/>
          <w:sz w:val="24"/>
          <w:szCs w:val="24"/>
        </w:rPr>
        <w:t>2.4</w:t>
      </w:r>
      <w:r>
        <w:rPr>
          <w:rFonts w:hint="eastAsia" w:ascii="宋体" w:hAnsi="宋体"/>
          <w:color w:val="auto"/>
          <w:sz w:val="24"/>
          <w:szCs w:val="24"/>
        </w:rPr>
        <w:t>具体服务要求及标段（包）内容（范围）</w:t>
      </w:r>
      <w:r>
        <w:rPr>
          <w:rFonts w:hint="eastAsia"/>
          <w:color w:val="auto"/>
          <w:sz w:val="24"/>
          <w:szCs w:val="24"/>
        </w:rPr>
        <w:t>”为采购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要求，服务内容</w:t>
      </w:r>
      <w:r>
        <w:rPr>
          <w:color w:val="auto"/>
          <w:sz w:val="24"/>
          <w:szCs w:val="24"/>
        </w:rPr>
        <w:t>应当明确</w:t>
      </w:r>
      <w:r>
        <w:rPr>
          <w:rFonts w:hint="eastAsia"/>
          <w:color w:val="auto"/>
          <w:sz w:val="24"/>
          <w:szCs w:val="24"/>
        </w:rPr>
        <w:t>，服务所涉产品及技术参数应当明确并最</w:t>
      </w:r>
      <w:r>
        <w:rPr>
          <w:color w:val="auto"/>
          <w:sz w:val="24"/>
          <w:szCs w:val="24"/>
        </w:rPr>
        <w:t>终指向具体明确的产</w:t>
      </w:r>
      <w:r>
        <w:rPr>
          <w:rFonts w:hint="eastAsia"/>
          <w:color w:val="auto"/>
          <w:sz w:val="24"/>
          <w:szCs w:val="24"/>
        </w:rPr>
        <w:t>品。响应文</w:t>
      </w:r>
      <w:r>
        <w:rPr>
          <w:color w:val="auto"/>
          <w:sz w:val="24"/>
          <w:szCs w:val="24"/>
        </w:rPr>
        <w:t>件</w:t>
      </w:r>
      <w:r>
        <w:rPr>
          <w:rFonts w:hint="eastAsia"/>
          <w:color w:val="auto"/>
          <w:sz w:val="24"/>
          <w:szCs w:val="24"/>
        </w:rPr>
        <w:t>技术参数抄袭磋商文件“</w:t>
      </w:r>
      <w:r>
        <w:rPr>
          <w:rFonts w:hint="eastAsia" w:ascii="宋体" w:hAnsi="宋体"/>
          <w:color w:val="auto"/>
          <w:sz w:val="24"/>
          <w:szCs w:val="24"/>
        </w:rPr>
        <w:t>具体服务要求及标段（包）内容（范围）</w:t>
      </w:r>
      <w:r>
        <w:rPr>
          <w:rFonts w:hint="eastAsia"/>
          <w:color w:val="auto"/>
          <w:sz w:val="24"/>
          <w:szCs w:val="24"/>
        </w:rPr>
        <w:t>”，投</w:t>
      </w:r>
      <w:r>
        <w:rPr>
          <w:color w:val="auto"/>
          <w:sz w:val="24"/>
          <w:szCs w:val="24"/>
        </w:rPr>
        <w:t>标产品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与投</w:t>
      </w:r>
      <w:r>
        <w:rPr>
          <w:color w:val="auto"/>
          <w:sz w:val="24"/>
          <w:szCs w:val="24"/>
        </w:rPr>
        <w:t>标产品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rPr>
        <w:t>磋商小组有权按照实质性判断原则评定其为无效投标。</w:t>
      </w:r>
    </w:p>
    <w:p w14:paraId="413D3AED">
      <w:pPr>
        <w:adjustRightInd w:val="0"/>
        <w:snapToGrid w:val="0"/>
        <w:spacing w:before="120"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14:paraId="1922EF06">
      <w:pPr>
        <w:widowControl w:val="0"/>
        <w:adjustRightInd w:val="0"/>
        <w:snapToGrid w:val="0"/>
        <w:spacing w:before="120" w:beforeLines="50" w:line="300" w:lineRule="auto"/>
        <w:ind w:firstLine="540"/>
        <w:rPr>
          <w:rFonts w:ascii="宋体" w:hAnsi="宋体"/>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1★</w:t>
      </w:r>
      <w:r>
        <w:rPr>
          <w:rFonts w:hint="eastAsia" w:ascii="宋体" w:hAnsi="宋体"/>
          <w:color w:val="auto"/>
          <w:sz w:val="24"/>
          <w:szCs w:val="24"/>
        </w:rPr>
        <w:t>服务所涉货物材料设施的</w:t>
      </w:r>
      <w:r>
        <w:rPr>
          <w:rFonts w:hint="eastAsia" w:ascii="黑体" w:hAnsi="黑体" w:eastAsia="黑体"/>
          <w:b/>
          <w:color w:val="auto"/>
          <w:sz w:val="24"/>
          <w:szCs w:val="24"/>
        </w:rPr>
        <w:t>不接受负偏差，低于“具体服务要求”的、为无效投标。</w:t>
      </w:r>
    </w:p>
    <w:p w14:paraId="18B94A35">
      <w:pPr>
        <w:widowControl w:val="0"/>
        <w:adjustRightInd w:val="0"/>
        <w:snapToGrid w:val="0"/>
        <w:spacing w:before="120"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2 除服务所涉货物材料设施的</w:t>
      </w:r>
      <w:r>
        <w:rPr>
          <w:rFonts w:hint="eastAsia" w:ascii="黑体" w:hAnsi="黑体" w:eastAsia="黑体"/>
          <w:b/>
          <w:color w:val="auto"/>
          <w:sz w:val="24"/>
          <w:szCs w:val="24"/>
        </w:rPr>
        <w:t>技术偏离外，其他内容不接受负偏差</w:t>
      </w:r>
    </w:p>
    <w:p w14:paraId="63AAB43F">
      <w:pPr>
        <w:widowControl w:val="0"/>
        <w:adjustRightInd w:val="0"/>
        <w:snapToGrid w:val="0"/>
        <w:spacing w:before="120" w:beforeLines="50" w:line="300" w:lineRule="auto"/>
        <w:ind w:left="22" w:firstLine="555"/>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3响应文件对技术偏差的描述要求：见第三章供应商须知</w:t>
      </w:r>
      <w:r>
        <w:rPr>
          <w:color w:val="auto"/>
          <w:sz w:val="24"/>
          <w:szCs w:val="24"/>
        </w:rPr>
        <w:t>3.7.3</w:t>
      </w:r>
      <w:r>
        <w:rPr>
          <w:rFonts w:hint="eastAsia"/>
          <w:color w:val="auto"/>
          <w:sz w:val="24"/>
          <w:szCs w:val="24"/>
        </w:rPr>
        <w:t>项。</w:t>
      </w:r>
    </w:p>
    <w:p w14:paraId="1A4BDC57">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8</w:t>
      </w:r>
      <w:r>
        <w:rPr>
          <w:rFonts w:ascii="黑体" w:hAnsi="黑体" w:eastAsia="黑体"/>
          <w:b/>
          <w:color w:val="auto"/>
          <w:sz w:val="24"/>
          <w:szCs w:val="24"/>
        </w:rPr>
        <w:t xml:space="preserve"> </w:t>
      </w:r>
      <w:r>
        <w:rPr>
          <w:rFonts w:hint="eastAsia" w:ascii="黑体" w:hAnsi="黑体" w:eastAsia="黑体"/>
          <w:b/>
          <w:color w:val="auto"/>
          <w:sz w:val="24"/>
          <w:szCs w:val="24"/>
        </w:rPr>
        <w:t>合同履行期限后、服务项目所涉货物的售后服务</w:t>
      </w:r>
    </w:p>
    <w:p w14:paraId="3F2AAAAD">
      <w:pPr>
        <w:adjustRightInd w:val="0"/>
        <w:snapToGrid w:val="0"/>
        <w:spacing w:line="300" w:lineRule="auto"/>
        <w:ind w:firstLine="564" w:firstLineChars="235"/>
        <w:jc w:val="left"/>
        <w:rPr>
          <w:color w:val="auto"/>
          <w:sz w:val="24"/>
          <w:szCs w:val="24"/>
        </w:rPr>
      </w:pPr>
      <w:r>
        <w:rPr>
          <w:rFonts w:hint="eastAsia"/>
          <w:color w:val="auto"/>
          <w:sz w:val="24"/>
          <w:szCs w:val="24"/>
        </w:rPr>
        <w:t>无特殊要求，服务要求中已作要求的从其要求。</w:t>
      </w:r>
    </w:p>
    <w:p w14:paraId="05D895C3">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9保险、所涉货物包装</w:t>
      </w:r>
    </w:p>
    <w:p w14:paraId="042B8C65">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14:paraId="6CCD3468">
      <w:pPr>
        <w:adjustRightInd w:val="0"/>
        <w:snapToGrid w:val="0"/>
        <w:spacing w:line="300" w:lineRule="auto"/>
        <w:ind w:firstLine="564" w:firstLineChars="235"/>
        <w:jc w:val="left"/>
        <w:rPr>
          <w:sz w:val="24"/>
          <w:szCs w:val="24"/>
        </w:rPr>
      </w:pPr>
      <w:r>
        <w:rPr>
          <w:rFonts w:hint="eastAsia"/>
          <w:color w:val="auto"/>
          <w:sz w:val="24"/>
          <w:szCs w:val="24"/>
        </w:rPr>
        <w:t>投标人应遵循国家相关保险的规定，依照法规规定，根据项目属性需要，办理货物设施等的财产保险、危险作业人员的工伤和意外伤害保险、设计和</w:t>
      </w:r>
      <w:r>
        <w:rPr>
          <w:rFonts w:hint="eastAsia"/>
          <w:sz w:val="24"/>
          <w:szCs w:val="24"/>
        </w:rPr>
        <w:t>工程保险、第三方责任险，相关保险费用及相应责任由成交人承担。</w:t>
      </w:r>
    </w:p>
    <w:p w14:paraId="4DA06856">
      <w:pPr>
        <w:adjustRightInd w:val="0"/>
        <w:snapToGrid w:val="0"/>
        <w:spacing w:line="300" w:lineRule="auto"/>
        <w:ind w:firstLine="564" w:firstLineChars="235"/>
        <w:jc w:val="left"/>
        <w:rPr>
          <w:sz w:val="24"/>
          <w:szCs w:val="24"/>
        </w:rPr>
      </w:pPr>
      <w:r>
        <w:rPr>
          <w:rFonts w:hint="eastAsia"/>
          <w:sz w:val="24"/>
          <w:szCs w:val="24"/>
        </w:rPr>
        <w:t>2.9.2所涉货物包装：</w:t>
      </w:r>
    </w:p>
    <w:p w14:paraId="5FC52FC4">
      <w:pPr>
        <w:adjustRightInd w:val="0"/>
        <w:snapToGrid w:val="0"/>
        <w:spacing w:line="300" w:lineRule="auto"/>
        <w:ind w:firstLine="564" w:firstLineChars="235"/>
        <w:jc w:val="left"/>
        <w:rPr>
          <w:color w:val="auto"/>
          <w:sz w:val="24"/>
          <w:szCs w:val="24"/>
        </w:rPr>
      </w:pPr>
      <w:r>
        <w:rPr>
          <w:rFonts w:hint="eastAsia"/>
          <w:sz w:val="24"/>
          <w:szCs w:val="24"/>
        </w:rPr>
        <w:t>成交人负责按国家相关标准进行货物包装，设备的包装均应有良好的防湿、防锈、防潮、防雨、</w:t>
      </w:r>
      <w:r>
        <w:rPr>
          <w:rFonts w:hint="eastAsia"/>
          <w:color w:val="auto"/>
          <w:sz w:val="24"/>
          <w:szCs w:val="24"/>
        </w:rPr>
        <w:t>防腐及防碰撞的措施，凡由于包装不良造成的损失和由此产生的费用均由成交人承担。</w:t>
      </w:r>
    </w:p>
    <w:p w14:paraId="418C7E5F">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w:t>
      </w:r>
      <w:r>
        <w:rPr>
          <w:rFonts w:ascii="黑体" w:hAnsi="黑体" w:eastAsia="黑体"/>
          <w:b/>
          <w:color w:val="auto"/>
          <w:sz w:val="24"/>
          <w:szCs w:val="24"/>
        </w:rPr>
        <w:t xml:space="preserve"> </w:t>
      </w:r>
      <w:r>
        <w:rPr>
          <w:rFonts w:hint="eastAsia" w:ascii="黑体" w:hAnsi="黑体" w:eastAsia="黑体"/>
          <w:b/>
          <w:color w:val="auto"/>
          <w:sz w:val="24"/>
          <w:szCs w:val="24"/>
        </w:rPr>
        <w:t>采购标的的验收标准</w:t>
      </w:r>
    </w:p>
    <w:p w14:paraId="33E73154">
      <w:pPr>
        <w:adjustRightInd w:val="0"/>
        <w:snapToGrid w:val="0"/>
        <w:spacing w:line="300" w:lineRule="auto"/>
        <w:ind w:firstLine="564" w:firstLineChars="235"/>
        <w:jc w:val="left"/>
        <w:rPr>
          <w:rFonts w:ascii="黑体" w:hAnsi="黑体" w:eastAsia="黑体"/>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14:paraId="43695FE0">
      <w:pPr>
        <w:adjustRightInd w:val="0"/>
        <w:snapToGrid w:val="0"/>
        <w:spacing w:before="120"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14:paraId="2881DA2B">
      <w:pPr>
        <w:adjustRightInd w:val="0"/>
        <w:snapToGrid w:val="0"/>
        <w:spacing w:before="120" w:beforeLines="50" w:line="300" w:lineRule="auto"/>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无</w:t>
      </w:r>
    </w:p>
    <w:p w14:paraId="6826CDF9">
      <w:pPr>
        <w:adjustRightInd w:val="0"/>
        <w:snapToGrid w:val="0"/>
        <w:spacing w:before="120" w:beforeLines="50" w:line="300" w:lineRule="auto"/>
        <w:rPr>
          <w:rFonts w:hint="default" w:ascii="黑体" w:hAnsi="黑体" w:eastAsia="黑体"/>
          <w:b/>
          <w:color w:val="auto"/>
          <w:sz w:val="24"/>
          <w:szCs w:val="24"/>
          <w:lang w:val="en-US" w:eastAsia="zh-CN"/>
        </w:rPr>
      </w:pPr>
    </w:p>
    <w:p w14:paraId="65FBE9A3">
      <w:pPr>
        <w:adjustRightInd w:val="0"/>
        <w:snapToGrid w:val="0"/>
        <w:spacing w:before="120" w:beforeLines="50" w:line="300" w:lineRule="auto"/>
        <w:ind w:firstLine="562" w:firstLineChars="200"/>
        <w:outlineLvl w:val="1"/>
        <w:rPr>
          <w:rFonts w:ascii="黑体" w:hAnsi="黑体" w:eastAsia="黑体"/>
          <w:b/>
          <w:color w:val="auto"/>
          <w:sz w:val="28"/>
        </w:rPr>
      </w:pPr>
      <w:bookmarkStart w:id="18" w:name="_Toc65676676"/>
      <w:bookmarkStart w:id="19" w:name="_Toc1003"/>
      <w:r>
        <w:rPr>
          <w:rFonts w:hint="eastAsia" w:ascii="黑体" w:hAnsi="黑体" w:eastAsia="黑体"/>
          <w:b/>
          <w:color w:val="auto"/>
          <w:sz w:val="28"/>
        </w:rPr>
        <w:t>3</w:t>
      </w:r>
      <w:r>
        <w:rPr>
          <w:rFonts w:ascii="黑体" w:hAnsi="黑体" w:eastAsia="黑体"/>
          <w:b/>
          <w:color w:val="auto"/>
          <w:sz w:val="28"/>
        </w:rPr>
        <w:t xml:space="preserve">. </w:t>
      </w:r>
      <w:r>
        <w:rPr>
          <w:rFonts w:hint="eastAsia" w:ascii="黑体" w:hAnsi="黑体" w:eastAsia="黑体"/>
          <w:b/>
          <w:color w:val="auto"/>
          <w:sz w:val="28"/>
        </w:rPr>
        <w:t>项目其他要求</w:t>
      </w:r>
      <w:bookmarkEnd w:id="18"/>
      <w:bookmarkEnd w:id="19"/>
    </w:p>
    <w:p w14:paraId="1FB69A01">
      <w:pPr>
        <w:spacing w:line="560" w:lineRule="exact"/>
        <w:ind w:firstLine="480" w:firstLineChars="200"/>
        <w:rPr>
          <w:rFonts w:ascii="黑体" w:hAnsi="黑体" w:eastAsia="黑体"/>
          <w:b/>
          <w:sz w:val="24"/>
          <w:szCs w:val="24"/>
        </w:rPr>
      </w:pPr>
      <w:r>
        <w:rPr>
          <w:rFonts w:hint="eastAsia" w:ascii="Times New Roman" w:hAnsi="Times New Roman" w:eastAsia="宋体" w:cs="Times New Roman"/>
          <w:color w:val="auto"/>
          <w:sz w:val="24"/>
          <w:szCs w:val="24"/>
          <w:lang w:val="en-US" w:eastAsia="zh-CN"/>
        </w:rPr>
        <w:t xml:space="preserve"> 无</w:t>
      </w:r>
      <w:r>
        <w:rPr>
          <w:rFonts w:ascii="黑体" w:hAnsi="黑体" w:eastAsia="黑体"/>
          <w:b/>
          <w:color w:val="auto"/>
          <w:sz w:val="24"/>
          <w:szCs w:val="24"/>
        </w:rPr>
        <w:br w:type="page"/>
      </w:r>
    </w:p>
    <w:p w14:paraId="20C96C5A">
      <w:pPr>
        <w:spacing w:line="360" w:lineRule="auto"/>
        <w:ind w:right="238"/>
        <w:jc w:val="center"/>
        <w:outlineLvl w:val="0"/>
        <w:rPr>
          <w:rFonts w:eastAsia="黑体"/>
          <w:b/>
          <w:color w:val="auto"/>
          <w:sz w:val="36"/>
          <w:szCs w:val="36"/>
        </w:rPr>
      </w:pPr>
      <w:bookmarkStart w:id="20" w:name="_Toc2890"/>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供应商须知</w:t>
      </w:r>
      <w:bookmarkEnd w:id="20"/>
    </w:p>
    <w:p w14:paraId="47FDBC2F">
      <w:pPr>
        <w:spacing w:line="360" w:lineRule="auto"/>
        <w:ind w:right="240"/>
        <w:jc w:val="center"/>
        <w:rPr>
          <w:rFonts w:eastAsia="黑体"/>
          <w:b/>
          <w:color w:val="auto"/>
          <w:spacing w:val="36"/>
          <w:sz w:val="36"/>
          <w:szCs w:val="36"/>
        </w:rPr>
      </w:pPr>
    </w:p>
    <w:p w14:paraId="19A1D8DF">
      <w:pPr>
        <w:spacing w:line="360" w:lineRule="auto"/>
        <w:ind w:right="238"/>
        <w:jc w:val="left"/>
        <w:outlineLvl w:val="1"/>
        <w:rPr>
          <w:rFonts w:eastAsia="黑体"/>
          <w:b/>
          <w:color w:val="auto"/>
          <w:sz w:val="28"/>
          <w:szCs w:val="28"/>
        </w:rPr>
      </w:pPr>
      <w:bookmarkStart w:id="21" w:name="_Toc28506"/>
      <w:r>
        <w:rPr>
          <w:rFonts w:hint="eastAsia" w:eastAsia="黑体"/>
          <w:b/>
          <w:color w:val="auto"/>
          <w:sz w:val="28"/>
          <w:szCs w:val="28"/>
        </w:rPr>
        <w:t>供应商须知前附表</w:t>
      </w:r>
      <w:bookmarkEnd w:id="21"/>
    </w:p>
    <w:tbl>
      <w:tblPr>
        <w:tblStyle w:val="17"/>
        <w:tblW w:w="9753" w:type="dxa"/>
        <w:jc w:val="center"/>
        <w:tblLayout w:type="fixed"/>
        <w:tblCellMar>
          <w:top w:w="0" w:type="dxa"/>
          <w:left w:w="108" w:type="dxa"/>
          <w:bottom w:w="0" w:type="dxa"/>
          <w:right w:w="108" w:type="dxa"/>
        </w:tblCellMar>
      </w:tblPr>
      <w:tblGrid>
        <w:gridCol w:w="508"/>
        <w:gridCol w:w="699"/>
        <w:gridCol w:w="1893"/>
        <w:gridCol w:w="6653"/>
      </w:tblGrid>
      <w:tr w14:paraId="47FCF3F8">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18567C9A">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4B16FF1D">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6B2865AE">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001B598A">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663466F9">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0B4F39C9">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6E7EE982">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14:paraId="74AB5216">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621EB3C4">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见“第一章竞争性磋商公告”相应条款</w:t>
            </w:r>
          </w:p>
        </w:tc>
      </w:tr>
      <w:tr w14:paraId="32709F79">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691A0B10">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F11B91E">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14:paraId="30C4AF69">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38B111F7">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见“第一章竞争性磋商公告”相应条款</w:t>
            </w:r>
          </w:p>
        </w:tc>
      </w:tr>
      <w:tr w14:paraId="4E2BA897">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51AB22A1">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DA782C9">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3" w:type="dxa"/>
            <w:tcBorders>
              <w:top w:val="single" w:color="auto" w:sz="6" w:space="0"/>
              <w:left w:val="single" w:color="auto" w:sz="6" w:space="0"/>
              <w:bottom w:val="single" w:color="auto" w:sz="6" w:space="0"/>
              <w:right w:val="single" w:color="auto" w:sz="6" w:space="0"/>
            </w:tcBorders>
            <w:vAlign w:val="center"/>
          </w:tcPr>
          <w:p w14:paraId="2995D1A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0CDF0172">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竞争性磋商</w:t>
            </w:r>
          </w:p>
        </w:tc>
      </w:tr>
      <w:tr w14:paraId="02DC291F">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0C3667D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05D5E7F">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5A4C2DA4">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54B6819C">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见“第一章竞争性磋商公告”相应条款。</w:t>
            </w:r>
            <w:r>
              <w:rPr>
                <w:rFonts w:hint="eastAsia" w:ascii="宋体" w:hAnsi="宋体" w:cs="楷体_GB2312"/>
                <w:b/>
                <w:color w:val="auto"/>
                <w:sz w:val="24"/>
                <w:lang w:val="zh-CN"/>
              </w:rPr>
              <w:t>注：供应商的磋商报价未超过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的不足三家时，该项目（标段&lt;包&gt;）终止。</w:t>
            </w:r>
          </w:p>
        </w:tc>
      </w:tr>
      <w:tr w14:paraId="6A59072E">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126DDA05">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B167BA8">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5E19E6C9">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7A61BC40">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见“第一章竞争性磋商公告”相应条款</w:t>
            </w:r>
          </w:p>
        </w:tc>
      </w:tr>
      <w:tr w14:paraId="78B142A5">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148545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917E84B">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180C14FE">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06BFC792">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见“第一章竞争性磋商公告”相应条款</w:t>
            </w:r>
          </w:p>
        </w:tc>
      </w:tr>
      <w:tr w14:paraId="4C6B85E6">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3F0E513F">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D9E6227">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28E04E6D">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6E63559D">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见“第一章竞争性磋商公告”相应条款</w:t>
            </w:r>
          </w:p>
        </w:tc>
      </w:tr>
      <w:tr w14:paraId="51C6471B">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5C052019">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134E940C">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5C56DEB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31089B47">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见“第二章采购项目及服务要求”相应条款</w:t>
            </w:r>
          </w:p>
        </w:tc>
      </w:tr>
      <w:tr w14:paraId="01C41853">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123B6601">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24ADEEC">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2F4E8FC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服务期</w:t>
            </w:r>
          </w:p>
        </w:tc>
        <w:tc>
          <w:tcPr>
            <w:tcW w:w="6653" w:type="dxa"/>
            <w:tcBorders>
              <w:top w:val="single" w:color="auto" w:sz="6" w:space="0"/>
              <w:left w:val="single" w:color="auto" w:sz="6" w:space="0"/>
              <w:bottom w:val="single" w:color="auto" w:sz="6" w:space="0"/>
              <w:right w:val="single" w:color="auto" w:sz="12" w:space="0"/>
            </w:tcBorders>
            <w:vAlign w:val="center"/>
          </w:tcPr>
          <w:p w14:paraId="0E9287D9">
            <w:pPr>
              <w:autoSpaceDE w:val="0"/>
              <w:autoSpaceDN w:val="0"/>
              <w:adjustRightInd w:val="0"/>
              <w:snapToGrid w:val="0"/>
              <w:spacing w:before="120" w:beforeLines="50" w:line="240" w:lineRule="auto"/>
              <w:rPr>
                <w:rFonts w:ascii="宋体" w:cs="楷体_GB2312"/>
                <w:bCs/>
                <w:color w:val="auto"/>
                <w:sz w:val="24"/>
                <w:lang w:val="zh-CN"/>
              </w:rPr>
            </w:pPr>
            <w:r>
              <w:rPr>
                <w:rFonts w:hint="eastAsia" w:ascii="宋体" w:hAnsi="宋体"/>
                <w:color w:val="auto"/>
                <w:sz w:val="24"/>
              </w:rPr>
              <w:t>见“第二部分采购项目及服务要求”</w:t>
            </w:r>
            <w:r>
              <w:rPr>
                <w:rFonts w:hint="eastAsia"/>
                <w:color w:val="auto"/>
                <w:sz w:val="24"/>
                <w:szCs w:val="24"/>
              </w:rPr>
              <w:t>相应条款</w:t>
            </w:r>
          </w:p>
        </w:tc>
      </w:tr>
      <w:tr w14:paraId="45F02F3F">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770281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BDA0EA1">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55DCAA28">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服务地</w:t>
            </w:r>
          </w:p>
        </w:tc>
        <w:tc>
          <w:tcPr>
            <w:tcW w:w="6653" w:type="dxa"/>
            <w:tcBorders>
              <w:top w:val="single" w:color="auto" w:sz="6" w:space="0"/>
              <w:left w:val="single" w:color="auto" w:sz="6" w:space="0"/>
              <w:bottom w:val="single" w:color="auto" w:sz="6" w:space="0"/>
              <w:right w:val="single" w:color="auto" w:sz="12" w:space="0"/>
            </w:tcBorders>
            <w:vAlign w:val="center"/>
          </w:tcPr>
          <w:p w14:paraId="385A51F9">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采购项目及服务要求”</w:t>
            </w:r>
            <w:r>
              <w:rPr>
                <w:rFonts w:hint="eastAsia"/>
                <w:color w:val="auto"/>
                <w:sz w:val="24"/>
                <w:szCs w:val="24"/>
              </w:rPr>
              <w:t>相应条款</w:t>
            </w:r>
          </w:p>
        </w:tc>
      </w:tr>
      <w:tr w14:paraId="14154726">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77788BC">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8B445C7">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37D9766D">
            <w:pPr>
              <w:autoSpaceDE w:val="0"/>
              <w:autoSpaceDN w:val="0"/>
              <w:adjustRightInd w:val="0"/>
              <w:snapToGrid w:val="0"/>
              <w:spacing w:line="240" w:lineRule="auto"/>
              <w:jc w:val="center"/>
              <w:rPr>
                <w:rFonts w:ascii="宋体"/>
                <w:b/>
                <w:color w:val="auto"/>
                <w:sz w:val="24"/>
                <w:szCs w:val="24"/>
                <w:highlight w:val="yellow"/>
              </w:rPr>
            </w:pPr>
            <w:r>
              <w:rPr>
                <w:rFonts w:hint="eastAsia" w:ascii="宋体" w:hAnsi="宋体"/>
                <w:b/>
                <w:color w:val="auto"/>
                <w:sz w:val="24"/>
                <w:szCs w:val="24"/>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14:paraId="5B614517">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见“第二章采购项目及服务要求”相应条款</w:t>
            </w:r>
          </w:p>
        </w:tc>
      </w:tr>
      <w:tr w14:paraId="19BEEC3C">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29EBB16D">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8D86D50">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34799162">
            <w:pPr>
              <w:autoSpaceDE w:val="0"/>
              <w:autoSpaceDN w:val="0"/>
              <w:adjustRightInd w:val="0"/>
              <w:snapToGrid w:val="0"/>
              <w:spacing w:line="240" w:lineRule="auto"/>
              <w:jc w:val="center"/>
              <w:rPr>
                <w:rFonts w:ascii="宋体" w:cs="楷体_GB2312"/>
                <w:b/>
                <w:bCs/>
                <w:color w:val="auto"/>
                <w:sz w:val="24"/>
                <w:highlight w:val="green"/>
                <w:lang w:val="zh-CN"/>
              </w:rPr>
            </w:pPr>
            <w:r>
              <w:rPr>
                <w:rFonts w:hint="eastAsia" w:ascii="宋体" w:hAnsi="宋体" w:cs="楷体_GB2312"/>
                <w:b/>
                <w:bCs/>
                <w:color w:val="auto"/>
                <w:sz w:val="24"/>
                <w:lang w:val="zh-CN"/>
              </w:rPr>
              <w:t>标段（包）内容（范围）及服务要求</w:t>
            </w:r>
          </w:p>
        </w:tc>
        <w:tc>
          <w:tcPr>
            <w:tcW w:w="6653" w:type="dxa"/>
            <w:tcBorders>
              <w:top w:val="single" w:color="auto" w:sz="6" w:space="0"/>
              <w:left w:val="single" w:color="auto" w:sz="6" w:space="0"/>
              <w:bottom w:val="single" w:color="auto" w:sz="6" w:space="0"/>
              <w:right w:val="single" w:color="auto" w:sz="12" w:space="0"/>
            </w:tcBorders>
            <w:vAlign w:val="center"/>
          </w:tcPr>
          <w:p w14:paraId="40BDE683">
            <w:pPr>
              <w:autoSpaceDE w:val="0"/>
              <w:autoSpaceDN w:val="0"/>
              <w:adjustRightInd w:val="0"/>
              <w:snapToGrid w:val="0"/>
              <w:spacing w:before="120" w:beforeLines="50" w:line="240" w:lineRule="auto"/>
              <w:rPr>
                <w:rFonts w:ascii="宋体" w:cs="楷体_GB2312"/>
                <w:color w:val="auto"/>
                <w:sz w:val="24"/>
                <w:highlight w:val="green"/>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采购项目及服务要求”</w:t>
            </w:r>
            <w:r>
              <w:rPr>
                <w:rFonts w:hint="eastAsia"/>
                <w:color w:val="auto"/>
                <w:sz w:val="24"/>
                <w:szCs w:val="24"/>
              </w:rPr>
              <w:t>相应条款</w:t>
            </w:r>
          </w:p>
        </w:tc>
      </w:tr>
      <w:tr w14:paraId="106B17D1">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4C2A633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63318407">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5834AAC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1039138E">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14:paraId="7B5C4130">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31AD1B37">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19407CE">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93" w:type="dxa"/>
            <w:tcBorders>
              <w:top w:val="single" w:color="auto" w:sz="6" w:space="0"/>
              <w:left w:val="single" w:color="auto" w:sz="6" w:space="0"/>
              <w:bottom w:val="single" w:color="auto" w:sz="6" w:space="0"/>
              <w:right w:val="single" w:color="auto" w:sz="6" w:space="0"/>
            </w:tcBorders>
            <w:vAlign w:val="center"/>
          </w:tcPr>
          <w:p w14:paraId="70AE354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68F4FEC5">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14:paraId="05029BC4">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35C9671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9B754CD">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14:paraId="0A8943C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71317297">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2C30F125">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62D19AE0">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F9C5113">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14:paraId="77DABC5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45CC3CD0">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14:paraId="35C953B6">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4E822B31">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828DEAF">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3" w:type="dxa"/>
            <w:tcBorders>
              <w:top w:val="single" w:color="auto" w:sz="6" w:space="0"/>
              <w:left w:val="single" w:color="auto" w:sz="6" w:space="0"/>
              <w:bottom w:val="single" w:color="auto" w:sz="6" w:space="0"/>
              <w:right w:val="single" w:color="auto" w:sz="6" w:space="0"/>
            </w:tcBorders>
            <w:vAlign w:val="center"/>
          </w:tcPr>
          <w:p w14:paraId="793ADFE4">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0A2D57C5">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1A1669A4">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61949770">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05A09BE">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r>
              <w:rPr>
                <w:rFonts w:hint="eastAsia" w:ascii="宋体" w:hAnsi="宋体" w:cs="楷体_GB2312"/>
                <w:b/>
                <w:bCs/>
                <w:color w:val="auto"/>
                <w:szCs w:val="21"/>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19E07307">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1CC2238D">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14:paraId="78AE76F3">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6E7EC2CB">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7A26180">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lang w:val="zh-CN"/>
              </w:rPr>
              <w:t>2.3</w:t>
            </w:r>
            <w:r>
              <w:rPr>
                <w:rFonts w:hint="eastAsia" w:ascii="宋体" w:hAnsi="宋体" w:cs="楷体_GB2312"/>
                <w:b/>
                <w:bCs/>
                <w:color w:val="auto"/>
                <w:szCs w:val="21"/>
                <w:lang w:val="zh-CN"/>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3D358A8D">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340E161C">
            <w:pPr>
              <w:autoSpaceDE w:val="0"/>
              <w:autoSpaceDN w:val="0"/>
              <w:adjustRightInd w:val="0"/>
              <w:snapToGrid w:val="0"/>
              <w:spacing w:before="120" w:beforeLines="50" w:line="240" w:lineRule="auto"/>
              <w:rPr>
                <w:rFonts w:ascii="宋体" w:hAnsi="宋体" w:cs="楷体_GB2312"/>
                <w:color w:val="auto"/>
                <w:sz w:val="24"/>
                <w:highlight w:val="yellow"/>
                <w:lang w:val="zh-CN"/>
              </w:rPr>
            </w:pPr>
            <w:r>
              <w:rPr>
                <w:rFonts w:hint="eastAsia" w:ascii="宋体" w:hAnsi="宋体" w:cs="楷体_GB2312"/>
                <w:color w:val="auto"/>
                <w:sz w:val="24"/>
                <w:lang w:val="zh-CN"/>
              </w:rPr>
              <w:t>投标截止时间</w:t>
            </w:r>
            <w:r>
              <w:rPr>
                <w:rFonts w:ascii="宋体" w:hAnsi="宋体" w:cs="楷体_GB2312"/>
                <w:color w:val="auto"/>
                <w:sz w:val="24"/>
              </w:rPr>
              <w:t>5</w:t>
            </w:r>
            <w:r>
              <w:rPr>
                <w:rFonts w:hint="eastAsia" w:ascii="宋体" w:hAnsi="宋体" w:cs="楷体_GB2312"/>
                <w:color w:val="auto"/>
                <w:sz w:val="24"/>
                <w:lang w:val="zh-CN"/>
              </w:rPr>
              <w:t>日前。</w:t>
            </w:r>
          </w:p>
        </w:tc>
      </w:tr>
      <w:tr w14:paraId="4A4B930F">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2713A602">
            <w:pPr>
              <w:autoSpaceDE w:val="0"/>
              <w:autoSpaceDN w:val="0"/>
              <w:adjustRightInd w:val="0"/>
              <w:snapToGrid w:val="0"/>
              <w:spacing w:line="240" w:lineRule="auto"/>
              <w:jc w:val="center"/>
              <w:rPr>
                <w:rFonts w:ascii="宋体" w:cs="楷体_GB2312"/>
                <w:b/>
                <w:bCs/>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3FB48DD">
            <w:pPr>
              <w:autoSpaceDE w:val="0"/>
              <w:autoSpaceDN w:val="0"/>
              <w:adjustRightInd w:val="0"/>
              <w:snapToGrid w:val="0"/>
              <w:spacing w:line="240" w:lineRule="auto"/>
              <w:ind w:right="-88" w:rightChars="-42"/>
              <w:rPr>
                <w:rFonts w:ascii="宋体" w:cs="楷体_GB2312"/>
                <w:b/>
                <w:bCs/>
                <w:color w:val="auto"/>
                <w:szCs w:val="21"/>
              </w:rPr>
            </w:pPr>
            <w:r>
              <w:rPr>
                <w:rFonts w:ascii="宋体" w:hAnsi="宋体" w:cs="楷体_GB2312"/>
                <w:b/>
                <w:bCs/>
                <w:color w:val="auto"/>
                <w:szCs w:val="21"/>
                <w:lang w:val="zh-CN"/>
              </w:rPr>
              <w:t>2.</w:t>
            </w:r>
            <w:r>
              <w:rPr>
                <w:rFonts w:hint="eastAsia" w:ascii="宋体" w:hAnsi="宋体" w:cs="楷体_GB2312"/>
                <w:b/>
                <w:bCs/>
                <w:color w:val="auto"/>
                <w:szCs w:val="21"/>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7A4E33E4">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0EAE8B43">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4B1659D3">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55505B14">
            <w:pPr>
              <w:autoSpaceDE w:val="0"/>
              <w:autoSpaceDN w:val="0"/>
              <w:adjustRightInd w:val="0"/>
              <w:snapToGrid w:val="0"/>
              <w:spacing w:line="240" w:lineRule="auto"/>
              <w:jc w:val="center"/>
              <w:rPr>
                <w:rFonts w:ascii="宋体" w:cs="楷体_GB2312"/>
                <w:b/>
                <w:bCs/>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53D8B8C">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1543B065">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10D19E04">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2C53E171">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1907BA58">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7C0D08CC">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25621B6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6E44CD29">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从《响应文件》开启之日起，响应有效期为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191339C1">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3896ED2A">
            <w:pPr>
              <w:autoSpaceDE w:val="0"/>
              <w:autoSpaceDN w:val="0"/>
              <w:adjustRightInd w:val="0"/>
              <w:snapToGrid w:val="0"/>
              <w:spacing w:line="240" w:lineRule="auto"/>
              <w:jc w:val="center"/>
              <w:rPr>
                <w:rFonts w:ascii="宋体" w:cs="楷体_GB2312"/>
                <w:b/>
                <w:bCs/>
                <w:sz w:val="24"/>
                <w:lang w:val="zh-CN"/>
              </w:rPr>
            </w:pPr>
          </w:p>
        </w:tc>
        <w:tc>
          <w:tcPr>
            <w:tcW w:w="699" w:type="dxa"/>
            <w:tcBorders>
              <w:top w:val="single" w:color="auto" w:sz="6" w:space="0"/>
              <w:left w:val="single" w:color="auto" w:sz="12" w:space="0"/>
              <w:right w:val="single" w:color="auto" w:sz="6" w:space="0"/>
            </w:tcBorders>
            <w:vAlign w:val="center"/>
          </w:tcPr>
          <w:p w14:paraId="79DFBEAB">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93" w:type="dxa"/>
            <w:tcBorders>
              <w:top w:val="single" w:color="auto" w:sz="6" w:space="0"/>
              <w:left w:val="single" w:color="auto" w:sz="6" w:space="0"/>
              <w:right w:val="single" w:color="auto" w:sz="6" w:space="0"/>
            </w:tcBorders>
            <w:vAlign w:val="center"/>
          </w:tcPr>
          <w:p w14:paraId="2C54230E">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14:paraId="41B315A9">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653" w:type="dxa"/>
            <w:tcBorders>
              <w:top w:val="single" w:color="auto" w:sz="6" w:space="0"/>
              <w:left w:val="single" w:color="auto" w:sz="6" w:space="0"/>
              <w:right w:val="single" w:color="auto" w:sz="12" w:space="0"/>
            </w:tcBorders>
            <w:vAlign w:val="center"/>
          </w:tcPr>
          <w:p w14:paraId="0CEBC870">
            <w:pPr>
              <w:widowControl w:val="0"/>
              <w:snapToGrid w:val="0"/>
              <w:spacing w:before="120" w:beforeLines="50" w:line="240" w:lineRule="auto"/>
              <w:rPr>
                <w:color w:val="auto"/>
                <w:sz w:val="24"/>
                <w:szCs w:val="24"/>
              </w:rPr>
            </w:pPr>
            <w:r>
              <w:rPr>
                <w:rFonts w:hint="eastAsia"/>
                <w:color w:val="auto"/>
                <w:sz w:val="24"/>
                <w:szCs w:val="24"/>
              </w:rPr>
              <w:t>以投标承诺函形式替代投标保证金。</w:t>
            </w:r>
          </w:p>
          <w:p w14:paraId="6076356E">
            <w:pPr>
              <w:widowControl w:val="0"/>
              <w:snapToGrid w:val="0"/>
              <w:spacing w:before="120" w:beforeLines="50" w:line="240" w:lineRule="auto"/>
              <w:rPr>
                <w:color w:val="auto"/>
                <w:sz w:val="24"/>
                <w:szCs w:val="24"/>
              </w:rPr>
            </w:pPr>
            <w:r>
              <w:rPr>
                <w:rFonts w:hint="eastAsia"/>
                <w:color w:val="auto"/>
                <w:sz w:val="24"/>
                <w:szCs w:val="24"/>
              </w:rPr>
              <w:t xml:space="preserve">供应商应按附件格式进行投标承诺、违背承诺的责任追究。 </w:t>
            </w:r>
          </w:p>
        </w:tc>
      </w:tr>
      <w:tr w14:paraId="5FFA2D8B">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1424B873">
            <w:pPr>
              <w:autoSpaceDE w:val="0"/>
              <w:autoSpaceDN w:val="0"/>
              <w:adjustRightInd w:val="0"/>
              <w:snapToGrid w:val="0"/>
              <w:spacing w:line="240" w:lineRule="auto"/>
              <w:jc w:val="center"/>
              <w:rPr>
                <w:rFonts w:ascii="宋体" w:cs="楷体_GB2312"/>
                <w:b/>
                <w:bCs/>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6234C62F">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26918C9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54FBA8EC">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F8FE1AE">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12E0196E">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FBBA78F">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675E24C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24040B9A">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716C590E">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0809FA9E">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B5B9EF4">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7713F3D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2D6486D9">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14:paraId="13A07A77">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41C59236">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84CFB35">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93" w:type="dxa"/>
            <w:tcBorders>
              <w:top w:val="single" w:color="auto" w:sz="6" w:space="0"/>
              <w:left w:val="single" w:color="auto" w:sz="6" w:space="0"/>
              <w:bottom w:val="single" w:color="auto" w:sz="6" w:space="0"/>
              <w:right w:val="single" w:color="auto" w:sz="6" w:space="0"/>
            </w:tcBorders>
            <w:vAlign w:val="center"/>
          </w:tcPr>
          <w:p w14:paraId="3585D7B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1FF49304">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579BB2C5">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227EFBDE">
            <w:pPr>
              <w:autoSpaceDE w:val="0"/>
              <w:autoSpaceDN w:val="0"/>
              <w:adjustRightInd w:val="0"/>
              <w:snapToGrid w:val="0"/>
              <w:spacing w:line="240" w:lineRule="auto"/>
              <w:jc w:val="center"/>
              <w:rPr>
                <w:rFonts w:ascii="宋体" w:cs="楷体_GB2312"/>
                <w:b/>
                <w:bCs/>
                <w:sz w:val="24"/>
              </w:rPr>
            </w:pPr>
            <w:r>
              <w:rPr>
                <w:rFonts w:hint="eastAsia" w:ascii="宋体" w:hAnsi="宋体" w:cs="楷体_GB2312"/>
                <w:b/>
                <w:bCs/>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1A9E335A">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7.1</w:t>
            </w:r>
          </w:p>
        </w:tc>
        <w:tc>
          <w:tcPr>
            <w:tcW w:w="1893" w:type="dxa"/>
            <w:tcBorders>
              <w:top w:val="single" w:color="auto" w:sz="6" w:space="0"/>
              <w:left w:val="single" w:color="auto" w:sz="6" w:space="0"/>
              <w:bottom w:val="single" w:color="auto" w:sz="6" w:space="0"/>
              <w:right w:val="single" w:color="auto" w:sz="6" w:space="0"/>
            </w:tcBorders>
            <w:vAlign w:val="center"/>
          </w:tcPr>
          <w:p w14:paraId="1C0D66EE">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408B6F82">
            <w:pPr>
              <w:adjustRightInd w:val="0"/>
              <w:snapToGrid w:val="0"/>
              <w:spacing w:before="120" w:beforeLines="50" w:line="240" w:lineRule="auto"/>
              <w:rPr>
                <w:rFonts w:asci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241840C9">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D2D6370">
            <w:pPr>
              <w:autoSpaceDE w:val="0"/>
              <w:autoSpaceDN w:val="0"/>
              <w:adjustRightInd w:val="0"/>
              <w:snapToGrid w:val="0"/>
              <w:spacing w:line="240" w:lineRule="auto"/>
              <w:jc w:val="center"/>
              <w:rPr>
                <w:rFonts w:ascii="宋体" w:cs="楷体_GB2312"/>
                <w:b/>
                <w:bCs/>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230DAF8">
            <w:pPr>
              <w:autoSpaceDE w:val="0"/>
              <w:autoSpaceDN w:val="0"/>
              <w:adjustRightInd w:val="0"/>
              <w:snapToGrid w:val="0"/>
              <w:spacing w:line="240" w:lineRule="auto"/>
              <w:jc w:val="center"/>
              <w:rPr>
                <w:rFonts w:ascii="宋体" w:cs="楷体_GB2312"/>
                <w:b/>
                <w:bCs/>
                <w:sz w:val="24"/>
              </w:rPr>
            </w:pPr>
            <w:r>
              <w:rPr>
                <w:rFonts w:ascii="宋体" w:hAnsi="宋体" w:cs="楷体_GB2312"/>
                <w:b/>
                <w:bCs/>
                <w:sz w:val="24"/>
              </w:rPr>
              <w:t>7.2</w:t>
            </w:r>
          </w:p>
        </w:tc>
        <w:tc>
          <w:tcPr>
            <w:tcW w:w="1893" w:type="dxa"/>
            <w:tcBorders>
              <w:top w:val="single" w:color="auto" w:sz="6" w:space="0"/>
              <w:left w:val="single" w:color="auto" w:sz="6" w:space="0"/>
              <w:bottom w:val="single" w:color="auto" w:sz="6" w:space="0"/>
              <w:right w:val="single" w:color="auto" w:sz="6" w:space="0"/>
            </w:tcBorders>
            <w:vAlign w:val="center"/>
          </w:tcPr>
          <w:p w14:paraId="099673F2">
            <w:pPr>
              <w:autoSpaceDE w:val="0"/>
              <w:autoSpaceDN w:val="0"/>
              <w:adjustRightInd w:val="0"/>
              <w:snapToGrid w:val="0"/>
              <w:spacing w:line="240" w:lineRule="auto"/>
              <w:jc w:val="center"/>
              <w:rPr>
                <w:rFonts w:ascii="宋体"/>
                <w:b/>
                <w:sz w:val="24"/>
              </w:rPr>
            </w:pPr>
            <w:r>
              <w:rPr>
                <w:rFonts w:hint="eastAsia" w:ascii="宋体" w:hAnsi="宋体"/>
                <w:b/>
                <w:sz w:val="24"/>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7E9FBF4F">
            <w:pPr>
              <w:adjustRightInd w:val="0"/>
              <w:snapToGrid w:val="0"/>
              <w:spacing w:before="120" w:beforeLines="50" w:line="240" w:lineRule="auto"/>
              <w:rPr>
                <w:rFonts w:ascii="宋体"/>
                <w:sz w:val="24"/>
              </w:rPr>
            </w:pPr>
            <w:r>
              <w:rPr>
                <w:rFonts w:hint="eastAsia" w:ascii="宋体" w:hAnsi="宋体"/>
                <w:sz w:val="24"/>
              </w:rPr>
              <w:t>本次竞争性磋商的成交结果将在成交供应商确定</w:t>
            </w:r>
            <w:r>
              <w:rPr>
                <w:rFonts w:hint="eastAsia" w:ascii="宋体" w:hAnsi="宋体"/>
                <w:sz w:val="24"/>
                <w:lang w:eastAsia="zh-CN"/>
              </w:rPr>
              <w:t>当天</w:t>
            </w:r>
            <w:r>
              <w:rPr>
                <w:rFonts w:hint="eastAsia" w:ascii="宋体" w:hAnsi="宋体"/>
                <w:sz w:val="24"/>
              </w:rPr>
              <w:t>在竞争性磋商公告所述媒介公告</w:t>
            </w:r>
            <w:r>
              <w:rPr>
                <w:rFonts w:ascii="宋体" w:hAnsi="宋体"/>
                <w:sz w:val="24"/>
              </w:rPr>
              <w:t>1</w:t>
            </w:r>
            <w:r>
              <w:rPr>
                <w:rFonts w:hint="eastAsia" w:ascii="宋体" w:hAnsi="宋体"/>
                <w:sz w:val="24"/>
              </w:rPr>
              <w:t>个工作日。</w:t>
            </w:r>
          </w:p>
        </w:tc>
      </w:tr>
      <w:tr w14:paraId="35BBAB69">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2354DD12">
            <w:pPr>
              <w:autoSpaceDE w:val="0"/>
              <w:autoSpaceDN w:val="0"/>
              <w:adjustRightInd w:val="0"/>
              <w:snapToGrid w:val="0"/>
              <w:spacing w:line="240" w:lineRule="auto"/>
              <w:jc w:val="center"/>
              <w:rPr>
                <w:rFonts w:ascii="宋体" w:cs="楷体_GB2312"/>
                <w:b/>
                <w:bCs/>
                <w:color w:val="339966"/>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DAEC228">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7.3</w:t>
            </w:r>
          </w:p>
        </w:tc>
        <w:tc>
          <w:tcPr>
            <w:tcW w:w="1893" w:type="dxa"/>
            <w:tcBorders>
              <w:top w:val="single" w:color="auto" w:sz="6" w:space="0"/>
              <w:left w:val="single" w:color="auto" w:sz="6" w:space="0"/>
              <w:bottom w:val="single" w:color="auto" w:sz="6" w:space="0"/>
              <w:right w:val="single" w:color="auto" w:sz="6" w:space="0"/>
            </w:tcBorders>
            <w:vAlign w:val="center"/>
          </w:tcPr>
          <w:p w14:paraId="3B409A6E">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1F600B76">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14:paraId="5212EF90">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28EB2688">
            <w:pPr>
              <w:autoSpaceDE w:val="0"/>
              <w:autoSpaceDN w:val="0"/>
              <w:adjustRightInd w:val="0"/>
              <w:snapToGrid w:val="0"/>
              <w:spacing w:line="240" w:lineRule="auto"/>
              <w:jc w:val="center"/>
              <w:rPr>
                <w:rFonts w:ascii="宋体" w:cs="楷体_GB2312"/>
                <w:b/>
                <w:bCs/>
                <w:color w:val="339966"/>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43117EA">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7.4</w:t>
            </w:r>
          </w:p>
        </w:tc>
        <w:tc>
          <w:tcPr>
            <w:tcW w:w="1893" w:type="dxa"/>
            <w:tcBorders>
              <w:top w:val="single" w:color="auto" w:sz="6" w:space="0"/>
              <w:left w:val="single" w:color="auto" w:sz="6" w:space="0"/>
              <w:bottom w:val="single" w:color="auto" w:sz="6" w:space="0"/>
              <w:right w:val="single" w:color="auto" w:sz="6" w:space="0"/>
            </w:tcBorders>
            <w:vAlign w:val="center"/>
          </w:tcPr>
          <w:p w14:paraId="17DE17B1">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4876F8DD">
            <w:pPr>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采购代理机构在成交供应商确定当天向成交供应商发出成交通知书。成交供应商应凭缴费凭证及时领取成交通知书。</w:t>
            </w:r>
          </w:p>
        </w:tc>
      </w:tr>
      <w:tr w14:paraId="6C1DE1DA">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5B483E3F">
            <w:pPr>
              <w:autoSpaceDE w:val="0"/>
              <w:autoSpaceDN w:val="0"/>
              <w:adjustRightInd w:val="0"/>
              <w:snapToGrid w:val="0"/>
              <w:spacing w:line="240" w:lineRule="auto"/>
              <w:jc w:val="center"/>
              <w:rPr>
                <w:rFonts w:ascii="宋体" w:cs="楷体_GB2312"/>
                <w:b/>
                <w:bCs/>
                <w:color w:val="FF0000"/>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3D2D187D">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35E3B5B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36A1F915">
            <w:pPr>
              <w:widowControl w:val="0"/>
              <w:snapToGrid w:val="0"/>
              <w:spacing w:before="120" w:beforeLines="50" w:line="240" w:lineRule="auto"/>
              <w:rPr>
                <w:color w:val="auto"/>
                <w:sz w:val="24"/>
                <w:szCs w:val="24"/>
              </w:rPr>
            </w:pPr>
            <w:r>
              <w:rPr>
                <w:rFonts w:hint="eastAsia"/>
                <w:color w:val="auto"/>
                <w:sz w:val="24"/>
                <w:szCs w:val="24"/>
              </w:rPr>
              <w:t>不需缴纳</w:t>
            </w:r>
          </w:p>
        </w:tc>
      </w:tr>
      <w:tr w14:paraId="2A221F89">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B2F904B">
            <w:pPr>
              <w:autoSpaceDE w:val="0"/>
              <w:autoSpaceDN w:val="0"/>
              <w:adjustRightInd w:val="0"/>
              <w:snapToGrid w:val="0"/>
              <w:spacing w:line="240" w:lineRule="auto"/>
              <w:jc w:val="center"/>
              <w:rPr>
                <w:rFonts w:ascii="宋体" w:cs="楷体_GB2312"/>
                <w:b/>
                <w:bCs/>
                <w:color w:val="FF0000"/>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173CA5A">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39AB88C4">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722012FD">
            <w:pPr>
              <w:widowControl w:val="0"/>
              <w:snapToGrid w:val="0"/>
              <w:spacing w:before="120" w:beforeLines="50" w:line="240" w:lineRule="auto"/>
              <w:rPr>
                <w:color w:val="auto"/>
                <w:sz w:val="24"/>
                <w:szCs w:val="24"/>
              </w:rPr>
            </w:pPr>
            <w:r>
              <w:rPr>
                <w:rFonts w:hint="eastAsia"/>
                <w:color w:val="auto"/>
                <w:sz w:val="24"/>
                <w:szCs w:val="24"/>
              </w:rPr>
              <w:t>见“第三章供应商须知”相应条款</w:t>
            </w:r>
          </w:p>
        </w:tc>
      </w:tr>
      <w:tr w14:paraId="28B15405">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262B5E4F">
            <w:pPr>
              <w:autoSpaceDE w:val="0"/>
              <w:autoSpaceDN w:val="0"/>
              <w:adjustRightInd w:val="0"/>
              <w:spacing w:line="360" w:lineRule="auto"/>
              <w:rPr>
                <w:rFonts w:ascii="宋体" w:cs="楷体_GB2312"/>
                <w:b/>
                <w:bCs/>
                <w:color w:val="339966"/>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936A183">
            <w:pPr>
              <w:autoSpaceDE w:val="0"/>
              <w:autoSpaceDN w:val="0"/>
              <w:adjustRightInd w:val="0"/>
              <w:spacing w:line="360" w:lineRule="auto"/>
              <w:jc w:val="center"/>
              <w:rPr>
                <w:rFonts w:ascii="宋体" w:cs="楷体_GB2312"/>
                <w:b/>
                <w:bCs/>
                <w:color w:val="339966"/>
                <w:sz w:val="24"/>
              </w:rPr>
            </w:pPr>
            <w:r>
              <w:rPr>
                <w:rFonts w:ascii="宋体" w:hAnsi="宋体" w:cs="楷体_GB2312"/>
                <w:b/>
                <w:bCs/>
                <w:color w:val="auto"/>
                <w:sz w:val="24"/>
              </w:rPr>
              <w:t>9</w:t>
            </w:r>
          </w:p>
        </w:tc>
        <w:tc>
          <w:tcPr>
            <w:tcW w:w="1893" w:type="dxa"/>
            <w:tcBorders>
              <w:top w:val="single" w:color="auto" w:sz="6" w:space="0"/>
              <w:left w:val="single" w:color="auto" w:sz="6" w:space="0"/>
              <w:bottom w:val="single" w:color="auto" w:sz="6" w:space="0"/>
              <w:right w:val="single" w:color="auto" w:sz="6" w:space="0"/>
            </w:tcBorders>
            <w:vAlign w:val="center"/>
          </w:tcPr>
          <w:p w14:paraId="35999A54">
            <w:pPr>
              <w:autoSpaceDE w:val="0"/>
              <w:autoSpaceDN w:val="0"/>
              <w:adjustRightInd w:val="0"/>
              <w:snapToGrid w:val="0"/>
              <w:spacing w:line="240" w:lineRule="auto"/>
              <w:jc w:val="center"/>
              <w:rPr>
                <w:rFonts w:ascii="宋体" w:cs="楷体_GB2312"/>
                <w:b/>
                <w:bCs/>
                <w:sz w:val="24"/>
                <w:lang w:val="zh-CN"/>
              </w:rPr>
            </w:pPr>
            <w:r>
              <w:rPr>
                <w:rFonts w:hint="eastAsia" w:ascii="宋体" w:hAnsi="宋体" w:cs="楷体_GB2312"/>
                <w:b/>
                <w:bCs/>
                <w:sz w:val="24"/>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101D27C6">
            <w:pPr>
              <w:snapToGrid w:val="0"/>
              <w:spacing w:before="120" w:beforeLines="50" w:line="240" w:lineRule="auto"/>
              <w:ind w:firstLine="480" w:firstLineChars="200"/>
              <w:rPr>
                <w:color w:val="auto"/>
                <w:sz w:val="24"/>
                <w:szCs w:val="24"/>
              </w:rPr>
            </w:pPr>
            <w:bookmarkStart w:id="22" w:name="OLE_LINK11"/>
            <w:r>
              <w:rPr>
                <w:rFonts w:hint="eastAsia"/>
                <w:color w:val="auto"/>
                <w:sz w:val="24"/>
                <w:szCs w:val="24"/>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14:paraId="763A5AFB">
            <w:pPr>
              <w:snapToGrid w:val="0"/>
              <w:spacing w:before="120" w:beforeLines="50" w:line="240" w:lineRule="auto"/>
              <w:ind w:firstLine="480" w:firstLineChars="200"/>
              <w:rPr>
                <w:rFonts w:hint="eastAsia"/>
                <w:color w:val="auto"/>
                <w:sz w:val="24"/>
                <w:szCs w:val="24"/>
                <w:highlight w:val="yellow"/>
                <w:lang w:eastAsia="zh-CN"/>
              </w:rPr>
            </w:pPr>
            <w:r>
              <w:rPr>
                <w:rFonts w:hint="eastAsia"/>
                <w:color w:val="auto"/>
                <w:sz w:val="24"/>
                <w:szCs w:val="24"/>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5E834C26">
            <w:pPr>
              <w:snapToGrid w:val="0"/>
              <w:spacing w:before="120" w:beforeLines="50" w:line="240" w:lineRule="auto"/>
              <w:ind w:firstLine="480" w:firstLineChars="200"/>
              <w:rPr>
                <w:rFonts w:ascii="宋体" w:cs="楷体_GB2312"/>
                <w:color w:val="auto"/>
                <w:sz w:val="24"/>
                <w:lang w:val="zh-CN"/>
              </w:rPr>
            </w:pPr>
            <w:r>
              <w:rPr>
                <w:rFonts w:hint="eastAsia"/>
                <w:color w:val="auto"/>
                <w:sz w:val="24"/>
                <w:szCs w:val="24"/>
                <w:highlight w:val="none"/>
                <w:lang w:eastAsia="zh-CN"/>
              </w:rPr>
              <w:t>项目履约完成后，采购人要在验收合格之日起10个工作日（供应商开具发票后3个工作日内）内将应付合同资金支付给成交供应商70%。由采购人支付项目款。具体以双方实际签订合同为准。</w:t>
            </w:r>
            <w:bookmarkEnd w:id="22"/>
          </w:p>
        </w:tc>
      </w:tr>
      <w:tr w14:paraId="24588F04">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3C8166AE">
            <w:pPr>
              <w:autoSpaceDE w:val="0"/>
              <w:autoSpaceDN w:val="0"/>
              <w:adjustRightInd w:val="0"/>
              <w:spacing w:line="360" w:lineRule="auto"/>
              <w:rPr>
                <w:rFonts w:ascii="宋体" w:cs="楷体_GB2312"/>
                <w:b/>
                <w:bCs/>
                <w:color w:val="339966"/>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18EA4FA">
            <w:pPr>
              <w:autoSpaceDE w:val="0"/>
              <w:autoSpaceDN w:val="0"/>
              <w:adjustRightInd w:val="0"/>
              <w:spacing w:line="360" w:lineRule="auto"/>
              <w:jc w:val="center"/>
              <w:rPr>
                <w:rFonts w:ascii="宋体" w:hAnsi="宋体" w:cs="楷体_GB2312"/>
                <w:b/>
                <w:bCs/>
                <w:color w:val="auto"/>
                <w:sz w:val="24"/>
              </w:rPr>
            </w:pPr>
            <w:r>
              <w:rPr>
                <w:rFonts w:ascii="宋体" w:hAnsi="宋体" w:cs="楷体_GB2312"/>
                <w:b/>
                <w:bCs/>
                <w:color w:val="auto"/>
                <w:sz w:val="24"/>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418E7935">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7B251E38">
            <w:pPr>
              <w:adjustRightInd w:val="0"/>
              <w:snapToGrid w:val="0"/>
              <w:spacing w:before="120" w:beforeLines="50" w:line="240" w:lineRule="auto"/>
              <w:rPr>
                <w:rFonts w:ascii="宋体" w:hAnsi="宋体"/>
                <w:b/>
                <w:color w:val="auto"/>
                <w:sz w:val="24"/>
                <w:highlight w:val="yellow"/>
              </w:rPr>
            </w:pPr>
            <w:r>
              <w:rPr>
                <w:rFonts w:hint="eastAsia" w:ascii="宋体" w:hAnsi="宋体"/>
                <w:color w:val="auto"/>
                <w:sz w:val="24"/>
                <w:highlight w:val="none"/>
              </w:rPr>
              <w:t>按河南省招标投标协会关于印发《河南省招标代理服务收费指导意见》(豫招协[2023]002号)中“河南省招标代理服务收费计算标准</w:t>
            </w:r>
            <w:r>
              <w:rPr>
                <w:rFonts w:hint="eastAsia" w:ascii="宋体" w:hAnsi="宋体"/>
                <w:color w:val="auto"/>
                <w:sz w:val="24"/>
                <w:highlight w:val="none"/>
                <w:lang w:eastAsia="zh-CN"/>
              </w:rPr>
              <w:t>”预算</w:t>
            </w:r>
            <w:r>
              <w:rPr>
                <w:rFonts w:hint="eastAsia" w:ascii="宋体" w:hAnsi="宋体"/>
                <w:color w:val="auto"/>
                <w:sz w:val="24"/>
                <w:highlight w:val="none"/>
              </w:rPr>
              <w:t>金额的</w:t>
            </w:r>
            <w:r>
              <w:rPr>
                <w:rFonts w:hint="eastAsia" w:ascii="宋体" w:hAnsi="宋体"/>
                <w:color w:val="auto"/>
                <w:sz w:val="24"/>
                <w:highlight w:val="none"/>
                <w:lang w:val="en-US" w:eastAsia="zh-CN"/>
              </w:rPr>
              <w:t>50%</w:t>
            </w:r>
            <w:r>
              <w:rPr>
                <w:rFonts w:hint="eastAsia" w:ascii="宋体" w:hAnsi="宋体"/>
                <w:color w:val="auto"/>
                <w:sz w:val="24"/>
                <w:highlight w:val="none"/>
              </w:rPr>
              <w:t>收取代理服务费。招标代理服务费</w:t>
            </w:r>
            <w:r>
              <w:rPr>
                <w:rFonts w:hint="eastAsia" w:ascii="宋体" w:hAnsi="宋体"/>
                <w:color w:val="auto"/>
                <w:sz w:val="24"/>
                <w:highlight w:val="none"/>
                <w:lang w:val="en-US" w:eastAsia="zh-CN"/>
              </w:rPr>
              <w:t>由中标（成交）供应商支付。</w:t>
            </w:r>
          </w:p>
        </w:tc>
      </w:tr>
    </w:tbl>
    <w:p w14:paraId="03C6F060">
      <w:pPr>
        <w:autoSpaceDE w:val="0"/>
        <w:autoSpaceDN w:val="0"/>
        <w:adjustRightInd w:val="0"/>
        <w:spacing w:line="360" w:lineRule="auto"/>
        <w:ind w:firstLine="539"/>
      </w:pPr>
      <w:r>
        <w:br w:type="page"/>
      </w:r>
    </w:p>
    <w:p w14:paraId="5AC23684">
      <w:pPr>
        <w:autoSpaceDE w:val="0"/>
        <w:autoSpaceDN w:val="0"/>
        <w:adjustRightInd w:val="0"/>
        <w:snapToGrid w:val="0"/>
        <w:spacing w:before="120" w:beforeLines="50" w:line="300" w:lineRule="auto"/>
        <w:ind w:firstLine="539"/>
        <w:outlineLvl w:val="1"/>
        <w:rPr>
          <w:rFonts w:ascii="黑体" w:hAnsi="黑体" w:eastAsia="黑体"/>
          <w:color w:val="auto"/>
          <w:sz w:val="28"/>
          <w:szCs w:val="28"/>
          <w:lang w:val="zh-CN"/>
        </w:rPr>
      </w:pPr>
      <w:bookmarkStart w:id="23" w:name="_Toc8590"/>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3"/>
    </w:p>
    <w:p w14:paraId="5F9FE628">
      <w:pPr>
        <w:autoSpaceDE w:val="0"/>
        <w:autoSpaceDN w:val="0"/>
        <w:adjustRightInd w:val="0"/>
        <w:snapToGrid w:val="0"/>
        <w:spacing w:before="120"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根据《中华人民共和国政府采购法》、《中华人民共和国政府采购法实施条例》、《政府采购竞争性磋商采购方式管理暂行办法》及相关政府采购法律法规等制定本文件。</w:t>
      </w:r>
    </w:p>
    <w:p w14:paraId="7BA8CFE8">
      <w:pPr>
        <w:adjustRightInd w:val="0"/>
        <w:snapToGrid w:val="0"/>
        <w:spacing w:before="120" w:beforeLines="50" w:line="300" w:lineRule="auto"/>
        <w:ind w:right="240"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《磋商文件》的法律适用及法律效力</w:t>
      </w:r>
    </w:p>
    <w:p w14:paraId="547905FA">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14:paraId="4DFDB530">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《磋商文件》</w:t>
      </w:r>
      <w:r>
        <w:rPr>
          <w:rFonts w:hint="eastAsia" w:ascii="宋体" w:hAnsi="宋体"/>
          <w:color w:val="auto"/>
          <w:sz w:val="24"/>
          <w:szCs w:val="24"/>
        </w:rPr>
        <w:t>的修改性文件、补充文件、澄清文件或说明具有同等法律效力。</w:t>
      </w:r>
    </w:p>
    <w:p w14:paraId="639B41FB">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适用于并执行《政府采购法》和其它相关的法律、法规。</w:t>
      </w:r>
    </w:p>
    <w:p w14:paraId="204C3337">
      <w:pPr>
        <w:adjustRightInd w:val="0"/>
        <w:snapToGrid w:val="0"/>
        <w:spacing w:before="120"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的解释权属采购人及代理机构。</w:t>
      </w:r>
    </w:p>
    <w:p w14:paraId="2C232E3F">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合格的供应商</w:t>
      </w:r>
    </w:p>
    <w:p w14:paraId="60217BA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凡符合《磋商文件》规定，承认本《磋商文件》所有内容的供应商为合格的供应商。</w:t>
      </w:r>
    </w:p>
    <w:p w14:paraId="1F980953">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768C21F5">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33B9274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供应商应遵守国家法律、法规和《磋商文件》的规定。</w:t>
      </w:r>
    </w:p>
    <w:p w14:paraId="6684579A">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14:paraId="11715443">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14:paraId="2710F4B0">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0403384B">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w:t>
      </w:r>
      <w:r>
        <w:rPr>
          <w:rFonts w:hint="eastAsia" w:ascii="宋体" w:hAnsi="宋体" w:cs="楷体_GB2312"/>
          <w:sz w:val="24"/>
          <w:lang w:val="zh-CN"/>
        </w:rPr>
        <w:t>个供应商的身份投标，但必须确定其中一个单位为投标的全权代表参加投标活动，并承担投标及履约中应承担的全部责任和义务。</w:t>
      </w:r>
    </w:p>
    <w:p w14:paraId="5D8A4C0B">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3</w:t>
      </w:r>
      <w:r>
        <w:rPr>
          <w:rFonts w:hint="eastAsia" w:ascii="宋体" w:hAnsi="宋体" w:cs="楷体_GB2312"/>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704D3D7B">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4</w:t>
      </w:r>
      <w:r>
        <w:rPr>
          <w:rFonts w:hint="eastAsia" w:ascii="宋体" w:hAnsi="宋体" w:cs="楷体_GB2312"/>
          <w:sz w:val="24"/>
          <w:lang w:val="zh-CN"/>
        </w:rPr>
        <w:t>）联合体中有同类资质的供应商按照联合体分工承担相同工作的，应当按照资质等级较低的供应商确定资质等级。</w:t>
      </w:r>
    </w:p>
    <w:p w14:paraId="5728110E">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5</w:t>
      </w:r>
      <w:r>
        <w:rPr>
          <w:rFonts w:hint="eastAsia" w:ascii="宋体" w:hAnsi="宋体" w:cs="楷体_GB2312"/>
          <w:sz w:val="24"/>
          <w:lang w:val="zh-CN"/>
        </w:rPr>
        <w:t>）联合体各方之间应当签订联合投标协议，明确约定联合体各方承担的工作和相应的责任，并将联合投标协议连同《响应文件》一并提交采购代理机构。</w:t>
      </w:r>
    </w:p>
    <w:p w14:paraId="3481D955">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w:t>
      </w:r>
      <w:r>
        <w:rPr>
          <w:rFonts w:ascii="宋体" w:hAnsi="宋体" w:cs="楷体_GB2312"/>
          <w:sz w:val="24"/>
          <w:lang w:val="zh-CN"/>
        </w:rPr>
        <w:t>6</w:t>
      </w:r>
      <w:r>
        <w:rPr>
          <w:rFonts w:hint="eastAsia" w:ascii="宋体" w:hAnsi="宋体" w:cs="楷体_GB2312"/>
          <w:sz w:val="24"/>
          <w:lang w:val="zh-CN"/>
        </w:rPr>
        <w:t>）联合体各方签订联合投标协议后，不得再以自己名义单独在同一项目中投标，也不得组成新的联合体参加同一项目投标。</w:t>
      </w:r>
    </w:p>
    <w:p w14:paraId="2FBE1559">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sz w:val="24"/>
          <w:lang w:val="zh-CN"/>
        </w:rPr>
        <w:t>（</w:t>
      </w:r>
      <w:r>
        <w:rPr>
          <w:rFonts w:ascii="宋体" w:hAnsi="宋体" w:cs="楷体_GB2312"/>
          <w:sz w:val="24"/>
          <w:lang w:val="zh-CN"/>
        </w:rPr>
        <w:t>7</w:t>
      </w:r>
      <w:r>
        <w:rPr>
          <w:rFonts w:hint="eastAsia" w:ascii="宋体" w:hAnsi="宋体" w:cs="楷体_GB2312"/>
          <w:sz w:val="24"/>
          <w:lang w:val="zh-CN"/>
        </w:rPr>
        <w:t>）联合体中标（成交）的，联合体各方应当共同与采购人签订合同，就中标（成交）项目（标段&lt;包&gt;）向</w:t>
      </w:r>
      <w:r>
        <w:rPr>
          <w:rFonts w:hint="eastAsia" w:ascii="宋体" w:hAnsi="宋体" w:cs="楷体_GB2312"/>
          <w:color w:val="auto"/>
          <w:sz w:val="24"/>
          <w:lang w:val="zh-CN"/>
        </w:rPr>
        <w:t>采购人承担连带责任。</w:t>
      </w:r>
    </w:p>
    <w:p w14:paraId="098AAA83">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3D3D5ACD">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14:paraId="0E7B162B">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14:paraId="4289786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739397B4">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76F9469B">
      <w:pPr>
        <w:autoSpaceDE w:val="0"/>
        <w:autoSpaceDN w:val="0"/>
        <w:adjustRightInd w:val="0"/>
        <w:snapToGrid w:val="0"/>
        <w:spacing w:before="120" w:beforeLines="50" w:line="300" w:lineRule="auto"/>
        <w:ind w:firstLine="539"/>
        <w:rPr>
          <w:rFonts w:ascii="宋体" w:hAnsi="宋体"/>
          <w:color w:val="auto"/>
          <w:sz w:val="24"/>
        </w:rPr>
      </w:pPr>
      <w:r>
        <w:rPr>
          <w:rFonts w:hint="eastAsia" w:ascii="宋体" w:hAnsi="宋体"/>
          <w:color w:val="auto"/>
          <w:sz w:val="24"/>
        </w:rPr>
        <w:t>1.5.3 除非磋商文件特别规定，采购人享有本项目实施过程中产生的知识成果及知识产权。</w:t>
      </w:r>
    </w:p>
    <w:p w14:paraId="19BA10A7">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费用</w:t>
      </w:r>
    </w:p>
    <w:p w14:paraId="46CEDCC8">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04F1FDB1">
      <w:pPr>
        <w:autoSpaceDE w:val="0"/>
        <w:autoSpaceDN w:val="0"/>
        <w:adjustRightInd w:val="0"/>
        <w:snapToGrid w:val="0"/>
        <w:spacing w:before="120"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7</w:t>
      </w:r>
      <w:r>
        <w:rPr>
          <w:rFonts w:ascii="黑体" w:hAnsi="黑体" w:eastAsia="黑体" w:cs="楷体_GB2312"/>
          <w:b/>
          <w:sz w:val="24"/>
          <w:lang w:val="zh-CN"/>
        </w:rPr>
        <w:t xml:space="preserve"> </w:t>
      </w:r>
      <w:r>
        <w:rPr>
          <w:rFonts w:hint="eastAsia" w:ascii="黑体" w:hAnsi="黑体" w:eastAsia="黑体" w:cs="楷体_GB2312"/>
          <w:b/>
          <w:sz w:val="24"/>
          <w:lang w:val="zh-CN"/>
        </w:rPr>
        <w:t>保密</w:t>
      </w:r>
    </w:p>
    <w:p w14:paraId="3A39D36B">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sz w:val="24"/>
          <w:lang w:val="zh-CN"/>
        </w:rPr>
        <w:t>1.</w:t>
      </w:r>
      <w:r>
        <w:rPr>
          <w:rFonts w:hint="eastAsia" w:ascii="宋体" w:hAnsi="宋体" w:cs="楷体_GB2312"/>
          <w:sz w:val="24"/>
          <w:lang w:val="zh-CN"/>
        </w:rPr>
        <w:t>7</w:t>
      </w:r>
      <w:r>
        <w:rPr>
          <w:rFonts w:ascii="宋体" w:hAnsi="宋体" w:cs="楷体_GB2312"/>
          <w:sz w:val="24"/>
          <w:lang w:val="zh-CN"/>
        </w:rPr>
        <w:t xml:space="preserve">.1 </w:t>
      </w:r>
      <w:r>
        <w:rPr>
          <w:rFonts w:hint="eastAsia" w:ascii="宋体" w:hAnsi="宋体" w:cs="楷体_GB2312"/>
          <w:sz w:val="24"/>
          <w:lang w:val="zh-CN"/>
        </w:rPr>
        <w:t>参与竞争性磋商活动的各方应对《磋商文件》和《响应文件》中的商业和技术等秘密保密，供应商应在《响应文件》</w:t>
      </w:r>
      <w:r>
        <w:rPr>
          <w:rFonts w:hint="eastAsia" w:ascii="宋体" w:hAnsi="宋体" w:cs="楷体_GB2312"/>
          <w:color w:val="auto"/>
          <w:sz w:val="24"/>
          <w:lang w:val="zh-CN"/>
        </w:rPr>
        <w:t>中对需保密事项予以书面声明，否则视为非保密事项。</w:t>
      </w:r>
    </w:p>
    <w:p w14:paraId="777DDAD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53705087">
      <w:pPr>
        <w:autoSpaceDE w:val="0"/>
        <w:autoSpaceDN w:val="0"/>
        <w:adjustRightInd w:val="0"/>
        <w:snapToGrid w:val="0"/>
        <w:spacing w:before="120"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8</w:t>
      </w:r>
      <w:r>
        <w:rPr>
          <w:rFonts w:ascii="黑体" w:hAnsi="黑体" w:eastAsia="黑体" w:cs="楷体_GB2312"/>
          <w:b/>
          <w:sz w:val="24"/>
          <w:lang w:val="zh-CN"/>
        </w:rPr>
        <w:t xml:space="preserve"> </w:t>
      </w:r>
      <w:r>
        <w:rPr>
          <w:rFonts w:hint="eastAsia" w:ascii="黑体" w:hAnsi="黑体" w:eastAsia="黑体" w:cs="楷体_GB2312"/>
          <w:b/>
          <w:sz w:val="24"/>
          <w:lang w:val="zh-CN"/>
        </w:rPr>
        <w:t>语言文字</w:t>
      </w:r>
    </w:p>
    <w:p w14:paraId="3DE9FD0C">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51BE252F">
      <w:pPr>
        <w:autoSpaceDE w:val="0"/>
        <w:autoSpaceDN w:val="0"/>
        <w:adjustRightInd w:val="0"/>
        <w:snapToGrid w:val="0"/>
        <w:spacing w:before="120"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9</w:t>
      </w:r>
      <w:r>
        <w:rPr>
          <w:rFonts w:ascii="黑体" w:hAnsi="黑体" w:eastAsia="黑体" w:cs="楷体_GB2312"/>
          <w:b/>
          <w:sz w:val="24"/>
          <w:lang w:val="zh-CN"/>
        </w:rPr>
        <w:t xml:space="preserve"> </w:t>
      </w:r>
      <w:r>
        <w:rPr>
          <w:rFonts w:hint="eastAsia" w:ascii="黑体" w:hAnsi="黑体" w:eastAsia="黑体" w:cs="楷体_GB2312"/>
          <w:b/>
          <w:sz w:val="24"/>
          <w:lang w:val="zh-CN"/>
        </w:rPr>
        <w:t>计量单位</w:t>
      </w:r>
    </w:p>
    <w:p w14:paraId="7CF8A878">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所有计量均采用中华人民共和国法定计量单位。</w:t>
      </w:r>
    </w:p>
    <w:p w14:paraId="75F4C420">
      <w:pPr>
        <w:autoSpaceDE w:val="0"/>
        <w:autoSpaceDN w:val="0"/>
        <w:adjustRightInd w:val="0"/>
        <w:snapToGrid w:val="0"/>
        <w:spacing w:before="120"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w:t>
      </w:r>
      <w:r>
        <w:rPr>
          <w:rFonts w:hint="eastAsia" w:ascii="黑体" w:hAnsi="黑体" w:eastAsia="黑体" w:cs="楷体_GB2312"/>
          <w:b/>
          <w:sz w:val="24"/>
          <w:lang w:val="zh-CN"/>
        </w:rPr>
        <w:t>10</w:t>
      </w:r>
      <w:r>
        <w:rPr>
          <w:rFonts w:ascii="黑体" w:hAnsi="黑体" w:eastAsia="黑体" w:cs="楷体_GB2312"/>
          <w:b/>
          <w:sz w:val="24"/>
          <w:lang w:val="zh-CN"/>
        </w:rPr>
        <w:t xml:space="preserve"> </w:t>
      </w:r>
      <w:r>
        <w:rPr>
          <w:rFonts w:hint="eastAsia" w:ascii="黑体" w:hAnsi="黑体" w:eastAsia="黑体" w:cs="楷体_GB2312"/>
          <w:b/>
          <w:sz w:val="24"/>
          <w:lang w:val="zh-CN"/>
        </w:rPr>
        <w:t>踏勘现场</w:t>
      </w:r>
    </w:p>
    <w:p w14:paraId="5720828E">
      <w:pPr>
        <w:autoSpaceDE w:val="0"/>
        <w:autoSpaceDN w:val="0"/>
        <w:adjustRightInd w:val="0"/>
        <w:snapToGrid w:val="0"/>
        <w:spacing w:before="120" w:beforeLines="50" w:line="300" w:lineRule="auto"/>
        <w:ind w:firstLine="539"/>
        <w:rPr>
          <w:rFonts w:ascii="宋体" w:cs="楷体_GB2312"/>
          <w:sz w:val="24"/>
          <w:lang w:val="zh-CN"/>
        </w:rPr>
      </w:pPr>
      <w:r>
        <w:rPr>
          <w:rFonts w:ascii="宋体" w:hAnsi="宋体" w:cs="楷体_GB2312"/>
          <w:sz w:val="24"/>
          <w:lang w:val="zh-CN"/>
        </w:rPr>
        <w:t>1.</w:t>
      </w:r>
      <w:r>
        <w:rPr>
          <w:rFonts w:hint="eastAsia" w:ascii="宋体" w:hAnsi="宋体" w:cs="楷体_GB2312"/>
          <w:sz w:val="24"/>
          <w:lang w:val="zh-CN"/>
        </w:rPr>
        <w:t>10</w:t>
      </w:r>
      <w:r>
        <w:rPr>
          <w:rFonts w:ascii="宋体" w:hAnsi="宋体" w:cs="楷体_GB2312"/>
          <w:sz w:val="24"/>
          <w:lang w:val="zh-CN"/>
        </w:rPr>
        <w:t>.1</w:t>
      </w:r>
      <w:r>
        <w:rPr>
          <w:rFonts w:hint="eastAsia" w:ascii="宋体" w:hAnsi="宋体" w:cs="楷体_GB2312"/>
          <w:sz w:val="24"/>
          <w:lang w:val="zh-CN"/>
        </w:rPr>
        <w:t>供应商踏勘现场发生的费用自理，供应商自行负责在踏勘现场中所发生的人员伤亡和财产损失。</w:t>
      </w:r>
    </w:p>
    <w:p w14:paraId="503CAC0B">
      <w:pPr>
        <w:autoSpaceDE w:val="0"/>
        <w:autoSpaceDN w:val="0"/>
        <w:adjustRightInd w:val="0"/>
        <w:snapToGrid w:val="0"/>
        <w:spacing w:before="120" w:beforeLines="50" w:line="300" w:lineRule="auto"/>
        <w:ind w:firstLine="539"/>
        <w:rPr>
          <w:rFonts w:ascii="宋体" w:cs="楷体_GB2312"/>
          <w:sz w:val="24"/>
          <w:lang w:val="zh-CN"/>
        </w:rPr>
      </w:pPr>
      <w:r>
        <w:rPr>
          <w:rFonts w:ascii="宋体" w:hAnsi="宋体" w:cs="楷体_GB2312"/>
          <w:sz w:val="24"/>
          <w:lang w:val="zh-CN"/>
        </w:rPr>
        <w:t>1.</w:t>
      </w:r>
      <w:r>
        <w:rPr>
          <w:rFonts w:hint="eastAsia" w:ascii="宋体" w:hAnsi="宋体" w:cs="楷体_GB2312"/>
          <w:sz w:val="24"/>
          <w:lang w:val="zh-CN"/>
        </w:rPr>
        <w:t>10</w:t>
      </w:r>
      <w:r>
        <w:rPr>
          <w:rFonts w:ascii="宋体" w:hAnsi="宋体" w:cs="楷体_GB2312"/>
          <w:sz w:val="24"/>
          <w:lang w:val="zh-CN"/>
        </w:rPr>
        <w:t>.2</w:t>
      </w:r>
      <w:r>
        <w:rPr>
          <w:rFonts w:hint="eastAsia" w:ascii="宋体" w:hAnsi="宋体" w:cs="楷体_GB2312"/>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63C94D9D">
      <w:pPr>
        <w:autoSpaceDE w:val="0"/>
        <w:autoSpaceDN w:val="0"/>
        <w:adjustRightInd w:val="0"/>
        <w:snapToGrid w:val="0"/>
        <w:spacing w:before="120" w:beforeLines="50" w:line="300" w:lineRule="auto"/>
        <w:ind w:firstLine="539"/>
        <w:rPr>
          <w:rFonts w:ascii="宋体" w:cs="楷体_GB2312"/>
          <w:sz w:val="24"/>
          <w:lang w:val="zh-CN"/>
        </w:rPr>
      </w:pPr>
      <w:r>
        <w:rPr>
          <w:rFonts w:ascii="宋体" w:hAnsi="宋体" w:cs="楷体_GB2312"/>
          <w:sz w:val="24"/>
          <w:lang w:val="zh-CN"/>
        </w:rPr>
        <w:t>1.</w:t>
      </w:r>
      <w:r>
        <w:rPr>
          <w:rFonts w:hint="eastAsia" w:ascii="宋体" w:hAnsi="宋体" w:cs="楷体_GB2312"/>
          <w:sz w:val="24"/>
          <w:lang w:val="zh-CN"/>
        </w:rPr>
        <w:t>10</w:t>
      </w:r>
      <w:r>
        <w:rPr>
          <w:rFonts w:ascii="宋体" w:hAnsi="宋体" w:cs="楷体_GB2312"/>
          <w:sz w:val="24"/>
          <w:lang w:val="zh-CN"/>
        </w:rPr>
        <w:t xml:space="preserve">.3  </w:t>
      </w:r>
      <w:r>
        <w:rPr>
          <w:rFonts w:hint="eastAsia" w:ascii="宋体" w:hAnsi="宋体" w:cs="楷体_GB2312"/>
          <w:sz w:val="24"/>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741ABFDE">
      <w:pPr>
        <w:autoSpaceDE w:val="0"/>
        <w:autoSpaceDN w:val="0"/>
        <w:adjustRightInd w:val="0"/>
        <w:snapToGrid w:val="0"/>
        <w:spacing w:before="120"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1.1</w:t>
      </w:r>
      <w:r>
        <w:rPr>
          <w:rFonts w:hint="eastAsia" w:ascii="黑体" w:hAnsi="黑体" w:eastAsia="黑体" w:cs="楷体_GB2312"/>
          <w:b/>
          <w:sz w:val="24"/>
          <w:lang w:val="zh-CN"/>
        </w:rPr>
        <w:t>1</w:t>
      </w:r>
      <w:r>
        <w:rPr>
          <w:rFonts w:ascii="黑体" w:hAnsi="黑体" w:eastAsia="黑体" w:cs="楷体_GB2312"/>
          <w:b/>
          <w:sz w:val="24"/>
          <w:lang w:val="zh-CN"/>
        </w:rPr>
        <w:t xml:space="preserve"> </w:t>
      </w:r>
      <w:r>
        <w:rPr>
          <w:rFonts w:hint="eastAsia" w:ascii="黑体" w:hAnsi="黑体" w:eastAsia="黑体" w:cs="楷体_GB2312"/>
          <w:b/>
          <w:sz w:val="24"/>
          <w:lang w:val="zh-CN"/>
        </w:rPr>
        <w:t>投标预备会</w:t>
      </w:r>
    </w:p>
    <w:p w14:paraId="43E82D03">
      <w:pPr>
        <w:autoSpaceDE w:val="0"/>
        <w:autoSpaceDN w:val="0"/>
        <w:adjustRightInd w:val="0"/>
        <w:snapToGrid w:val="0"/>
        <w:spacing w:before="120" w:beforeLines="50" w:line="300" w:lineRule="auto"/>
        <w:ind w:firstLine="539"/>
        <w:rPr>
          <w:rFonts w:ascii="宋体" w:cs="楷体_GB2312"/>
          <w:sz w:val="24"/>
          <w:lang w:val="zh-CN"/>
        </w:rPr>
      </w:pPr>
      <w:r>
        <w:rPr>
          <w:rFonts w:ascii="宋体" w:hAnsi="宋体" w:cs="楷体_GB2312"/>
          <w:sz w:val="24"/>
          <w:lang w:val="zh-CN"/>
        </w:rPr>
        <w:t>1.1</w:t>
      </w:r>
      <w:r>
        <w:rPr>
          <w:rFonts w:hint="eastAsia" w:ascii="宋体" w:hAnsi="宋体" w:cs="楷体_GB2312"/>
          <w:sz w:val="24"/>
          <w:lang w:val="zh-CN"/>
        </w:rPr>
        <w:t>1</w:t>
      </w:r>
      <w:r>
        <w:rPr>
          <w:rFonts w:ascii="宋体" w:hAnsi="宋体" w:cs="楷体_GB2312"/>
          <w:sz w:val="24"/>
          <w:lang w:val="zh-CN"/>
        </w:rPr>
        <w:t xml:space="preserve">.1 </w:t>
      </w:r>
      <w:r>
        <w:rPr>
          <w:rFonts w:hint="eastAsia" w:ascii="宋体" w:hAnsi="宋体" w:cs="楷体_GB2312"/>
          <w:sz w:val="24"/>
          <w:lang w:val="zh-CN"/>
        </w:rPr>
        <w:t>供应商须知前附表规定召开投标预备会的，采购人及代理机构按供应商须知前附表规定的时间和地点召开投标预备会，澄清供应商提出的问题。</w:t>
      </w:r>
    </w:p>
    <w:p w14:paraId="3EF86264">
      <w:pPr>
        <w:autoSpaceDE w:val="0"/>
        <w:autoSpaceDN w:val="0"/>
        <w:adjustRightInd w:val="0"/>
        <w:snapToGrid w:val="0"/>
        <w:spacing w:before="120" w:beforeLines="50" w:line="300" w:lineRule="auto"/>
        <w:ind w:firstLine="539"/>
        <w:rPr>
          <w:rFonts w:ascii="宋体" w:cs="楷体_GB2312"/>
          <w:sz w:val="24"/>
          <w:lang w:val="zh-CN"/>
        </w:rPr>
      </w:pPr>
      <w:r>
        <w:rPr>
          <w:rFonts w:ascii="宋体" w:hAnsi="宋体" w:cs="楷体_GB2312"/>
          <w:sz w:val="24"/>
          <w:lang w:val="zh-CN"/>
        </w:rPr>
        <w:t>1.1</w:t>
      </w:r>
      <w:r>
        <w:rPr>
          <w:rFonts w:hint="eastAsia" w:ascii="宋体" w:hAnsi="宋体" w:cs="楷体_GB2312"/>
          <w:sz w:val="24"/>
          <w:lang w:val="zh-CN"/>
        </w:rPr>
        <w:t>1</w:t>
      </w:r>
      <w:r>
        <w:rPr>
          <w:rFonts w:ascii="宋体" w:hAnsi="宋体" w:cs="楷体_GB2312"/>
          <w:sz w:val="24"/>
          <w:lang w:val="zh-CN"/>
        </w:rPr>
        <w:t xml:space="preserve">.2 </w:t>
      </w:r>
      <w:r>
        <w:rPr>
          <w:rFonts w:hint="eastAsia" w:ascii="宋体" w:hAnsi="宋体" w:cs="楷体_GB2312"/>
          <w:sz w:val="24"/>
          <w:lang w:val="zh-CN"/>
        </w:rPr>
        <w:t>供应商应在供应商须知前附表规定的时间前，以书面形式将提出的问题送达采购人及代理机构，以便采购人及代理机构在会议期间澄清。</w:t>
      </w:r>
    </w:p>
    <w:p w14:paraId="01CC011A">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sz w:val="24"/>
          <w:lang w:val="zh-CN"/>
        </w:rPr>
        <w:t>1.1</w:t>
      </w:r>
      <w:r>
        <w:rPr>
          <w:rFonts w:hint="eastAsia" w:ascii="宋体" w:hAnsi="宋体" w:cs="楷体_GB2312"/>
          <w:sz w:val="24"/>
          <w:lang w:val="zh-CN"/>
        </w:rPr>
        <w:t>1</w:t>
      </w:r>
      <w:r>
        <w:rPr>
          <w:rFonts w:ascii="宋体" w:hAnsi="宋体" w:cs="楷体_GB2312"/>
          <w:sz w:val="24"/>
          <w:lang w:val="zh-CN"/>
        </w:rPr>
        <w:t xml:space="preserve">.3 </w:t>
      </w:r>
      <w:r>
        <w:rPr>
          <w:rFonts w:hint="eastAsia" w:ascii="宋体" w:hAnsi="宋体" w:cs="楷体_GB2312"/>
          <w:sz w:val="24"/>
          <w:lang w:val="zh-CN"/>
        </w:rPr>
        <w:t>投标预备会后，采购人及代理机构在供应商须知前附表规定的时间内，将对供应商所提问题的</w:t>
      </w:r>
      <w:r>
        <w:rPr>
          <w:rFonts w:hint="eastAsia" w:ascii="宋体" w:hAnsi="宋体" w:cs="楷体_GB2312"/>
          <w:color w:val="auto"/>
          <w:sz w:val="24"/>
          <w:lang w:val="zh-CN"/>
        </w:rPr>
        <w:t>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项方式通告潜在供应商。该澄清内容为《磋商文件》的组成部分。</w:t>
      </w:r>
    </w:p>
    <w:p w14:paraId="4EA2CF2D">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14:paraId="7824BDA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sz w:val="24"/>
          <w:lang w:val="zh-CN"/>
        </w:rPr>
        <w:t>供应商拟在成交后将成交项目</w:t>
      </w:r>
      <w:r>
        <w:rPr>
          <w:rFonts w:ascii="宋体" w:hAnsi="宋体" w:cs="楷体_GB2312"/>
          <w:sz w:val="24"/>
          <w:lang w:val="zh-CN"/>
        </w:rPr>
        <w:t>(</w:t>
      </w:r>
      <w:r>
        <w:rPr>
          <w:rFonts w:hint="eastAsia" w:ascii="宋体" w:hAnsi="宋体" w:cs="楷体_GB2312"/>
          <w:sz w:val="24"/>
          <w:lang w:val="zh-CN"/>
        </w:rPr>
        <w:t>标段&lt;包&gt;</w:t>
      </w:r>
      <w:r>
        <w:rPr>
          <w:rFonts w:ascii="宋体" w:hAnsi="宋体" w:cs="楷体_GB2312"/>
          <w:sz w:val="24"/>
          <w:lang w:val="zh-CN"/>
        </w:rPr>
        <w:t>)</w:t>
      </w:r>
      <w:r>
        <w:rPr>
          <w:rFonts w:hint="eastAsia" w:ascii="宋体" w:hAnsi="宋体" w:cs="楷体_GB2312"/>
          <w:sz w:val="24"/>
          <w:lang w:val="zh-CN"/>
        </w:rPr>
        <w:t>的部分非主体、非关键性工作进行分包的，应符合供应商须知前附表规定的分包内容</w:t>
      </w:r>
      <w:r>
        <w:rPr>
          <w:rFonts w:hint="eastAsia" w:ascii="宋体" w:hAnsi="宋体" w:cs="楷体_GB2312"/>
          <w:color w:val="auto"/>
          <w:sz w:val="24"/>
          <w:lang w:val="zh-CN"/>
        </w:rPr>
        <w:t>、分包金额和接受分包的第三人资质要求等限制性条件。</w:t>
      </w:r>
    </w:p>
    <w:p w14:paraId="7FCF4ABB">
      <w:pPr>
        <w:autoSpaceDE w:val="0"/>
        <w:autoSpaceDN w:val="0"/>
        <w:adjustRightInd w:val="0"/>
        <w:snapToGrid w:val="0"/>
        <w:spacing w:before="120"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14:paraId="57A80A94">
      <w:pPr>
        <w:autoSpaceDE w:val="0"/>
        <w:autoSpaceDN w:val="0"/>
        <w:adjustRightInd w:val="0"/>
        <w:snapToGrid w:val="0"/>
        <w:spacing w:before="120"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14:paraId="7CD55732">
      <w:pPr>
        <w:autoSpaceDE w:val="0"/>
        <w:autoSpaceDN w:val="0"/>
        <w:adjustRightInd w:val="0"/>
        <w:snapToGrid w:val="0"/>
        <w:spacing w:before="120" w:beforeLines="50" w:line="300" w:lineRule="auto"/>
        <w:ind w:firstLine="539"/>
        <w:rPr>
          <w:rFonts w:ascii="黑体" w:hAnsi="黑体" w:eastAsia="黑体" w:cs="楷体_GB2312"/>
          <w:b/>
          <w:sz w:val="24"/>
          <w:lang w:val="zh-CN"/>
        </w:rPr>
      </w:pPr>
      <w:r>
        <w:rPr>
          <w:rFonts w:ascii="黑体" w:hAnsi="黑体" w:eastAsia="黑体" w:cs="楷体_GB2312"/>
          <w:b/>
          <w:sz w:val="24"/>
          <w:lang w:val="zh-CN"/>
        </w:rPr>
        <w:t>1.1</w:t>
      </w:r>
      <w:r>
        <w:rPr>
          <w:rFonts w:hint="eastAsia" w:ascii="黑体" w:hAnsi="黑体" w:eastAsia="黑体" w:cs="楷体_GB2312"/>
          <w:b/>
          <w:sz w:val="24"/>
          <w:lang w:val="zh-CN"/>
        </w:rPr>
        <w:t>3</w:t>
      </w:r>
      <w:r>
        <w:rPr>
          <w:rFonts w:ascii="黑体" w:hAnsi="黑体" w:eastAsia="黑体" w:cs="楷体_GB2312"/>
          <w:b/>
          <w:sz w:val="24"/>
          <w:lang w:val="zh-CN"/>
        </w:rPr>
        <w:t xml:space="preserve"> </w:t>
      </w:r>
      <w:r>
        <w:rPr>
          <w:rFonts w:hint="eastAsia" w:ascii="黑体" w:hAnsi="黑体" w:eastAsia="黑体" w:cs="楷体_GB2312"/>
          <w:b/>
          <w:sz w:val="24"/>
          <w:lang w:val="zh-CN"/>
        </w:rPr>
        <w:t>偏离</w:t>
      </w:r>
    </w:p>
    <w:p w14:paraId="3605DAE8">
      <w:pPr>
        <w:autoSpaceDE w:val="0"/>
        <w:autoSpaceDN w:val="0"/>
        <w:adjustRightInd w:val="0"/>
        <w:snapToGrid w:val="0"/>
        <w:spacing w:before="120" w:beforeLines="50" w:line="300" w:lineRule="auto"/>
        <w:ind w:firstLine="539"/>
        <w:rPr>
          <w:rFonts w:ascii="宋体" w:cs="楷体_GB2312"/>
          <w:sz w:val="24"/>
          <w:lang w:val="zh-CN"/>
        </w:rPr>
      </w:pPr>
      <w:r>
        <w:rPr>
          <w:rFonts w:hint="eastAsia" w:ascii="宋体" w:hAnsi="宋体" w:cs="楷体_GB2312"/>
          <w:sz w:val="24"/>
          <w:lang w:val="zh-CN"/>
        </w:rPr>
        <w:t>《磋商文件》允许《响应文件》偏离《磋商文件》某些要求的，偏离应当符合《磋商文件》规定的偏离范围和幅度。</w:t>
      </w:r>
    </w:p>
    <w:p w14:paraId="7F2B00A1">
      <w:pPr>
        <w:autoSpaceDE w:val="0"/>
        <w:autoSpaceDN w:val="0"/>
        <w:adjustRightInd w:val="0"/>
        <w:snapToGrid w:val="0"/>
        <w:spacing w:before="120" w:beforeLines="50" w:line="300" w:lineRule="auto"/>
        <w:ind w:firstLine="539"/>
        <w:rPr>
          <w:rFonts w:ascii="黑体" w:hAnsi="黑体" w:eastAsia="黑体" w:cs="楷体_GB2312"/>
          <w:b/>
          <w:bCs/>
          <w:color w:val="0000FF"/>
          <w:sz w:val="28"/>
          <w:szCs w:val="28"/>
          <w:lang w:val="zh-CN"/>
        </w:rPr>
      </w:pPr>
    </w:p>
    <w:p w14:paraId="3517286D">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24" w:name="_Toc18678"/>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《磋商文件》</w:t>
      </w:r>
      <w:bookmarkEnd w:id="24"/>
    </w:p>
    <w:p w14:paraId="29F55134">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r>
        <w:rPr>
          <w:rFonts w:hint="eastAsia" w:ascii="宋体" w:hAnsi="宋体" w:cs="楷体_GB2312"/>
          <w:color w:val="auto"/>
          <w:sz w:val="24"/>
          <w:lang w:val="zh-CN"/>
        </w:rPr>
        <w:t>：</w:t>
      </w:r>
    </w:p>
    <w:p w14:paraId="03DC1196">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14:paraId="283A4D64">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）竞争性磋商公告</w:t>
      </w:r>
    </w:p>
    <w:p w14:paraId="16F44F8A">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14:paraId="309BE8CB">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14:paraId="3DF415FC">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14:paraId="2E6A66C0">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14:paraId="0A25C0BD">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）《响应文件》格式</w:t>
      </w:r>
    </w:p>
    <w:p w14:paraId="18D62EC8">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款、对《磋商文件》的澄清、修改、补充书构成《磋商文件》的组成部分，并取代《磋商文件》中被澄清、修改处，对所有供应商均有约束力。</w:t>
      </w:r>
    </w:p>
    <w:p w14:paraId="115C6CBE">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14:paraId="421E707B">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供应商与任何人的口头协议不影响《磋商文件》的任何条款和内容。</w:t>
      </w:r>
    </w:p>
    <w:p w14:paraId="74B31A75">
      <w:pPr>
        <w:autoSpaceDE w:val="0"/>
        <w:autoSpaceDN w:val="0"/>
        <w:adjustRightInd w:val="0"/>
        <w:snapToGrid w:val="0"/>
        <w:spacing w:before="120"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供应商应仔细阅读和检查《磋商文件》的全部内容是否齐全，如发现缺页或附件不全等遗漏，应及时向采购代理机构提出并索取补齐，否则责任及风险自负。</w:t>
      </w:r>
    </w:p>
    <w:p w14:paraId="5230752F">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14:paraId="1A2A222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761FB743">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w:t>
      </w:r>
      <w:r>
        <w:rPr>
          <w:rFonts w:hint="eastAsia" w:ascii="宋体" w:hAnsi="宋体" w:cs="楷体_GB2312"/>
          <w:sz w:val="24"/>
          <w:lang w:val="zh-CN"/>
        </w:rPr>
        <w:t>定的时间内提出的疑问，将视情况以书面形式予以答复，</w:t>
      </w:r>
      <w:r>
        <w:rPr>
          <w:rFonts w:hint="eastAsia" w:ascii="宋体" w:hAnsi="宋体" w:cs="楷体_GB2312"/>
          <w:color w:val="auto"/>
          <w:sz w:val="24"/>
          <w:lang w:val="zh-CN"/>
        </w:rPr>
        <w:t>并在其认为必要时，将不标明查询来源的书面答复，在“竞争性磋商公告”所述媒体通告所有潜在供应商。</w:t>
      </w:r>
    </w:p>
    <w:p w14:paraId="1B0A224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359BC7D5">
      <w:pPr>
        <w:adjustRightInd w:val="0"/>
        <w:snapToGrid w:val="0"/>
        <w:spacing w:before="120"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14:paraId="7CDDAC6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14:paraId="0D6471D7">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14:paraId="33723D86">
      <w:pPr>
        <w:autoSpaceDE w:val="0"/>
        <w:autoSpaceDN w:val="0"/>
        <w:adjustRightInd w:val="0"/>
        <w:snapToGrid w:val="0"/>
        <w:spacing w:before="120"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磋商过程中对《磋商文件》的变动见第四章评审办法</w:t>
      </w:r>
      <w:r>
        <w:rPr>
          <w:rFonts w:ascii="宋体" w:hAnsi="宋体"/>
          <w:color w:val="auto"/>
          <w:sz w:val="24"/>
        </w:rPr>
        <w:t>3.</w:t>
      </w:r>
      <w:r>
        <w:rPr>
          <w:rFonts w:hint="eastAsia" w:ascii="宋体" w:hAnsi="宋体"/>
          <w:color w:val="auto"/>
          <w:sz w:val="24"/>
        </w:rPr>
        <w:t>4款磋商规则。</w:t>
      </w:r>
    </w:p>
    <w:p w14:paraId="24D32E5F">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035AC76E">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olor w:val="auto"/>
          <w:sz w:val="24"/>
        </w:rPr>
        <w:t>《磋商文件》</w:t>
      </w:r>
      <w:r>
        <w:rPr>
          <w:rFonts w:hint="eastAsia" w:ascii="宋体" w:hAnsi="宋体" w:cs="楷体_GB2312"/>
          <w:color w:val="auto"/>
          <w:sz w:val="24"/>
          <w:lang w:val="zh-CN"/>
        </w:rPr>
        <w:t>在递交截止时间前的所有澄清、修改（包括时间变更等）、补充事项，均在“竞争性磋商公告”所述媒体予以公告。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05E818DA">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无权限获知或通知潜在供应商，潜在供应商应随时关注“竞争性磋商公告”所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相关项目信息（为免各部门网站出现维护等情况，潜在供应商应对“竞争性磋商公告”所述媒体逐一查阅），如有遗漏，后果自负。</w:t>
      </w:r>
    </w:p>
    <w:p w14:paraId="06C4D2FC">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hAnsi="宋体"/>
          <w:color w:val="auto"/>
          <w:sz w:val="24"/>
        </w:rPr>
        <w:t>《磋商文件》</w:t>
      </w:r>
      <w:r>
        <w:rPr>
          <w:rFonts w:hint="eastAsia" w:ascii="宋体" w:cs="楷体_GB2312"/>
          <w:color w:val="auto"/>
          <w:sz w:val="24"/>
          <w:lang w:val="zh-CN"/>
        </w:rPr>
        <w:t>的澄清、修改、补充书构成</w:t>
      </w:r>
      <w:r>
        <w:rPr>
          <w:rFonts w:hint="eastAsia" w:ascii="宋体" w:hAnsi="宋体"/>
          <w:color w:val="auto"/>
          <w:sz w:val="24"/>
        </w:rPr>
        <w:t>《磋商文件》</w:t>
      </w:r>
      <w:r>
        <w:rPr>
          <w:rFonts w:hint="eastAsia" w:ascii="宋体" w:cs="楷体_GB2312"/>
          <w:color w:val="auto"/>
          <w:sz w:val="24"/>
          <w:lang w:val="zh-CN"/>
        </w:rPr>
        <w:t>的组成部分，并取代</w:t>
      </w:r>
      <w:r>
        <w:rPr>
          <w:rFonts w:hint="eastAsia" w:ascii="宋体" w:hAnsi="宋体"/>
          <w:color w:val="auto"/>
          <w:sz w:val="24"/>
        </w:rPr>
        <w:t>《磋商文件》</w:t>
      </w:r>
      <w:r>
        <w:rPr>
          <w:rFonts w:hint="eastAsia" w:ascii="宋体" w:cs="楷体_GB2312"/>
          <w:color w:val="auto"/>
          <w:sz w:val="24"/>
          <w:lang w:val="zh-CN"/>
        </w:rPr>
        <w:t>中被澄清、修改处，对所有供应商均有约束力。</w:t>
      </w:r>
    </w:p>
    <w:p w14:paraId="69AB82F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3327259D">
      <w:pPr>
        <w:autoSpaceDE w:val="0"/>
        <w:autoSpaceDN w:val="0"/>
        <w:adjustRightInd w:val="0"/>
        <w:snapToGrid w:val="0"/>
        <w:spacing w:before="120" w:beforeLines="50" w:line="300" w:lineRule="auto"/>
        <w:rPr>
          <w:rFonts w:ascii="宋体" w:cs="楷体_GB2312"/>
          <w:color w:val="auto"/>
          <w:sz w:val="24"/>
        </w:rPr>
      </w:pPr>
    </w:p>
    <w:p w14:paraId="37A5ED7C">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25" w:name="_Toc19751"/>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《响应文件》</w:t>
      </w:r>
      <w:bookmarkEnd w:id="25"/>
    </w:p>
    <w:p w14:paraId="69FEB44C">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lang w:val="zh-CN"/>
        </w:rPr>
        <w:t>无效文件</w:t>
      </w:r>
      <w:r>
        <w:rPr>
          <w:rFonts w:hint="eastAsia" w:ascii="宋体" w:hAnsi="宋体" w:cs="楷体_GB2312"/>
          <w:color w:val="auto"/>
          <w:sz w:val="24"/>
          <w:lang w:val="zh-CN"/>
        </w:rPr>
        <w:t>。</w:t>
      </w:r>
    </w:p>
    <w:p w14:paraId="47AE9E5E">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14:paraId="2F467041">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sz w:val="24"/>
          <w:lang w:val="zh-CN"/>
        </w:rPr>
        <w:t xml:space="preserve">3.2.1 </w:t>
      </w:r>
      <w:r>
        <w:rPr>
          <w:rFonts w:hint="eastAsia" w:ascii="宋体" w:hAnsi="宋体" w:cs="楷体_GB2312"/>
          <w:sz w:val="24"/>
          <w:lang w:val="zh-CN"/>
        </w:rPr>
        <w:t>《响应文件》</w:t>
      </w:r>
      <w:r>
        <w:rPr>
          <w:rFonts w:hint="eastAsia" w:ascii="宋体" w:hAnsi="宋体" w:cs="楷体_GB2312"/>
          <w:color w:val="auto"/>
          <w:sz w:val="24"/>
          <w:lang w:val="zh-CN"/>
        </w:rPr>
        <w:t>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55104C14">
      <w:pPr>
        <w:adjustRightInd w:val="0"/>
        <w:snapToGrid w:val="0"/>
        <w:spacing w:before="120" w:beforeLines="50" w:line="300" w:lineRule="auto"/>
        <w:ind w:firstLine="539"/>
        <w:textAlignment w:val="top"/>
        <w:rPr>
          <w:color w:val="auto"/>
          <w:sz w:val="24"/>
          <w:szCs w:val="24"/>
        </w:rPr>
      </w:pPr>
      <w:r>
        <w:rPr>
          <w:color w:val="auto"/>
          <w:sz w:val="24"/>
          <w:szCs w:val="24"/>
        </w:rPr>
        <w:t>3.2.2</w:t>
      </w:r>
      <w:r>
        <w:rPr>
          <w:rFonts w:hint="eastAsia"/>
          <w:color w:val="auto"/>
          <w:sz w:val="24"/>
          <w:szCs w:val="24"/>
        </w:rPr>
        <w:t>《响应文件》应包括下列内容：</w:t>
      </w:r>
    </w:p>
    <w:p w14:paraId="282057D2">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14:paraId="373748FD">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34373E8E">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）第一次报价明细表</w:t>
      </w:r>
    </w:p>
    <w:p w14:paraId="7612DC1A">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）服务方案及服务质量承诺</w:t>
      </w:r>
    </w:p>
    <w:p w14:paraId="757F453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）服务拟投入设备清单及其技术参数</w:t>
      </w:r>
    </w:p>
    <w:p w14:paraId="05A9F9F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）服务拟投入的人员情况表</w:t>
      </w:r>
    </w:p>
    <w:p w14:paraId="09103C69">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）偏差表</w:t>
      </w:r>
    </w:p>
    <w:p w14:paraId="525B65BC">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关于资格的声明函</w:t>
      </w:r>
    </w:p>
    <w:p w14:paraId="383721A2">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反商业贿赂承诺书。</w:t>
      </w:r>
    </w:p>
    <w:p w14:paraId="06E1D063">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color w:val="auto"/>
          <w:sz w:val="24"/>
        </w:rPr>
        <w:t>履约承诺书。</w:t>
      </w:r>
    </w:p>
    <w:p w14:paraId="45949C48">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）资格要求相关证明材料（文件）</w:t>
      </w:r>
    </w:p>
    <w:p w14:paraId="2056BBA0">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）采购项目及服务要求所需的其他材料（按条款需要）</w:t>
      </w:r>
    </w:p>
    <w:p w14:paraId="30FA8B4D">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13</w:t>
      </w:r>
      <w:r>
        <w:rPr>
          <w:rFonts w:hint="eastAsia"/>
          <w:color w:val="auto"/>
          <w:sz w:val="24"/>
        </w:rPr>
        <w:t>）供应商须知所需的其他材料（按条款需要）</w:t>
      </w:r>
    </w:p>
    <w:p w14:paraId="0B91B3DA">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14</w:t>
      </w:r>
      <w:r>
        <w:rPr>
          <w:rFonts w:hint="eastAsia"/>
          <w:color w:val="auto"/>
          <w:sz w:val="24"/>
        </w:rPr>
        <w:t>）评审办法所需的其他材料（按条款需要）</w:t>
      </w:r>
    </w:p>
    <w:p w14:paraId="4914C631">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供应商认为有必要提交的其它材料</w:t>
      </w:r>
    </w:p>
    <w:p w14:paraId="559891E1">
      <w:pPr>
        <w:topLinePunct/>
        <w:adjustRightInd w:val="0"/>
        <w:snapToGrid w:val="0"/>
        <w:spacing w:line="300" w:lineRule="auto"/>
        <w:ind w:left="561" w:leftChars="267" w:firstLine="120" w:firstLineChars="50"/>
        <w:rPr>
          <w:rFonts w:ascii="宋体" w:cs="楷体_GB2312"/>
          <w:color w:val="auto"/>
          <w:sz w:val="24"/>
          <w:lang w:val="zh-CN"/>
        </w:rPr>
      </w:pPr>
    </w:p>
    <w:p w14:paraId="53C5AD9D">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w:t>
      </w:r>
      <w:r>
        <w:rPr>
          <w:rFonts w:hint="eastAsia" w:ascii="宋体" w:hAnsi="宋体" w:cs="楷体_GB2312"/>
          <w:color w:val="auto"/>
          <w:sz w:val="24"/>
          <w:lang w:val="zh-CN"/>
        </w:rPr>
        <w:t>3款规定，对《响应文件》的补充、修改、澄清、说明或者更正构成《响应文件》的组成部分，</w:t>
      </w:r>
    </w:p>
    <w:p w14:paraId="4AEA45AC">
      <w:pPr>
        <w:topLinePunct/>
        <w:adjustRightInd w:val="0"/>
        <w:snapToGrid w:val="0"/>
        <w:spacing w:before="120"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磋商报价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76895FED">
      <w:pPr>
        <w:topLinePunct/>
        <w:adjustRightInd w:val="0"/>
        <w:snapToGrid w:val="0"/>
        <w:spacing w:before="120"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响应有效期</w:t>
      </w:r>
    </w:p>
    <w:p w14:paraId="36622717">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响应有效期见供应商须知前附表。《响应文件》在响应有效期内保持不变（包括价格等《响应文件》各项条款）。</w:t>
      </w:r>
    </w:p>
    <w:p w14:paraId="5CBFEE05">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在响应有效期内，供应商撤销或修改其《响应文件》的，应承担《磋商文件》和法律规定的责任。</w:t>
      </w:r>
    </w:p>
    <w:p w14:paraId="0604C012">
      <w:pPr>
        <w:topLinePunct/>
        <w:adjustRightInd w:val="0"/>
        <w:snapToGrid w:val="0"/>
        <w:spacing w:before="120"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3EB0925B">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w:t>
      </w:r>
      <w:r>
        <w:rPr>
          <w:rFonts w:hint="eastAsia" w:ascii="宋体" w:hAnsi="宋体"/>
          <w:sz w:val="24"/>
          <w:szCs w:val="24"/>
        </w:rPr>
        <w:t>以投标承诺函的形式替代投标保证金，供应商应按附件格式进行投标承诺，违背承诺的将承担相应的法律责任及违约责任。</w:t>
      </w:r>
    </w:p>
    <w:p w14:paraId="43CB57D6">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3.5.2 未提供投标承诺函的为无效投标。</w:t>
      </w:r>
    </w:p>
    <w:p w14:paraId="37413744">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3.5.3 供应商的投标承诺函包含供应商承诺的事项及违背承诺的责任追究措施。</w:t>
      </w:r>
    </w:p>
    <w:p w14:paraId="4B8BF06C">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 承诺事项：</w:t>
      </w:r>
    </w:p>
    <w:p w14:paraId="5A321D33">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3.5.4.1、供应商应遵循公开、公平、公正和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sz w:val="24"/>
          <w:szCs w:val="24"/>
        </w:rPr>
        <w:t>诚实信用</w:t>
      </w:r>
      <w:r>
        <w:rPr>
          <w:rFonts w:hint="eastAsia" w:ascii="宋体" w:hAnsi="宋体"/>
          <w:sz w:val="24"/>
          <w:szCs w:val="24"/>
        </w:rPr>
        <w:fldChar w:fldCharType="end"/>
      </w:r>
      <w:r>
        <w:rPr>
          <w:rFonts w:hint="eastAsia" w:ascii="宋体" w:hAnsi="宋体"/>
          <w:sz w:val="24"/>
          <w:szCs w:val="24"/>
        </w:rPr>
        <w:t>的原则自愿参加项目的投标；</w:t>
      </w:r>
      <w:r>
        <w:rPr>
          <w:rFonts w:hint="eastAsia" w:ascii="宋体" w:hAnsi="宋体"/>
          <w:sz w:val="24"/>
          <w:szCs w:val="24"/>
        </w:rPr>
        <w:br w:type="textWrapping"/>
      </w:r>
      <w:r>
        <w:rPr>
          <w:rFonts w:hint="eastAsia" w:ascii="宋体" w:hAnsi="宋体"/>
          <w:sz w:val="24"/>
          <w:szCs w:val="24"/>
        </w:rPr>
        <w:t xml:space="preserve">    3.5.4.2、供应商在政府采购活动中应提供真实、准确、有效、合法的材料，不</w:t>
      </w:r>
      <w:r>
        <w:rPr>
          <w:rFonts w:hint="eastAsia" w:ascii="宋体" w:hAnsi="宋体"/>
          <w:sz w:val="24"/>
          <w:szCs w:val="24"/>
          <w:lang w:val="zh-CN"/>
        </w:rPr>
        <w:t>提供虚假材料；</w:t>
      </w:r>
    </w:p>
    <w:p w14:paraId="62430D64">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3.5.4.3、供应商</w:t>
      </w:r>
      <w:r>
        <w:rPr>
          <w:rFonts w:hint="eastAsia" w:ascii="宋体" w:hAnsi="宋体"/>
          <w:sz w:val="24"/>
          <w:szCs w:val="24"/>
          <w:lang w:val="zh-CN"/>
        </w:rPr>
        <w:t>按照</w:t>
      </w:r>
      <w:r>
        <w:rPr>
          <w:rFonts w:hint="eastAsia" w:ascii="宋体" w:hAnsi="宋体"/>
          <w:sz w:val="24"/>
          <w:szCs w:val="24"/>
        </w:rPr>
        <w:t>磋商</w:t>
      </w:r>
      <w:r>
        <w:rPr>
          <w:rFonts w:hint="eastAsia" w:ascii="宋体" w:hAnsi="宋体"/>
          <w:sz w:val="24"/>
          <w:szCs w:val="24"/>
          <w:lang w:val="zh-CN"/>
        </w:rPr>
        <w:t>文件规定，在提交响应文件截止时间后，在</w:t>
      </w:r>
      <w:r>
        <w:rPr>
          <w:rFonts w:hint="eastAsia" w:ascii="宋体" w:hAnsi="宋体"/>
          <w:sz w:val="24"/>
          <w:szCs w:val="24"/>
        </w:rPr>
        <w:t>磋商</w:t>
      </w:r>
      <w:r>
        <w:rPr>
          <w:rFonts w:hint="eastAsia" w:ascii="宋体" w:hAnsi="宋体"/>
          <w:sz w:val="24"/>
          <w:szCs w:val="24"/>
          <w:lang w:val="zh-CN"/>
        </w:rPr>
        <w:t>文件规定的投标有效期限内不</w:t>
      </w:r>
      <w:r>
        <w:rPr>
          <w:rFonts w:hint="eastAsia" w:ascii="宋体" w:hAnsi="宋体"/>
          <w:sz w:val="24"/>
          <w:szCs w:val="24"/>
        </w:rPr>
        <w:t>应</w:t>
      </w:r>
      <w:r>
        <w:rPr>
          <w:rFonts w:hint="eastAsia" w:ascii="宋体" w:hAnsi="宋体"/>
          <w:sz w:val="24"/>
          <w:szCs w:val="24"/>
          <w:lang w:val="zh-CN"/>
        </w:rPr>
        <w:t>撤回响应文件；</w:t>
      </w:r>
    </w:p>
    <w:p w14:paraId="396582FB">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3.5.4.4、不应</w:t>
      </w:r>
      <w:r>
        <w:rPr>
          <w:rFonts w:hint="eastAsia" w:ascii="宋体" w:hAnsi="宋体"/>
          <w:sz w:val="24"/>
          <w:szCs w:val="24"/>
          <w:lang w:val="zh-CN"/>
        </w:rPr>
        <w:t>与其他供应商、采购人或采购代理机构串通或恶意串通。</w:t>
      </w:r>
    </w:p>
    <w:p w14:paraId="4A38FD54">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3.5.4.5、中标后</w:t>
      </w:r>
      <w:r>
        <w:rPr>
          <w:rFonts w:hint="eastAsia" w:ascii="宋体" w:hAnsi="宋体"/>
          <w:sz w:val="24"/>
          <w:szCs w:val="24"/>
          <w:lang w:val="zh-CN"/>
        </w:rPr>
        <w:t>除不可抗拒力或</w:t>
      </w:r>
      <w:r>
        <w:rPr>
          <w:rFonts w:hint="eastAsia" w:ascii="宋体" w:hAnsi="宋体"/>
          <w:sz w:val="24"/>
          <w:szCs w:val="24"/>
        </w:rPr>
        <w:t>磋商</w:t>
      </w:r>
      <w:r>
        <w:rPr>
          <w:rFonts w:hint="eastAsia" w:ascii="宋体" w:hAnsi="宋体"/>
          <w:sz w:val="24"/>
          <w:szCs w:val="24"/>
          <w:lang w:val="zh-CN"/>
        </w:rPr>
        <w:t>文件认可的情形外</w:t>
      </w:r>
      <w:r>
        <w:rPr>
          <w:rFonts w:hint="eastAsia" w:ascii="宋体" w:hAnsi="宋体"/>
          <w:sz w:val="24"/>
          <w:szCs w:val="24"/>
        </w:rPr>
        <w:t>，供应商应及时领取中标通知书，</w:t>
      </w:r>
      <w:r>
        <w:rPr>
          <w:rFonts w:hint="eastAsia" w:ascii="宋体" w:hAnsi="宋体"/>
          <w:sz w:val="24"/>
          <w:szCs w:val="24"/>
          <w:lang w:val="zh-CN"/>
        </w:rPr>
        <w:t>在成交通知书规定时间、地点与采购人签订合同；</w:t>
      </w:r>
      <w:r>
        <w:rPr>
          <w:rFonts w:hint="eastAsia" w:ascii="宋体" w:hAnsi="宋体"/>
          <w:sz w:val="24"/>
          <w:szCs w:val="24"/>
        </w:rPr>
        <w:br w:type="textWrapping"/>
      </w:r>
      <w:r>
        <w:rPr>
          <w:rFonts w:hint="eastAsia" w:ascii="宋体" w:hAnsi="宋体"/>
          <w:sz w:val="24"/>
          <w:szCs w:val="24"/>
        </w:rPr>
        <w:t xml:space="preserve">    3.5.4.6、供应商应</w:t>
      </w:r>
      <w:r>
        <w:rPr>
          <w:rFonts w:hint="eastAsia" w:ascii="宋体" w:hAnsi="宋体"/>
          <w:sz w:val="24"/>
          <w:szCs w:val="24"/>
          <w:lang w:val="zh-CN"/>
        </w:rPr>
        <w:t>遵守法律法规及</w:t>
      </w:r>
      <w:r>
        <w:rPr>
          <w:rFonts w:hint="eastAsia" w:ascii="宋体" w:hAnsi="宋体"/>
          <w:sz w:val="24"/>
          <w:szCs w:val="24"/>
        </w:rPr>
        <w:t>磋商</w:t>
      </w:r>
      <w:r>
        <w:rPr>
          <w:rFonts w:hint="eastAsia" w:ascii="宋体" w:hAnsi="宋体"/>
          <w:sz w:val="24"/>
          <w:szCs w:val="24"/>
          <w:lang w:val="zh-CN"/>
        </w:rPr>
        <w:t>文件规定的其他情况；</w:t>
      </w:r>
    </w:p>
    <w:p w14:paraId="41036106">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3.5.4.7、供应商应按磋商文件规定及时缴纳中标服务费。</w:t>
      </w:r>
    </w:p>
    <w:p w14:paraId="3AA6E781">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 违背承诺的责任追究措施</w:t>
      </w:r>
    </w:p>
    <w:p w14:paraId="18F952FC">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供应商如违背上述承诺事项，应无条件接受以下责任追究：</w:t>
      </w:r>
    </w:p>
    <w:p w14:paraId="66F20724">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3.5.5.1</w:t>
      </w:r>
      <w:r>
        <w:rPr>
          <w:rFonts w:hint="eastAsia" w:ascii="宋体" w:hAnsi="宋体"/>
          <w:sz w:val="24"/>
          <w:szCs w:val="24"/>
          <w:lang w:val="zh-CN"/>
        </w:rPr>
        <w:t>法定责任：</w:t>
      </w:r>
      <w:r>
        <w:rPr>
          <w:rFonts w:hint="eastAsia" w:ascii="宋体" w:hAnsi="宋体"/>
          <w:sz w:val="24"/>
          <w:szCs w:val="24"/>
        </w:rPr>
        <w:t>按照政府采购相关法规，</w:t>
      </w:r>
      <w:r>
        <w:rPr>
          <w:rFonts w:hint="eastAsia" w:ascii="宋体" w:hAnsi="宋体"/>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750749DE">
      <w:pPr>
        <w:widowControl w:val="0"/>
        <w:tabs>
          <w:tab w:val="left" w:pos="65"/>
        </w:tabs>
        <w:spacing w:line="460" w:lineRule="atLeast"/>
        <w:ind w:firstLine="480" w:firstLineChars="200"/>
        <w:textAlignment w:val="auto"/>
        <w:rPr>
          <w:rFonts w:ascii="宋体" w:hAnsi="宋体"/>
          <w:sz w:val="24"/>
          <w:szCs w:val="24"/>
          <w:lang w:val="zh-CN"/>
        </w:rPr>
      </w:pPr>
      <w:r>
        <w:rPr>
          <w:rFonts w:hint="eastAsia" w:ascii="宋体" w:hAnsi="宋体"/>
          <w:sz w:val="24"/>
          <w:szCs w:val="24"/>
        </w:rPr>
        <w:t>给采购人及他人造成损失的，应承担相应的赔偿责任。</w:t>
      </w:r>
    </w:p>
    <w:p w14:paraId="7FE1E255">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3.5.5.2</w:t>
      </w:r>
      <w:r>
        <w:rPr>
          <w:rFonts w:hint="eastAsia" w:ascii="宋体" w:hAnsi="宋体"/>
          <w:sz w:val="24"/>
          <w:szCs w:val="24"/>
          <w:lang w:val="zh-CN"/>
        </w:rPr>
        <w:t>违约责任：</w:t>
      </w:r>
      <w:r>
        <w:rPr>
          <w:rFonts w:hint="eastAsia" w:ascii="宋体" w:hAnsi="宋体"/>
          <w:sz w:val="24"/>
          <w:szCs w:val="24"/>
        </w:rPr>
        <w:t xml:space="preserve"> </w:t>
      </w:r>
    </w:p>
    <w:p w14:paraId="05E146EF">
      <w:pPr>
        <w:widowControl w:val="0"/>
        <w:tabs>
          <w:tab w:val="left" w:pos="65"/>
        </w:tabs>
        <w:spacing w:line="460" w:lineRule="atLeast"/>
        <w:ind w:firstLine="480" w:firstLineChars="200"/>
        <w:textAlignment w:val="auto"/>
        <w:rPr>
          <w:rFonts w:ascii="宋体" w:hAnsi="宋体"/>
          <w:sz w:val="24"/>
          <w:szCs w:val="24"/>
        </w:rPr>
      </w:pPr>
      <w:r>
        <w:rPr>
          <w:rFonts w:hint="eastAsia" w:ascii="宋体" w:hAnsi="宋体"/>
          <w:sz w:val="24"/>
          <w:szCs w:val="24"/>
        </w:rPr>
        <w:t>3.5.5.2.1 已中标的，中标（成交）无效；</w:t>
      </w:r>
    </w:p>
    <w:p w14:paraId="056F0F72">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sz w:val="24"/>
          <w:szCs w:val="24"/>
        </w:rPr>
        <w:t>3.5.</w:t>
      </w:r>
      <w:r>
        <w:rPr>
          <w:rFonts w:hint="eastAsia" w:ascii="宋体" w:hAnsi="宋体"/>
          <w:color w:val="auto"/>
          <w:sz w:val="24"/>
          <w:szCs w:val="24"/>
        </w:rPr>
        <w:t>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00F1CBBB">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3.5.5.2.3中标后未缴中标服务费的，作为违约及违背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14:paraId="75BE3BCE">
      <w:pPr>
        <w:autoSpaceDE w:val="0"/>
        <w:autoSpaceDN w:val="0"/>
        <w:adjustRightInd w:val="0"/>
        <w:spacing w:before="120"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要求见竞争性磋商公告</w:t>
      </w:r>
    </w:p>
    <w:p w14:paraId="346C46FE">
      <w:pPr>
        <w:topLinePunct/>
        <w:adjustRightInd w:val="0"/>
        <w:snapToGrid w:val="0"/>
        <w:spacing w:before="120"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《响应文件》的编制</w:t>
      </w:r>
    </w:p>
    <w:p w14:paraId="40C32811">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《响应文件》应按第六章“《响应文件》格式”进行编写，如有必要，可以增加附页，作为《响应文件》的组成部分。《磋商文件》中未列明格式的，由供应商按一般通用格式自行设计编写。</w:t>
      </w:r>
    </w:p>
    <w:p w14:paraId="10C59A16">
      <w:pPr>
        <w:widowControl w:val="0"/>
        <w:adjustRightInd w:val="0"/>
        <w:spacing w:before="120" w:beforeLines="50" w:line="300" w:lineRule="auto"/>
        <w:ind w:firstLine="540" w:firstLineChars="225"/>
        <w:rPr>
          <w:rFonts w:ascii="宋体" w:hAnsi="宋体"/>
          <w:color w:val="auto"/>
          <w:sz w:val="24"/>
          <w:szCs w:val="24"/>
        </w:rPr>
      </w:pPr>
      <w:r>
        <w:rPr>
          <w:rFonts w:hint="eastAsia" w:ascii="宋体" w:hAnsi="宋体" w:cs="楷体_GB2312"/>
          <w:color w:val="auto"/>
          <w:sz w:val="24"/>
          <w:lang w:val="zh-CN"/>
        </w:rPr>
        <w:t>响应文件编制后，</w:t>
      </w:r>
      <w:r>
        <w:rPr>
          <w:rFonts w:hint="eastAsia" w:ascii="宋体" w:hAnsi="宋体"/>
          <w:color w:val="auto"/>
          <w:sz w:val="24"/>
          <w:szCs w:val="24"/>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14:paraId="3BFEE59D">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“《响应文件》格式”仅为对《响应文件》部分内容的格式化规范，并非《响应文件》所应具备的全部内容。供应商应按本章“</w:t>
      </w:r>
      <w:r>
        <w:rPr>
          <w:rFonts w:ascii="宋体" w:hAnsi="宋体" w:cs="楷体_GB2312"/>
          <w:color w:val="auto"/>
          <w:sz w:val="24"/>
          <w:lang w:val="zh-CN"/>
        </w:rPr>
        <w:t>3.2</w:t>
      </w:r>
      <w:r>
        <w:rPr>
          <w:rFonts w:hint="eastAsia" w:ascii="宋体" w:hAnsi="宋体" w:cs="楷体_GB2312"/>
          <w:color w:val="auto"/>
          <w:sz w:val="24"/>
          <w:lang w:val="zh-CN"/>
        </w:rPr>
        <w:t>《响应文件》的组成”列示内容编制《响应文件》。</w:t>
      </w:r>
    </w:p>
    <w:p w14:paraId="0A9D0B82">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《响应文件》应当对《磋商文件》有关标段（包）内容（范围）、技术要求、售后服务、服务</w:t>
      </w:r>
      <w:r>
        <w:rPr>
          <w:rFonts w:hint="eastAsia" w:ascii="宋体" w:hAnsi="宋体" w:cs="楷体_GB2312"/>
          <w:color w:val="auto"/>
          <w:sz w:val="24"/>
          <w:highlight w:val="none"/>
          <w:lang w:val="zh-CN"/>
        </w:rPr>
        <w:t>期、投标有效期等实质性内容作出响应。在满足《磋商文件》实质性要求的基础上，可以提出比《磋商文件》要求更有利于采购人的承诺。并符合《磋商文件》偏差规定。</w:t>
      </w:r>
    </w:p>
    <w:p w14:paraId="0957ADCD">
      <w:pPr>
        <w:adjustRightInd w:val="0"/>
        <w:snapToGrid w:val="0"/>
        <w:spacing w:before="120"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07214A49">
      <w:pPr>
        <w:autoSpaceDE w:val="0"/>
        <w:autoSpaceDN w:val="0"/>
        <w:adjustRightInd w:val="0"/>
        <w:snapToGrid w:val="0"/>
        <w:spacing w:before="120"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rPr>
        <w:t>《响应文件》应按《磋商文件》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签名（签章）并加密的《响应文件》，属于未按照《磋商文件》要求进行签署。</w:t>
      </w:r>
    </w:p>
    <w:p w14:paraId="6FE39EE5">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highlight w:val="none"/>
        </w:rPr>
        <w:t>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0CD7F74A">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5AEB4AA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7DDF5C3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75B9E546">
      <w:pPr>
        <w:autoSpaceDE w:val="0"/>
        <w:autoSpaceDN w:val="0"/>
        <w:adjustRightInd w:val="0"/>
        <w:spacing w:line="360" w:lineRule="auto"/>
        <w:rPr>
          <w:rFonts w:ascii="黑体" w:hAnsi="黑体" w:eastAsia="黑体" w:cs="楷体_GB2312"/>
          <w:b/>
          <w:bCs/>
          <w:color w:val="auto"/>
          <w:sz w:val="28"/>
          <w:szCs w:val="28"/>
          <w:highlight w:val="none"/>
          <w:lang w:val="zh-CN"/>
        </w:rPr>
      </w:pPr>
    </w:p>
    <w:p w14:paraId="57BBD049">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6" w:name="_Toc29704"/>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26"/>
    </w:p>
    <w:p w14:paraId="23E51036">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bookmarkStart w:id="27" w:name="OLE_LINK2"/>
      <w:bookmarkStart w:id="28" w:name="_Toc296602445"/>
      <w:r>
        <w:rPr>
          <w:rFonts w:hint="eastAsia" w:ascii="宋体" w:hAnsi="宋体" w:cs="楷体_GB2312"/>
          <w:b/>
          <w:color w:val="auto"/>
          <w:sz w:val="24"/>
          <w:highlight w:val="none"/>
          <w:lang w:val="zh-CN"/>
        </w:rPr>
        <w:t>4.1《响应文件》的密封和标记：</w:t>
      </w:r>
    </w:p>
    <w:p w14:paraId="451B95A3">
      <w:pPr>
        <w:autoSpaceDE w:val="0"/>
        <w:autoSpaceDN w:val="0"/>
        <w:adjustRightInd w:val="0"/>
        <w:snapToGrid w:val="0"/>
        <w:spacing w:before="120"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78AE758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9"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9"/>
    </w:p>
    <w:bookmarkEnd w:id="27"/>
    <w:p w14:paraId="602D57B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8"/>
    </w:p>
    <w:p w14:paraId="6B77043B">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14:paraId="690B59A9">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2E59308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6268E75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7A45EBFC">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0EF1C0AC">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r>
        <w:rPr>
          <w:rFonts w:hint="eastAsia" w:ascii="宋体" w:hAnsi="宋体" w:cs="楷体_GB2312"/>
          <w:color w:val="auto"/>
          <w:sz w:val="24"/>
          <w:highlight w:val="none"/>
          <w:lang w:val="zh-CN"/>
        </w:rPr>
        <w:t>：</w:t>
      </w:r>
    </w:p>
    <w:p w14:paraId="2399F9F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62396221">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6A3DECFE">
      <w:pPr>
        <w:autoSpaceDE w:val="0"/>
        <w:autoSpaceDN w:val="0"/>
        <w:adjustRightInd w:val="0"/>
        <w:snapToGrid w:val="0"/>
        <w:spacing w:before="120" w:beforeLines="50" w:line="300" w:lineRule="auto"/>
        <w:rPr>
          <w:rFonts w:ascii="宋体" w:cs="楷体_GB2312"/>
          <w:color w:val="auto"/>
          <w:sz w:val="24"/>
          <w:highlight w:val="none"/>
          <w:lang w:val="zh-CN"/>
        </w:rPr>
      </w:pPr>
    </w:p>
    <w:p w14:paraId="48982F41">
      <w:pPr>
        <w:autoSpaceDE w:val="0"/>
        <w:autoSpaceDN w:val="0"/>
        <w:adjustRightInd w:val="0"/>
        <w:snapToGrid w:val="0"/>
        <w:spacing w:before="120" w:beforeLines="50" w:line="300" w:lineRule="auto"/>
        <w:ind w:firstLine="539"/>
        <w:outlineLvl w:val="1"/>
        <w:rPr>
          <w:rFonts w:ascii="宋体" w:cs="楷体_GB2312"/>
          <w:color w:val="auto"/>
          <w:sz w:val="24"/>
          <w:lang w:val="zh-CN"/>
        </w:rPr>
      </w:pPr>
      <w:bookmarkStart w:id="30" w:name="_Toc15606"/>
      <w:r>
        <w:rPr>
          <w:rFonts w:ascii="黑体" w:hAnsi="黑体" w:eastAsia="黑体" w:cs="楷体_GB2312"/>
          <w:b/>
          <w:bCs/>
          <w:color w:val="auto"/>
          <w:sz w:val="28"/>
          <w:szCs w:val="28"/>
          <w:lang w:val="zh-CN"/>
        </w:rPr>
        <w:t>5.</w:t>
      </w:r>
      <w:r>
        <w:rPr>
          <w:rFonts w:hint="eastAsia" w:ascii="黑体" w:hAnsi="黑体" w:eastAsia="黑体" w:cs="楷体_GB2312"/>
          <w:b/>
          <w:bCs/>
          <w:color w:val="auto"/>
          <w:sz w:val="28"/>
          <w:szCs w:val="28"/>
          <w:lang w:val="zh-CN"/>
        </w:rPr>
        <w:t>《响应文件》的开启</w:t>
      </w:r>
      <w:bookmarkEnd w:id="30"/>
    </w:p>
    <w:p w14:paraId="04CF0FFF">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《响应文件》开启时间和地点</w:t>
      </w:r>
    </w:p>
    <w:p w14:paraId="55C89306">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采购人和采购代理机构按“竞争性磋商</w:t>
      </w:r>
      <w:r>
        <w:rPr>
          <w:rFonts w:ascii="宋体" w:hAnsi="宋体" w:cs="楷体_GB2312"/>
          <w:b/>
          <w:color w:val="auto"/>
          <w:sz w:val="24"/>
          <w:lang w:val="zh-CN"/>
        </w:rPr>
        <w:t>公告</w:t>
      </w:r>
      <w:r>
        <w:rPr>
          <w:rFonts w:hint="eastAsia" w:ascii="宋体" w:hAnsi="宋体" w:cs="楷体_GB2312"/>
          <w:b/>
          <w:color w:val="auto"/>
          <w:sz w:val="24"/>
          <w:lang w:val="zh-CN"/>
        </w:rPr>
        <w:t>”规定的时间和地点于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（竞争性磋商公告所述网上电子交易系统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公开《响应文件》开启。</w:t>
      </w:r>
    </w:p>
    <w:p w14:paraId="13FCADF2">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22E91A9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《响应文件》开启程序</w:t>
      </w:r>
    </w:p>
    <w:p w14:paraId="16A9EC6C">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《响应文件》的开启方式为远程解密，为保证开启工作顺利进行，供应商需在开标阶段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管理员下达解密指令后的指定时限内，完成对本单位的加密《响应文件》的远程解密。如供应商因自身原因、在指定时限内没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解密成功的，其投标将不能被接受，供应商自行承担相应后果。</w:t>
      </w:r>
    </w:p>
    <w:p w14:paraId="2E77B80B">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0AAA811F">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供应商对开标过程和开标记录有疑义，以及认为采购人、采购代理机构相关工作人员有需要回避的情形的，应在系统中提出询问或者回避申请，否则，视为对开标无异议。</w:t>
      </w:r>
    </w:p>
    <w:p w14:paraId="27A7980C">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14:paraId="1D300E5D">
      <w:pPr>
        <w:autoSpaceDE w:val="0"/>
        <w:autoSpaceDN w:val="0"/>
        <w:adjustRightInd w:val="0"/>
        <w:snapToGrid w:val="0"/>
        <w:spacing w:before="120" w:beforeLines="50" w:line="300" w:lineRule="auto"/>
        <w:ind w:firstLine="539"/>
        <w:rPr>
          <w:rFonts w:ascii="宋体" w:cs="楷体_GB2312"/>
          <w:color w:val="auto"/>
          <w:sz w:val="24"/>
          <w:lang w:val="zh-CN"/>
        </w:rPr>
      </w:pPr>
    </w:p>
    <w:p w14:paraId="125F0AD7">
      <w:pPr>
        <w:autoSpaceDE w:val="0"/>
        <w:autoSpaceDN w:val="0"/>
        <w:adjustRightInd w:val="0"/>
        <w:snapToGrid w:val="0"/>
        <w:spacing w:before="120" w:beforeLines="50" w:line="300" w:lineRule="auto"/>
        <w:ind w:firstLine="539"/>
        <w:outlineLvl w:val="1"/>
        <w:rPr>
          <w:rFonts w:ascii="宋体" w:cs="楷体_GB2312"/>
          <w:color w:val="auto"/>
          <w:sz w:val="24"/>
          <w:lang w:val="zh-CN"/>
        </w:rPr>
      </w:pPr>
      <w:bookmarkStart w:id="31" w:name="_Toc25003"/>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31"/>
    </w:p>
    <w:p w14:paraId="60692BEC">
      <w:pPr>
        <w:autoSpaceDE w:val="0"/>
        <w:autoSpaceDN w:val="0"/>
        <w:adjustRightInd w:val="0"/>
        <w:snapToGrid w:val="0"/>
        <w:spacing w:before="120" w:beforeLines="50" w:line="300" w:lineRule="auto"/>
        <w:ind w:firstLine="539"/>
        <w:rPr>
          <w:rFonts w:hint="eastAsia"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磋商小组</w:t>
      </w:r>
    </w:p>
    <w:p w14:paraId="68DDECBB">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sz w:val="24"/>
          <w:lang w:val="zh-CN"/>
        </w:rPr>
        <w:t>评审工作由依法组建的磋商小组负责。磋商小组由采购人代表和评审专家共</w:t>
      </w:r>
      <w:r>
        <w:rPr>
          <w:rFonts w:ascii="宋体" w:hAnsi="宋体" w:cs="楷体_GB2312"/>
          <w:sz w:val="24"/>
          <w:lang w:val="zh-CN"/>
        </w:rPr>
        <w:t>3</w:t>
      </w:r>
      <w:r>
        <w:rPr>
          <w:rFonts w:hint="eastAsia" w:ascii="宋体" w:hAnsi="宋体" w:cs="楷体_GB2312"/>
          <w:sz w:val="24"/>
          <w:lang w:val="zh-CN"/>
        </w:rPr>
        <w:t>人及以上单数组成，其中评审专家人数不少于磋商小组成员总数的</w:t>
      </w:r>
      <w:r>
        <w:rPr>
          <w:rFonts w:ascii="宋体" w:hAnsi="宋体" w:cs="楷体_GB2312"/>
          <w:sz w:val="24"/>
          <w:lang w:val="zh-CN"/>
        </w:rPr>
        <w:t>2/3</w:t>
      </w:r>
      <w:r>
        <w:rPr>
          <w:rFonts w:hint="eastAsia" w:ascii="宋体" w:hAnsi="宋体" w:cs="楷体_GB2312"/>
          <w:sz w:val="24"/>
          <w:lang w:val="zh-CN"/>
        </w:rPr>
        <w:t>，评审专家是在监督部门监督下从</w:t>
      </w:r>
      <w:r>
        <w:rPr>
          <w:rFonts w:hint="eastAsia" w:ascii="宋体" w:hAnsi="宋体" w:cs="楷体_GB2312"/>
          <w:color w:val="auto"/>
          <w:sz w:val="24"/>
          <w:lang w:val="zh-CN"/>
        </w:rPr>
        <w:t>政府采购专家库中随机抽取产生。</w:t>
      </w:r>
    </w:p>
    <w:p w14:paraId="1F316894">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7E0B2F5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14:paraId="40535FA6">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按照同一评审程序及方法审查所有供应商的《响应文件》。</w:t>
      </w:r>
    </w:p>
    <w:p w14:paraId="58434E10">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21D033A2">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06746E33">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评审工作在磋商小组内独立进行。磋商小组按照第四章“评审办法”规定的方法、评审因素、标准和程序对《响应文件》进行评审。第四章“评审办法”没有规定的方法、评审因素和标准，不作为评审依据。</w:t>
      </w:r>
    </w:p>
    <w:p w14:paraId="425DF6F5">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在《响应文件》开启、评审期间，供应商不得向磋商小组成员询问情况，不得进行旨在影响评审结果的活动。</w:t>
      </w:r>
    </w:p>
    <w:p w14:paraId="67DD452D">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3.4</w:t>
      </w:r>
      <w:r>
        <w:rPr>
          <w:rFonts w:hint="eastAsia" w:ascii="宋体" w:hAnsi="宋体" w:cs="楷体_GB2312"/>
          <w:color w:val="auto"/>
          <w:sz w:val="24"/>
          <w:lang w:val="zh-CN"/>
        </w:rPr>
        <w:t>款磋商规则</w:t>
      </w:r>
    </w:p>
    <w:p w14:paraId="5B2A76DF">
      <w:pPr>
        <w:autoSpaceDE w:val="0"/>
        <w:autoSpaceDN w:val="0"/>
        <w:adjustRightInd w:val="0"/>
        <w:snapToGrid w:val="0"/>
        <w:spacing w:before="120" w:beforeLines="50" w:line="300" w:lineRule="auto"/>
        <w:ind w:firstLine="539"/>
        <w:rPr>
          <w:rFonts w:ascii="宋体" w:cs="楷体_GB2312"/>
          <w:color w:val="FF0000"/>
          <w:sz w:val="24"/>
          <w:lang w:val="zh-CN"/>
        </w:rPr>
      </w:pPr>
    </w:p>
    <w:p w14:paraId="1F57FF72">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32" w:name="_Toc3200"/>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32"/>
    </w:p>
    <w:p w14:paraId="6AB8D13C">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21995DC3">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除供应商须知前附表规定授权磋商小组直接确定成交供应商外，采购人应当自收到评审报告之日起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4D127DB4">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7371EA9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采购代理机构在成交供应商确定当天在竞争性磋商公告所述媒体公告成交结果。同时向成交供应商发出成交通知书。成交结果公告期限为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3F93EFC8">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w:t>
      </w:r>
    </w:p>
    <w:p w14:paraId="4586F14C">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见供应商须知前附表</w:t>
      </w:r>
    </w:p>
    <w:p w14:paraId="238BC365">
      <w:pPr>
        <w:adjustRightInd w:val="0"/>
        <w:snapToGrid w:val="0"/>
        <w:spacing w:before="120"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14:paraId="6F2370B9">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14:paraId="0292CADE">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284AEB4B">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在签订合同时，成交供应商应按供应商须知前附表规定向采购人提交履约保证金。</w:t>
      </w:r>
    </w:p>
    <w:p w14:paraId="70A9932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14:paraId="1BFAA308">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40E96C95">
      <w:pPr>
        <w:autoSpaceDE w:val="0"/>
        <w:autoSpaceDN w:val="0"/>
        <w:adjustRightInd w:val="0"/>
        <w:snapToGrid w:val="0"/>
        <w:spacing w:before="120" w:beforeLines="50" w:line="300" w:lineRule="auto"/>
        <w:ind w:firstLine="539"/>
        <w:rPr>
          <w:rFonts w:ascii="宋体" w:hAnsi="宋体"/>
          <w:color w:val="auto"/>
          <w:sz w:val="24"/>
          <w:highlight w:val="yellow"/>
        </w:rPr>
      </w:pPr>
      <w:r>
        <w:rPr>
          <w:rFonts w:ascii="宋体" w:hAnsi="宋体"/>
          <w:color w:val="auto"/>
          <w:sz w:val="24"/>
        </w:rPr>
        <w:t xml:space="preserve">7.6.1 </w:t>
      </w:r>
      <w:r>
        <w:rPr>
          <w:rFonts w:hint="eastAsia" w:ascii="宋体" w:hAnsi="宋体"/>
          <w:color w:val="auto"/>
          <w:sz w:val="24"/>
        </w:rPr>
        <w:t>据优化营商环境精神，成交供应商应在《成交通知书》发出后2个工作日内，按照《磋商文件》确定的合同文本以及成交标的、技术和服务等事项与采购人签订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14:paraId="767F1805">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给采购人造成的损失，成交供应商应予以赔偿。</w:t>
      </w:r>
    </w:p>
    <w:p w14:paraId="755ACC59">
      <w:pPr>
        <w:widowControl w:val="0"/>
        <w:adjustRightInd w:val="0"/>
        <w:snapToGrid w:val="0"/>
        <w:spacing w:before="120" w:beforeLines="50" w:line="300" w:lineRule="auto"/>
        <w:ind w:firstLine="566"/>
        <w:rPr>
          <w:rFonts w:ascii="宋体" w:hAnsi="宋体"/>
          <w:color w:val="auto"/>
          <w:sz w:val="24"/>
          <w:szCs w:val="24"/>
        </w:rPr>
      </w:pPr>
      <w:r>
        <w:rPr>
          <w:color w:val="auto"/>
          <w:sz w:val="24"/>
          <w:szCs w:val="24"/>
        </w:rPr>
        <w:t>7.6.3</w:t>
      </w:r>
      <w:r>
        <w:rPr>
          <w:rFonts w:hint="eastAsia"/>
          <w:color w:val="auto"/>
          <w:sz w:val="24"/>
          <w:szCs w:val="24"/>
        </w:rPr>
        <w:t>合同生效：成交供应商与采购人签订的合同，双方签字后盖章生效。</w:t>
      </w:r>
      <w:r>
        <w:rPr>
          <w:rFonts w:hint="eastAsia" w:ascii="宋体" w:hAnsi="宋体"/>
          <w:color w:val="auto"/>
          <w:sz w:val="24"/>
          <w:szCs w:val="24"/>
        </w:rPr>
        <w:t>采购人要在合同签订后1个工作日内登录安阳市政府采购网进行备案并公告。</w:t>
      </w:r>
    </w:p>
    <w:p w14:paraId="161C8B45">
      <w:pPr>
        <w:widowControl w:val="0"/>
        <w:adjustRightInd w:val="0"/>
        <w:snapToGrid w:val="0"/>
        <w:spacing w:before="120" w:beforeLines="50" w:line="300" w:lineRule="auto"/>
        <w:ind w:firstLine="549"/>
        <w:rPr>
          <w:color w:val="auto"/>
          <w:sz w:val="24"/>
          <w:szCs w:val="24"/>
        </w:rPr>
      </w:pPr>
      <w:r>
        <w:rPr>
          <w:color w:val="auto"/>
          <w:sz w:val="24"/>
          <w:szCs w:val="24"/>
        </w:rPr>
        <w:t>7.6.4</w:t>
      </w:r>
      <w:r>
        <w:rPr>
          <w:rFonts w:hint="eastAsia"/>
          <w:color w:val="auto"/>
          <w:sz w:val="24"/>
          <w:szCs w:val="24"/>
        </w:rPr>
        <w:t>《成交通知书》、《磋商文件》</w:t>
      </w:r>
      <w:r>
        <w:rPr>
          <w:rFonts w:hint="eastAsia"/>
          <w:color w:val="auto"/>
          <w:spacing w:val="20"/>
          <w:sz w:val="24"/>
          <w:szCs w:val="24"/>
        </w:rPr>
        <w:t>及其修改补充澄清</w:t>
      </w:r>
      <w:r>
        <w:rPr>
          <w:rFonts w:hint="eastAsia"/>
          <w:color w:val="auto"/>
          <w:sz w:val="24"/>
          <w:szCs w:val="24"/>
        </w:rPr>
        <w:t>、成交供应商的《响应文件》及</w:t>
      </w:r>
      <w:r>
        <w:rPr>
          <w:rFonts w:hint="eastAsia"/>
          <w:color w:val="auto"/>
          <w:spacing w:val="20"/>
          <w:sz w:val="24"/>
          <w:szCs w:val="24"/>
        </w:rPr>
        <w:t>其修改补充澄清</w:t>
      </w:r>
      <w:r>
        <w:rPr>
          <w:rFonts w:hint="eastAsia"/>
          <w:color w:val="auto"/>
          <w:sz w:val="24"/>
          <w:szCs w:val="24"/>
        </w:rPr>
        <w:t>等，均为签订合同的依据。所定合同不得对《磋商文件》和成交供应商的《响应文件》作实质性修改，采购人和成交供应商不得私下订立背离合同实质性内容的协议。</w:t>
      </w:r>
    </w:p>
    <w:p w14:paraId="3B1D61E8">
      <w:pPr>
        <w:widowControl w:val="0"/>
        <w:adjustRightInd w:val="0"/>
        <w:snapToGrid w:val="0"/>
        <w:spacing w:before="120" w:beforeLines="50" w:line="300" w:lineRule="auto"/>
        <w:ind w:firstLine="549"/>
        <w:rPr>
          <w:sz w:val="24"/>
          <w:szCs w:val="24"/>
        </w:rPr>
      </w:pPr>
      <w:r>
        <w:rPr>
          <w:color w:val="auto"/>
          <w:sz w:val="24"/>
          <w:szCs w:val="24"/>
        </w:rPr>
        <w:t xml:space="preserve">7.6.5 </w:t>
      </w:r>
      <w:r>
        <w:rPr>
          <w:rFonts w:hint="eastAsia"/>
          <w:color w:val="auto"/>
          <w:sz w:val="24"/>
          <w:szCs w:val="24"/>
        </w:rPr>
        <w:t>评审会后，成交供应商</w:t>
      </w:r>
      <w:r>
        <w:rPr>
          <w:rFonts w:hint="eastAsia"/>
          <w:sz w:val="24"/>
          <w:szCs w:val="24"/>
        </w:rPr>
        <w:t>、采购人之间擅自私下谈判、变更中标（成交）标的、价格及《磋商文件》《响应文件》实质性内容的，有关部门将按《中华人民共和国政府采购法》及相关法规的规定处理。</w:t>
      </w:r>
    </w:p>
    <w:p w14:paraId="161B2F6F">
      <w:pPr>
        <w:widowControl w:val="0"/>
        <w:adjustRightInd w:val="0"/>
        <w:snapToGrid w:val="0"/>
        <w:spacing w:before="120" w:beforeLines="50" w:line="300" w:lineRule="auto"/>
        <w:ind w:firstLine="555"/>
        <w:rPr>
          <w:rFonts w:hint="eastAsia"/>
          <w:sz w:val="24"/>
          <w:szCs w:val="24"/>
        </w:rPr>
      </w:pPr>
      <w:r>
        <w:rPr>
          <w:sz w:val="24"/>
          <w:szCs w:val="24"/>
        </w:rPr>
        <w:t>7.6.</w:t>
      </w:r>
      <w:r>
        <w:rPr>
          <w:rFonts w:hint="eastAsia"/>
          <w:sz w:val="24"/>
          <w:szCs w:val="24"/>
        </w:rPr>
        <w:t>6</w:t>
      </w:r>
      <w:r>
        <w:rPr>
          <w:sz w:val="24"/>
          <w:szCs w:val="24"/>
        </w:rPr>
        <w:t xml:space="preserve"> </w:t>
      </w:r>
      <w:r>
        <w:rPr>
          <w:rFonts w:hint="eastAsia"/>
          <w:sz w:val="24"/>
          <w:szCs w:val="24"/>
        </w:rPr>
        <w:t>采购人与成交供应商签订《政府采购合同》后，合同履行中产生的纠纷、争议，由采购人与成交供应商按合同条款及《中华人民共和国民法典》处理。</w:t>
      </w:r>
    </w:p>
    <w:p w14:paraId="6366DFD8">
      <w:pPr>
        <w:widowControl w:val="0"/>
        <w:adjustRightInd w:val="0"/>
        <w:snapToGrid w:val="0"/>
        <w:spacing w:before="120" w:beforeLines="50" w:line="300" w:lineRule="auto"/>
        <w:ind w:firstLine="555"/>
        <w:rPr>
          <w:rFonts w:ascii="黑体" w:hAnsi="黑体" w:eastAsia="黑体" w:cs="楷体_GB2312"/>
          <w:b/>
          <w:sz w:val="24"/>
          <w:lang w:val="zh-CN"/>
        </w:rPr>
      </w:pPr>
      <w:r>
        <w:rPr>
          <w:rFonts w:ascii="黑体" w:hAnsi="黑体" w:eastAsia="黑体" w:cs="楷体_GB2312"/>
          <w:b/>
          <w:sz w:val="24"/>
          <w:lang w:val="zh-CN"/>
        </w:rPr>
        <w:t xml:space="preserve">7.7 </w:t>
      </w:r>
      <w:r>
        <w:rPr>
          <w:rFonts w:hint="eastAsia" w:ascii="黑体" w:hAnsi="黑体" w:eastAsia="黑体" w:cs="楷体_GB2312"/>
          <w:b/>
          <w:sz w:val="24"/>
          <w:lang w:val="zh-CN"/>
        </w:rPr>
        <w:t>合同补充变更</w:t>
      </w:r>
    </w:p>
    <w:p w14:paraId="6929D3D8">
      <w:pPr>
        <w:widowControl w:val="0"/>
        <w:adjustRightInd w:val="0"/>
        <w:snapToGrid w:val="0"/>
        <w:spacing w:before="120" w:beforeLines="50" w:line="300" w:lineRule="auto"/>
        <w:ind w:firstLine="555"/>
        <w:rPr>
          <w:color w:val="auto"/>
          <w:sz w:val="24"/>
          <w:szCs w:val="24"/>
          <w:highlight w:val="none"/>
        </w:rPr>
      </w:pPr>
      <w:r>
        <w:rPr>
          <w:color w:val="auto"/>
          <w:sz w:val="24"/>
          <w:szCs w:val="24"/>
          <w:highlight w:val="none"/>
        </w:rPr>
        <w:t xml:space="preserve">7.7.1 </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25276DCE">
      <w:pPr>
        <w:widowControl w:val="0"/>
        <w:adjustRightInd w:val="0"/>
        <w:snapToGrid w:val="0"/>
        <w:spacing w:before="120" w:beforeLines="50" w:line="300" w:lineRule="auto"/>
        <w:ind w:firstLine="555"/>
        <w:rPr>
          <w:color w:val="auto"/>
          <w:sz w:val="24"/>
          <w:szCs w:val="24"/>
          <w:highlight w:val="none"/>
        </w:rPr>
      </w:pPr>
      <w:r>
        <w:rPr>
          <w:b/>
          <w:color w:val="auto"/>
          <w:sz w:val="24"/>
          <w:szCs w:val="24"/>
          <w:highlight w:val="none"/>
        </w:rPr>
        <w:t xml:space="preserve">7.7.2 </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万元）、且超过中标（成交）价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43BA9340">
      <w:pPr>
        <w:widowControl w:val="0"/>
        <w:adjustRightInd w:val="0"/>
        <w:snapToGrid w:val="0"/>
        <w:spacing w:before="120" w:beforeLines="50" w:line="300" w:lineRule="auto"/>
        <w:ind w:firstLine="555"/>
        <w:rPr>
          <w:color w:val="auto"/>
          <w:sz w:val="24"/>
          <w:szCs w:val="24"/>
          <w:highlight w:val="none"/>
        </w:rPr>
      </w:pPr>
      <w:r>
        <w:rPr>
          <w:rFonts w:hint="eastAsia"/>
          <w:color w:val="auto"/>
          <w:sz w:val="24"/>
          <w:szCs w:val="24"/>
          <w:highlight w:val="none"/>
        </w:rPr>
        <w:t>采购项目在中标（成交）后经有关行政机关批准变更的，批准的行政机关应当自批准之日起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23B32EB6">
      <w:pPr>
        <w:widowControl w:val="0"/>
        <w:adjustRightInd w:val="0"/>
        <w:snapToGrid w:val="0"/>
        <w:spacing w:before="120" w:beforeLines="50" w:line="300" w:lineRule="auto"/>
        <w:ind w:firstLine="555"/>
        <w:rPr>
          <w:color w:val="auto"/>
          <w:sz w:val="24"/>
          <w:szCs w:val="24"/>
          <w:highlight w:val="none"/>
        </w:rPr>
      </w:pPr>
    </w:p>
    <w:p w14:paraId="30B9AC81">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3" w:name="_Toc15064"/>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33"/>
    </w:p>
    <w:p w14:paraId="052D365B">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2367A7B8">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6BA347C7">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7E7FA84D">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w:t>
      </w:r>
      <w:r>
        <w:rPr>
          <w:rFonts w:hint="eastAsia" w:ascii="宋体" w:hAnsi="宋体" w:cs="楷体_GB2312"/>
          <w:color w:val="auto"/>
          <w:sz w:val="24"/>
        </w:rPr>
        <w:t>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4A3DA22D">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60CA8EA5">
      <w:pPr>
        <w:widowControl w:val="0"/>
        <w:adjustRightInd w:val="0"/>
        <w:snapToGrid w:val="0"/>
        <w:spacing w:before="120" w:beforeLines="50" w:line="300" w:lineRule="auto"/>
        <w:ind w:firstLine="561"/>
        <w:rPr>
          <w:rFonts w:ascii="宋体" w:hAnsi="宋体" w:cs="楷体_GB2312"/>
          <w:color w:val="FF0000"/>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w:t>
      </w:r>
      <w:r>
        <w:rPr>
          <w:rFonts w:hint="eastAsia" w:ascii="宋体" w:hAnsi="宋体" w:cs="楷体_GB2312"/>
          <w:sz w:val="24"/>
          <w:lang w:val="zh-CN"/>
        </w:rPr>
        <w:t>商应进行充分的配合并提供备品备件。</w:t>
      </w:r>
    </w:p>
    <w:p w14:paraId="5D50B79F">
      <w:pPr>
        <w:widowControl w:val="0"/>
        <w:adjustRightInd w:val="0"/>
        <w:snapToGrid w:val="0"/>
        <w:spacing w:before="120" w:beforeLines="50" w:line="300" w:lineRule="auto"/>
        <w:ind w:firstLine="561"/>
        <w:rPr>
          <w:rFonts w:ascii="宋体" w:hAnsi="宋体" w:cs="楷体_GB2312"/>
          <w:color w:val="FF0000"/>
          <w:sz w:val="24"/>
        </w:rPr>
      </w:pPr>
      <w:r>
        <w:rPr>
          <w:rFonts w:ascii="宋体" w:hAnsi="宋体" w:cs="楷体_GB2312"/>
          <w:sz w:val="24"/>
          <w:lang w:val="zh-CN"/>
        </w:rPr>
        <w:t>8.</w:t>
      </w:r>
      <w:r>
        <w:rPr>
          <w:rFonts w:hint="eastAsia" w:ascii="宋体" w:hAnsi="宋体" w:cs="楷体_GB2312"/>
          <w:sz w:val="24"/>
        </w:rPr>
        <w:t>4</w:t>
      </w:r>
      <w:r>
        <w:rPr>
          <w:rFonts w:ascii="宋体" w:hAnsi="宋体" w:cs="楷体_GB2312"/>
          <w:sz w:val="24"/>
          <w:lang w:val="zh-CN"/>
        </w:rPr>
        <w:t xml:space="preserve"> </w:t>
      </w:r>
      <w:r>
        <w:rPr>
          <w:rFonts w:hint="eastAsia" w:ascii="宋体" w:hAnsi="宋体" w:cs="楷体_GB2312"/>
          <w:sz w:val="24"/>
          <w:lang w:val="zh-CN"/>
        </w:rPr>
        <w:t>验收报告：验收后，由采购</w:t>
      </w:r>
      <w:r>
        <w:rPr>
          <w:rFonts w:hint="eastAsia" w:ascii="宋体" w:hAnsi="宋体" w:cs="楷体_GB2312"/>
          <w:sz w:val="24"/>
        </w:rPr>
        <w:t>人</w:t>
      </w:r>
      <w:r>
        <w:rPr>
          <w:rFonts w:hint="eastAsia" w:ascii="宋体" w:hAnsi="宋体" w:cs="楷体_GB2312"/>
          <w:sz w:val="24"/>
          <w:lang w:val="zh-CN"/>
        </w:rPr>
        <w:t>及专家等出具验收报告（</w:t>
      </w:r>
      <w:r>
        <w:rPr>
          <w:rFonts w:hint="eastAsia" w:ascii="宋体" w:hAnsi="宋体" w:cs="楷体_GB2312"/>
          <w:sz w:val="24"/>
        </w:rPr>
        <w:t>自行验收的，由采购人出具</w:t>
      </w:r>
      <w:r>
        <w:rPr>
          <w:rFonts w:hint="eastAsia" w:ascii="宋体" w:hAnsi="宋体" w:cs="楷体_GB2312"/>
          <w:sz w:val="24"/>
          <w:lang w:val="zh-CN"/>
        </w:rPr>
        <w:t>），国家规定强制性检测的采购项目应附国家认可的专业检测机构出具的验收报告。</w:t>
      </w:r>
    </w:p>
    <w:p w14:paraId="36864205">
      <w:pPr>
        <w:widowControl w:val="0"/>
        <w:adjustRightInd w:val="0"/>
        <w:snapToGrid w:val="0"/>
        <w:spacing w:before="120" w:beforeLines="50" w:line="300" w:lineRule="auto"/>
        <w:ind w:firstLine="561"/>
        <w:rPr>
          <w:rFonts w:ascii="宋体" w:cs="楷体_GB2312"/>
          <w:color w:val="auto"/>
          <w:sz w:val="24"/>
          <w:lang w:val="zh-CN"/>
        </w:rPr>
      </w:pPr>
      <w:r>
        <w:rPr>
          <w:rFonts w:hint="eastAsia" w:ascii="宋体" w:hAnsi="宋体" w:cs="楷体_GB2312"/>
          <w:sz w:val="24"/>
          <w:lang w:val="zh-CN"/>
        </w:rPr>
        <w:t>8.</w:t>
      </w:r>
      <w:r>
        <w:rPr>
          <w:rFonts w:hint="eastAsia" w:ascii="宋体" w:hAnsi="宋体" w:cs="楷体_GB2312"/>
          <w:sz w:val="24"/>
        </w:rPr>
        <w:t>5</w:t>
      </w:r>
      <w:r>
        <w:rPr>
          <w:rFonts w:hint="eastAsia" w:ascii="宋体" w:hAnsi="宋体" w:cs="楷体_GB2312"/>
          <w:sz w:val="24"/>
          <w:lang w:val="zh-CN"/>
        </w:rPr>
        <w:t>验收中发现成交供应商未按合同约定的时间、地点或方式履约，提供的货物或服务的数量、质量</w:t>
      </w:r>
      <w:r>
        <w:rPr>
          <w:rFonts w:hint="eastAsia" w:ascii="宋体" w:hAnsi="宋体" w:cs="楷体_GB2312"/>
          <w:color w:val="auto"/>
          <w:sz w:val="24"/>
          <w:lang w:val="zh-CN"/>
        </w:rPr>
        <w:t>、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12B2FF71">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验收公告的时限：采购人要在政府采购项目验收完成后1个工作日内登录安阳市政府采购网进行验收公告。</w:t>
      </w:r>
    </w:p>
    <w:p w14:paraId="401093AF">
      <w:pPr>
        <w:widowControl w:val="0"/>
        <w:adjustRightInd w:val="0"/>
        <w:snapToGrid w:val="0"/>
        <w:spacing w:before="120" w:beforeLines="50" w:line="300" w:lineRule="auto"/>
        <w:ind w:firstLine="561"/>
        <w:rPr>
          <w:rFonts w:ascii="宋体" w:cs="楷体_GB2312"/>
          <w:color w:val="auto"/>
          <w:sz w:val="24"/>
          <w:lang w:val="zh-CN"/>
        </w:rPr>
      </w:pPr>
    </w:p>
    <w:p w14:paraId="64D10D0C">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4" w:name="_Toc30265"/>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4"/>
    </w:p>
    <w:p w14:paraId="3987A62E">
      <w:pPr>
        <w:widowControl w:val="0"/>
        <w:adjustRightInd w:val="0"/>
        <w:snapToGrid w:val="0"/>
        <w:spacing w:before="120" w:beforeLines="50" w:line="300" w:lineRule="auto"/>
        <w:ind w:firstLine="561"/>
        <w:rPr>
          <w:rFonts w:ascii="宋体" w:cs="楷体_GB2312"/>
          <w:color w:val="auto"/>
          <w:sz w:val="24"/>
          <w:lang w:val="zh-CN"/>
        </w:rPr>
      </w:pPr>
      <w:r>
        <w:rPr>
          <w:rFonts w:hint="eastAsia" w:ascii="宋体" w:hAnsi="宋体" w:cs="楷体_GB2312"/>
          <w:color w:val="auto"/>
          <w:sz w:val="24"/>
          <w:lang w:val="zh-CN"/>
        </w:rPr>
        <w:t>见供应商须知前附表</w:t>
      </w:r>
    </w:p>
    <w:p w14:paraId="3027A056">
      <w:pPr>
        <w:widowControl w:val="0"/>
        <w:adjustRightInd w:val="0"/>
        <w:snapToGrid w:val="0"/>
        <w:spacing w:before="120" w:beforeLines="50" w:line="300" w:lineRule="auto"/>
        <w:ind w:firstLine="561"/>
        <w:rPr>
          <w:rFonts w:ascii="黑体" w:hAnsi="黑体" w:eastAsia="黑体" w:cs="楷体_GB2312"/>
          <w:b/>
          <w:bCs/>
          <w:color w:val="0000FF"/>
          <w:sz w:val="28"/>
          <w:szCs w:val="28"/>
          <w:lang w:val="zh-CN"/>
        </w:rPr>
      </w:pPr>
    </w:p>
    <w:p w14:paraId="50432B0A">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5" w:name="_Toc14348"/>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5"/>
    </w:p>
    <w:p w14:paraId="3F7D223B">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10.1</w:t>
      </w:r>
      <w:r>
        <w:rPr>
          <w:rFonts w:hint="eastAsia" w:ascii="宋体" w:hAnsi="宋体" w:cs="楷体_GB2312"/>
          <w:color w:val="auto"/>
          <w:sz w:val="24"/>
          <w:lang w:val="zh-CN"/>
        </w:rPr>
        <w:t>中标服务费等：见供应商须知前附表</w:t>
      </w:r>
    </w:p>
    <w:p w14:paraId="3B6818B3">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0</w:t>
      </w:r>
      <w:r>
        <w:rPr>
          <w:rFonts w:ascii="宋体" w:hAnsi="宋体" w:cs="楷体_GB2312"/>
          <w:color w:val="auto"/>
          <w:sz w:val="24"/>
          <w:lang w:val="zh-CN"/>
        </w:rPr>
        <w:t xml:space="preserve">.2 </w:t>
      </w:r>
      <w:r>
        <w:rPr>
          <w:rFonts w:hint="eastAsia" w:ascii="宋体" w:hAnsi="宋体" w:cs="楷体_GB2312"/>
          <w:color w:val="auto"/>
          <w:sz w:val="24"/>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r>
        <w:rPr>
          <w:rFonts w:hint="eastAsia" w:ascii="宋体" w:cs="楷体_GB2312"/>
          <w:color w:val="auto"/>
          <w:sz w:val="24"/>
          <w:lang w:val="zh-CN"/>
        </w:rPr>
        <w:t>“</w:t>
      </w:r>
      <w:r>
        <w:rPr>
          <w:rFonts w:hint="eastAsia" w:ascii="宋体" w:hAnsi="宋体" w:cs="楷体_GB2312"/>
          <w:color w:val="auto"/>
          <w:sz w:val="24"/>
          <w:lang w:val="zh-CN"/>
        </w:rPr>
        <w:t>《响应文件》开启”同义“《响应文件》的开启</w:t>
      </w:r>
      <w:r>
        <w:rPr>
          <w:rFonts w:hint="eastAsia" w:ascii="宋体" w:cs="楷体_GB2312"/>
          <w:color w:val="auto"/>
          <w:sz w:val="24"/>
          <w:lang w:val="zh-CN"/>
        </w:rPr>
        <w:t>”</w:t>
      </w:r>
      <w:r>
        <w:rPr>
          <w:rFonts w:hint="eastAsia" w:ascii="宋体" w:hAnsi="宋体" w:cs="楷体_GB2312"/>
          <w:color w:val="auto"/>
          <w:sz w:val="24"/>
          <w:lang w:val="zh-CN"/>
        </w:rPr>
        <w:t>。</w:t>
      </w:r>
    </w:p>
    <w:p w14:paraId="578C6C06">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供应商资格条件中包含非法人单位的，《磋商文件》中法定代表人一词相应包含表示证照标示的负责人；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供应商资格条件中包含自然人的，《磋商文件》中法定代表人一词相应包含表示自然人，自然人应由其本人签署《响应文件》、参加投标，不应再授权他人。</w:t>
      </w:r>
    </w:p>
    <w:p w14:paraId="477D115C">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《磋商文件》第一章至第四章各章中，用序号标示条、款、项、目，例如：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14:paraId="6B9F9B5E">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lang w:val="zh-CN"/>
        </w:rPr>
      </w:pPr>
    </w:p>
    <w:p w14:paraId="7A4C7D56">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6" w:name="_Toc283"/>
      <w:bookmarkStart w:id="37" w:name="_Toc58855443"/>
      <w:r>
        <w:rPr>
          <w:rFonts w:ascii="黑体" w:hAnsi="黑体" w:eastAsia="黑体" w:cs="楷体_GB2312"/>
          <w:b/>
          <w:bCs/>
          <w:color w:val="auto"/>
          <w:sz w:val="28"/>
          <w:szCs w:val="28"/>
          <w:lang w:val="zh-CN"/>
        </w:rPr>
        <w:t>1</w:t>
      </w:r>
      <w:r>
        <w:rPr>
          <w:rFonts w:hint="eastAsia" w:ascii="黑体" w:hAnsi="黑体" w:eastAsia="黑体" w:cs="楷体_GB2312"/>
          <w:b/>
          <w:bCs/>
          <w:color w:val="auto"/>
          <w:sz w:val="28"/>
          <w:szCs w:val="28"/>
          <w:lang w:val="zh-CN"/>
        </w:rPr>
        <w:t>1</w:t>
      </w:r>
      <w:r>
        <w:rPr>
          <w:rFonts w:ascii="黑体" w:hAnsi="黑体" w:eastAsia="黑体" w:cs="楷体_GB2312"/>
          <w:b/>
          <w:bCs/>
          <w:color w:val="auto"/>
          <w:sz w:val="28"/>
          <w:szCs w:val="28"/>
          <w:lang w:val="zh-CN"/>
        </w:rPr>
        <w:t>.</w:t>
      </w:r>
      <w:r>
        <w:rPr>
          <w:rFonts w:hint="eastAsia" w:ascii="黑体" w:hAnsi="黑体" w:eastAsia="黑体" w:cs="楷体_GB2312"/>
          <w:b/>
          <w:bCs/>
          <w:color w:val="auto"/>
          <w:sz w:val="28"/>
          <w:szCs w:val="28"/>
          <w:lang w:val="zh-CN"/>
        </w:rPr>
        <w:t xml:space="preserve"> 河南省政府采购合同融资政策告知函</w:t>
      </w:r>
      <w:bookmarkEnd w:id="36"/>
      <w:bookmarkEnd w:id="37"/>
    </w:p>
    <w:p w14:paraId="09E5E48E">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各供应商：</w:t>
      </w:r>
    </w:p>
    <w:p w14:paraId="6430AFF1">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14:paraId="4CE3E870">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8014AE2">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14:paraId="27CA87D4">
      <w:pPr>
        <w:widowControl w:val="0"/>
        <w:snapToGrid w:val="0"/>
        <w:spacing w:line="360" w:lineRule="auto"/>
        <w:jc w:val="both"/>
        <w:outlineLvl w:val="0"/>
        <w:rPr>
          <w:rFonts w:ascii="宋体" w:cs="楷体_GB2312"/>
          <w:b/>
          <w:sz w:val="30"/>
          <w:szCs w:val="30"/>
          <w:lang w:val="zh-CN"/>
        </w:rPr>
      </w:pPr>
      <w:bookmarkStart w:id="38" w:name="_GoBack"/>
      <w:bookmarkEnd w:id="38"/>
      <w:permStart w:id="0" w:edGrp="everyone"/>
      <w:permEnd w:id="0"/>
    </w:p>
    <w:sectPr>
      <w:headerReference r:id="rId9" w:type="default"/>
      <w:footerReference r:id="rId10" w:type="default"/>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DD50">
    <w:pPr>
      <w:widowControl w:val="0"/>
      <w:snapToGrid w:val="0"/>
      <w:spacing w:line="240" w:lineRule="atLeast"/>
      <w:ind w:right="21"/>
      <w:rPr>
        <w:rFonts w:ascii="宋体" w:hAnsi="宋体"/>
        <w:szCs w:val="21"/>
        <w:u w:val="single"/>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文本框 1026" o:spid="_x0000_s1026" o:spt="202" type="#_x0000_t202" style="position:absolute;left:0pt;margin-left:70.85pt;margin-top:799.35pt;height:14.15pt;width:453.5pt;mso-position-horizontal-relative:page;mso-position-vertical-relative:page;z-index:-251657216;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3ucjZAAAADgEAAA8AAAAAAAAAAQAgAAAAIgAAAGRycy9kb3ducmV2LnhtbFBLAQIU&#10;ABQAAAAIAIdO4kDbnbYDuQEAAGoDAAAOAAAAAAAAAAEAIAAAACgBAABkcnMvZTJvRG9jLnhtbFBL&#10;BQYAAAAABgAGAFkBAABTBQ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2AE8">
    <w:pPr>
      <w:pStyle w:val="9"/>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14:paraId="639DDB6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9B5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8459">
    <w:pPr>
      <w:pStyle w:val="9"/>
    </w:pPr>
  </w:p>
  <w:p w14:paraId="0B894766">
    <w:pPr>
      <w:pStyle w:val="9"/>
    </w:pPr>
    <w:r>
      <w:rPr>
        <w:rFonts w:hint="eastAsia" w:ascii="宋体" w:hAnsi="宋体"/>
        <w:szCs w:val="21"/>
        <w:u w:val="single"/>
      </w:rPr>
      <w:t>《磋商文件》</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1"/>
        <w:rFonts w:ascii="宋体" w:hAnsi="宋体"/>
        <w:szCs w:val="21"/>
        <w:u w:val="single"/>
      </w:rPr>
      <w:fldChar w:fldCharType="begin"/>
    </w:r>
    <w:r>
      <w:rPr>
        <w:rStyle w:val="21"/>
        <w:rFonts w:ascii="宋体" w:hAnsi="宋体"/>
        <w:szCs w:val="21"/>
        <w:u w:val="single"/>
      </w:rPr>
      <w:instrText xml:space="preserve"> PAGE </w:instrText>
    </w:r>
    <w:r>
      <w:rPr>
        <w:rStyle w:val="21"/>
        <w:rFonts w:ascii="宋体" w:hAnsi="宋体"/>
        <w:szCs w:val="21"/>
        <w:u w:val="single"/>
      </w:rPr>
      <w:fldChar w:fldCharType="separate"/>
    </w:r>
    <w:r>
      <w:rPr>
        <w:rStyle w:val="21"/>
        <w:rFonts w:ascii="宋体" w:hAnsi="宋体"/>
        <w:szCs w:val="21"/>
        <w:u w:val="single"/>
      </w:rPr>
      <w:t>- 66 -</w:t>
    </w:r>
    <w:r>
      <w:rPr>
        <w:rStyle w:val="21"/>
        <w:rFonts w:ascii="宋体" w:hAnsi="宋体"/>
        <w:szCs w:val="21"/>
        <w:u w:val="single"/>
      </w:rPr>
      <w:fldChar w:fldCharType="end"/>
    </w:r>
    <w:r>
      <w:rPr>
        <w:rStyle w:val="21"/>
        <w:rFonts w:ascii="宋体" w:hAnsi="宋体"/>
        <w:szCs w:val="21"/>
        <w:u w:val="single"/>
      </w:rPr>
      <w:t xml:space="preserve"> </w:t>
    </w:r>
    <w:r>
      <w:rPr>
        <w:rStyle w:val="21"/>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1"/>
        <w:szCs w:val="21"/>
        <w:u w:val="single"/>
      </w:rPr>
      <w:t>66</w:t>
    </w:r>
    <w:r>
      <w:rPr>
        <w:rStyle w:val="21"/>
        <w:szCs w:val="21"/>
        <w:u w:val="single"/>
      </w:rPr>
      <w:fldChar w:fldCharType="end"/>
    </w:r>
    <w:r>
      <w:rPr>
        <w:rFonts w:hint="eastAsia" w:ascii="宋体" w:hAnsi="宋体"/>
        <w:szCs w:val="21"/>
        <w:u w:val="single"/>
      </w:rPr>
      <w:t>页</w:t>
    </w:r>
    <w:r>
      <w:rPr>
        <w:rFonts w:ascii="宋体" w:hAnsi="宋体"/>
        <w:szCs w:val="21"/>
        <w:u w:val="single"/>
      </w:rPr>
      <w:t>)</w:t>
    </w:r>
  </w:p>
  <w:p w14:paraId="2A4AE69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7CC7">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2"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03TnHYAAAACgEAAA8A&#10;AAAAAAAAAQAgAAAAIgAAAGRycy9kb3ducmV2LnhtbFBLAQIUABQAAAAIAIdO4kDafLHZpQEAAGYD&#10;AAAOAAAAAAAAAAEAIAAAACcBAABkcnMvZTJvRG9jLnhtbFBLBQYAAAAABgAGAFkBAAA+BQ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5AD5">
    <w:pPr>
      <w:pStyle w:val="10"/>
      <w:pBdr>
        <w:bottom w:val="none" w:color="auto" w:sz="0" w:space="1"/>
      </w:pBdr>
      <w:jc w:val="both"/>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documentProtection w:edit="readOnly" w:formatting="1" w:enforcement="1" w:cryptProviderType="rsaFull" w:cryptAlgorithmClass="hash" w:cryptAlgorithmType="typeAny" w:cryptAlgorithmSid="4" w:cryptSpinCount="0" w:hash="3/5o4p4de05ijw9Q8FLEGOLuAsg=" w:salt="PBvPQuKqhlmBRKuVKmlXXg=="/>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7A"/>
    <w:rsid w:val="00004B3A"/>
    <w:rsid w:val="00007E7D"/>
    <w:rsid w:val="0001069F"/>
    <w:rsid w:val="000109D4"/>
    <w:rsid w:val="00013814"/>
    <w:rsid w:val="00013DB2"/>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64B0"/>
    <w:rsid w:val="00046A4B"/>
    <w:rsid w:val="0005430C"/>
    <w:rsid w:val="00054E34"/>
    <w:rsid w:val="00055755"/>
    <w:rsid w:val="00056832"/>
    <w:rsid w:val="000570E1"/>
    <w:rsid w:val="0005732C"/>
    <w:rsid w:val="00057F78"/>
    <w:rsid w:val="000602CF"/>
    <w:rsid w:val="00060E75"/>
    <w:rsid w:val="0006134B"/>
    <w:rsid w:val="000617B2"/>
    <w:rsid w:val="00062821"/>
    <w:rsid w:val="00067307"/>
    <w:rsid w:val="000673ED"/>
    <w:rsid w:val="00070AA2"/>
    <w:rsid w:val="00070FA8"/>
    <w:rsid w:val="00072834"/>
    <w:rsid w:val="0007390E"/>
    <w:rsid w:val="00073A45"/>
    <w:rsid w:val="00073DBF"/>
    <w:rsid w:val="00074766"/>
    <w:rsid w:val="00076A72"/>
    <w:rsid w:val="00077629"/>
    <w:rsid w:val="00080AE9"/>
    <w:rsid w:val="00081801"/>
    <w:rsid w:val="00081C6C"/>
    <w:rsid w:val="000823AD"/>
    <w:rsid w:val="000829A8"/>
    <w:rsid w:val="000843B0"/>
    <w:rsid w:val="00086B70"/>
    <w:rsid w:val="00086B8A"/>
    <w:rsid w:val="00090D6B"/>
    <w:rsid w:val="00090EB6"/>
    <w:rsid w:val="00091C5E"/>
    <w:rsid w:val="0009268E"/>
    <w:rsid w:val="00093A6B"/>
    <w:rsid w:val="000955DC"/>
    <w:rsid w:val="00095619"/>
    <w:rsid w:val="000956CE"/>
    <w:rsid w:val="00095F8C"/>
    <w:rsid w:val="000A152E"/>
    <w:rsid w:val="000A1C72"/>
    <w:rsid w:val="000A23B3"/>
    <w:rsid w:val="000A3FE8"/>
    <w:rsid w:val="000A4640"/>
    <w:rsid w:val="000A50CD"/>
    <w:rsid w:val="000A55EE"/>
    <w:rsid w:val="000A6CD3"/>
    <w:rsid w:val="000A7CCE"/>
    <w:rsid w:val="000B0EC6"/>
    <w:rsid w:val="000B1334"/>
    <w:rsid w:val="000B1594"/>
    <w:rsid w:val="000B2047"/>
    <w:rsid w:val="000B4758"/>
    <w:rsid w:val="000B53BD"/>
    <w:rsid w:val="000B5412"/>
    <w:rsid w:val="000B6571"/>
    <w:rsid w:val="000C2342"/>
    <w:rsid w:val="000C2AA6"/>
    <w:rsid w:val="000C4BA5"/>
    <w:rsid w:val="000C540C"/>
    <w:rsid w:val="000C544C"/>
    <w:rsid w:val="000D195F"/>
    <w:rsid w:val="000D2631"/>
    <w:rsid w:val="000D69FD"/>
    <w:rsid w:val="000D76D2"/>
    <w:rsid w:val="000E02FC"/>
    <w:rsid w:val="000E54A0"/>
    <w:rsid w:val="000E6D5E"/>
    <w:rsid w:val="000F01A2"/>
    <w:rsid w:val="000F108C"/>
    <w:rsid w:val="000F1C87"/>
    <w:rsid w:val="000F3188"/>
    <w:rsid w:val="000F3D46"/>
    <w:rsid w:val="000F4146"/>
    <w:rsid w:val="000F71A3"/>
    <w:rsid w:val="000F7917"/>
    <w:rsid w:val="00101A10"/>
    <w:rsid w:val="00101EAB"/>
    <w:rsid w:val="00107435"/>
    <w:rsid w:val="00107CF2"/>
    <w:rsid w:val="00110434"/>
    <w:rsid w:val="001118D4"/>
    <w:rsid w:val="00111995"/>
    <w:rsid w:val="00111D3E"/>
    <w:rsid w:val="001144C1"/>
    <w:rsid w:val="001163D8"/>
    <w:rsid w:val="00117877"/>
    <w:rsid w:val="001215D2"/>
    <w:rsid w:val="00123128"/>
    <w:rsid w:val="001234C9"/>
    <w:rsid w:val="001253EC"/>
    <w:rsid w:val="00125A47"/>
    <w:rsid w:val="00126132"/>
    <w:rsid w:val="001263CF"/>
    <w:rsid w:val="00131B13"/>
    <w:rsid w:val="00131CCB"/>
    <w:rsid w:val="00132364"/>
    <w:rsid w:val="00133DE9"/>
    <w:rsid w:val="001342A5"/>
    <w:rsid w:val="00135227"/>
    <w:rsid w:val="001378C9"/>
    <w:rsid w:val="001401E4"/>
    <w:rsid w:val="00140670"/>
    <w:rsid w:val="0014277A"/>
    <w:rsid w:val="001439BF"/>
    <w:rsid w:val="001443E8"/>
    <w:rsid w:val="00144E92"/>
    <w:rsid w:val="0015053C"/>
    <w:rsid w:val="001532B2"/>
    <w:rsid w:val="001537D5"/>
    <w:rsid w:val="00153A06"/>
    <w:rsid w:val="0016042E"/>
    <w:rsid w:val="001641D5"/>
    <w:rsid w:val="001667B4"/>
    <w:rsid w:val="00166938"/>
    <w:rsid w:val="0016693E"/>
    <w:rsid w:val="0016783C"/>
    <w:rsid w:val="001678FA"/>
    <w:rsid w:val="001708C3"/>
    <w:rsid w:val="00170AE1"/>
    <w:rsid w:val="00170E55"/>
    <w:rsid w:val="0017181F"/>
    <w:rsid w:val="001719D7"/>
    <w:rsid w:val="00172A27"/>
    <w:rsid w:val="00172A7E"/>
    <w:rsid w:val="0017374F"/>
    <w:rsid w:val="00175E3A"/>
    <w:rsid w:val="00183C38"/>
    <w:rsid w:val="001863F6"/>
    <w:rsid w:val="00194451"/>
    <w:rsid w:val="0019697C"/>
    <w:rsid w:val="001A1BB5"/>
    <w:rsid w:val="001A1D5B"/>
    <w:rsid w:val="001A2082"/>
    <w:rsid w:val="001A63E3"/>
    <w:rsid w:val="001A6EC8"/>
    <w:rsid w:val="001A733E"/>
    <w:rsid w:val="001B0D3F"/>
    <w:rsid w:val="001B2A9F"/>
    <w:rsid w:val="001B4914"/>
    <w:rsid w:val="001B5626"/>
    <w:rsid w:val="001B6072"/>
    <w:rsid w:val="001B7C99"/>
    <w:rsid w:val="001C050D"/>
    <w:rsid w:val="001C2D34"/>
    <w:rsid w:val="001C397C"/>
    <w:rsid w:val="001C3DAF"/>
    <w:rsid w:val="001C528B"/>
    <w:rsid w:val="001C6505"/>
    <w:rsid w:val="001D0DA4"/>
    <w:rsid w:val="001D14A1"/>
    <w:rsid w:val="001D17A7"/>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571D"/>
    <w:rsid w:val="001E60A9"/>
    <w:rsid w:val="001F1D57"/>
    <w:rsid w:val="001F4C70"/>
    <w:rsid w:val="001F6921"/>
    <w:rsid w:val="001F6B5C"/>
    <w:rsid w:val="00203437"/>
    <w:rsid w:val="00203DFD"/>
    <w:rsid w:val="00204738"/>
    <w:rsid w:val="002052BF"/>
    <w:rsid w:val="00205670"/>
    <w:rsid w:val="00205716"/>
    <w:rsid w:val="00205DC9"/>
    <w:rsid w:val="0020635B"/>
    <w:rsid w:val="002064E1"/>
    <w:rsid w:val="00207A71"/>
    <w:rsid w:val="00210346"/>
    <w:rsid w:val="00212022"/>
    <w:rsid w:val="002132BD"/>
    <w:rsid w:val="002146E7"/>
    <w:rsid w:val="00214DD7"/>
    <w:rsid w:val="00214F54"/>
    <w:rsid w:val="002155C5"/>
    <w:rsid w:val="00221964"/>
    <w:rsid w:val="002228C6"/>
    <w:rsid w:val="002238AE"/>
    <w:rsid w:val="0023012A"/>
    <w:rsid w:val="00230441"/>
    <w:rsid w:val="00231508"/>
    <w:rsid w:val="00231A9D"/>
    <w:rsid w:val="00231D21"/>
    <w:rsid w:val="0023255F"/>
    <w:rsid w:val="002341A2"/>
    <w:rsid w:val="00237A15"/>
    <w:rsid w:val="00240733"/>
    <w:rsid w:val="00241D3A"/>
    <w:rsid w:val="0024269B"/>
    <w:rsid w:val="00244532"/>
    <w:rsid w:val="0024502A"/>
    <w:rsid w:val="0024541C"/>
    <w:rsid w:val="00247523"/>
    <w:rsid w:val="00247993"/>
    <w:rsid w:val="002511FE"/>
    <w:rsid w:val="0025383B"/>
    <w:rsid w:val="00254015"/>
    <w:rsid w:val="00254F6E"/>
    <w:rsid w:val="002574D7"/>
    <w:rsid w:val="00257B22"/>
    <w:rsid w:val="002602F6"/>
    <w:rsid w:val="00260435"/>
    <w:rsid w:val="00262D1F"/>
    <w:rsid w:val="00264999"/>
    <w:rsid w:val="00264BD8"/>
    <w:rsid w:val="002665E4"/>
    <w:rsid w:val="002673AF"/>
    <w:rsid w:val="0027067C"/>
    <w:rsid w:val="00270FE1"/>
    <w:rsid w:val="00271ABB"/>
    <w:rsid w:val="00272B6B"/>
    <w:rsid w:val="00272CD3"/>
    <w:rsid w:val="00272DEC"/>
    <w:rsid w:val="00273FB6"/>
    <w:rsid w:val="00275945"/>
    <w:rsid w:val="002759A2"/>
    <w:rsid w:val="00276204"/>
    <w:rsid w:val="00280E45"/>
    <w:rsid w:val="002810F8"/>
    <w:rsid w:val="0028181D"/>
    <w:rsid w:val="00281F3D"/>
    <w:rsid w:val="0028291D"/>
    <w:rsid w:val="00285BA0"/>
    <w:rsid w:val="00290D50"/>
    <w:rsid w:val="00291608"/>
    <w:rsid w:val="0029442F"/>
    <w:rsid w:val="00294947"/>
    <w:rsid w:val="0029595B"/>
    <w:rsid w:val="00295A34"/>
    <w:rsid w:val="00296060"/>
    <w:rsid w:val="00296501"/>
    <w:rsid w:val="002968C0"/>
    <w:rsid w:val="002975BF"/>
    <w:rsid w:val="002A0696"/>
    <w:rsid w:val="002A2037"/>
    <w:rsid w:val="002A2398"/>
    <w:rsid w:val="002A2B5C"/>
    <w:rsid w:val="002A35F6"/>
    <w:rsid w:val="002A4898"/>
    <w:rsid w:val="002A4F6F"/>
    <w:rsid w:val="002A5411"/>
    <w:rsid w:val="002A6D86"/>
    <w:rsid w:val="002A7073"/>
    <w:rsid w:val="002A7814"/>
    <w:rsid w:val="002B1A64"/>
    <w:rsid w:val="002B3090"/>
    <w:rsid w:val="002B5E0D"/>
    <w:rsid w:val="002C00FF"/>
    <w:rsid w:val="002C11FF"/>
    <w:rsid w:val="002C3330"/>
    <w:rsid w:val="002D0360"/>
    <w:rsid w:val="002D1708"/>
    <w:rsid w:val="002D1EC7"/>
    <w:rsid w:val="002D2579"/>
    <w:rsid w:val="002D2CB8"/>
    <w:rsid w:val="002D40A9"/>
    <w:rsid w:val="002D6349"/>
    <w:rsid w:val="002D6B6F"/>
    <w:rsid w:val="002D7628"/>
    <w:rsid w:val="002D7A77"/>
    <w:rsid w:val="002D7BE8"/>
    <w:rsid w:val="002E098C"/>
    <w:rsid w:val="002E3E40"/>
    <w:rsid w:val="002E76EF"/>
    <w:rsid w:val="002E7E70"/>
    <w:rsid w:val="002F08C6"/>
    <w:rsid w:val="002F24F3"/>
    <w:rsid w:val="002F2754"/>
    <w:rsid w:val="002F37CB"/>
    <w:rsid w:val="002F4ADA"/>
    <w:rsid w:val="002F5465"/>
    <w:rsid w:val="002F7AD0"/>
    <w:rsid w:val="002F7EF3"/>
    <w:rsid w:val="002F7F3A"/>
    <w:rsid w:val="0030084A"/>
    <w:rsid w:val="0030169A"/>
    <w:rsid w:val="00306123"/>
    <w:rsid w:val="00307CF1"/>
    <w:rsid w:val="0031007D"/>
    <w:rsid w:val="003110D4"/>
    <w:rsid w:val="00311B9B"/>
    <w:rsid w:val="003157D1"/>
    <w:rsid w:val="00316A48"/>
    <w:rsid w:val="00317222"/>
    <w:rsid w:val="00320DF9"/>
    <w:rsid w:val="003214B1"/>
    <w:rsid w:val="00322799"/>
    <w:rsid w:val="003241F1"/>
    <w:rsid w:val="0032688F"/>
    <w:rsid w:val="00331D60"/>
    <w:rsid w:val="00332BB0"/>
    <w:rsid w:val="00332C6F"/>
    <w:rsid w:val="00334CC7"/>
    <w:rsid w:val="003355B7"/>
    <w:rsid w:val="00336AAB"/>
    <w:rsid w:val="0034150B"/>
    <w:rsid w:val="00342477"/>
    <w:rsid w:val="0034283D"/>
    <w:rsid w:val="00343634"/>
    <w:rsid w:val="00343968"/>
    <w:rsid w:val="00343A1D"/>
    <w:rsid w:val="00343D9C"/>
    <w:rsid w:val="0035121B"/>
    <w:rsid w:val="003521AC"/>
    <w:rsid w:val="00352D4E"/>
    <w:rsid w:val="00354452"/>
    <w:rsid w:val="00356193"/>
    <w:rsid w:val="00356631"/>
    <w:rsid w:val="00356A9C"/>
    <w:rsid w:val="00356E07"/>
    <w:rsid w:val="00357F64"/>
    <w:rsid w:val="0036067C"/>
    <w:rsid w:val="0036276F"/>
    <w:rsid w:val="003634F4"/>
    <w:rsid w:val="00363B02"/>
    <w:rsid w:val="003642B6"/>
    <w:rsid w:val="003655E9"/>
    <w:rsid w:val="00365BD8"/>
    <w:rsid w:val="00367D22"/>
    <w:rsid w:val="00371760"/>
    <w:rsid w:val="00371CE6"/>
    <w:rsid w:val="00376869"/>
    <w:rsid w:val="00377440"/>
    <w:rsid w:val="00377AE0"/>
    <w:rsid w:val="00380598"/>
    <w:rsid w:val="00381B01"/>
    <w:rsid w:val="003829D9"/>
    <w:rsid w:val="00383B17"/>
    <w:rsid w:val="0038471F"/>
    <w:rsid w:val="00384A92"/>
    <w:rsid w:val="003854F3"/>
    <w:rsid w:val="00386518"/>
    <w:rsid w:val="003875CD"/>
    <w:rsid w:val="00387FBB"/>
    <w:rsid w:val="00391A61"/>
    <w:rsid w:val="00397B1C"/>
    <w:rsid w:val="00397E86"/>
    <w:rsid w:val="003A0C28"/>
    <w:rsid w:val="003A1388"/>
    <w:rsid w:val="003A1D20"/>
    <w:rsid w:val="003A258C"/>
    <w:rsid w:val="003A3330"/>
    <w:rsid w:val="003A37AB"/>
    <w:rsid w:val="003A40E7"/>
    <w:rsid w:val="003A4472"/>
    <w:rsid w:val="003A47C4"/>
    <w:rsid w:val="003A78B7"/>
    <w:rsid w:val="003B4A06"/>
    <w:rsid w:val="003B5D7B"/>
    <w:rsid w:val="003B5F19"/>
    <w:rsid w:val="003B67A0"/>
    <w:rsid w:val="003B72E5"/>
    <w:rsid w:val="003B7ACE"/>
    <w:rsid w:val="003C0859"/>
    <w:rsid w:val="003C0E0B"/>
    <w:rsid w:val="003C1220"/>
    <w:rsid w:val="003C2917"/>
    <w:rsid w:val="003C5626"/>
    <w:rsid w:val="003C6339"/>
    <w:rsid w:val="003C6B76"/>
    <w:rsid w:val="003D2F6F"/>
    <w:rsid w:val="003D3B92"/>
    <w:rsid w:val="003D4056"/>
    <w:rsid w:val="003D415D"/>
    <w:rsid w:val="003D46D1"/>
    <w:rsid w:val="003D73B2"/>
    <w:rsid w:val="003D7EC2"/>
    <w:rsid w:val="003E1BD5"/>
    <w:rsid w:val="003E3AC3"/>
    <w:rsid w:val="003E4BA7"/>
    <w:rsid w:val="003E58E5"/>
    <w:rsid w:val="003E58FF"/>
    <w:rsid w:val="003E5EE1"/>
    <w:rsid w:val="003E7C9B"/>
    <w:rsid w:val="003E7D25"/>
    <w:rsid w:val="003F0417"/>
    <w:rsid w:val="003F688C"/>
    <w:rsid w:val="00400DD3"/>
    <w:rsid w:val="00402B2D"/>
    <w:rsid w:val="00403958"/>
    <w:rsid w:val="004073DB"/>
    <w:rsid w:val="004137F3"/>
    <w:rsid w:val="00414F84"/>
    <w:rsid w:val="00415470"/>
    <w:rsid w:val="00415CFA"/>
    <w:rsid w:val="00416388"/>
    <w:rsid w:val="00417D4F"/>
    <w:rsid w:val="00421975"/>
    <w:rsid w:val="004223F4"/>
    <w:rsid w:val="004223F7"/>
    <w:rsid w:val="004237AF"/>
    <w:rsid w:val="004268BE"/>
    <w:rsid w:val="00426990"/>
    <w:rsid w:val="00427696"/>
    <w:rsid w:val="004300B5"/>
    <w:rsid w:val="00433561"/>
    <w:rsid w:val="004342C9"/>
    <w:rsid w:val="00435AB2"/>
    <w:rsid w:val="004378E0"/>
    <w:rsid w:val="00440412"/>
    <w:rsid w:val="00440804"/>
    <w:rsid w:val="00443935"/>
    <w:rsid w:val="00443963"/>
    <w:rsid w:val="00443E0B"/>
    <w:rsid w:val="004442B3"/>
    <w:rsid w:val="00444D59"/>
    <w:rsid w:val="0044572E"/>
    <w:rsid w:val="00446551"/>
    <w:rsid w:val="00447654"/>
    <w:rsid w:val="00447D75"/>
    <w:rsid w:val="004513F9"/>
    <w:rsid w:val="00451DAE"/>
    <w:rsid w:val="00452F36"/>
    <w:rsid w:val="00453130"/>
    <w:rsid w:val="0045394E"/>
    <w:rsid w:val="00454535"/>
    <w:rsid w:val="00454B5D"/>
    <w:rsid w:val="00455B44"/>
    <w:rsid w:val="00456CDF"/>
    <w:rsid w:val="00456FA3"/>
    <w:rsid w:val="0045754E"/>
    <w:rsid w:val="00460E98"/>
    <w:rsid w:val="00461626"/>
    <w:rsid w:val="0046275C"/>
    <w:rsid w:val="004640E1"/>
    <w:rsid w:val="00465462"/>
    <w:rsid w:val="00465CBE"/>
    <w:rsid w:val="00471684"/>
    <w:rsid w:val="00471F6B"/>
    <w:rsid w:val="0047305B"/>
    <w:rsid w:val="0047493D"/>
    <w:rsid w:val="00475A0F"/>
    <w:rsid w:val="004771A7"/>
    <w:rsid w:val="00477929"/>
    <w:rsid w:val="00477DF1"/>
    <w:rsid w:val="004805E1"/>
    <w:rsid w:val="0048194E"/>
    <w:rsid w:val="004819D3"/>
    <w:rsid w:val="00481D33"/>
    <w:rsid w:val="00481EFC"/>
    <w:rsid w:val="0048481A"/>
    <w:rsid w:val="00486D4E"/>
    <w:rsid w:val="00487F50"/>
    <w:rsid w:val="00490DEF"/>
    <w:rsid w:val="0049307F"/>
    <w:rsid w:val="0049352F"/>
    <w:rsid w:val="00497B97"/>
    <w:rsid w:val="004A28E9"/>
    <w:rsid w:val="004A4443"/>
    <w:rsid w:val="004A465C"/>
    <w:rsid w:val="004A53F8"/>
    <w:rsid w:val="004A5683"/>
    <w:rsid w:val="004A5A5E"/>
    <w:rsid w:val="004A647D"/>
    <w:rsid w:val="004A6BB2"/>
    <w:rsid w:val="004A7816"/>
    <w:rsid w:val="004A791C"/>
    <w:rsid w:val="004B0A0E"/>
    <w:rsid w:val="004B10CD"/>
    <w:rsid w:val="004B2765"/>
    <w:rsid w:val="004B6984"/>
    <w:rsid w:val="004B7FD5"/>
    <w:rsid w:val="004C05F2"/>
    <w:rsid w:val="004C1E04"/>
    <w:rsid w:val="004C1EBB"/>
    <w:rsid w:val="004C407E"/>
    <w:rsid w:val="004C506F"/>
    <w:rsid w:val="004C552D"/>
    <w:rsid w:val="004C7A15"/>
    <w:rsid w:val="004D10B1"/>
    <w:rsid w:val="004D11B7"/>
    <w:rsid w:val="004D57A0"/>
    <w:rsid w:val="004D595F"/>
    <w:rsid w:val="004D5F36"/>
    <w:rsid w:val="004E0791"/>
    <w:rsid w:val="004E44CC"/>
    <w:rsid w:val="004E50CC"/>
    <w:rsid w:val="004E587A"/>
    <w:rsid w:val="004E5CA5"/>
    <w:rsid w:val="004E6F0E"/>
    <w:rsid w:val="004E797E"/>
    <w:rsid w:val="004F02F2"/>
    <w:rsid w:val="004F16A1"/>
    <w:rsid w:val="004F1918"/>
    <w:rsid w:val="004F2DDA"/>
    <w:rsid w:val="004F4B65"/>
    <w:rsid w:val="004F6370"/>
    <w:rsid w:val="00502DF4"/>
    <w:rsid w:val="005034FC"/>
    <w:rsid w:val="00503795"/>
    <w:rsid w:val="00503F67"/>
    <w:rsid w:val="005044B9"/>
    <w:rsid w:val="005055E2"/>
    <w:rsid w:val="00507AFA"/>
    <w:rsid w:val="005106D5"/>
    <w:rsid w:val="005112F3"/>
    <w:rsid w:val="00517BF1"/>
    <w:rsid w:val="00520645"/>
    <w:rsid w:val="00520920"/>
    <w:rsid w:val="00521C1F"/>
    <w:rsid w:val="0052426A"/>
    <w:rsid w:val="00524C98"/>
    <w:rsid w:val="00524D6D"/>
    <w:rsid w:val="005252C0"/>
    <w:rsid w:val="00530CE7"/>
    <w:rsid w:val="005316A8"/>
    <w:rsid w:val="005342CE"/>
    <w:rsid w:val="00535C65"/>
    <w:rsid w:val="0053682D"/>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4187"/>
    <w:rsid w:val="00555958"/>
    <w:rsid w:val="00556D8D"/>
    <w:rsid w:val="00557BEB"/>
    <w:rsid w:val="005605F8"/>
    <w:rsid w:val="00560E4A"/>
    <w:rsid w:val="005615D4"/>
    <w:rsid w:val="005650C2"/>
    <w:rsid w:val="00565A8C"/>
    <w:rsid w:val="00573012"/>
    <w:rsid w:val="005731AA"/>
    <w:rsid w:val="00574068"/>
    <w:rsid w:val="00574394"/>
    <w:rsid w:val="00575709"/>
    <w:rsid w:val="005773BE"/>
    <w:rsid w:val="005804F3"/>
    <w:rsid w:val="00580954"/>
    <w:rsid w:val="00581C0C"/>
    <w:rsid w:val="005824F8"/>
    <w:rsid w:val="00583A5C"/>
    <w:rsid w:val="00584C19"/>
    <w:rsid w:val="005850D6"/>
    <w:rsid w:val="0058643C"/>
    <w:rsid w:val="005866BD"/>
    <w:rsid w:val="00586EDA"/>
    <w:rsid w:val="005927CD"/>
    <w:rsid w:val="0059343A"/>
    <w:rsid w:val="005964EC"/>
    <w:rsid w:val="005A0661"/>
    <w:rsid w:val="005A1FDF"/>
    <w:rsid w:val="005A2BEB"/>
    <w:rsid w:val="005A39AF"/>
    <w:rsid w:val="005A4F1F"/>
    <w:rsid w:val="005A61BC"/>
    <w:rsid w:val="005A6544"/>
    <w:rsid w:val="005A6732"/>
    <w:rsid w:val="005A69C1"/>
    <w:rsid w:val="005A7272"/>
    <w:rsid w:val="005A7EC2"/>
    <w:rsid w:val="005B19C2"/>
    <w:rsid w:val="005B334E"/>
    <w:rsid w:val="005B3FB5"/>
    <w:rsid w:val="005C3B65"/>
    <w:rsid w:val="005C71EA"/>
    <w:rsid w:val="005D248A"/>
    <w:rsid w:val="005D2C74"/>
    <w:rsid w:val="005D2CB5"/>
    <w:rsid w:val="005D386F"/>
    <w:rsid w:val="005D511D"/>
    <w:rsid w:val="005D7100"/>
    <w:rsid w:val="005D72C1"/>
    <w:rsid w:val="005E1472"/>
    <w:rsid w:val="005E3DC5"/>
    <w:rsid w:val="005E4813"/>
    <w:rsid w:val="005E6E82"/>
    <w:rsid w:val="005F2B98"/>
    <w:rsid w:val="005F6167"/>
    <w:rsid w:val="006031DC"/>
    <w:rsid w:val="006035CB"/>
    <w:rsid w:val="00604122"/>
    <w:rsid w:val="0060535C"/>
    <w:rsid w:val="00606709"/>
    <w:rsid w:val="00613D71"/>
    <w:rsid w:val="00615523"/>
    <w:rsid w:val="00615DBE"/>
    <w:rsid w:val="006161C5"/>
    <w:rsid w:val="00624E86"/>
    <w:rsid w:val="00625C51"/>
    <w:rsid w:val="00626E6E"/>
    <w:rsid w:val="006313EC"/>
    <w:rsid w:val="00633872"/>
    <w:rsid w:val="0063507E"/>
    <w:rsid w:val="006353A6"/>
    <w:rsid w:val="006369CC"/>
    <w:rsid w:val="006374EF"/>
    <w:rsid w:val="00643CAC"/>
    <w:rsid w:val="00643E16"/>
    <w:rsid w:val="00646631"/>
    <w:rsid w:val="00647F26"/>
    <w:rsid w:val="006536D6"/>
    <w:rsid w:val="00654B00"/>
    <w:rsid w:val="00655415"/>
    <w:rsid w:val="006555FF"/>
    <w:rsid w:val="006560FF"/>
    <w:rsid w:val="00656C15"/>
    <w:rsid w:val="00657569"/>
    <w:rsid w:val="00662875"/>
    <w:rsid w:val="00663399"/>
    <w:rsid w:val="006635A7"/>
    <w:rsid w:val="006649C6"/>
    <w:rsid w:val="006656A2"/>
    <w:rsid w:val="00665738"/>
    <w:rsid w:val="00666247"/>
    <w:rsid w:val="006679EB"/>
    <w:rsid w:val="00671EF7"/>
    <w:rsid w:val="00671FA8"/>
    <w:rsid w:val="00672684"/>
    <w:rsid w:val="00674F5E"/>
    <w:rsid w:val="006763B3"/>
    <w:rsid w:val="00677009"/>
    <w:rsid w:val="006778A0"/>
    <w:rsid w:val="00682F0F"/>
    <w:rsid w:val="00683222"/>
    <w:rsid w:val="00685F1B"/>
    <w:rsid w:val="00686A7A"/>
    <w:rsid w:val="00686F46"/>
    <w:rsid w:val="00687B51"/>
    <w:rsid w:val="006900BC"/>
    <w:rsid w:val="006907CD"/>
    <w:rsid w:val="00692DDF"/>
    <w:rsid w:val="0069376A"/>
    <w:rsid w:val="00694554"/>
    <w:rsid w:val="00695074"/>
    <w:rsid w:val="006A077D"/>
    <w:rsid w:val="006A1725"/>
    <w:rsid w:val="006A211F"/>
    <w:rsid w:val="006A4311"/>
    <w:rsid w:val="006A5EAE"/>
    <w:rsid w:val="006A76FE"/>
    <w:rsid w:val="006B46DC"/>
    <w:rsid w:val="006B5CB6"/>
    <w:rsid w:val="006B666A"/>
    <w:rsid w:val="006B7F89"/>
    <w:rsid w:val="006C3846"/>
    <w:rsid w:val="006C3BF0"/>
    <w:rsid w:val="006C4725"/>
    <w:rsid w:val="006D221B"/>
    <w:rsid w:val="006D3051"/>
    <w:rsid w:val="006D4845"/>
    <w:rsid w:val="006D7839"/>
    <w:rsid w:val="006E02B1"/>
    <w:rsid w:val="006E157D"/>
    <w:rsid w:val="006E3615"/>
    <w:rsid w:val="006E6DDB"/>
    <w:rsid w:val="006F0AC4"/>
    <w:rsid w:val="006F0EEC"/>
    <w:rsid w:val="006F2CEE"/>
    <w:rsid w:val="006F5195"/>
    <w:rsid w:val="006F5426"/>
    <w:rsid w:val="006F61C3"/>
    <w:rsid w:val="006F65DD"/>
    <w:rsid w:val="006F7546"/>
    <w:rsid w:val="00700495"/>
    <w:rsid w:val="00702286"/>
    <w:rsid w:val="0070375B"/>
    <w:rsid w:val="00705060"/>
    <w:rsid w:val="00705F0C"/>
    <w:rsid w:val="007064D1"/>
    <w:rsid w:val="00710F95"/>
    <w:rsid w:val="007132C1"/>
    <w:rsid w:val="00714445"/>
    <w:rsid w:val="0072283F"/>
    <w:rsid w:val="00722DD9"/>
    <w:rsid w:val="0072306E"/>
    <w:rsid w:val="007269A4"/>
    <w:rsid w:val="007322B3"/>
    <w:rsid w:val="00733E60"/>
    <w:rsid w:val="00734BF0"/>
    <w:rsid w:val="007358D4"/>
    <w:rsid w:val="007362E1"/>
    <w:rsid w:val="007375A2"/>
    <w:rsid w:val="00737D3F"/>
    <w:rsid w:val="007411EA"/>
    <w:rsid w:val="00742808"/>
    <w:rsid w:val="00743133"/>
    <w:rsid w:val="0074512B"/>
    <w:rsid w:val="00745330"/>
    <w:rsid w:val="00745FC7"/>
    <w:rsid w:val="00746653"/>
    <w:rsid w:val="0075061D"/>
    <w:rsid w:val="007506CA"/>
    <w:rsid w:val="00753442"/>
    <w:rsid w:val="00754000"/>
    <w:rsid w:val="0075421E"/>
    <w:rsid w:val="0075584E"/>
    <w:rsid w:val="00760447"/>
    <w:rsid w:val="00760C76"/>
    <w:rsid w:val="00761258"/>
    <w:rsid w:val="007616E0"/>
    <w:rsid w:val="007623A6"/>
    <w:rsid w:val="007639A9"/>
    <w:rsid w:val="0076632F"/>
    <w:rsid w:val="00771BDB"/>
    <w:rsid w:val="0077232F"/>
    <w:rsid w:val="00772AB5"/>
    <w:rsid w:val="00772CAD"/>
    <w:rsid w:val="007830DD"/>
    <w:rsid w:val="00783259"/>
    <w:rsid w:val="0078401E"/>
    <w:rsid w:val="00784AE6"/>
    <w:rsid w:val="00784CA4"/>
    <w:rsid w:val="00784D51"/>
    <w:rsid w:val="0078521D"/>
    <w:rsid w:val="00787769"/>
    <w:rsid w:val="0079034F"/>
    <w:rsid w:val="0079060C"/>
    <w:rsid w:val="007910EF"/>
    <w:rsid w:val="00791384"/>
    <w:rsid w:val="00791456"/>
    <w:rsid w:val="00794FBE"/>
    <w:rsid w:val="00797162"/>
    <w:rsid w:val="00797A49"/>
    <w:rsid w:val="007A0227"/>
    <w:rsid w:val="007A1908"/>
    <w:rsid w:val="007A31E6"/>
    <w:rsid w:val="007A3201"/>
    <w:rsid w:val="007A42ED"/>
    <w:rsid w:val="007A4951"/>
    <w:rsid w:val="007A69E3"/>
    <w:rsid w:val="007A7D92"/>
    <w:rsid w:val="007B1D8C"/>
    <w:rsid w:val="007B2424"/>
    <w:rsid w:val="007B39B5"/>
    <w:rsid w:val="007B3C6E"/>
    <w:rsid w:val="007B62B0"/>
    <w:rsid w:val="007B677B"/>
    <w:rsid w:val="007B76CF"/>
    <w:rsid w:val="007C06DB"/>
    <w:rsid w:val="007C07F2"/>
    <w:rsid w:val="007C3617"/>
    <w:rsid w:val="007C442F"/>
    <w:rsid w:val="007C4873"/>
    <w:rsid w:val="007C6E2F"/>
    <w:rsid w:val="007C7F1C"/>
    <w:rsid w:val="007D0241"/>
    <w:rsid w:val="007D0693"/>
    <w:rsid w:val="007D26D0"/>
    <w:rsid w:val="007D2F6E"/>
    <w:rsid w:val="007D502C"/>
    <w:rsid w:val="007D53D2"/>
    <w:rsid w:val="007D542C"/>
    <w:rsid w:val="007D5FB6"/>
    <w:rsid w:val="007D6337"/>
    <w:rsid w:val="007D71B9"/>
    <w:rsid w:val="007E03DA"/>
    <w:rsid w:val="007E0E19"/>
    <w:rsid w:val="007E21C1"/>
    <w:rsid w:val="007E6B47"/>
    <w:rsid w:val="007E7CC7"/>
    <w:rsid w:val="007F0D70"/>
    <w:rsid w:val="007F12B7"/>
    <w:rsid w:val="007F25A9"/>
    <w:rsid w:val="007F33A7"/>
    <w:rsid w:val="007F35ED"/>
    <w:rsid w:val="00800944"/>
    <w:rsid w:val="00801036"/>
    <w:rsid w:val="00801199"/>
    <w:rsid w:val="00801575"/>
    <w:rsid w:val="0080418D"/>
    <w:rsid w:val="00804A64"/>
    <w:rsid w:val="00804F81"/>
    <w:rsid w:val="00810E4C"/>
    <w:rsid w:val="00811C1B"/>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4295"/>
    <w:rsid w:val="00835E18"/>
    <w:rsid w:val="00837F0A"/>
    <w:rsid w:val="00840199"/>
    <w:rsid w:val="008405A7"/>
    <w:rsid w:val="00842423"/>
    <w:rsid w:val="0084319C"/>
    <w:rsid w:val="008437C4"/>
    <w:rsid w:val="00853B0C"/>
    <w:rsid w:val="00853B1B"/>
    <w:rsid w:val="00854301"/>
    <w:rsid w:val="00854838"/>
    <w:rsid w:val="00857361"/>
    <w:rsid w:val="008577D4"/>
    <w:rsid w:val="00860BCB"/>
    <w:rsid w:val="00860DDC"/>
    <w:rsid w:val="00861136"/>
    <w:rsid w:val="00862065"/>
    <w:rsid w:val="00862400"/>
    <w:rsid w:val="00863DB6"/>
    <w:rsid w:val="00863FD0"/>
    <w:rsid w:val="008640F4"/>
    <w:rsid w:val="00867539"/>
    <w:rsid w:val="008675E3"/>
    <w:rsid w:val="008720D8"/>
    <w:rsid w:val="0087367F"/>
    <w:rsid w:val="00873A06"/>
    <w:rsid w:val="008743C8"/>
    <w:rsid w:val="00874D70"/>
    <w:rsid w:val="00875555"/>
    <w:rsid w:val="00876C81"/>
    <w:rsid w:val="0087789D"/>
    <w:rsid w:val="008838C7"/>
    <w:rsid w:val="00883E6C"/>
    <w:rsid w:val="008857D3"/>
    <w:rsid w:val="008862B5"/>
    <w:rsid w:val="0088721E"/>
    <w:rsid w:val="0088740B"/>
    <w:rsid w:val="00887544"/>
    <w:rsid w:val="008908F5"/>
    <w:rsid w:val="00890A4C"/>
    <w:rsid w:val="00890DDA"/>
    <w:rsid w:val="00891914"/>
    <w:rsid w:val="008945FD"/>
    <w:rsid w:val="00894A72"/>
    <w:rsid w:val="008951AC"/>
    <w:rsid w:val="008961B7"/>
    <w:rsid w:val="0089677E"/>
    <w:rsid w:val="00897400"/>
    <w:rsid w:val="00897483"/>
    <w:rsid w:val="008978CC"/>
    <w:rsid w:val="008A072A"/>
    <w:rsid w:val="008A1053"/>
    <w:rsid w:val="008A1FED"/>
    <w:rsid w:val="008A227F"/>
    <w:rsid w:val="008A2418"/>
    <w:rsid w:val="008A6931"/>
    <w:rsid w:val="008B5987"/>
    <w:rsid w:val="008C1F86"/>
    <w:rsid w:val="008C2A3C"/>
    <w:rsid w:val="008C2DAD"/>
    <w:rsid w:val="008C2E65"/>
    <w:rsid w:val="008C37C8"/>
    <w:rsid w:val="008C7F13"/>
    <w:rsid w:val="008D0021"/>
    <w:rsid w:val="008D0652"/>
    <w:rsid w:val="008D0BF5"/>
    <w:rsid w:val="008D114B"/>
    <w:rsid w:val="008D2E88"/>
    <w:rsid w:val="008D45D9"/>
    <w:rsid w:val="008D7DDB"/>
    <w:rsid w:val="008D7FA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5D80"/>
    <w:rsid w:val="00916C5B"/>
    <w:rsid w:val="00917556"/>
    <w:rsid w:val="009205BD"/>
    <w:rsid w:val="009209E2"/>
    <w:rsid w:val="00924B22"/>
    <w:rsid w:val="009258F6"/>
    <w:rsid w:val="00927F3E"/>
    <w:rsid w:val="00930A46"/>
    <w:rsid w:val="00930D8F"/>
    <w:rsid w:val="00934239"/>
    <w:rsid w:val="00934A69"/>
    <w:rsid w:val="00936103"/>
    <w:rsid w:val="00936722"/>
    <w:rsid w:val="009376A3"/>
    <w:rsid w:val="00937D6F"/>
    <w:rsid w:val="009405F0"/>
    <w:rsid w:val="00942F37"/>
    <w:rsid w:val="00945087"/>
    <w:rsid w:val="009451C2"/>
    <w:rsid w:val="0095018E"/>
    <w:rsid w:val="0095022F"/>
    <w:rsid w:val="00950C28"/>
    <w:rsid w:val="009528ED"/>
    <w:rsid w:val="009548FE"/>
    <w:rsid w:val="00954B36"/>
    <w:rsid w:val="00963473"/>
    <w:rsid w:val="00964509"/>
    <w:rsid w:val="00965A62"/>
    <w:rsid w:val="00965A8D"/>
    <w:rsid w:val="00966C54"/>
    <w:rsid w:val="009678FD"/>
    <w:rsid w:val="0097037F"/>
    <w:rsid w:val="00972CB3"/>
    <w:rsid w:val="00975828"/>
    <w:rsid w:val="00975DA4"/>
    <w:rsid w:val="0097649D"/>
    <w:rsid w:val="00976EC3"/>
    <w:rsid w:val="00977466"/>
    <w:rsid w:val="00977987"/>
    <w:rsid w:val="00980CD8"/>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A32F5"/>
    <w:rsid w:val="009A4397"/>
    <w:rsid w:val="009A5462"/>
    <w:rsid w:val="009A58EC"/>
    <w:rsid w:val="009A5BBB"/>
    <w:rsid w:val="009A6815"/>
    <w:rsid w:val="009A7DF7"/>
    <w:rsid w:val="009B0310"/>
    <w:rsid w:val="009B09C6"/>
    <w:rsid w:val="009B13D3"/>
    <w:rsid w:val="009B1ACA"/>
    <w:rsid w:val="009B31FA"/>
    <w:rsid w:val="009B4A2A"/>
    <w:rsid w:val="009B6EF7"/>
    <w:rsid w:val="009C0A02"/>
    <w:rsid w:val="009C3782"/>
    <w:rsid w:val="009C4B02"/>
    <w:rsid w:val="009D182C"/>
    <w:rsid w:val="009D4ED5"/>
    <w:rsid w:val="009D5869"/>
    <w:rsid w:val="009D7CE9"/>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6D56"/>
    <w:rsid w:val="009F775D"/>
    <w:rsid w:val="00A00951"/>
    <w:rsid w:val="00A00B8C"/>
    <w:rsid w:val="00A016A9"/>
    <w:rsid w:val="00A034E8"/>
    <w:rsid w:val="00A03BF8"/>
    <w:rsid w:val="00A03C6B"/>
    <w:rsid w:val="00A059A1"/>
    <w:rsid w:val="00A111F1"/>
    <w:rsid w:val="00A13326"/>
    <w:rsid w:val="00A17418"/>
    <w:rsid w:val="00A179C6"/>
    <w:rsid w:val="00A22797"/>
    <w:rsid w:val="00A2594E"/>
    <w:rsid w:val="00A2690A"/>
    <w:rsid w:val="00A26A38"/>
    <w:rsid w:val="00A27F1E"/>
    <w:rsid w:val="00A3056D"/>
    <w:rsid w:val="00A30F8F"/>
    <w:rsid w:val="00A32C0E"/>
    <w:rsid w:val="00A32EFD"/>
    <w:rsid w:val="00A3358B"/>
    <w:rsid w:val="00A348B7"/>
    <w:rsid w:val="00A34FE8"/>
    <w:rsid w:val="00A35F40"/>
    <w:rsid w:val="00A376EC"/>
    <w:rsid w:val="00A4131F"/>
    <w:rsid w:val="00A43D3A"/>
    <w:rsid w:val="00A44B4B"/>
    <w:rsid w:val="00A4775E"/>
    <w:rsid w:val="00A52609"/>
    <w:rsid w:val="00A52796"/>
    <w:rsid w:val="00A52E90"/>
    <w:rsid w:val="00A550BD"/>
    <w:rsid w:val="00A5602B"/>
    <w:rsid w:val="00A603FA"/>
    <w:rsid w:val="00A60D25"/>
    <w:rsid w:val="00A63BEB"/>
    <w:rsid w:val="00A6519F"/>
    <w:rsid w:val="00A6575E"/>
    <w:rsid w:val="00A65E12"/>
    <w:rsid w:val="00A66FC6"/>
    <w:rsid w:val="00A67467"/>
    <w:rsid w:val="00A71215"/>
    <w:rsid w:val="00A7196F"/>
    <w:rsid w:val="00A74B2E"/>
    <w:rsid w:val="00A758F4"/>
    <w:rsid w:val="00A75B86"/>
    <w:rsid w:val="00A8393C"/>
    <w:rsid w:val="00A866E0"/>
    <w:rsid w:val="00A873A7"/>
    <w:rsid w:val="00A87F0E"/>
    <w:rsid w:val="00A93155"/>
    <w:rsid w:val="00A93B9A"/>
    <w:rsid w:val="00A9411B"/>
    <w:rsid w:val="00A943CA"/>
    <w:rsid w:val="00A94A12"/>
    <w:rsid w:val="00A95911"/>
    <w:rsid w:val="00AA07EE"/>
    <w:rsid w:val="00AA347C"/>
    <w:rsid w:val="00AA51FF"/>
    <w:rsid w:val="00AA66A4"/>
    <w:rsid w:val="00AA6CAA"/>
    <w:rsid w:val="00AA77E6"/>
    <w:rsid w:val="00AB3041"/>
    <w:rsid w:val="00AB3D2E"/>
    <w:rsid w:val="00AB4415"/>
    <w:rsid w:val="00AB62C3"/>
    <w:rsid w:val="00AB6C79"/>
    <w:rsid w:val="00AB7B74"/>
    <w:rsid w:val="00AC1289"/>
    <w:rsid w:val="00AC298F"/>
    <w:rsid w:val="00AD067A"/>
    <w:rsid w:val="00AD5870"/>
    <w:rsid w:val="00AD5C4D"/>
    <w:rsid w:val="00AD5E53"/>
    <w:rsid w:val="00AD7497"/>
    <w:rsid w:val="00AE35E2"/>
    <w:rsid w:val="00AE407C"/>
    <w:rsid w:val="00AE4B00"/>
    <w:rsid w:val="00AE4E6C"/>
    <w:rsid w:val="00AE5259"/>
    <w:rsid w:val="00AE5F33"/>
    <w:rsid w:val="00AE68AF"/>
    <w:rsid w:val="00AE6B15"/>
    <w:rsid w:val="00AE6FD6"/>
    <w:rsid w:val="00AF0B6C"/>
    <w:rsid w:val="00AF2763"/>
    <w:rsid w:val="00AF27C9"/>
    <w:rsid w:val="00AF3745"/>
    <w:rsid w:val="00AF4175"/>
    <w:rsid w:val="00B01B93"/>
    <w:rsid w:val="00B0328B"/>
    <w:rsid w:val="00B03E26"/>
    <w:rsid w:val="00B0583F"/>
    <w:rsid w:val="00B0669C"/>
    <w:rsid w:val="00B06911"/>
    <w:rsid w:val="00B06DBE"/>
    <w:rsid w:val="00B07FCB"/>
    <w:rsid w:val="00B10D13"/>
    <w:rsid w:val="00B11C68"/>
    <w:rsid w:val="00B11E69"/>
    <w:rsid w:val="00B12E1D"/>
    <w:rsid w:val="00B13366"/>
    <w:rsid w:val="00B13F72"/>
    <w:rsid w:val="00B15AE4"/>
    <w:rsid w:val="00B20DFF"/>
    <w:rsid w:val="00B222C9"/>
    <w:rsid w:val="00B23E64"/>
    <w:rsid w:val="00B2438A"/>
    <w:rsid w:val="00B26011"/>
    <w:rsid w:val="00B263C9"/>
    <w:rsid w:val="00B308A3"/>
    <w:rsid w:val="00B31161"/>
    <w:rsid w:val="00B31DA0"/>
    <w:rsid w:val="00B32DD8"/>
    <w:rsid w:val="00B33815"/>
    <w:rsid w:val="00B347DC"/>
    <w:rsid w:val="00B35E7F"/>
    <w:rsid w:val="00B36561"/>
    <w:rsid w:val="00B400EA"/>
    <w:rsid w:val="00B40306"/>
    <w:rsid w:val="00B41904"/>
    <w:rsid w:val="00B46129"/>
    <w:rsid w:val="00B46ADD"/>
    <w:rsid w:val="00B50649"/>
    <w:rsid w:val="00B50DA4"/>
    <w:rsid w:val="00B535E8"/>
    <w:rsid w:val="00B53768"/>
    <w:rsid w:val="00B565E3"/>
    <w:rsid w:val="00B57631"/>
    <w:rsid w:val="00B57DB6"/>
    <w:rsid w:val="00B60169"/>
    <w:rsid w:val="00B630CF"/>
    <w:rsid w:val="00B632E9"/>
    <w:rsid w:val="00B63F49"/>
    <w:rsid w:val="00B644F7"/>
    <w:rsid w:val="00B65358"/>
    <w:rsid w:val="00B65ACE"/>
    <w:rsid w:val="00B65C97"/>
    <w:rsid w:val="00B65EC2"/>
    <w:rsid w:val="00B6616F"/>
    <w:rsid w:val="00B66FE1"/>
    <w:rsid w:val="00B7007B"/>
    <w:rsid w:val="00B72A03"/>
    <w:rsid w:val="00B73982"/>
    <w:rsid w:val="00B73D85"/>
    <w:rsid w:val="00B73ECE"/>
    <w:rsid w:val="00B75D74"/>
    <w:rsid w:val="00B77029"/>
    <w:rsid w:val="00B77183"/>
    <w:rsid w:val="00B817E0"/>
    <w:rsid w:val="00B81DA2"/>
    <w:rsid w:val="00B83416"/>
    <w:rsid w:val="00B843CD"/>
    <w:rsid w:val="00B84812"/>
    <w:rsid w:val="00B86B09"/>
    <w:rsid w:val="00B86B7A"/>
    <w:rsid w:val="00B86BB3"/>
    <w:rsid w:val="00B876EF"/>
    <w:rsid w:val="00B909FE"/>
    <w:rsid w:val="00B912D6"/>
    <w:rsid w:val="00B92014"/>
    <w:rsid w:val="00B94616"/>
    <w:rsid w:val="00B96979"/>
    <w:rsid w:val="00BA19EC"/>
    <w:rsid w:val="00BA2225"/>
    <w:rsid w:val="00BA39C4"/>
    <w:rsid w:val="00BA3BB4"/>
    <w:rsid w:val="00BA474B"/>
    <w:rsid w:val="00BA7E0C"/>
    <w:rsid w:val="00BB3AEE"/>
    <w:rsid w:val="00BB481E"/>
    <w:rsid w:val="00BB499F"/>
    <w:rsid w:val="00BB5EC0"/>
    <w:rsid w:val="00BB6334"/>
    <w:rsid w:val="00BB7050"/>
    <w:rsid w:val="00BB7973"/>
    <w:rsid w:val="00BC08FD"/>
    <w:rsid w:val="00BC1CEE"/>
    <w:rsid w:val="00BC2AA4"/>
    <w:rsid w:val="00BC375A"/>
    <w:rsid w:val="00BC55A1"/>
    <w:rsid w:val="00BC5BE9"/>
    <w:rsid w:val="00BC6EF1"/>
    <w:rsid w:val="00BD25BF"/>
    <w:rsid w:val="00BD32FA"/>
    <w:rsid w:val="00BD47D3"/>
    <w:rsid w:val="00BE0054"/>
    <w:rsid w:val="00BE012A"/>
    <w:rsid w:val="00BE0F2C"/>
    <w:rsid w:val="00BE0F82"/>
    <w:rsid w:val="00BE11EF"/>
    <w:rsid w:val="00BE309E"/>
    <w:rsid w:val="00BE51FD"/>
    <w:rsid w:val="00BE5D49"/>
    <w:rsid w:val="00BE79A6"/>
    <w:rsid w:val="00BE7CAC"/>
    <w:rsid w:val="00BF0778"/>
    <w:rsid w:val="00BF13A5"/>
    <w:rsid w:val="00BF243B"/>
    <w:rsid w:val="00BF2441"/>
    <w:rsid w:val="00BF2689"/>
    <w:rsid w:val="00BF2EFF"/>
    <w:rsid w:val="00BF3213"/>
    <w:rsid w:val="00BF44BF"/>
    <w:rsid w:val="00BF760E"/>
    <w:rsid w:val="00BF7F06"/>
    <w:rsid w:val="00C00872"/>
    <w:rsid w:val="00C0489E"/>
    <w:rsid w:val="00C04E48"/>
    <w:rsid w:val="00C070DE"/>
    <w:rsid w:val="00C0725D"/>
    <w:rsid w:val="00C10437"/>
    <w:rsid w:val="00C116D2"/>
    <w:rsid w:val="00C126FA"/>
    <w:rsid w:val="00C12952"/>
    <w:rsid w:val="00C12F61"/>
    <w:rsid w:val="00C14230"/>
    <w:rsid w:val="00C167AC"/>
    <w:rsid w:val="00C167ED"/>
    <w:rsid w:val="00C173C9"/>
    <w:rsid w:val="00C203A0"/>
    <w:rsid w:val="00C2196F"/>
    <w:rsid w:val="00C22776"/>
    <w:rsid w:val="00C24018"/>
    <w:rsid w:val="00C2476B"/>
    <w:rsid w:val="00C250DA"/>
    <w:rsid w:val="00C25E5D"/>
    <w:rsid w:val="00C27F5E"/>
    <w:rsid w:val="00C3000A"/>
    <w:rsid w:val="00C32997"/>
    <w:rsid w:val="00C3697F"/>
    <w:rsid w:val="00C37494"/>
    <w:rsid w:val="00C374B1"/>
    <w:rsid w:val="00C374F3"/>
    <w:rsid w:val="00C376D3"/>
    <w:rsid w:val="00C416C6"/>
    <w:rsid w:val="00C42C0F"/>
    <w:rsid w:val="00C430E3"/>
    <w:rsid w:val="00C43CD6"/>
    <w:rsid w:val="00C45F57"/>
    <w:rsid w:val="00C4628E"/>
    <w:rsid w:val="00C46500"/>
    <w:rsid w:val="00C47DB3"/>
    <w:rsid w:val="00C50250"/>
    <w:rsid w:val="00C51BF2"/>
    <w:rsid w:val="00C51EDF"/>
    <w:rsid w:val="00C5250C"/>
    <w:rsid w:val="00C56AAF"/>
    <w:rsid w:val="00C56B5E"/>
    <w:rsid w:val="00C62CB0"/>
    <w:rsid w:val="00C65011"/>
    <w:rsid w:val="00C66105"/>
    <w:rsid w:val="00C671F1"/>
    <w:rsid w:val="00C67644"/>
    <w:rsid w:val="00C67E09"/>
    <w:rsid w:val="00C700AE"/>
    <w:rsid w:val="00C72DC4"/>
    <w:rsid w:val="00C81411"/>
    <w:rsid w:val="00C8145D"/>
    <w:rsid w:val="00C81FD4"/>
    <w:rsid w:val="00C8592B"/>
    <w:rsid w:val="00C91E26"/>
    <w:rsid w:val="00C94481"/>
    <w:rsid w:val="00C9508F"/>
    <w:rsid w:val="00C96E35"/>
    <w:rsid w:val="00CA279F"/>
    <w:rsid w:val="00CA4E5B"/>
    <w:rsid w:val="00CA536F"/>
    <w:rsid w:val="00CA63E8"/>
    <w:rsid w:val="00CA652B"/>
    <w:rsid w:val="00CA6FFD"/>
    <w:rsid w:val="00CA7199"/>
    <w:rsid w:val="00CB290E"/>
    <w:rsid w:val="00CB2E26"/>
    <w:rsid w:val="00CB2F0D"/>
    <w:rsid w:val="00CB303B"/>
    <w:rsid w:val="00CB4DAD"/>
    <w:rsid w:val="00CB6EAC"/>
    <w:rsid w:val="00CB7F74"/>
    <w:rsid w:val="00CC14C1"/>
    <w:rsid w:val="00CC157B"/>
    <w:rsid w:val="00CC17AE"/>
    <w:rsid w:val="00CC25EB"/>
    <w:rsid w:val="00CC4269"/>
    <w:rsid w:val="00CC550F"/>
    <w:rsid w:val="00CC56A1"/>
    <w:rsid w:val="00CC7A70"/>
    <w:rsid w:val="00CC7CE2"/>
    <w:rsid w:val="00CD1819"/>
    <w:rsid w:val="00CD2896"/>
    <w:rsid w:val="00CD4E39"/>
    <w:rsid w:val="00CD5611"/>
    <w:rsid w:val="00CD57D3"/>
    <w:rsid w:val="00CD6149"/>
    <w:rsid w:val="00CD69B2"/>
    <w:rsid w:val="00CD6FD1"/>
    <w:rsid w:val="00CD7D98"/>
    <w:rsid w:val="00CE06EC"/>
    <w:rsid w:val="00CE1EEB"/>
    <w:rsid w:val="00CE3598"/>
    <w:rsid w:val="00CE45C2"/>
    <w:rsid w:val="00CE6A45"/>
    <w:rsid w:val="00CF0E0A"/>
    <w:rsid w:val="00CF1F4C"/>
    <w:rsid w:val="00CF23E3"/>
    <w:rsid w:val="00CF328E"/>
    <w:rsid w:val="00CF6310"/>
    <w:rsid w:val="00D00C66"/>
    <w:rsid w:val="00D01398"/>
    <w:rsid w:val="00D0357C"/>
    <w:rsid w:val="00D03688"/>
    <w:rsid w:val="00D06DA1"/>
    <w:rsid w:val="00D07C8C"/>
    <w:rsid w:val="00D14D5C"/>
    <w:rsid w:val="00D14E9B"/>
    <w:rsid w:val="00D1593D"/>
    <w:rsid w:val="00D17867"/>
    <w:rsid w:val="00D2020F"/>
    <w:rsid w:val="00D20263"/>
    <w:rsid w:val="00D21DBE"/>
    <w:rsid w:val="00D21F09"/>
    <w:rsid w:val="00D24A23"/>
    <w:rsid w:val="00D250A8"/>
    <w:rsid w:val="00D257FE"/>
    <w:rsid w:val="00D25ADD"/>
    <w:rsid w:val="00D25CA2"/>
    <w:rsid w:val="00D268CF"/>
    <w:rsid w:val="00D27F87"/>
    <w:rsid w:val="00D33262"/>
    <w:rsid w:val="00D363F6"/>
    <w:rsid w:val="00D37B8E"/>
    <w:rsid w:val="00D404F4"/>
    <w:rsid w:val="00D4118C"/>
    <w:rsid w:val="00D419A2"/>
    <w:rsid w:val="00D42C0D"/>
    <w:rsid w:val="00D44FF9"/>
    <w:rsid w:val="00D4654C"/>
    <w:rsid w:val="00D46DF1"/>
    <w:rsid w:val="00D51C9A"/>
    <w:rsid w:val="00D52418"/>
    <w:rsid w:val="00D541DC"/>
    <w:rsid w:val="00D56035"/>
    <w:rsid w:val="00D56AFD"/>
    <w:rsid w:val="00D619EB"/>
    <w:rsid w:val="00D6227C"/>
    <w:rsid w:val="00D62745"/>
    <w:rsid w:val="00D63C60"/>
    <w:rsid w:val="00D64231"/>
    <w:rsid w:val="00D643EF"/>
    <w:rsid w:val="00D651DD"/>
    <w:rsid w:val="00D70BC5"/>
    <w:rsid w:val="00D727D0"/>
    <w:rsid w:val="00D75E58"/>
    <w:rsid w:val="00D7649C"/>
    <w:rsid w:val="00D82AD9"/>
    <w:rsid w:val="00D83165"/>
    <w:rsid w:val="00D8376F"/>
    <w:rsid w:val="00D850B8"/>
    <w:rsid w:val="00D87E6F"/>
    <w:rsid w:val="00D9279B"/>
    <w:rsid w:val="00D94630"/>
    <w:rsid w:val="00D9472B"/>
    <w:rsid w:val="00D94E6E"/>
    <w:rsid w:val="00D96227"/>
    <w:rsid w:val="00D96679"/>
    <w:rsid w:val="00D97347"/>
    <w:rsid w:val="00DA123A"/>
    <w:rsid w:val="00DA19BC"/>
    <w:rsid w:val="00DA24E2"/>
    <w:rsid w:val="00DA2952"/>
    <w:rsid w:val="00DA5380"/>
    <w:rsid w:val="00DA5B16"/>
    <w:rsid w:val="00DA6ACF"/>
    <w:rsid w:val="00DB0246"/>
    <w:rsid w:val="00DB11F4"/>
    <w:rsid w:val="00DB4E9C"/>
    <w:rsid w:val="00DB6523"/>
    <w:rsid w:val="00DB6685"/>
    <w:rsid w:val="00DB6C15"/>
    <w:rsid w:val="00DB74DE"/>
    <w:rsid w:val="00DC1CA3"/>
    <w:rsid w:val="00DC25CB"/>
    <w:rsid w:val="00DC26C4"/>
    <w:rsid w:val="00DC393D"/>
    <w:rsid w:val="00DC3DF5"/>
    <w:rsid w:val="00DC4C3D"/>
    <w:rsid w:val="00DC511E"/>
    <w:rsid w:val="00DC5A34"/>
    <w:rsid w:val="00DC5BB8"/>
    <w:rsid w:val="00DC5DD9"/>
    <w:rsid w:val="00DC72D6"/>
    <w:rsid w:val="00DD091C"/>
    <w:rsid w:val="00DD2292"/>
    <w:rsid w:val="00DD427D"/>
    <w:rsid w:val="00DD4D95"/>
    <w:rsid w:val="00DE2EF4"/>
    <w:rsid w:val="00DE3DFD"/>
    <w:rsid w:val="00DE584B"/>
    <w:rsid w:val="00DE6A19"/>
    <w:rsid w:val="00DF6A98"/>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DB9"/>
    <w:rsid w:val="00E23D18"/>
    <w:rsid w:val="00E240A5"/>
    <w:rsid w:val="00E245B2"/>
    <w:rsid w:val="00E247F0"/>
    <w:rsid w:val="00E25817"/>
    <w:rsid w:val="00E25E6E"/>
    <w:rsid w:val="00E266D4"/>
    <w:rsid w:val="00E27BC4"/>
    <w:rsid w:val="00E34393"/>
    <w:rsid w:val="00E353C8"/>
    <w:rsid w:val="00E36C86"/>
    <w:rsid w:val="00E36F05"/>
    <w:rsid w:val="00E37305"/>
    <w:rsid w:val="00E37B70"/>
    <w:rsid w:val="00E449A7"/>
    <w:rsid w:val="00E45EEA"/>
    <w:rsid w:val="00E465EC"/>
    <w:rsid w:val="00E523EB"/>
    <w:rsid w:val="00E530DB"/>
    <w:rsid w:val="00E62F1F"/>
    <w:rsid w:val="00E63CFB"/>
    <w:rsid w:val="00E644E0"/>
    <w:rsid w:val="00E64B8A"/>
    <w:rsid w:val="00E64FE9"/>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A1510"/>
    <w:rsid w:val="00EA1EF4"/>
    <w:rsid w:val="00EA3FCF"/>
    <w:rsid w:val="00EA499B"/>
    <w:rsid w:val="00EA4F20"/>
    <w:rsid w:val="00EA5829"/>
    <w:rsid w:val="00EA6050"/>
    <w:rsid w:val="00EA6552"/>
    <w:rsid w:val="00EA73DB"/>
    <w:rsid w:val="00EA77E5"/>
    <w:rsid w:val="00EB0C2C"/>
    <w:rsid w:val="00EB0E5E"/>
    <w:rsid w:val="00EB1EBB"/>
    <w:rsid w:val="00EB23AB"/>
    <w:rsid w:val="00EB4133"/>
    <w:rsid w:val="00EB4D7D"/>
    <w:rsid w:val="00EB5E0E"/>
    <w:rsid w:val="00EB6BC3"/>
    <w:rsid w:val="00EC5B6B"/>
    <w:rsid w:val="00ED0F2D"/>
    <w:rsid w:val="00ED1498"/>
    <w:rsid w:val="00ED1FF5"/>
    <w:rsid w:val="00ED21BC"/>
    <w:rsid w:val="00ED42CE"/>
    <w:rsid w:val="00ED7699"/>
    <w:rsid w:val="00EE28AB"/>
    <w:rsid w:val="00EE47B2"/>
    <w:rsid w:val="00EE5CB2"/>
    <w:rsid w:val="00EF141F"/>
    <w:rsid w:val="00EF22DB"/>
    <w:rsid w:val="00EF3529"/>
    <w:rsid w:val="00EF5D3F"/>
    <w:rsid w:val="00EF712B"/>
    <w:rsid w:val="00EF7D01"/>
    <w:rsid w:val="00EF7D5A"/>
    <w:rsid w:val="00F018F3"/>
    <w:rsid w:val="00F01BE9"/>
    <w:rsid w:val="00F020DD"/>
    <w:rsid w:val="00F02505"/>
    <w:rsid w:val="00F03617"/>
    <w:rsid w:val="00F04EF2"/>
    <w:rsid w:val="00F05FA7"/>
    <w:rsid w:val="00F06801"/>
    <w:rsid w:val="00F06EAB"/>
    <w:rsid w:val="00F112EA"/>
    <w:rsid w:val="00F13519"/>
    <w:rsid w:val="00F147C4"/>
    <w:rsid w:val="00F16C66"/>
    <w:rsid w:val="00F17781"/>
    <w:rsid w:val="00F22A53"/>
    <w:rsid w:val="00F23882"/>
    <w:rsid w:val="00F25C21"/>
    <w:rsid w:val="00F25F07"/>
    <w:rsid w:val="00F2626E"/>
    <w:rsid w:val="00F26B4C"/>
    <w:rsid w:val="00F31EA1"/>
    <w:rsid w:val="00F34DA5"/>
    <w:rsid w:val="00F35EC8"/>
    <w:rsid w:val="00F377A4"/>
    <w:rsid w:val="00F37909"/>
    <w:rsid w:val="00F41368"/>
    <w:rsid w:val="00F41834"/>
    <w:rsid w:val="00F44420"/>
    <w:rsid w:val="00F45CFC"/>
    <w:rsid w:val="00F469BA"/>
    <w:rsid w:val="00F474F2"/>
    <w:rsid w:val="00F52628"/>
    <w:rsid w:val="00F55401"/>
    <w:rsid w:val="00F55FA6"/>
    <w:rsid w:val="00F5774B"/>
    <w:rsid w:val="00F60480"/>
    <w:rsid w:val="00F61254"/>
    <w:rsid w:val="00F61EEE"/>
    <w:rsid w:val="00F64D99"/>
    <w:rsid w:val="00F6590C"/>
    <w:rsid w:val="00F678E0"/>
    <w:rsid w:val="00F703CA"/>
    <w:rsid w:val="00F715E6"/>
    <w:rsid w:val="00F7263B"/>
    <w:rsid w:val="00F72EE9"/>
    <w:rsid w:val="00F743FE"/>
    <w:rsid w:val="00F76B51"/>
    <w:rsid w:val="00F774B6"/>
    <w:rsid w:val="00F779CD"/>
    <w:rsid w:val="00F80A6A"/>
    <w:rsid w:val="00F83508"/>
    <w:rsid w:val="00F837B8"/>
    <w:rsid w:val="00F838CE"/>
    <w:rsid w:val="00F84D96"/>
    <w:rsid w:val="00F91422"/>
    <w:rsid w:val="00F9167A"/>
    <w:rsid w:val="00F91DBB"/>
    <w:rsid w:val="00F955B1"/>
    <w:rsid w:val="00F961B9"/>
    <w:rsid w:val="00F9726F"/>
    <w:rsid w:val="00FA1256"/>
    <w:rsid w:val="00FA1516"/>
    <w:rsid w:val="00FA208A"/>
    <w:rsid w:val="00FA3EAA"/>
    <w:rsid w:val="00FA578A"/>
    <w:rsid w:val="00FB2B62"/>
    <w:rsid w:val="00FB3398"/>
    <w:rsid w:val="00FB37AA"/>
    <w:rsid w:val="00FB38B9"/>
    <w:rsid w:val="00FB3EF3"/>
    <w:rsid w:val="00FB4FC4"/>
    <w:rsid w:val="00FB50D6"/>
    <w:rsid w:val="00FB57D8"/>
    <w:rsid w:val="00FB665C"/>
    <w:rsid w:val="00FB668B"/>
    <w:rsid w:val="00FC072E"/>
    <w:rsid w:val="00FC5F55"/>
    <w:rsid w:val="00FC6771"/>
    <w:rsid w:val="00FD0ACF"/>
    <w:rsid w:val="00FD1ECE"/>
    <w:rsid w:val="00FD32A7"/>
    <w:rsid w:val="00FD5E24"/>
    <w:rsid w:val="00FE1080"/>
    <w:rsid w:val="00FE133D"/>
    <w:rsid w:val="00FE1A74"/>
    <w:rsid w:val="00FE206C"/>
    <w:rsid w:val="00FE4D17"/>
    <w:rsid w:val="00FE5427"/>
    <w:rsid w:val="00FE63A1"/>
    <w:rsid w:val="00FE71C5"/>
    <w:rsid w:val="00FF0E9F"/>
    <w:rsid w:val="00FF21FA"/>
    <w:rsid w:val="00FF23BD"/>
    <w:rsid w:val="00FF33F5"/>
    <w:rsid w:val="00FF536D"/>
    <w:rsid w:val="00FF5408"/>
    <w:rsid w:val="00FF623A"/>
    <w:rsid w:val="00FF6240"/>
    <w:rsid w:val="00FF680E"/>
    <w:rsid w:val="010C1F2E"/>
    <w:rsid w:val="05AB2747"/>
    <w:rsid w:val="07E027FB"/>
    <w:rsid w:val="084560FF"/>
    <w:rsid w:val="0A4548F8"/>
    <w:rsid w:val="0CA820D8"/>
    <w:rsid w:val="0E537D4A"/>
    <w:rsid w:val="0EBC1367"/>
    <w:rsid w:val="10461A6B"/>
    <w:rsid w:val="11B77864"/>
    <w:rsid w:val="129F4311"/>
    <w:rsid w:val="145D1D7A"/>
    <w:rsid w:val="16C3618F"/>
    <w:rsid w:val="1A490FF8"/>
    <w:rsid w:val="1DA13F3F"/>
    <w:rsid w:val="21CB7863"/>
    <w:rsid w:val="2205553E"/>
    <w:rsid w:val="22B1221A"/>
    <w:rsid w:val="231E3CEC"/>
    <w:rsid w:val="24295BA6"/>
    <w:rsid w:val="27E01094"/>
    <w:rsid w:val="2B1B4372"/>
    <w:rsid w:val="2CB47331"/>
    <w:rsid w:val="2DB1273B"/>
    <w:rsid w:val="2E132CAC"/>
    <w:rsid w:val="318949A1"/>
    <w:rsid w:val="32163D42"/>
    <w:rsid w:val="35410BA6"/>
    <w:rsid w:val="376E7BF5"/>
    <w:rsid w:val="378113AE"/>
    <w:rsid w:val="37AC1BBE"/>
    <w:rsid w:val="38A674CC"/>
    <w:rsid w:val="3CAC2DE1"/>
    <w:rsid w:val="3D493A08"/>
    <w:rsid w:val="3E2E2A8B"/>
    <w:rsid w:val="3FCF4A8E"/>
    <w:rsid w:val="44DC5472"/>
    <w:rsid w:val="468E71DB"/>
    <w:rsid w:val="47381EAF"/>
    <w:rsid w:val="47DD1299"/>
    <w:rsid w:val="490234F9"/>
    <w:rsid w:val="4AB27CAF"/>
    <w:rsid w:val="4B432C05"/>
    <w:rsid w:val="50625682"/>
    <w:rsid w:val="51CF1D01"/>
    <w:rsid w:val="51DA565B"/>
    <w:rsid w:val="535940CA"/>
    <w:rsid w:val="554B32A8"/>
    <w:rsid w:val="565A40BC"/>
    <w:rsid w:val="59A536CF"/>
    <w:rsid w:val="5AA9464C"/>
    <w:rsid w:val="5BC61BBC"/>
    <w:rsid w:val="5C85001E"/>
    <w:rsid w:val="5D077594"/>
    <w:rsid w:val="5DA56BD3"/>
    <w:rsid w:val="622E2AD0"/>
    <w:rsid w:val="64E82C0E"/>
    <w:rsid w:val="66296256"/>
    <w:rsid w:val="66F463D0"/>
    <w:rsid w:val="67785AB1"/>
    <w:rsid w:val="69903FC9"/>
    <w:rsid w:val="6A4E52F8"/>
    <w:rsid w:val="6C5C6291"/>
    <w:rsid w:val="6CD831A4"/>
    <w:rsid w:val="709A27D6"/>
    <w:rsid w:val="751600BD"/>
    <w:rsid w:val="77763CAD"/>
    <w:rsid w:val="78042B76"/>
    <w:rsid w:val="79BD37A5"/>
    <w:rsid w:val="7E3238E9"/>
    <w:rsid w:val="7F2E59FC"/>
    <w:rsid w:val="7FF970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4"/>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5"/>
    <w:qFormat/>
    <w:uiPriority w:val="99"/>
    <w:pPr>
      <w:keepNext/>
      <w:keepLines/>
      <w:spacing w:before="260" w:after="260" w:line="416" w:lineRule="atLeast"/>
      <w:outlineLvl w:val="2"/>
    </w:pPr>
    <w:rPr>
      <w:b/>
      <w:bCs/>
      <w:sz w:val="32"/>
      <w:szCs w:val="3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Body Text"/>
    <w:basedOn w:val="1"/>
    <w:link w:val="61"/>
    <w:unhideWhenUsed/>
    <w:qFormat/>
    <w:locked/>
    <w:uiPriority w:val="99"/>
    <w:pPr>
      <w:spacing w:after="120"/>
    </w:pPr>
  </w:style>
  <w:style w:type="paragraph" w:styleId="5">
    <w:name w:val="Body Text Indent"/>
    <w:basedOn w:val="1"/>
    <w:link w:val="26"/>
    <w:qFormat/>
    <w:uiPriority w:val="99"/>
    <w:pPr>
      <w:widowControl w:val="0"/>
      <w:snapToGrid w:val="0"/>
      <w:spacing w:before="283" w:line="560" w:lineRule="exact"/>
      <w:ind w:firstLine="510"/>
    </w:pPr>
    <w:rPr>
      <w:sz w:val="20"/>
    </w:rPr>
  </w:style>
  <w:style w:type="paragraph" w:styleId="6">
    <w:name w:val="Plain Text"/>
    <w:basedOn w:val="1"/>
    <w:link w:val="27"/>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8"/>
    <w:qFormat/>
    <w:uiPriority w:val="99"/>
    <w:pPr>
      <w:ind w:left="100" w:leftChars="2500"/>
    </w:pPr>
  </w:style>
  <w:style w:type="paragraph" w:styleId="8">
    <w:name w:val="Balloon Text"/>
    <w:basedOn w:val="1"/>
    <w:link w:val="29"/>
    <w:qFormat/>
    <w:uiPriority w:val="99"/>
    <w:pPr>
      <w:spacing w:line="240" w:lineRule="auto"/>
    </w:pPr>
    <w:rPr>
      <w:sz w:val="18"/>
      <w:szCs w:val="18"/>
    </w:rPr>
  </w:style>
  <w:style w:type="paragraph" w:styleId="9">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footnote text"/>
    <w:basedOn w:val="1"/>
    <w:semiHidden/>
    <w:qFormat/>
    <w:locked/>
    <w:uiPriority w:val="0"/>
    <w:pPr>
      <w:snapToGrid w:val="0"/>
      <w:jc w:val="left"/>
    </w:pPr>
    <w:rPr>
      <w:kern w:val="0"/>
      <w:sz w:val="18"/>
      <w:szCs w:val="18"/>
    </w:rPr>
  </w:style>
  <w:style w:type="paragraph" w:styleId="13">
    <w:name w:val="toc 2"/>
    <w:basedOn w:val="1"/>
    <w:next w:val="1"/>
    <w:qFormat/>
    <w:uiPriority w:val="39"/>
    <w:pPr>
      <w:ind w:left="420" w:leftChars="200"/>
    </w:pPr>
  </w:style>
  <w:style w:type="paragraph" w:styleId="14">
    <w:name w:val="Body Text 2"/>
    <w:basedOn w:val="1"/>
    <w:link w:val="32"/>
    <w:qFormat/>
    <w:uiPriority w:val="99"/>
    <w:pPr>
      <w:spacing w:after="120" w:line="480" w:lineRule="auto"/>
    </w:pPr>
    <w:rPr>
      <w:sz w:val="20"/>
    </w:rPr>
  </w:style>
  <w:style w:type="paragraph" w:styleId="15">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6">
    <w:name w:val="Body Text First Indent"/>
    <w:basedOn w:val="4"/>
    <w:link w:val="62"/>
    <w:unhideWhenUsed/>
    <w:qFormat/>
    <w:locked/>
    <w:uiPriority w:val="99"/>
    <w:pPr>
      <w:ind w:firstLine="420" w:firstLineChars="1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99"/>
    <w:rPr>
      <w:rFonts w:cs="Times New Roman"/>
      <w:b/>
    </w:rPr>
  </w:style>
  <w:style w:type="character" w:styleId="21">
    <w:name w:val="page number"/>
    <w:qFormat/>
    <w:uiPriority w:val="99"/>
    <w:rPr>
      <w:rFonts w:cs="Times New Roman"/>
    </w:rPr>
  </w:style>
  <w:style w:type="character" w:styleId="22">
    <w:name w:val="Hyperlink"/>
    <w:qFormat/>
    <w:uiPriority w:val="99"/>
    <w:rPr>
      <w:rFonts w:cs="Times New Roman"/>
      <w:color w:val="0368A8"/>
      <w:u w:val="none"/>
    </w:rPr>
  </w:style>
  <w:style w:type="paragraph" w:customStyle="1" w:styleId="23">
    <w:name w:val="Default"/>
    <w:next w:val="12"/>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4">
    <w:name w:val="标题 1 Char"/>
    <w:link w:val="2"/>
    <w:qFormat/>
    <w:locked/>
    <w:uiPriority w:val="99"/>
    <w:rPr>
      <w:rFonts w:cs="Times New Roman"/>
      <w:b/>
      <w:color w:val="000000"/>
      <w:kern w:val="44"/>
      <w:sz w:val="44"/>
      <w:u w:val="none" w:color="000000"/>
    </w:rPr>
  </w:style>
  <w:style w:type="character" w:customStyle="1" w:styleId="25">
    <w:name w:val="标题 3 Char"/>
    <w:link w:val="3"/>
    <w:semiHidden/>
    <w:qFormat/>
    <w:locked/>
    <w:uiPriority w:val="99"/>
    <w:rPr>
      <w:rFonts w:cs="Times New Roman"/>
      <w:b/>
      <w:color w:val="000000"/>
      <w:sz w:val="32"/>
      <w:u w:val="none" w:color="000000"/>
    </w:rPr>
  </w:style>
  <w:style w:type="character" w:customStyle="1" w:styleId="26">
    <w:name w:val="正文文本缩进 Char"/>
    <w:link w:val="5"/>
    <w:semiHidden/>
    <w:qFormat/>
    <w:locked/>
    <w:uiPriority w:val="99"/>
    <w:rPr>
      <w:rFonts w:cs="Times New Roman"/>
      <w:color w:val="000000"/>
      <w:kern w:val="0"/>
      <w:sz w:val="20"/>
      <w:u w:val="none" w:color="000000"/>
    </w:rPr>
  </w:style>
  <w:style w:type="character" w:customStyle="1" w:styleId="27">
    <w:name w:val="纯文本 Char1"/>
    <w:link w:val="6"/>
    <w:qFormat/>
    <w:locked/>
    <w:uiPriority w:val="99"/>
    <w:rPr>
      <w:rFonts w:ascii="宋体" w:hAnsi="Courier New" w:cs="Times New Roman"/>
      <w:color w:val="000000"/>
      <w:kern w:val="0"/>
      <w:sz w:val="21"/>
      <w:u w:val="none" w:color="000000"/>
    </w:rPr>
  </w:style>
  <w:style w:type="character" w:customStyle="1" w:styleId="28">
    <w:name w:val="日期 Char"/>
    <w:link w:val="7"/>
    <w:qFormat/>
    <w:locked/>
    <w:uiPriority w:val="99"/>
    <w:rPr>
      <w:rFonts w:cs="Times New Roman"/>
      <w:color w:val="000000"/>
      <w:sz w:val="21"/>
      <w:u w:val="none" w:color="000000"/>
    </w:rPr>
  </w:style>
  <w:style w:type="character" w:customStyle="1" w:styleId="29">
    <w:name w:val="批注框文本 Char"/>
    <w:link w:val="8"/>
    <w:qFormat/>
    <w:locked/>
    <w:uiPriority w:val="99"/>
    <w:rPr>
      <w:rFonts w:cs="Times New Roman"/>
      <w:color w:val="000000"/>
      <w:sz w:val="18"/>
      <w:u w:val="none" w:color="000000"/>
    </w:rPr>
  </w:style>
  <w:style w:type="character" w:customStyle="1" w:styleId="30">
    <w:name w:val="页脚 Char"/>
    <w:link w:val="9"/>
    <w:semiHidden/>
    <w:qFormat/>
    <w:locked/>
    <w:uiPriority w:val="99"/>
    <w:rPr>
      <w:rFonts w:cs="Times New Roman"/>
      <w:color w:val="000000"/>
      <w:kern w:val="0"/>
      <w:sz w:val="18"/>
      <w:u w:val="none" w:color="000000"/>
    </w:rPr>
  </w:style>
  <w:style w:type="character" w:customStyle="1" w:styleId="31">
    <w:name w:val="页眉 Char"/>
    <w:link w:val="10"/>
    <w:semiHidden/>
    <w:qFormat/>
    <w:locked/>
    <w:uiPriority w:val="99"/>
    <w:rPr>
      <w:rFonts w:cs="Times New Roman"/>
      <w:color w:val="000000"/>
      <w:kern w:val="0"/>
      <w:sz w:val="18"/>
      <w:u w:val="none" w:color="000000"/>
    </w:rPr>
  </w:style>
  <w:style w:type="character" w:customStyle="1" w:styleId="32">
    <w:name w:val="正文文本 2 Char"/>
    <w:link w:val="14"/>
    <w:semiHidden/>
    <w:qFormat/>
    <w:locked/>
    <w:uiPriority w:val="99"/>
    <w:rPr>
      <w:rFonts w:cs="Times New Roman"/>
      <w:color w:val="000000"/>
      <w:kern w:val="0"/>
      <w:sz w:val="20"/>
      <w:u w:val="none" w:color="000000"/>
    </w:rPr>
  </w:style>
  <w:style w:type="paragraph" w:customStyle="1" w:styleId="33">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4">
    <w:name w:val="章标题"/>
    <w:basedOn w:val="1"/>
    <w:next w:val="35"/>
    <w:qFormat/>
    <w:uiPriority w:val="99"/>
    <w:pPr>
      <w:spacing w:before="158" w:after="153" w:line="323" w:lineRule="atLeast"/>
      <w:jc w:val="center"/>
    </w:pPr>
    <w:rPr>
      <w:rFonts w:ascii="Arial" w:eastAsia="黑体"/>
      <w:sz w:val="31"/>
    </w:rPr>
  </w:style>
  <w:style w:type="paragraph" w:customStyle="1" w:styleId="35">
    <w:name w:val="节标题"/>
    <w:basedOn w:val="1"/>
    <w:next w:val="36"/>
    <w:qFormat/>
    <w:uiPriority w:val="99"/>
    <w:pPr>
      <w:spacing w:line="289" w:lineRule="atLeast"/>
      <w:jc w:val="center"/>
    </w:pPr>
    <w:rPr>
      <w:sz w:val="28"/>
    </w:rPr>
  </w:style>
  <w:style w:type="paragraph" w:customStyle="1" w:styleId="36">
    <w:name w:val="小节标题"/>
    <w:basedOn w:val="1"/>
    <w:next w:val="1"/>
    <w:qFormat/>
    <w:uiPriority w:val="99"/>
    <w:pPr>
      <w:spacing w:before="175" w:after="102" w:line="351" w:lineRule="atLeast"/>
    </w:pPr>
    <w:rPr>
      <w:rFonts w:eastAsia="黑体"/>
    </w:rPr>
  </w:style>
  <w:style w:type="paragraph" w:customStyle="1" w:styleId="37">
    <w:name w:val="目录2"/>
    <w:basedOn w:val="1"/>
    <w:next w:val="1"/>
    <w:qFormat/>
    <w:uiPriority w:val="99"/>
    <w:pPr>
      <w:tabs>
        <w:tab w:val="left" w:leader="dot" w:pos="8503"/>
      </w:tabs>
      <w:spacing w:line="317" w:lineRule="atLeast"/>
      <w:ind w:firstLine="209"/>
    </w:pPr>
  </w:style>
  <w:style w:type="paragraph" w:customStyle="1" w:styleId="38">
    <w:name w:val="目录4"/>
    <w:basedOn w:val="1"/>
    <w:next w:val="1"/>
    <w:qFormat/>
    <w:uiPriority w:val="99"/>
    <w:pPr>
      <w:tabs>
        <w:tab w:val="left" w:leader="dot" w:pos="8503"/>
      </w:tabs>
      <w:spacing w:line="317" w:lineRule="atLeast"/>
      <w:ind w:firstLine="629"/>
    </w:pPr>
  </w:style>
  <w:style w:type="paragraph" w:customStyle="1" w:styleId="39">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0">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1">
    <w:name w:val="目录3"/>
    <w:basedOn w:val="1"/>
    <w:next w:val="1"/>
    <w:qFormat/>
    <w:uiPriority w:val="99"/>
    <w:pPr>
      <w:tabs>
        <w:tab w:val="left" w:leader="dot" w:pos="8503"/>
      </w:tabs>
      <w:spacing w:line="317" w:lineRule="atLeast"/>
      <w:ind w:firstLine="419"/>
    </w:pPr>
  </w:style>
  <w:style w:type="paragraph" w:customStyle="1" w:styleId="42">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3">
    <w:name w:val="文章总标题"/>
    <w:basedOn w:val="1"/>
    <w:next w:val="44"/>
    <w:qFormat/>
    <w:uiPriority w:val="99"/>
    <w:pPr>
      <w:spacing w:before="566" w:after="544" w:line="566" w:lineRule="atLeast"/>
      <w:jc w:val="center"/>
    </w:pPr>
    <w:rPr>
      <w:rFonts w:ascii="Arial" w:eastAsia="黑体"/>
      <w:sz w:val="54"/>
    </w:rPr>
  </w:style>
  <w:style w:type="paragraph" w:customStyle="1" w:styleId="44">
    <w:name w:val="文章附标题"/>
    <w:basedOn w:val="1"/>
    <w:next w:val="34"/>
    <w:qFormat/>
    <w:uiPriority w:val="99"/>
    <w:pPr>
      <w:spacing w:before="187" w:after="175" w:line="374" w:lineRule="atLeast"/>
      <w:jc w:val="center"/>
    </w:pPr>
    <w:rPr>
      <w:sz w:val="36"/>
    </w:rPr>
  </w:style>
  <w:style w:type="paragraph" w:customStyle="1" w:styleId="45">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7">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8">
    <w:name w:val="WPS Plain"/>
    <w:qFormat/>
    <w:uiPriority w:val="99"/>
    <w:rPr>
      <w:rFonts w:ascii="Times New Roman" w:hAnsi="Times New Roman" w:eastAsia="宋体" w:cs="Times New Roman"/>
      <w:lang w:val="en-US" w:eastAsia="zh-CN" w:bidi="ar-SA"/>
    </w:rPr>
  </w:style>
  <w:style w:type="paragraph" w:customStyle="1" w:styleId="49">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style>
  <w:style w:type="character" w:customStyle="1" w:styleId="54">
    <w:name w:val="纯文本 Char"/>
    <w:qFormat/>
    <w:locked/>
    <w:uiPriority w:val="99"/>
    <w:rPr>
      <w:rFonts w:ascii="宋体" w:hAnsi="Courier New" w:eastAsia="宋体"/>
      <w:kern w:val="2"/>
      <w:sz w:val="21"/>
      <w:lang w:val="en-US" w:eastAsia="zh-CN"/>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Plain Text Char1"/>
    <w:semiHidden/>
    <w:qFormat/>
    <w:locked/>
    <w:uiPriority w:val="99"/>
    <w:rPr>
      <w:rFonts w:ascii="宋体" w:hAnsi="Courier New" w:cs="Courier New"/>
      <w:color w:val="000000"/>
      <w:kern w:val="0"/>
      <w:sz w:val="21"/>
      <w:szCs w:val="21"/>
      <w:u w:val="none" w:color="000000"/>
    </w:rPr>
  </w:style>
  <w:style w:type="character" w:customStyle="1" w:styleId="58">
    <w:name w:val="15"/>
    <w:basedOn w:val="19"/>
    <w:qFormat/>
    <w:uiPriority w:val="0"/>
  </w:style>
  <w:style w:type="character" w:customStyle="1" w:styleId="59">
    <w:name w:val="样式 首行缩进:  0 字符 Char"/>
    <w:link w:val="60"/>
    <w:qFormat/>
    <w:locked/>
    <w:uiPriority w:val="0"/>
    <w:rPr>
      <w:sz w:val="24"/>
    </w:rPr>
  </w:style>
  <w:style w:type="paragraph" w:customStyle="1" w:styleId="60">
    <w:name w:val="样式 首行缩进:  0 字符"/>
    <w:basedOn w:val="1"/>
    <w:link w:val="59"/>
    <w:qFormat/>
    <w:uiPriority w:val="0"/>
    <w:pPr>
      <w:widowControl w:val="0"/>
      <w:spacing w:line="360" w:lineRule="auto"/>
      <w:ind w:firstLine="200" w:firstLineChars="200"/>
      <w:textAlignment w:val="auto"/>
    </w:pPr>
    <w:rPr>
      <w:color w:val="auto"/>
      <w:sz w:val="24"/>
    </w:rPr>
  </w:style>
  <w:style w:type="character" w:customStyle="1" w:styleId="61">
    <w:name w:val="正文文本 Char"/>
    <w:link w:val="4"/>
    <w:semiHidden/>
    <w:qFormat/>
    <w:uiPriority w:val="99"/>
    <w:rPr>
      <w:color w:val="000000"/>
      <w:sz w:val="21"/>
      <w:u w:color="000000"/>
    </w:rPr>
  </w:style>
  <w:style w:type="character" w:customStyle="1" w:styleId="62">
    <w:name w:val="正文首行缩进 Char"/>
    <w:link w:val="16"/>
    <w:semiHidden/>
    <w:qFormat/>
    <w:uiPriority w:val="99"/>
    <w:rPr>
      <w:color w:val="000000"/>
      <w:sz w:val="21"/>
      <w:u w:color="000000"/>
    </w:rPr>
  </w:style>
  <w:style w:type="paragraph" w:customStyle="1" w:styleId="63">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4">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5">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6">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8">
    <w:name w:val="font31"/>
    <w:basedOn w:val="19"/>
    <w:qFormat/>
    <w:uiPriority w:val="0"/>
    <w:rPr>
      <w:rFonts w:ascii="宋体" w:hAnsi="宋体" w:eastAsia="宋体" w:cs="宋体"/>
      <w:color w:val="000000"/>
      <w:sz w:val="16"/>
      <w:szCs w:val="16"/>
      <w:u w:val="none"/>
    </w:rPr>
  </w:style>
  <w:style w:type="character" w:customStyle="1" w:styleId="69">
    <w:name w:val="font41"/>
    <w:basedOn w:val="19"/>
    <w:qFormat/>
    <w:uiPriority w:val="0"/>
    <w:rPr>
      <w:rFonts w:ascii="宋体" w:hAnsi="宋体" w:eastAsia="宋体" w:cs="宋体"/>
      <w:color w:val="000000"/>
      <w:sz w:val="24"/>
      <w:szCs w:val="24"/>
      <w:u w:val="none"/>
    </w:rPr>
  </w:style>
  <w:style w:type="character" w:customStyle="1" w:styleId="70">
    <w:name w:val="font51"/>
    <w:basedOn w:val="19"/>
    <w:qFormat/>
    <w:uiPriority w:val="0"/>
    <w:rPr>
      <w:rFonts w:ascii="Arial" w:hAnsi="Arial" w:cs="Arial"/>
      <w:color w:val="000000"/>
      <w:sz w:val="12"/>
      <w:szCs w:val="12"/>
      <w:u w:val="none"/>
    </w:rPr>
  </w:style>
  <w:style w:type="character" w:customStyle="1" w:styleId="71">
    <w:name w:val="font21"/>
    <w:basedOn w:val="19"/>
    <w:qFormat/>
    <w:uiPriority w:val="0"/>
    <w:rPr>
      <w:rFonts w:ascii="宋体" w:hAnsi="宋体" w:eastAsia="宋体" w:cs="宋体"/>
      <w:color w:val="000000"/>
      <w:sz w:val="24"/>
      <w:szCs w:val="24"/>
      <w:u w:val="none"/>
    </w:rPr>
  </w:style>
  <w:style w:type="character" w:customStyle="1" w:styleId="72">
    <w:name w:val="NormalCharacter"/>
    <w:semiHidden/>
    <w:qFormat/>
    <w:uiPriority w:val="0"/>
  </w:style>
  <w:style w:type="paragraph" w:customStyle="1" w:styleId="73">
    <w:name w:val="Table Text"/>
    <w:basedOn w:val="1"/>
    <w:semiHidden/>
    <w:qFormat/>
    <w:uiPriority w:val="0"/>
    <w:rPr>
      <w:rFonts w:ascii="宋体" w:hAnsi="宋体" w:eastAsia="宋体" w:cs="宋体"/>
      <w:sz w:val="17"/>
      <w:szCs w:val="17"/>
      <w:lang w:val="en-US" w:eastAsia="en-US" w:bidi="ar-SA"/>
    </w:rPr>
  </w:style>
  <w:style w:type="table" w:customStyle="1" w:styleId="7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425</Words>
  <Characters>478</Characters>
  <Lines>410</Lines>
  <Paragraphs>115</Paragraphs>
  <TotalTime>0</TotalTime>
  <ScaleCrop>false</ScaleCrop>
  <LinksUpToDate>false</LinksUpToDate>
  <CharactersWithSpaces>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cp:lastPrinted>2026-06-09T09:16:00Z</cp:lastPrinted>
  <dcterms:modified xsi:type="dcterms:W3CDTF">2026-07-06T06:58:40Z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eyJoZGlkIjoiYWViYWFjMDEyOWIxMDRiMzJjNmM0MTE3OGZjYjA0YjkiLCJ1c2VySWQiOiI3NDg5MDAyMDMifQ==</vt:lpwstr>
  </property>
  <property fmtid="{D5CDD505-2E9C-101B-9397-08002B2CF9AE}" pid="4" name="ICV">
    <vt:lpwstr>98482F7E666E4947B14943401876667C_13</vt:lpwstr>
  </property>
</Properties>
</file>