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AC38B6">
      <w:pPr>
        <w:widowControl w:val="0"/>
        <w:snapToGrid w:val="0"/>
        <w:spacing w:line="360" w:lineRule="auto"/>
        <w:jc w:val="center"/>
        <w:outlineLvl w:val="0"/>
        <w:rPr>
          <w:rFonts w:eastAsia="方正黑体简体"/>
          <w:color w:val="auto"/>
          <w:sz w:val="36"/>
          <w:szCs w:val="36"/>
          <w:highlight w:val="none"/>
        </w:rPr>
      </w:pPr>
      <w:bookmarkStart w:id="0" w:name="_Toc12710"/>
      <w:r>
        <w:rPr>
          <w:rFonts w:hint="eastAsia" w:eastAsia="黑体"/>
          <w:b/>
          <w:color w:val="auto"/>
          <w:sz w:val="36"/>
          <w:szCs w:val="36"/>
          <w:highlight w:val="none"/>
        </w:rPr>
        <w:t>第二章</w:t>
      </w:r>
      <w:r>
        <w:rPr>
          <w:rFonts w:eastAsia="黑体"/>
          <w:b/>
          <w:color w:val="auto"/>
          <w:sz w:val="36"/>
          <w:szCs w:val="36"/>
          <w:highlight w:val="none"/>
        </w:rPr>
        <w:t xml:space="preserve">  </w:t>
      </w:r>
      <w:r>
        <w:rPr>
          <w:rFonts w:hint="eastAsia" w:eastAsia="黑体"/>
          <w:b/>
          <w:color w:val="auto"/>
          <w:sz w:val="36"/>
          <w:szCs w:val="36"/>
          <w:highlight w:val="none"/>
        </w:rPr>
        <w:t>招标项目要求及采购需求</w:t>
      </w:r>
      <w:bookmarkEnd w:id="0"/>
    </w:p>
    <w:p w14:paraId="491C223A">
      <w:pPr>
        <w:widowControl w:val="0"/>
        <w:snapToGrid w:val="0"/>
        <w:spacing w:line="360" w:lineRule="auto"/>
        <w:jc w:val="center"/>
        <w:rPr>
          <w:b/>
          <w:color w:val="auto"/>
          <w:sz w:val="28"/>
          <w:highlight w:val="none"/>
        </w:rPr>
      </w:pPr>
    </w:p>
    <w:p w14:paraId="749173C8">
      <w:pPr>
        <w:widowControl w:val="0"/>
        <w:snapToGrid w:val="0"/>
        <w:spacing w:line="360" w:lineRule="auto"/>
        <w:ind w:firstLine="422" w:firstLineChars="150"/>
        <w:jc w:val="left"/>
        <w:outlineLvl w:val="1"/>
        <w:rPr>
          <w:rFonts w:ascii="黑体" w:hAnsi="黑体" w:eastAsia="黑体"/>
          <w:b/>
          <w:color w:val="auto"/>
          <w:sz w:val="28"/>
          <w:highlight w:val="none"/>
        </w:rPr>
      </w:pPr>
      <w:bookmarkStart w:id="1" w:name="_Toc6172"/>
      <w:r>
        <w:rPr>
          <w:rFonts w:ascii="黑体" w:hAnsi="黑体" w:eastAsia="黑体"/>
          <w:b/>
          <w:color w:val="auto"/>
          <w:sz w:val="28"/>
          <w:highlight w:val="none"/>
        </w:rPr>
        <w:t xml:space="preserve">1. </w:t>
      </w:r>
      <w:r>
        <w:rPr>
          <w:rFonts w:hint="eastAsia" w:ascii="黑体" w:hAnsi="黑体" w:eastAsia="黑体"/>
          <w:b/>
          <w:color w:val="auto"/>
          <w:sz w:val="28"/>
          <w:highlight w:val="none"/>
        </w:rPr>
        <w:t>招标项目、标段（包）划分、投标报价</w:t>
      </w:r>
      <w:bookmarkEnd w:id="1"/>
    </w:p>
    <w:p w14:paraId="0F5CBE00">
      <w:pPr>
        <w:widowControl w:val="0"/>
        <w:snapToGrid w:val="0"/>
        <w:spacing w:line="360" w:lineRule="auto"/>
        <w:ind w:firstLine="482" w:firstLineChars="200"/>
        <w:jc w:val="left"/>
        <w:rPr>
          <w:color w:val="auto"/>
          <w:sz w:val="24"/>
          <w:szCs w:val="24"/>
          <w:highlight w:val="none"/>
        </w:rPr>
      </w:pPr>
      <w:r>
        <w:rPr>
          <w:rFonts w:ascii="黑体" w:hAnsi="黑体" w:eastAsia="黑体"/>
          <w:b/>
          <w:color w:val="auto"/>
          <w:sz w:val="24"/>
          <w:szCs w:val="24"/>
          <w:highlight w:val="none"/>
        </w:rPr>
        <w:t>1.1</w:t>
      </w:r>
      <w:r>
        <w:rPr>
          <w:rFonts w:hint="eastAsia" w:ascii="黑体" w:hAnsi="黑体" w:eastAsia="黑体"/>
          <w:b/>
          <w:color w:val="auto"/>
          <w:sz w:val="24"/>
          <w:szCs w:val="24"/>
          <w:highlight w:val="none"/>
        </w:rPr>
        <w:t>招标项目名称</w:t>
      </w:r>
      <w:r>
        <w:rPr>
          <w:rFonts w:hint="eastAsia"/>
          <w:color w:val="auto"/>
          <w:sz w:val="24"/>
          <w:szCs w:val="24"/>
          <w:highlight w:val="none"/>
        </w:rPr>
        <w:t>：</w:t>
      </w:r>
      <w:r>
        <w:rPr>
          <w:rFonts w:hint="eastAsia" w:ascii="宋体" w:hAnsi="宋体"/>
          <w:color w:val="auto"/>
          <w:sz w:val="24"/>
          <w:szCs w:val="24"/>
          <w:highlight w:val="none"/>
          <w:lang w:eastAsia="zh-CN"/>
        </w:rPr>
        <w:t>安阳市政务大数据中心安阳市第二批市本级政务信息化运维项目</w:t>
      </w:r>
    </w:p>
    <w:p w14:paraId="145C407E">
      <w:pPr>
        <w:widowControl w:val="0"/>
        <w:snapToGrid w:val="0"/>
        <w:spacing w:line="360" w:lineRule="auto"/>
        <w:ind w:firstLine="482" w:firstLineChars="200"/>
        <w:jc w:val="left"/>
        <w:rPr>
          <w:color w:val="auto"/>
          <w:sz w:val="24"/>
          <w:szCs w:val="24"/>
          <w:highlight w:val="none"/>
        </w:rPr>
      </w:pPr>
      <w:r>
        <w:rPr>
          <w:rFonts w:ascii="黑体" w:hAnsi="黑体" w:eastAsia="黑体"/>
          <w:b/>
          <w:color w:val="auto"/>
          <w:sz w:val="24"/>
          <w:szCs w:val="24"/>
          <w:highlight w:val="none"/>
        </w:rPr>
        <w:t xml:space="preserve">1.2 </w:t>
      </w:r>
      <w:r>
        <w:rPr>
          <w:rFonts w:hint="eastAsia" w:ascii="黑体" w:hAnsi="黑体" w:eastAsia="黑体"/>
          <w:b/>
          <w:color w:val="auto"/>
          <w:sz w:val="24"/>
          <w:szCs w:val="24"/>
          <w:highlight w:val="none"/>
        </w:rPr>
        <w:t>标段（包）划分及其交付（实施）期交付（实施）地点</w:t>
      </w:r>
      <w:r>
        <w:rPr>
          <w:rFonts w:hint="eastAsia"/>
          <w:color w:val="auto"/>
          <w:sz w:val="24"/>
          <w:szCs w:val="24"/>
          <w:highlight w:val="none"/>
        </w:rPr>
        <w:t>：本次招标项目划分为</w:t>
      </w:r>
      <w:r>
        <w:rPr>
          <w:color w:val="auto"/>
          <w:sz w:val="24"/>
          <w:szCs w:val="24"/>
          <w:highlight w:val="none"/>
        </w:rPr>
        <w:t>1</w:t>
      </w:r>
      <w:r>
        <w:rPr>
          <w:rFonts w:hint="eastAsia"/>
          <w:color w:val="auto"/>
          <w:sz w:val="24"/>
          <w:szCs w:val="24"/>
          <w:highlight w:val="none"/>
        </w:rPr>
        <w:t>个标段（包）。</w:t>
      </w:r>
    </w:p>
    <w:tbl>
      <w:tblPr>
        <w:tblStyle w:val="2"/>
        <w:tblW w:w="9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1"/>
        <w:gridCol w:w="1819"/>
        <w:gridCol w:w="2587"/>
        <w:gridCol w:w="2063"/>
        <w:gridCol w:w="1466"/>
      </w:tblGrid>
      <w:tr w14:paraId="47665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866" w:type="dxa"/>
            <w:gridSpan w:val="5"/>
            <w:vAlign w:val="center"/>
          </w:tcPr>
          <w:p w14:paraId="72C58A4D">
            <w:pPr>
              <w:widowControl w:val="0"/>
              <w:snapToGrid w:val="0"/>
              <w:spacing w:line="240" w:lineRule="auto"/>
              <w:jc w:val="center"/>
              <w:rPr>
                <w:rFonts w:ascii="宋体"/>
                <w:b/>
                <w:color w:val="auto"/>
                <w:sz w:val="24"/>
                <w:szCs w:val="24"/>
                <w:highlight w:val="none"/>
              </w:rPr>
            </w:pPr>
            <w:r>
              <w:rPr>
                <w:rFonts w:hint="eastAsia" w:ascii="宋体" w:hAnsi="宋体"/>
                <w:b/>
                <w:color w:val="auto"/>
                <w:sz w:val="24"/>
                <w:szCs w:val="24"/>
                <w:highlight w:val="none"/>
              </w:rPr>
              <w:t>标段（包）一览表</w:t>
            </w:r>
          </w:p>
        </w:tc>
      </w:tr>
      <w:tr w14:paraId="709FF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931" w:type="dxa"/>
            <w:vAlign w:val="center"/>
          </w:tcPr>
          <w:p w14:paraId="5E8808B2">
            <w:pPr>
              <w:widowControl w:val="0"/>
              <w:snapToGrid w:val="0"/>
              <w:spacing w:line="240" w:lineRule="auto"/>
              <w:jc w:val="center"/>
              <w:rPr>
                <w:b/>
                <w:color w:val="auto"/>
                <w:sz w:val="24"/>
                <w:szCs w:val="24"/>
                <w:highlight w:val="none"/>
              </w:rPr>
            </w:pPr>
            <w:r>
              <w:rPr>
                <w:rFonts w:hint="eastAsia"/>
                <w:b/>
                <w:color w:val="auto"/>
                <w:sz w:val="24"/>
                <w:szCs w:val="24"/>
                <w:highlight w:val="none"/>
              </w:rPr>
              <w:t>项目名称</w:t>
            </w:r>
          </w:p>
        </w:tc>
        <w:tc>
          <w:tcPr>
            <w:tcW w:w="1819" w:type="dxa"/>
            <w:vAlign w:val="center"/>
          </w:tcPr>
          <w:p w14:paraId="7EA3B6E8">
            <w:pPr>
              <w:widowControl w:val="0"/>
              <w:snapToGrid w:val="0"/>
              <w:spacing w:line="240" w:lineRule="auto"/>
              <w:jc w:val="center"/>
              <w:rPr>
                <w:b/>
                <w:color w:val="auto"/>
                <w:sz w:val="24"/>
                <w:szCs w:val="24"/>
                <w:highlight w:val="none"/>
              </w:rPr>
            </w:pPr>
            <w:r>
              <w:rPr>
                <w:rFonts w:hint="eastAsia"/>
                <w:b/>
                <w:color w:val="auto"/>
                <w:sz w:val="24"/>
                <w:szCs w:val="24"/>
                <w:highlight w:val="none"/>
              </w:rPr>
              <w:t>标段（包）名称</w:t>
            </w:r>
          </w:p>
        </w:tc>
        <w:tc>
          <w:tcPr>
            <w:tcW w:w="2587" w:type="dxa"/>
            <w:vAlign w:val="center"/>
          </w:tcPr>
          <w:p w14:paraId="539DD73C">
            <w:pPr>
              <w:widowControl w:val="0"/>
              <w:snapToGrid w:val="0"/>
              <w:spacing w:line="240" w:lineRule="auto"/>
              <w:jc w:val="center"/>
              <w:rPr>
                <w:rFonts w:ascii="宋体"/>
                <w:b/>
                <w:color w:val="auto"/>
                <w:sz w:val="24"/>
                <w:szCs w:val="24"/>
                <w:highlight w:val="none"/>
              </w:rPr>
            </w:pPr>
            <w:r>
              <w:rPr>
                <w:rFonts w:hint="eastAsia" w:ascii="宋体" w:hAnsi="宋体"/>
                <w:b/>
                <w:color w:val="auto"/>
                <w:sz w:val="24"/>
                <w:szCs w:val="24"/>
                <w:highlight w:val="none"/>
              </w:rPr>
              <w:t>标段（包）内容（范围）</w:t>
            </w:r>
          </w:p>
        </w:tc>
        <w:tc>
          <w:tcPr>
            <w:tcW w:w="2063" w:type="dxa"/>
            <w:vAlign w:val="center"/>
          </w:tcPr>
          <w:p w14:paraId="7FAC211A">
            <w:pPr>
              <w:widowControl w:val="0"/>
              <w:snapToGrid w:val="0"/>
              <w:spacing w:line="240" w:lineRule="auto"/>
              <w:jc w:val="center"/>
              <w:rPr>
                <w:rFonts w:ascii="宋体" w:hAnsi="宋体"/>
                <w:b/>
                <w:color w:val="auto"/>
                <w:sz w:val="24"/>
                <w:szCs w:val="24"/>
                <w:highlight w:val="none"/>
              </w:rPr>
            </w:pPr>
            <w:r>
              <w:rPr>
                <w:rFonts w:hint="eastAsia" w:ascii="宋体" w:hAnsi="宋体"/>
                <w:b/>
                <w:color w:val="auto"/>
                <w:sz w:val="24"/>
                <w:szCs w:val="24"/>
                <w:highlight w:val="none"/>
              </w:rPr>
              <w:t>合同履行期限</w:t>
            </w:r>
          </w:p>
          <w:p w14:paraId="6FEAF8E1">
            <w:pPr>
              <w:widowControl w:val="0"/>
              <w:snapToGrid w:val="0"/>
              <w:spacing w:line="240" w:lineRule="auto"/>
              <w:jc w:val="center"/>
              <w:rPr>
                <w:b/>
                <w:color w:val="auto"/>
                <w:sz w:val="24"/>
                <w:szCs w:val="24"/>
                <w:highlight w:val="none"/>
              </w:rPr>
            </w:pPr>
            <w:r>
              <w:rPr>
                <w:rFonts w:hint="eastAsia" w:ascii="宋体" w:hAnsi="宋体"/>
                <w:b/>
                <w:color w:val="auto"/>
                <w:sz w:val="24"/>
                <w:szCs w:val="24"/>
                <w:highlight w:val="none"/>
              </w:rPr>
              <w:t>（交付&lt;实施&gt;期）</w:t>
            </w:r>
          </w:p>
        </w:tc>
        <w:tc>
          <w:tcPr>
            <w:tcW w:w="1466" w:type="dxa"/>
            <w:vAlign w:val="center"/>
          </w:tcPr>
          <w:p w14:paraId="30643E84">
            <w:pPr>
              <w:widowControl w:val="0"/>
              <w:snapToGrid w:val="0"/>
              <w:spacing w:line="240" w:lineRule="auto"/>
              <w:jc w:val="center"/>
              <w:rPr>
                <w:b/>
                <w:color w:val="auto"/>
                <w:sz w:val="24"/>
                <w:szCs w:val="24"/>
                <w:highlight w:val="none"/>
              </w:rPr>
            </w:pPr>
            <w:r>
              <w:rPr>
                <w:rFonts w:hint="eastAsia" w:ascii="宋体" w:hAnsi="宋体"/>
                <w:b/>
                <w:color w:val="auto"/>
                <w:sz w:val="24"/>
                <w:szCs w:val="24"/>
                <w:highlight w:val="none"/>
              </w:rPr>
              <w:t>交付（实施）地点</w:t>
            </w:r>
          </w:p>
        </w:tc>
      </w:tr>
      <w:tr w14:paraId="34AC7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1931" w:type="dxa"/>
            <w:vAlign w:val="center"/>
          </w:tcPr>
          <w:p w14:paraId="6E9C56D7">
            <w:pPr>
              <w:widowControl w:val="0"/>
              <w:adjustRightInd w:val="0"/>
              <w:snapToGrid w:val="0"/>
              <w:spacing w:line="240" w:lineRule="auto"/>
              <w:rPr>
                <w:color w:val="auto"/>
                <w:sz w:val="24"/>
                <w:szCs w:val="24"/>
                <w:highlight w:val="none"/>
              </w:rPr>
            </w:pPr>
            <w:r>
              <w:rPr>
                <w:rFonts w:hint="eastAsia" w:ascii="宋体" w:hAnsi="宋体"/>
                <w:color w:val="auto"/>
                <w:sz w:val="24"/>
                <w:szCs w:val="24"/>
                <w:highlight w:val="none"/>
                <w:lang w:eastAsia="zh-CN"/>
              </w:rPr>
              <w:t>安阳市政务大数据中心安阳市第二批市本级政务信息化运维项目</w:t>
            </w:r>
          </w:p>
        </w:tc>
        <w:tc>
          <w:tcPr>
            <w:tcW w:w="1819" w:type="dxa"/>
            <w:vAlign w:val="center"/>
          </w:tcPr>
          <w:p w14:paraId="754F98D3">
            <w:pPr>
              <w:widowControl w:val="0"/>
              <w:adjustRightInd w:val="0"/>
              <w:snapToGrid w:val="0"/>
              <w:spacing w:line="240" w:lineRule="auto"/>
              <w:rPr>
                <w:color w:val="auto"/>
                <w:sz w:val="24"/>
                <w:szCs w:val="24"/>
                <w:highlight w:val="none"/>
              </w:rPr>
            </w:pPr>
            <w:r>
              <w:rPr>
                <w:rFonts w:hint="eastAsia"/>
                <w:color w:val="auto"/>
                <w:sz w:val="24"/>
                <w:szCs w:val="24"/>
                <w:highlight w:val="none"/>
              </w:rPr>
              <w:t>同项目名称</w:t>
            </w:r>
          </w:p>
        </w:tc>
        <w:tc>
          <w:tcPr>
            <w:tcW w:w="2587" w:type="dxa"/>
            <w:vAlign w:val="center"/>
          </w:tcPr>
          <w:p w14:paraId="454B2C08">
            <w:pPr>
              <w:widowControl w:val="0"/>
              <w:adjustRightInd w:val="0"/>
              <w:snapToGrid w:val="0"/>
              <w:spacing w:line="240" w:lineRule="auto"/>
              <w:rPr>
                <w:color w:val="auto"/>
                <w:sz w:val="24"/>
                <w:szCs w:val="24"/>
                <w:highlight w:val="none"/>
              </w:rPr>
            </w:pPr>
            <w:r>
              <w:rPr>
                <w:rFonts w:hint="eastAsia"/>
                <w:color w:val="auto"/>
                <w:sz w:val="24"/>
                <w:szCs w:val="24"/>
                <w:highlight w:val="none"/>
              </w:rPr>
              <w:t>见“第二章第</w:t>
            </w:r>
            <w:r>
              <w:rPr>
                <w:color w:val="auto"/>
                <w:sz w:val="24"/>
                <w:szCs w:val="24"/>
                <w:highlight w:val="none"/>
              </w:rPr>
              <w:t>2</w:t>
            </w:r>
            <w:r>
              <w:rPr>
                <w:rFonts w:hint="eastAsia"/>
                <w:color w:val="auto"/>
                <w:sz w:val="24"/>
                <w:szCs w:val="24"/>
                <w:highlight w:val="none"/>
              </w:rPr>
              <w:t>条：标段（包）内容（范围）及具体采购需求”</w:t>
            </w:r>
          </w:p>
        </w:tc>
        <w:tc>
          <w:tcPr>
            <w:tcW w:w="2063" w:type="dxa"/>
            <w:vAlign w:val="center"/>
          </w:tcPr>
          <w:p w14:paraId="1163738E">
            <w:pPr>
              <w:widowControl w:val="0"/>
              <w:snapToGrid w:val="0"/>
              <w:spacing w:line="240" w:lineRule="auto"/>
              <w:rPr>
                <w:color w:val="auto"/>
                <w:sz w:val="24"/>
                <w:szCs w:val="24"/>
                <w:highlight w:val="none"/>
              </w:rPr>
            </w:pPr>
            <w:r>
              <w:rPr>
                <w:rFonts w:hint="eastAsia"/>
                <w:color w:val="auto"/>
                <w:sz w:val="24"/>
                <w:szCs w:val="24"/>
                <w:highlight w:val="none"/>
              </w:rPr>
              <w:t>合同签订日起</w:t>
            </w:r>
          </w:p>
          <w:p w14:paraId="75F6D515">
            <w:pPr>
              <w:widowControl w:val="0"/>
              <w:adjustRightInd w:val="0"/>
              <w:snapToGrid w:val="0"/>
              <w:spacing w:line="240" w:lineRule="auto"/>
              <w:rPr>
                <w:color w:val="auto"/>
                <w:sz w:val="24"/>
                <w:szCs w:val="24"/>
                <w:highlight w:val="none"/>
              </w:rPr>
            </w:pPr>
            <w:r>
              <w:rPr>
                <w:rFonts w:hint="eastAsia"/>
                <w:color w:val="auto"/>
                <w:sz w:val="24"/>
                <w:szCs w:val="24"/>
                <w:highlight w:val="none"/>
              </w:rPr>
              <w:t>(</w:t>
            </w:r>
            <w:r>
              <w:rPr>
                <w:rFonts w:hint="eastAsia"/>
                <w:color w:val="auto"/>
                <w:sz w:val="24"/>
                <w:szCs w:val="24"/>
                <w:highlight w:val="none"/>
                <w:u w:val="single"/>
              </w:rPr>
              <w:t>招标公告1.6所述期限</w:t>
            </w:r>
            <w:r>
              <w:rPr>
                <w:rFonts w:hint="eastAsia"/>
                <w:color w:val="auto"/>
                <w:sz w:val="24"/>
                <w:szCs w:val="24"/>
                <w:highlight w:val="none"/>
              </w:rPr>
              <w:t>)内</w:t>
            </w:r>
          </w:p>
        </w:tc>
        <w:tc>
          <w:tcPr>
            <w:tcW w:w="1466" w:type="dxa"/>
            <w:vAlign w:val="center"/>
          </w:tcPr>
          <w:p w14:paraId="4C4C27C7">
            <w:pPr>
              <w:widowControl w:val="0"/>
              <w:adjustRightInd w:val="0"/>
              <w:snapToGrid w:val="0"/>
              <w:spacing w:line="240" w:lineRule="auto"/>
              <w:rPr>
                <w:color w:val="auto"/>
                <w:sz w:val="24"/>
                <w:szCs w:val="24"/>
                <w:highlight w:val="none"/>
              </w:rPr>
            </w:pPr>
            <w:r>
              <w:rPr>
                <w:rFonts w:hint="eastAsia"/>
                <w:color w:val="auto"/>
                <w:sz w:val="24"/>
                <w:szCs w:val="24"/>
                <w:highlight w:val="none"/>
              </w:rPr>
              <w:t>采购人指定地点</w:t>
            </w:r>
          </w:p>
        </w:tc>
      </w:tr>
    </w:tbl>
    <w:p w14:paraId="5A795A5F">
      <w:pPr>
        <w:spacing w:line="560" w:lineRule="exact"/>
        <w:ind w:firstLine="482" w:firstLineChars="200"/>
        <w:rPr>
          <w:rFonts w:ascii="黑体" w:hAnsi="黑体" w:eastAsia="黑体"/>
          <w:b/>
          <w:color w:val="auto"/>
          <w:sz w:val="24"/>
          <w:szCs w:val="24"/>
          <w:highlight w:val="none"/>
        </w:rPr>
      </w:pPr>
      <w:r>
        <w:rPr>
          <w:rFonts w:ascii="黑体" w:hAnsi="黑体" w:eastAsia="黑体"/>
          <w:b/>
          <w:color w:val="auto"/>
          <w:sz w:val="24"/>
          <w:szCs w:val="24"/>
          <w:highlight w:val="none"/>
        </w:rPr>
        <w:t xml:space="preserve">1.3 </w:t>
      </w:r>
      <w:r>
        <w:rPr>
          <w:rFonts w:hint="eastAsia" w:ascii="黑体" w:hAnsi="黑体" w:eastAsia="黑体"/>
          <w:b/>
          <w:color w:val="auto"/>
          <w:sz w:val="24"/>
          <w:szCs w:val="24"/>
          <w:highlight w:val="none"/>
        </w:rPr>
        <w:t>投标报价（价格构成）</w:t>
      </w:r>
    </w:p>
    <w:p w14:paraId="7D641BCF">
      <w:pPr>
        <w:widowControl w:val="0"/>
        <w:snapToGrid w:val="0"/>
        <w:spacing w:line="360" w:lineRule="auto"/>
        <w:ind w:firstLine="480" w:firstLineChars="200"/>
        <w:jc w:val="left"/>
        <w:rPr>
          <w:color w:val="auto"/>
          <w:sz w:val="24"/>
          <w:szCs w:val="24"/>
          <w:highlight w:val="none"/>
        </w:rPr>
      </w:pPr>
      <w:r>
        <w:rPr>
          <w:color w:val="auto"/>
          <w:sz w:val="24"/>
          <w:szCs w:val="24"/>
          <w:highlight w:val="none"/>
        </w:rPr>
        <w:t xml:space="preserve">1.3.1 </w:t>
      </w:r>
      <w:r>
        <w:rPr>
          <w:rFonts w:hint="eastAsia"/>
          <w:color w:val="auto"/>
          <w:sz w:val="24"/>
          <w:szCs w:val="24"/>
          <w:highlight w:val="none"/>
        </w:rPr>
        <w:t>投标人的投标报价应为达到服务要求下的目的地交验价，包括人工费、设备费、设备更换费、材料费、配品配件费、交通运输费、技术服务费、培训费、知识产权（如有）、保险（如需）、所涉货物包装、相关税款等与招标项目（标段&lt;包&gt;）相关的、必须的款项及费用（包括未列明而完成交验所必须的所有费用、材料、工具、设施）。</w:t>
      </w:r>
      <w:r>
        <w:rPr>
          <w:rFonts w:hint="eastAsia" w:ascii="宋体" w:hAnsi="宋体"/>
          <w:color w:val="auto"/>
          <w:sz w:val="24"/>
          <w:szCs w:val="24"/>
          <w:highlight w:val="none"/>
        </w:rPr>
        <w:t>中标价格在中标合同范围内固定不变。</w:t>
      </w:r>
    </w:p>
    <w:p w14:paraId="7E5AE4B2">
      <w:pPr>
        <w:widowControl w:val="0"/>
        <w:snapToGrid w:val="0"/>
        <w:spacing w:line="360" w:lineRule="auto"/>
        <w:ind w:firstLine="480" w:firstLineChars="200"/>
        <w:jc w:val="left"/>
        <w:rPr>
          <w:color w:val="auto"/>
          <w:sz w:val="24"/>
          <w:szCs w:val="24"/>
          <w:highlight w:val="none"/>
        </w:rPr>
      </w:pPr>
      <w:r>
        <w:rPr>
          <w:color w:val="auto"/>
          <w:sz w:val="24"/>
          <w:szCs w:val="24"/>
          <w:highlight w:val="none"/>
        </w:rPr>
        <w:t>1.3.2</w:t>
      </w:r>
      <w:r>
        <w:rPr>
          <w:rFonts w:hint="eastAsia"/>
          <w:color w:val="auto"/>
          <w:sz w:val="24"/>
          <w:szCs w:val="24"/>
          <w:highlight w:val="none"/>
        </w:rPr>
        <w:t>投标报价为一次性报价，报价时间截止后对投标报价的任何承诺、修改，除法定修正或招标文件规定修正情形外，评标委员会将不予考虑。</w:t>
      </w:r>
    </w:p>
    <w:p w14:paraId="022D564A">
      <w:pPr>
        <w:widowControl w:val="0"/>
        <w:snapToGrid w:val="0"/>
        <w:spacing w:line="360" w:lineRule="auto"/>
        <w:ind w:firstLine="480" w:firstLineChars="200"/>
        <w:jc w:val="left"/>
        <w:rPr>
          <w:color w:val="auto"/>
          <w:sz w:val="24"/>
          <w:szCs w:val="24"/>
          <w:highlight w:val="none"/>
        </w:rPr>
      </w:pPr>
      <w:r>
        <w:rPr>
          <w:color w:val="auto"/>
          <w:sz w:val="24"/>
          <w:szCs w:val="24"/>
          <w:highlight w:val="none"/>
        </w:rPr>
        <w:t xml:space="preserve">1.3.3 </w:t>
      </w:r>
      <w:r>
        <w:rPr>
          <w:rFonts w:hint="eastAsia"/>
          <w:color w:val="auto"/>
          <w:sz w:val="24"/>
          <w:szCs w:val="24"/>
          <w:highlight w:val="none"/>
        </w:rPr>
        <w:t>如投标人的投标报价未超过</w:t>
      </w:r>
      <w:r>
        <w:rPr>
          <w:rFonts w:hint="eastAsia" w:ascii="宋体" w:hAnsi="宋体" w:cs="楷体_GB2312"/>
          <w:bCs/>
          <w:color w:val="auto"/>
          <w:sz w:val="24"/>
          <w:highlight w:val="none"/>
          <w:lang w:val="zh-CN"/>
        </w:rPr>
        <w:t>预算金额</w:t>
      </w:r>
      <w:r>
        <w:rPr>
          <w:rFonts w:hint="eastAsia"/>
          <w:color w:val="auto"/>
          <w:sz w:val="24"/>
          <w:szCs w:val="24"/>
          <w:highlight w:val="none"/>
        </w:rPr>
        <w:t>（见招标公告</w:t>
      </w:r>
      <w:r>
        <w:rPr>
          <w:color w:val="auto"/>
          <w:sz w:val="24"/>
          <w:szCs w:val="24"/>
          <w:highlight w:val="none"/>
        </w:rPr>
        <w:t>1.</w:t>
      </w:r>
      <w:r>
        <w:rPr>
          <w:rFonts w:hint="eastAsia"/>
          <w:color w:val="auto"/>
          <w:sz w:val="24"/>
          <w:szCs w:val="24"/>
          <w:highlight w:val="none"/>
        </w:rPr>
        <w:t>4）的供应商不足三家的，该标段（包）做废标处理。</w:t>
      </w:r>
    </w:p>
    <w:p w14:paraId="59304EBA">
      <w:pPr>
        <w:widowControl w:val="0"/>
        <w:snapToGrid w:val="0"/>
        <w:spacing w:line="360" w:lineRule="auto"/>
        <w:ind w:firstLine="480" w:firstLineChars="200"/>
        <w:jc w:val="left"/>
        <w:rPr>
          <w:color w:val="auto"/>
          <w:sz w:val="24"/>
          <w:szCs w:val="24"/>
          <w:highlight w:val="none"/>
        </w:rPr>
      </w:pPr>
      <w:r>
        <w:rPr>
          <w:color w:val="auto"/>
          <w:sz w:val="24"/>
          <w:szCs w:val="24"/>
          <w:highlight w:val="none"/>
        </w:rPr>
        <w:t xml:space="preserve">1.3.4 </w:t>
      </w:r>
      <w:r>
        <w:rPr>
          <w:rFonts w:hint="eastAsia"/>
          <w:color w:val="auto"/>
          <w:sz w:val="24"/>
          <w:szCs w:val="24"/>
          <w:highlight w:val="none"/>
        </w:rPr>
        <w:t>遵循第三章投标人须知</w:t>
      </w:r>
      <w:r>
        <w:rPr>
          <w:color w:val="auto"/>
          <w:sz w:val="24"/>
          <w:szCs w:val="24"/>
          <w:highlight w:val="none"/>
        </w:rPr>
        <w:t>3.7.</w:t>
      </w:r>
      <w:r>
        <w:rPr>
          <w:rFonts w:hint="eastAsia"/>
          <w:color w:val="auto"/>
          <w:sz w:val="24"/>
          <w:szCs w:val="24"/>
          <w:highlight w:val="none"/>
        </w:rPr>
        <w:t>5项规定。</w:t>
      </w:r>
    </w:p>
    <w:p w14:paraId="603331D7">
      <w:pPr>
        <w:spacing w:line="560" w:lineRule="exact"/>
        <w:ind w:firstLine="562" w:firstLineChars="200"/>
        <w:rPr>
          <w:rFonts w:ascii="黑体" w:hAnsi="黑体" w:eastAsia="黑体"/>
          <w:b/>
          <w:color w:val="auto"/>
          <w:sz w:val="28"/>
          <w:highlight w:val="none"/>
        </w:rPr>
      </w:pPr>
    </w:p>
    <w:p w14:paraId="3801C20F">
      <w:pPr>
        <w:spacing w:line="560" w:lineRule="exact"/>
        <w:ind w:firstLine="562" w:firstLineChars="200"/>
        <w:outlineLvl w:val="1"/>
        <w:rPr>
          <w:rFonts w:ascii="黑体" w:hAnsi="黑体" w:eastAsia="黑体"/>
          <w:b/>
          <w:color w:val="auto"/>
          <w:sz w:val="28"/>
          <w:highlight w:val="none"/>
        </w:rPr>
      </w:pPr>
      <w:bookmarkStart w:id="2" w:name="_Toc15209"/>
      <w:r>
        <w:rPr>
          <w:rFonts w:ascii="黑体" w:hAnsi="黑体" w:eastAsia="黑体"/>
          <w:b/>
          <w:color w:val="auto"/>
          <w:sz w:val="28"/>
          <w:highlight w:val="none"/>
        </w:rPr>
        <w:t xml:space="preserve">2. </w:t>
      </w:r>
      <w:r>
        <w:rPr>
          <w:rFonts w:hint="eastAsia" w:ascii="黑体" w:hAnsi="黑体" w:eastAsia="黑体"/>
          <w:b/>
          <w:color w:val="auto"/>
          <w:sz w:val="28"/>
          <w:highlight w:val="none"/>
        </w:rPr>
        <w:t>标段（包）内容（范围）及具体采购需求</w:t>
      </w:r>
      <w:bookmarkEnd w:id="2"/>
    </w:p>
    <w:p w14:paraId="5662C8A8">
      <w:pPr>
        <w:spacing w:line="560" w:lineRule="exact"/>
        <w:ind w:firstLine="482" w:firstLineChars="200"/>
        <w:rPr>
          <w:color w:val="auto"/>
          <w:sz w:val="24"/>
          <w:szCs w:val="24"/>
          <w:highlight w:val="none"/>
        </w:rPr>
      </w:pPr>
      <w:r>
        <w:rPr>
          <w:rFonts w:ascii="黑体" w:hAnsi="黑体" w:eastAsia="黑体"/>
          <w:b/>
          <w:color w:val="auto"/>
          <w:sz w:val="24"/>
          <w:szCs w:val="24"/>
          <w:highlight w:val="none"/>
        </w:rPr>
        <w:t>2.1</w:t>
      </w:r>
      <w:r>
        <w:rPr>
          <w:rFonts w:hint="eastAsia" w:ascii="黑体" w:hAnsi="黑体" w:eastAsia="黑体"/>
          <w:b/>
          <w:color w:val="auto"/>
          <w:sz w:val="24"/>
          <w:szCs w:val="24"/>
          <w:highlight w:val="none"/>
        </w:rPr>
        <w:t>采购标的需实现的功能或者目标，标段（包）总体范围：</w:t>
      </w:r>
      <w:r>
        <w:rPr>
          <w:color w:val="auto"/>
          <w:sz w:val="24"/>
          <w:szCs w:val="24"/>
          <w:highlight w:val="none"/>
        </w:rPr>
        <w:t xml:space="preserve"> </w:t>
      </w:r>
    </w:p>
    <w:p w14:paraId="0E89B954">
      <w:pPr>
        <w:widowControl w:val="0"/>
        <w:snapToGrid w:val="0"/>
        <w:spacing w:line="360" w:lineRule="auto"/>
        <w:ind w:firstLine="480" w:firstLineChars="200"/>
        <w:jc w:val="left"/>
        <w:rPr>
          <w:rFonts w:hint="eastAsia"/>
          <w:color w:val="auto"/>
          <w:sz w:val="24"/>
          <w:szCs w:val="24"/>
          <w:highlight w:val="none"/>
        </w:rPr>
      </w:pPr>
      <w:r>
        <w:rPr>
          <w:rFonts w:hint="eastAsia"/>
          <w:color w:val="auto"/>
          <w:sz w:val="24"/>
          <w:szCs w:val="24"/>
          <w:highlight w:val="none"/>
        </w:rPr>
        <w:t>根据项目实际需要，开展日常运维、功能调优、系统互联、数据共享、安全保障等相关工作，确保相关单位政务信息系统安全稳定运行，提升系统运维质效，提高政务服务效能。</w:t>
      </w:r>
    </w:p>
    <w:p w14:paraId="2881B87B">
      <w:pPr>
        <w:adjustRightInd w:val="0"/>
        <w:snapToGrid w:val="0"/>
        <w:spacing w:before="156" w:beforeLines="50" w:line="300" w:lineRule="auto"/>
        <w:ind w:firstLine="482" w:firstLineChars="200"/>
        <w:rPr>
          <w:rFonts w:ascii="黑体" w:hAnsi="黑体" w:eastAsia="黑体"/>
          <w:b/>
          <w:color w:val="auto"/>
          <w:sz w:val="24"/>
          <w:szCs w:val="24"/>
          <w:highlight w:val="none"/>
        </w:rPr>
      </w:pPr>
      <w:r>
        <w:rPr>
          <w:rFonts w:ascii="黑体" w:hAnsi="黑体" w:eastAsia="黑体"/>
          <w:b/>
          <w:color w:val="auto"/>
          <w:sz w:val="24"/>
          <w:szCs w:val="24"/>
          <w:highlight w:val="none"/>
        </w:rPr>
        <w:t xml:space="preserve">2.2 </w:t>
      </w:r>
      <w:r>
        <w:rPr>
          <w:rFonts w:hint="eastAsia" w:ascii="黑体" w:hAnsi="黑体" w:eastAsia="黑体"/>
          <w:b/>
          <w:color w:val="auto"/>
          <w:sz w:val="24"/>
          <w:szCs w:val="24"/>
          <w:highlight w:val="none"/>
        </w:rPr>
        <w:t>项目落实的政府采购政策（法规标准条款）</w:t>
      </w:r>
    </w:p>
    <w:p w14:paraId="73F6AF1F">
      <w:pPr>
        <w:adjustRightInd w:val="0"/>
        <w:snapToGrid w:val="0"/>
        <w:spacing w:before="156" w:beforeLines="50" w:line="300" w:lineRule="auto"/>
        <w:ind w:firstLine="480" w:firstLineChars="20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 xml:space="preserve">.1 </w:t>
      </w:r>
      <w:r>
        <w:rPr>
          <w:rFonts w:hint="eastAsia" w:ascii="宋体" w:hAnsi="宋体"/>
          <w:color w:val="auto"/>
          <w:sz w:val="24"/>
          <w:szCs w:val="24"/>
          <w:highlight w:val="none"/>
        </w:rPr>
        <w:t>政府采购节能产品、环境标志产品实施品目清单管理后，对本次采购产品属于“节能产品政府采购品目清单”中强制采购品目的</w:t>
      </w:r>
      <w:r>
        <w:rPr>
          <w:rFonts w:ascii="宋体" w:hAnsi="宋体" w:cs="宋体"/>
          <w:color w:val="auto"/>
          <w:sz w:val="24"/>
          <w:szCs w:val="24"/>
          <w:highlight w:val="none"/>
        </w:rPr>
        <w:t>，</w:t>
      </w:r>
      <w:r>
        <w:rPr>
          <w:rFonts w:hint="eastAsia" w:ascii="宋体" w:hAnsi="宋体" w:cs="宋体"/>
          <w:color w:val="auto"/>
          <w:sz w:val="24"/>
          <w:szCs w:val="24"/>
          <w:highlight w:val="none"/>
        </w:rPr>
        <w:t>投</w:t>
      </w:r>
      <w:r>
        <w:rPr>
          <w:rFonts w:ascii="宋体" w:hAnsi="宋体" w:cs="宋体"/>
          <w:color w:val="auto"/>
          <w:sz w:val="24"/>
          <w:szCs w:val="24"/>
          <w:highlight w:val="none"/>
        </w:rPr>
        <w:t>标产</w:t>
      </w:r>
      <w:r>
        <w:rPr>
          <w:rFonts w:hint="eastAsia" w:ascii="宋体" w:hAnsi="宋体" w:cs="宋体"/>
          <w:color w:val="auto"/>
          <w:sz w:val="24"/>
          <w:szCs w:val="24"/>
          <w:highlight w:val="none"/>
        </w:rPr>
        <w:t>品</w:t>
      </w:r>
      <w:r>
        <w:rPr>
          <w:rFonts w:ascii="宋体" w:hAnsi="宋体" w:cs="宋体"/>
          <w:color w:val="auto"/>
          <w:sz w:val="24"/>
          <w:szCs w:val="24"/>
          <w:highlight w:val="none"/>
        </w:rPr>
        <w:t>应当具有</w:t>
      </w:r>
      <w:r>
        <w:rPr>
          <w:rFonts w:hint="eastAsia" w:ascii="宋体" w:hAnsi="宋体" w:cs="宋体"/>
          <w:color w:val="auto"/>
          <w:sz w:val="24"/>
          <w:szCs w:val="24"/>
          <w:highlight w:val="none"/>
        </w:rPr>
        <w:t>相</w:t>
      </w:r>
      <w:r>
        <w:rPr>
          <w:rFonts w:ascii="宋体" w:hAnsi="宋体" w:cs="宋体"/>
          <w:color w:val="auto"/>
          <w:sz w:val="24"/>
          <w:szCs w:val="24"/>
          <w:highlight w:val="none"/>
        </w:rPr>
        <w:t>应</w:t>
      </w:r>
      <w:r>
        <w:rPr>
          <w:rFonts w:hint="eastAsia" w:ascii="宋体" w:hAnsi="宋体" w:cs="宋体"/>
          <w:color w:val="auto"/>
          <w:sz w:val="24"/>
          <w:szCs w:val="24"/>
          <w:highlight w:val="none"/>
        </w:rPr>
        <w:t>的认证证书（认证证书应当为国家确定的认证机构出具、且应处于有效期之内</w:t>
      </w:r>
      <w:r>
        <w:rPr>
          <w:rFonts w:ascii="宋体" w:hAnsi="宋体" w:cs="宋体"/>
          <w:color w:val="auto"/>
          <w:sz w:val="24"/>
          <w:szCs w:val="24"/>
          <w:highlight w:val="none"/>
        </w:rPr>
        <w:t>）</w:t>
      </w:r>
      <w:r>
        <w:rPr>
          <w:rFonts w:hint="eastAsia" w:ascii="宋体" w:hAnsi="宋体" w:cs="宋体"/>
          <w:color w:val="auto"/>
          <w:sz w:val="24"/>
          <w:szCs w:val="24"/>
          <w:highlight w:val="none"/>
        </w:rPr>
        <w:t>，投</w:t>
      </w:r>
      <w:r>
        <w:rPr>
          <w:rFonts w:ascii="宋体" w:hAnsi="宋体" w:cs="宋体"/>
          <w:color w:val="auto"/>
          <w:sz w:val="24"/>
          <w:szCs w:val="24"/>
          <w:highlight w:val="none"/>
        </w:rPr>
        <w:t>标文件中应当提供</w:t>
      </w:r>
      <w:r>
        <w:rPr>
          <w:rFonts w:hint="eastAsia" w:ascii="宋体" w:hAnsi="宋体" w:cs="宋体"/>
          <w:color w:val="auto"/>
          <w:sz w:val="24"/>
          <w:szCs w:val="24"/>
          <w:highlight w:val="none"/>
        </w:rPr>
        <w:t>相</w:t>
      </w:r>
      <w:r>
        <w:rPr>
          <w:rFonts w:ascii="宋体" w:hAnsi="宋体" w:cs="宋体"/>
          <w:color w:val="auto"/>
          <w:sz w:val="24"/>
          <w:szCs w:val="24"/>
          <w:highlight w:val="none"/>
        </w:rPr>
        <w:t>应</w:t>
      </w:r>
      <w:r>
        <w:rPr>
          <w:rFonts w:hint="eastAsia" w:ascii="宋体" w:hAnsi="宋体" w:cs="宋体"/>
          <w:color w:val="auto"/>
          <w:sz w:val="24"/>
          <w:szCs w:val="24"/>
          <w:highlight w:val="none"/>
        </w:rPr>
        <w:t>的认证证书（认证证书应当为国家确定的认证机构出具、且应处于有效期之内）。</w:t>
      </w:r>
    </w:p>
    <w:p w14:paraId="2D467E64">
      <w:pPr>
        <w:adjustRightInd w:val="0"/>
        <w:snapToGrid w:val="0"/>
        <w:spacing w:before="156" w:beforeLines="50" w:line="30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属于政府强制采购</w:t>
      </w:r>
      <w:r>
        <w:rPr>
          <w:rFonts w:hint="eastAsia" w:ascii="宋体" w:hAnsi="宋体" w:cs="宋体"/>
          <w:color w:val="auto"/>
          <w:sz w:val="24"/>
          <w:szCs w:val="24"/>
          <w:highlight w:val="none"/>
        </w:rPr>
        <w:t>品目</w:t>
      </w:r>
      <w:r>
        <w:rPr>
          <w:rFonts w:hint="eastAsia" w:ascii="宋体" w:hAnsi="宋体"/>
          <w:color w:val="auto"/>
          <w:sz w:val="24"/>
          <w:szCs w:val="24"/>
          <w:highlight w:val="none"/>
        </w:rPr>
        <w:t>、而未按要求提供相应资料的，</w:t>
      </w:r>
      <w:r>
        <w:rPr>
          <w:rFonts w:hint="eastAsia" w:ascii="宋体" w:hAnsi="宋体"/>
          <w:b/>
          <w:color w:val="auto"/>
          <w:sz w:val="24"/>
          <w:szCs w:val="24"/>
          <w:highlight w:val="none"/>
        </w:rPr>
        <w:t>为无效投标</w:t>
      </w:r>
      <w:r>
        <w:rPr>
          <w:rFonts w:hint="eastAsia" w:ascii="宋体" w:hAnsi="宋体"/>
          <w:color w:val="auto"/>
          <w:sz w:val="24"/>
          <w:szCs w:val="24"/>
          <w:highlight w:val="none"/>
        </w:rPr>
        <w:t>。</w:t>
      </w:r>
    </w:p>
    <w:p w14:paraId="664791D7">
      <w:pPr>
        <w:adjustRightInd w:val="0"/>
        <w:snapToGrid w:val="0"/>
        <w:spacing w:before="156" w:beforeLines="50" w:line="300" w:lineRule="auto"/>
        <w:ind w:firstLine="480" w:firstLineChars="200"/>
        <w:rPr>
          <w:rFonts w:ascii="宋体" w:hAnsi="宋体" w:cs="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 xml:space="preserve">.2 </w:t>
      </w:r>
      <w:r>
        <w:rPr>
          <w:rFonts w:hint="eastAsia" w:ascii="宋体" w:hAnsi="宋体"/>
          <w:color w:val="auto"/>
          <w:sz w:val="24"/>
          <w:szCs w:val="24"/>
          <w:highlight w:val="none"/>
        </w:rPr>
        <w:t>同等条件下，</w:t>
      </w:r>
      <w:r>
        <w:rPr>
          <w:rFonts w:hint="eastAsia" w:ascii="宋体" w:hAnsi="宋体" w:cs="宋体"/>
          <w:color w:val="auto"/>
          <w:sz w:val="24"/>
          <w:szCs w:val="24"/>
          <w:highlight w:val="none"/>
        </w:rPr>
        <w:t>获得节能产品认证证书或环境标志产品认证证书的产品优先采购。(认证证书应</w:t>
      </w:r>
      <w:r>
        <w:rPr>
          <w:rFonts w:ascii="宋体" w:hAnsi="宋体" w:cs="宋体"/>
          <w:color w:val="auto"/>
          <w:sz w:val="24"/>
          <w:szCs w:val="24"/>
          <w:highlight w:val="none"/>
        </w:rPr>
        <w:t>当为</w:t>
      </w:r>
      <w:r>
        <w:rPr>
          <w:rFonts w:hint="eastAsia" w:ascii="宋体" w:hAnsi="宋体" w:cs="宋体"/>
          <w:color w:val="auto"/>
          <w:sz w:val="24"/>
          <w:szCs w:val="24"/>
          <w:highlight w:val="none"/>
        </w:rPr>
        <w:t>国家确定的认证机构出具、且</w:t>
      </w:r>
      <w:r>
        <w:rPr>
          <w:rFonts w:ascii="宋体" w:hAnsi="宋体" w:cs="宋体"/>
          <w:color w:val="auto"/>
          <w:sz w:val="24"/>
          <w:szCs w:val="24"/>
          <w:highlight w:val="none"/>
        </w:rPr>
        <w:t>应</w:t>
      </w:r>
      <w:r>
        <w:rPr>
          <w:rFonts w:hint="eastAsia" w:ascii="宋体" w:hAnsi="宋体" w:cs="宋体"/>
          <w:color w:val="auto"/>
          <w:sz w:val="24"/>
          <w:szCs w:val="24"/>
          <w:highlight w:val="none"/>
        </w:rPr>
        <w:t>处于有效期之内。)</w:t>
      </w:r>
    </w:p>
    <w:p w14:paraId="6A28CDE0">
      <w:pPr>
        <w:adjustRightInd w:val="0"/>
        <w:snapToGrid w:val="0"/>
        <w:spacing w:before="156" w:beforeLines="50" w:line="300" w:lineRule="auto"/>
        <w:ind w:firstLine="480" w:firstLineChars="200"/>
        <w:rPr>
          <w:rFonts w:hint="eastAsia"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3本次采购产品如有列入《网络关键设备和网络安全专用产品目录》的网络安全专用产品，该产品应当按照《关于调整网络安全专用产品安全管理有关事项的公告》要求进行安全认证或安全检测、或已获得《计算机信息系统安全专用产品销售许可证》（</w:t>
      </w:r>
      <w:r>
        <w:rPr>
          <w:rFonts w:hint="eastAsia" w:ascii="宋体" w:hAnsi="宋体" w:cs="宋体"/>
          <w:color w:val="auto"/>
          <w:sz w:val="24"/>
          <w:szCs w:val="24"/>
          <w:highlight w:val="none"/>
        </w:rPr>
        <w:t>应处于有效期内</w:t>
      </w:r>
      <w:r>
        <w:rPr>
          <w:rFonts w:hint="eastAsia" w:ascii="宋体" w:hAnsi="宋体"/>
          <w:color w:val="auto"/>
          <w:sz w:val="24"/>
          <w:szCs w:val="24"/>
          <w:highlight w:val="none"/>
        </w:rPr>
        <w:t>）。</w:t>
      </w:r>
    </w:p>
    <w:p w14:paraId="63522B75">
      <w:pPr>
        <w:adjustRightInd w:val="0"/>
        <w:snapToGrid w:val="0"/>
        <w:spacing w:before="156" w:beforeLines="50" w:line="300" w:lineRule="auto"/>
        <w:ind w:firstLine="480" w:firstLineChars="20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4计算机产品须预装正版操作系统软件。</w:t>
      </w:r>
    </w:p>
    <w:p w14:paraId="78FC150D">
      <w:pPr>
        <w:adjustRightInd w:val="0"/>
        <w:snapToGrid w:val="0"/>
        <w:spacing w:before="156" w:beforeLines="50" w:line="300" w:lineRule="auto"/>
        <w:ind w:firstLine="480" w:firstLineChars="20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5</w:t>
      </w:r>
      <w:r>
        <w:rPr>
          <w:rFonts w:ascii="宋体" w:hAnsi="宋体"/>
          <w:color w:val="auto"/>
          <w:sz w:val="24"/>
          <w:szCs w:val="24"/>
          <w:highlight w:val="none"/>
        </w:rPr>
        <w:t xml:space="preserve"> </w:t>
      </w:r>
      <w:r>
        <w:rPr>
          <w:rFonts w:hint="eastAsia" w:ascii="宋体" w:hAnsi="宋体"/>
          <w:color w:val="auto"/>
          <w:sz w:val="24"/>
          <w:szCs w:val="24"/>
          <w:highlight w:val="none"/>
        </w:rPr>
        <w:t>本次采购不允许进口产品参加。</w:t>
      </w:r>
    </w:p>
    <w:p w14:paraId="2D3E7324">
      <w:pPr>
        <w:adjustRightInd w:val="0"/>
        <w:snapToGrid w:val="0"/>
        <w:spacing w:before="156" w:beforeLines="50" w:line="300" w:lineRule="auto"/>
        <w:ind w:firstLine="480" w:firstLineChars="20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6如允许采购进口产品的，优先采购向我国企业转让技术、与我国企业签订消化吸收再创新方案的供应商的进口产品。</w:t>
      </w:r>
    </w:p>
    <w:p w14:paraId="6EC3A78A">
      <w:pPr>
        <w:adjustRightInd w:val="0"/>
        <w:snapToGrid w:val="0"/>
        <w:spacing w:before="156" w:beforeLines="50" w:line="300" w:lineRule="auto"/>
        <w:ind w:firstLine="480" w:firstLineChars="20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7</w:t>
      </w:r>
      <w:r>
        <w:rPr>
          <w:rFonts w:ascii="宋体" w:hAnsi="宋体"/>
          <w:color w:val="auto"/>
          <w:sz w:val="24"/>
          <w:szCs w:val="24"/>
          <w:highlight w:val="none"/>
        </w:rPr>
        <w:t xml:space="preserve"> </w:t>
      </w:r>
      <w:r>
        <w:rPr>
          <w:rFonts w:hint="eastAsia" w:ascii="宋体" w:hAnsi="宋体"/>
          <w:color w:val="auto"/>
          <w:sz w:val="24"/>
          <w:szCs w:val="24"/>
          <w:highlight w:val="none"/>
        </w:rPr>
        <w:t>促进中小企业发展扶持政策：见第四章“评标办法”第</w:t>
      </w:r>
      <w:r>
        <w:rPr>
          <w:rFonts w:ascii="宋体" w:hAnsi="宋体"/>
          <w:color w:val="auto"/>
          <w:sz w:val="24"/>
          <w:szCs w:val="24"/>
          <w:highlight w:val="none"/>
        </w:rPr>
        <w:t>4</w:t>
      </w:r>
      <w:r>
        <w:rPr>
          <w:rFonts w:hint="eastAsia" w:ascii="宋体" w:hAnsi="宋体"/>
          <w:color w:val="auto"/>
          <w:sz w:val="24"/>
          <w:szCs w:val="24"/>
          <w:highlight w:val="none"/>
        </w:rPr>
        <w:t>条。</w:t>
      </w:r>
    </w:p>
    <w:p w14:paraId="458DB107">
      <w:pPr>
        <w:adjustRightInd w:val="0"/>
        <w:snapToGrid w:val="0"/>
        <w:spacing w:before="156" w:beforeLines="50" w:line="300" w:lineRule="auto"/>
        <w:ind w:firstLine="480" w:firstLineChars="20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8促进残疾人就业、支持监狱企业发展：见第四章“评标办法”第</w:t>
      </w:r>
      <w:r>
        <w:rPr>
          <w:rFonts w:ascii="宋体" w:hAnsi="宋体"/>
          <w:color w:val="auto"/>
          <w:sz w:val="24"/>
          <w:szCs w:val="24"/>
          <w:highlight w:val="none"/>
        </w:rPr>
        <w:t>4</w:t>
      </w:r>
      <w:r>
        <w:rPr>
          <w:rFonts w:hint="eastAsia" w:ascii="宋体" w:hAnsi="宋体"/>
          <w:color w:val="auto"/>
          <w:sz w:val="24"/>
          <w:szCs w:val="24"/>
          <w:highlight w:val="none"/>
        </w:rPr>
        <w:t>条。</w:t>
      </w:r>
    </w:p>
    <w:p w14:paraId="22F809B1">
      <w:pPr>
        <w:adjustRightInd w:val="0"/>
        <w:snapToGrid w:val="0"/>
        <w:spacing w:before="156" w:beforeLines="50" w:line="300" w:lineRule="auto"/>
        <w:ind w:firstLine="480" w:firstLineChars="20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9</w:t>
      </w:r>
      <w:r>
        <w:rPr>
          <w:rFonts w:ascii="宋体" w:hAnsi="宋体"/>
          <w:color w:val="auto"/>
          <w:sz w:val="24"/>
          <w:szCs w:val="24"/>
          <w:highlight w:val="none"/>
        </w:rPr>
        <w:t xml:space="preserve"> </w:t>
      </w:r>
      <w:r>
        <w:rPr>
          <w:rFonts w:hint="eastAsia" w:ascii="宋体" w:hAnsi="宋体"/>
          <w:color w:val="auto"/>
          <w:sz w:val="24"/>
          <w:szCs w:val="24"/>
          <w:highlight w:val="none"/>
        </w:rPr>
        <w:t>所供产品有商品包装的应当使用绿色包装。所供产品有其他环保政策要求的，应符合相关环保法律政策要求。</w:t>
      </w:r>
    </w:p>
    <w:p w14:paraId="357B7954">
      <w:pPr>
        <w:adjustRightInd w:val="0"/>
        <w:snapToGrid w:val="0"/>
        <w:spacing w:before="156" w:beforeLines="50" w:line="30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2.2.10</w:t>
      </w:r>
      <w:r>
        <w:rPr>
          <w:rFonts w:ascii="宋体" w:hAnsi="宋体"/>
          <w:color w:val="auto"/>
          <w:sz w:val="24"/>
          <w:szCs w:val="24"/>
          <w:highlight w:val="none"/>
        </w:rPr>
        <w:t xml:space="preserve"> </w:t>
      </w:r>
      <w:r>
        <w:rPr>
          <w:rFonts w:hint="eastAsia" w:ascii="宋体" w:hAnsi="宋体"/>
          <w:color w:val="auto"/>
          <w:sz w:val="24"/>
          <w:szCs w:val="24"/>
          <w:highlight w:val="none"/>
        </w:rPr>
        <w:t>支持绿色建筑、绿色建材，支持使用低</w:t>
      </w:r>
      <w:r>
        <w:rPr>
          <w:rFonts w:ascii="Arial" w:hAnsi="Arial" w:cs="Arial"/>
          <w:color w:val="auto"/>
          <w:szCs w:val="21"/>
          <w:highlight w:val="none"/>
          <w:shd w:val="clear" w:color="auto" w:fill="FFFFFF"/>
        </w:rPr>
        <w:t>VOCs</w:t>
      </w:r>
      <w:r>
        <w:rPr>
          <w:rFonts w:hint="eastAsia" w:ascii="宋体" w:hAnsi="宋体"/>
          <w:color w:val="auto"/>
          <w:sz w:val="24"/>
          <w:szCs w:val="24"/>
          <w:highlight w:val="none"/>
        </w:rPr>
        <w:t>含量涂料和胶黏剂，支持不发达、少数民族地区的企业，促进自主创新产业发展，支持脱贫攻坚等；同等条件下，优先采购。</w:t>
      </w:r>
    </w:p>
    <w:p w14:paraId="70DD4AFD">
      <w:pPr>
        <w:adjustRightInd w:val="0"/>
        <w:snapToGrid w:val="0"/>
        <w:spacing w:before="156" w:beforeLines="50" w:line="30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2.2.11 执行《国务院办公厅关于在政府采购中实施本国产品标准及相关政策的通知》。</w:t>
      </w:r>
    </w:p>
    <w:p w14:paraId="5D5DC0B2">
      <w:pPr>
        <w:adjustRightInd w:val="0"/>
        <w:snapToGrid w:val="0"/>
        <w:spacing w:before="156" w:beforeLines="50" w:line="300" w:lineRule="auto"/>
        <w:ind w:firstLine="480" w:firstLineChars="200"/>
        <w:rPr>
          <w:rFonts w:ascii="宋体" w:cs="宋体"/>
          <w:color w:val="auto"/>
          <w:sz w:val="24"/>
          <w:highlight w:val="none"/>
        </w:rPr>
      </w:pPr>
      <w:r>
        <w:rPr>
          <w:rFonts w:hint="eastAsia" w:ascii="宋体" w:hAnsi="宋体"/>
          <w:color w:val="auto"/>
          <w:sz w:val="24"/>
          <w:szCs w:val="24"/>
          <w:highlight w:val="none"/>
        </w:rPr>
        <w:t>2.2.12 涉及数据中心相关设备、运维服务的，应符合绿色数据中心政府采购需求标准（试行）。</w:t>
      </w:r>
    </w:p>
    <w:p w14:paraId="2AF9F6FD">
      <w:pPr>
        <w:adjustRightInd w:val="0"/>
        <w:snapToGrid w:val="0"/>
        <w:spacing w:line="300" w:lineRule="auto"/>
        <w:ind w:firstLine="482" w:firstLineChars="200"/>
        <w:jc w:val="left"/>
        <w:rPr>
          <w:rFonts w:ascii="黑体" w:hAnsi="黑体" w:eastAsia="黑体"/>
          <w:b/>
          <w:color w:val="auto"/>
          <w:sz w:val="24"/>
          <w:szCs w:val="24"/>
          <w:highlight w:val="none"/>
        </w:rPr>
      </w:pPr>
      <w:r>
        <w:rPr>
          <w:rFonts w:ascii="黑体" w:hAnsi="黑体" w:eastAsia="黑体"/>
          <w:b/>
          <w:color w:val="auto"/>
          <w:sz w:val="24"/>
          <w:szCs w:val="24"/>
          <w:highlight w:val="none"/>
        </w:rPr>
        <w:t>2.3</w:t>
      </w:r>
      <w:r>
        <w:rPr>
          <w:rFonts w:hint="eastAsia" w:ascii="黑体" w:hAnsi="黑体" w:eastAsia="黑体"/>
          <w:b/>
          <w:color w:val="auto"/>
          <w:sz w:val="24"/>
          <w:szCs w:val="24"/>
          <w:highlight w:val="none"/>
        </w:rPr>
        <w:t>采购标的需执行的国家相关标准、行业标准、地方标准或者其他标准、规范；</w:t>
      </w:r>
    </w:p>
    <w:p w14:paraId="51B9628D">
      <w:pPr>
        <w:widowControl w:val="0"/>
        <w:adjustRightInd w:val="0"/>
        <w:snapToGrid w:val="0"/>
        <w:spacing w:before="156" w:beforeLines="50" w:line="300" w:lineRule="auto"/>
        <w:ind w:left="22" w:firstLine="555"/>
        <w:jc w:val="left"/>
        <w:rPr>
          <w:color w:val="auto"/>
          <w:sz w:val="24"/>
          <w:szCs w:val="24"/>
          <w:highlight w:val="none"/>
        </w:rPr>
      </w:pPr>
      <w:r>
        <w:rPr>
          <w:rFonts w:hint="eastAsia"/>
          <w:color w:val="auto"/>
          <w:sz w:val="24"/>
          <w:szCs w:val="24"/>
          <w:highlight w:val="none"/>
        </w:rPr>
        <w:t>投标人所投服务（及所涉货物材料设施）应符合国家质量标准、部颁标准及行业规范的要求，符合国家各项强制性规范及安全标准，投标服务（及所涉货物材料设施）不应与第三方存在知识产权权属问题；投标人应本着服务客户、为客户着想的宗旨，来完善服务（及所涉货物材料设施）及技术要求未尽事宜，不得以招标文件未列明事项为由，来降低投标服务（及所涉货物材料设施）的质量。</w:t>
      </w:r>
    </w:p>
    <w:p w14:paraId="0C4058E6">
      <w:pPr>
        <w:spacing w:line="560" w:lineRule="exact"/>
        <w:ind w:firstLine="482" w:firstLineChars="200"/>
        <w:rPr>
          <w:rFonts w:ascii="黑体" w:hAnsi="黑体" w:eastAsia="黑体"/>
          <w:b/>
          <w:color w:val="auto"/>
          <w:sz w:val="24"/>
          <w:szCs w:val="24"/>
          <w:highlight w:val="none"/>
        </w:rPr>
      </w:pPr>
      <w:r>
        <w:rPr>
          <w:rFonts w:ascii="黑体" w:hAnsi="黑体" w:eastAsia="黑体"/>
          <w:b/>
          <w:color w:val="auto"/>
          <w:sz w:val="24"/>
          <w:szCs w:val="24"/>
          <w:highlight w:val="none"/>
        </w:rPr>
        <w:t>2.4</w:t>
      </w:r>
      <w:r>
        <w:rPr>
          <w:rFonts w:hint="eastAsia" w:ascii="黑体" w:hAnsi="黑体" w:eastAsia="黑体"/>
          <w:b/>
          <w:color w:val="auto"/>
          <w:sz w:val="24"/>
          <w:szCs w:val="24"/>
          <w:highlight w:val="none"/>
        </w:rPr>
        <w:t>标段（包）内容（具体范围、数量），具体服务（技术）要求（</w:t>
      </w:r>
      <w:r>
        <w:rPr>
          <w:rFonts w:hint="eastAsia" w:ascii="宋体" w:hAnsi="宋体" w:cs="宋体"/>
          <w:color w:val="auto"/>
          <w:sz w:val="24"/>
          <w:highlight w:val="none"/>
        </w:rPr>
        <w:t>采购标的需满足的质量、安全、技术规格、物理特性等）</w:t>
      </w:r>
    </w:p>
    <w:p w14:paraId="71F73B35">
      <w:pPr>
        <w:spacing w:line="560" w:lineRule="exact"/>
        <w:ind w:firstLine="482" w:firstLineChars="200"/>
        <w:rPr>
          <w:rFonts w:ascii="黑体" w:hAnsi="黑体" w:eastAsia="黑体"/>
          <w:b/>
          <w:color w:val="auto"/>
          <w:sz w:val="24"/>
          <w:szCs w:val="24"/>
          <w:highlight w:val="none"/>
        </w:rPr>
      </w:pPr>
      <w:r>
        <w:rPr>
          <w:rFonts w:hint="eastAsia" w:ascii="黑体" w:hAnsi="黑体" w:eastAsia="黑体"/>
          <w:b/>
          <w:color w:val="auto"/>
          <w:sz w:val="24"/>
          <w:szCs w:val="24"/>
          <w:highlight w:val="none"/>
        </w:rPr>
        <w:t>一、项目概况</w:t>
      </w:r>
    </w:p>
    <w:p w14:paraId="45B0A4F9">
      <w:pPr>
        <w:adjustRightInd w:val="0"/>
        <w:snapToGrid w:val="0"/>
        <w:spacing w:before="156" w:beforeLines="50" w:line="30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安阳市政务大数据中心安阳市第二批市本级政务信息化运维项目，涵盖4家单位</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个</w:t>
      </w:r>
      <w:r>
        <w:rPr>
          <w:rFonts w:hint="eastAsia" w:ascii="宋体" w:hAnsi="宋体"/>
          <w:color w:val="auto"/>
          <w:sz w:val="24"/>
          <w:szCs w:val="24"/>
          <w:highlight w:val="none"/>
          <w:lang w:eastAsia="zh-CN"/>
        </w:rPr>
        <w:t>运维项目</w:t>
      </w:r>
      <w:r>
        <w:rPr>
          <w:rFonts w:hint="eastAsia" w:ascii="宋体" w:hAnsi="宋体"/>
          <w:color w:val="auto"/>
          <w:sz w:val="24"/>
          <w:szCs w:val="24"/>
          <w:highlight w:val="none"/>
        </w:rPr>
        <w:t>。运维服务主要包括开展日常运维、功能调优、系统互联、数据共享、安全保障等相关工作，确保相关单位政务信息系统安全稳定运行，提升系统运维质效，提高政务服务效能。</w:t>
      </w:r>
    </w:p>
    <w:p w14:paraId="59CD771C">
      <w:pPr>
        <w:spacing w:line="560" w:lineRule="exact"/>
        <w:ind w:firstLine="482" w:firstLineChars="200"/>
        <w:rPr>
          <w:rFonts w:hint="eastAsia" w:ascii="黑体" w:hAnsi="黑体" w:eastAsia="黑体"/>
          <w:b/>
          <w:color w:val="auto"/>
          <w:sz w:val="24"/>
          <w:szCs w:val="24"/>
          <w:highlight w:val="none"/>
          <w:lang w:eastAsia="zh-CN"/>
        </w:rPr>
      </w:pPr>
      <w:r>
        <w:rPr>
          <w:rFonts w:hint="eastAsia" w:ascii="黑体" w:hAnsi="黑体" w:eastAsia="黑体"/>
          <w:b/>
          <w:color w:val="auto"/>
          <w:sz w:val="24"/>
          <w:szCs w:val="24"/>
          <w:highlight w:val="none"/>
        </w:rPr>
        <w:t>二、</w:t>
      </w:r>
      <w:r>
        <w:rPr>
          <w:rFonts w:hint="eastAsia" w:ascii="黑体" w:hAnsi="黑体" w:eastAsia="黑体"/>
          <w:b/>
          <w:color w:val="auto"/>
          <w:sz w:val="24"/>
          <w:szCs w:val="24"/>
          <w:highlight w:val="none"/>
          <w:lang w:eastAsia="zh-CN"/>
        </w:rPr>
        <w:t>法规及标准</w:t>
      </w:r>
    </w:p>
    <w:p w14:paraId="48B8A308">
      <w:pPr>
        <w:widowControl w:val="0"/>
        <w:adjustRightInd w:val="0"/>
        <w:snapToGrid w:val="0"/>
        <w:spacing w:line="300" w:lineRule="auto"/>
        <w:ind w:left="23" w:firstLine="556"/>
        <w:jc w:val="left"/>
        <w:rPr>
          <w:color w:val="auto"/>
          <w:sz w:val="24"/>
          <w:szCs w:val="24"/>
          <w:highlight w:val="none"/>
        </w:rPr>
      </w:pPr>
      <w:r>
        <w:rPr>
          <w:rFonts w:hint="eastAsia"/>
          <w:color w:val="auto"/>
          <w:sz w:val="24"/>
          <w:szCs w:val="24"/>
          <w:highlight w:val="none"/>
        </w:rPr>
        <w:t>（一）政策法规</w:t>
      </w:r>
    </w:p>
    <w:p w14:paraId="1783E480">
      <w:pPr>
        <w:widowControl w:val="0"/>
        <w:adjustRightInd w:val="0"/>
        <w:snapToGrid w:val="0"/>
        <w:spacing w:line="300" w:lineRule="auto"/>
        <w:ind w:left="23" w:firstLine="556"/>
        <w:jc w:val="left"/>
        <w:rPr>
          <w:color w:val="auto"/>
          <w:sz w:val="24"/>
          <w:szCs w:val="24"/>
          <w:highlight w:val="none"/>
        </w:rPr>
      </w:pPr>
      <w:r>
        <w:rPr>
          <w:rFonts w:hint="eastAsia"/>
          <w:color w:val="auto"/>
          <w:sz w:val="24"/>
          <w:szCs w:val="24"/>
          <w:highlight w:val="none"/>
        </w:rPr>
        <w:t>国家层面：</w:t>
      </w:r>
    </w:p>
    <w:p w14:paraId="78EE683D">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(1)《中华人民共和国网络安全法》</w:t>
      </w:r>
    </w:p>
    <w:p w14:paraId="18D71037">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(2)《中华人民共和国数据安全法》</w:t>
      </w:r>
    </w:p>
    <w:p w14:paraId="3E8A57A6">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(3)《中华人民共和国个人信息保护法》</w:t>
      </w:r>
    </w:p>
    <w:p w14:paraId="67CB5284">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(4)《国务院关于进一步优化政务服务提升行政效能推动“高效办成一件事”的指导意见》（国发〔2024〕3号）</w:t>
      </w:r>
    </w:p>
    <w:p w14:paraId="529F0BD6">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(5)《“十四五”国家信息化规划》</w:t>
      </w:r>
    </w:p>
    <w:p w14:paraId="1BB1175D">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 xml:space="preserve">(6)《2006—2020年国家信息化发展战略》（中办发〔2006〕11号）  </w:t>
      </w:r>
    </w:p>
    <w:p w14:paraId="14BCED02">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 xml:space="preserve">(7)《国务院关于加快推进“互联网+政务服务”工作的指导意见》（国发〔2016〕55号）  </w:t>
      </w:r>
    </w:p>
    <w:p w14:paraId="33FFF5CC">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 xml:space="preserve">(8)《“互联网+政务服务”技术体系建设指南》（国办函〔2016〕108号）  </w:t>
      </w:r>
    </w:p>
    <w:p w14:paraId="4A9CFAE1">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 xml:space="preserve">(9)《信息安全等级保护管理办法》（公通字〔2007〕43号） </w:t>
      </w:r>
    </w:p>
    <w:p w14:paraId="348F72B6">
      <w:pPr>
        <w:widowControl w:val="0"/>
        <w:adjustRightInd w:val="0"/>
        <w:snapToGrid w:val="0"/>
        <w:spacing w:line="300" w:lineRule="auto"/>
        <w:ind w:left="23" w:firstLine="556"/>
        <w:jc w:val="left"/>
        <w:rPr>
          <w:color w:val="auto"/>
          <w:sz w:val="24"/>
          <w:szCs w:val="24"/>
          <w:highlight w:val="none"/>
        </w:rPr>
      </w:pPr>
      <w:r>
        <w:rPr>
          <w:rFonts w:hint="eastAsia"/>
          <w:color w:val="auto"/>
          <w:sz w:val="24"/>
          <w:szCs w:val="24"/>
          <w:highlight w:val="none"/>
        </w:rPr>
        <w:t>省级层面：</w:t>
      </w:r>
    </w:p>
    <w:p w14:paraId="3F8A4144">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 xml:space="preserve">(1)《河南省财政厅关于印发〈关于省级信息化运行维护项目支出预算标准的规定（试行）〉的通知》（豫财预〔2020〕67号）  </w:t>
      </w:r>
    </w:p>
    <w:p w14:paraId="7104BB18">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 xml:space="preserve">(2)《关于加快推进新型智慧城市建设的指导意见》（豫政办〔2020〕27号）  </w:t>
      </w:r>
    </w:p>
    <w:p w14:paraId="389F038D">
      <w:pPr>
        <w:widowControl w:val="0"/>
        <w:adjustRightInd w:val="0"/>
        <w:snapToGrid w:val="0"/>
        <w:spacing w:line="300" w:lineRule="auto"/>
        <w:ind w:left="23" w:firstLine="556"/>
        <w:jc w:val="left"/>
        <w:rPr>
          <w:color w:val="auto"/>
          <w:sz w:val="24"/>
          <w:szCs w:val="24"/>
          <w:highlight w:val="none"/>
        </w:rPr>
      </w:pPr>
      <w:r>
        <w:rPr>
          <w:rFonts w:hint="eastAsia"/>
          <w:color w:val="auto"/>
          <w:sz w:val="24"/>
          <w:szCs w:val="24"/>
          <w:highlight w:val="none"/>
        </w:rPr>
        <w:t xml:space="preserve">(3)《河南省数字政府建设重点任务清单（2023-2025年）》  </w:t>
      </w:r>
    </w:p>
    <w:p w14:paraId="3AE28F1E">
      <w:pPr>
        <w:widowControl w:val="0"/>
        <w:adjustRightInd w:val="0"/>
        <w:snapToGrid w:val="0"/>
        <w:spacing w:line="300" w:lineRule="auto"/>
        <w:ind w:left="23" w:firstLine="556"/>
        <w:jc w:val="left"/>
        <w:rPr>
          <w:color w:val="auto"/>
          <w:sz w:val="24"/>
          <w:szCs w:val="24"/>
          <w:highlight w:val="none"/>
        </w:rPr>
      </w:pPr>
      <w:r>
        <w:rPr>
          <w:rFonts w:hint="eastAsia"/>
          <w:color w:val="auto"/>
          <w:sz w:val="24"/>
          <w:szCs w:val="24"/>
          <w:highlight w:val="none"/>
        </w:rPr>
        <w:t>市级层面：</w:t>
      </w:r>
    </w:p>
    <w:p w14:paraId="76B76CAB">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《安阳市政务信息化项目建设管理暂行办法》（安政办〔2023〕30号）</w:t>
      </w:r>
    </w:p>
    <w:p w14:paraId="16FEDCB0">
      <w:pPr>
        <w:widowControl w:val="0"/>
        <w:adjustRightInd w:val="0"/>
        <w:snapToGrid w:val="0"/>
        <w:spacing w:line="300" w:lineRule="auto"/>
        <w:ind w:left="23" w:firstLine="556"/>
        <w:jc w:val="left"/>
        <w:rPr>
          <w:color w:val="auto"/>
          <w:sz w:val="24"/>
          <w:szCs w:val="24"/>
          <w:highlight w:val="none"/>
        </w:rPr>
      </w:pPr>
      <w:r>
        <w:rPr>
          <w:rFonts w:hint="eastAsia"/>
          <w:color w:val="auto"/>
          <w:sz w:val="24"/>
          <w:szCs w:val="24"/>
          <w:highlight w:val="none"/>
        </w:rPr>
        <w:t>（二）国家及行业标准</w:t>
      </w:r>
    </w:p>
    <w:p w14:paraId="68C63CD7">
      <w:pPr>
        <w:widowControl w:val="0"/>
        <w:adjustRightInd w:val="0"/>
        <w:snapToGrid w:val="0"/>
        <w:spacing w:line="300" w:lineRule="auto"/>
        <w:ind w:left="23" w:firstLine="556"/>
        <w:jc w:val="left"/>
        <w:rPr>
          <w:color w:val="auto"/>
          <w:sz w:val="24"/>
          <w:szCs w:val="24"/>
          <w:highlight w:val="none"/>
        </w:rPr>
      </w:pPr>
      <w:r>
        <w:rPr>
          <w:rFonts w:hint="eastAsia"/>
          <w:color w:val="auto"/>
          <w:sz w:val="24"/>
          <w:szCs w:val="24"/>
          <w:highlight w:val="none"/>
        </w:rPr>
        <w:t>网络安全与等级保护：</w:t>
      </w:r>
    </w:p>
    <w:p w14:paraId="340F307E">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(1)《信息安全技术网络安全等级保护基本要求》（GB/T 22239-2019）</w:t>
      </w:r>
    </w:p>
    <w:p w14:paraId="2B7C28EA">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(2)《信息安全技术信息系统密码应用基本要求》（GB/T 39786-2021）</w:t>
      </w:r>
    </w:p>
    <w:p w14:paraId="3F656A04">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(3)《信息安全技术网络安全事件分类分级指南》（GB/T 20986-2023）</w:t>
      </w:r>
    </w:p>
    <w:p w14:paraId="6B04057B">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 xml:space="preserve">(4)《计算机信息系统安全保护等级划分准则》（GB 17859-1999）  </w:t>
      </w:r>
    </w:p>
    <w:p w14:paraId="4B18398C">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(5)《信息系统安全等级保护基本要求》（GB/T 22239-2008）</w:t>
      </w:r>
    </w:p>
    <w:p w14:paraId="217DEE7A">
      <w:pPr>
        <w:widowControl w:val="0"/>
        <w:adjustRightInd w:val="0"/>
        <w:snapToGrid w:val="0"/>
        <w:spacing w:line="300" w:lineRule="auto"/>
        <w:ind w:left="23" w:firstLine="556"/>
        <w:jc w:val="left"/>
        <w:rPr>
          <w:color w:val="auto"/>
          <w:sz w:val="24"/>
          <w:szCs w:val="24"/>
          <w:highlight w:val="none"/>
        </w:rPr>
      </w:pPr>
      <w:r>
        <w:rPr>
          <w:rFonts w:hint="eastAsia"/>
          <w:color w:val="auto"/>
          <w:sz w:val="24"/>
          <w:szCs w:val="24"/>
          <w:highlight w:val="none"/>
        </w:rPr>
        <w:t xml:space="preserve">(6)《信息系统等级保护安全设计技术要求》（GB/T 25070-2010）  </w:t>
      </w:r>
    </w:p>
    <w:p w14:paraId="740EA8C4">
      <w:pPr>
        <w:widowControl w:val="0"/>
        <w:adjustRightInd w:val="0"/>
        <w:snapToGrid w:val="0"/>
        <w:spacing w:line="300" w:lineRule="auto"/>
        <w:ind w:left="23" w:firstLine="556"/>
        <w:jc w:val="left"/>
        <w:rPr>
          <w:color w:val="auto"/>
          <w:sz w:val="24"/>
          <w:szCs w:val="24"/>
          <w:highlight w:val="none"/>
        </w:rPr>
      </w:pPr>
      <w:r>
        <w:rPr>
          <w:rFonts w:hint="eastAsia"/>
          <w:color w:val="auto"/>
          <w:sz w:val="24"/>
          <w:szCs w:val="24"/>
          <w:highlight w:val="none"/>
        </w:rPr>
        <w:t>信息技术服务运维：</w:t>
      </w:r>
    </w:p>
    <w:p w14:paraId="1688C790">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(1)《信息技术服务 运行维护 第1部分：通用要求》（GB/T 28827.1-2022）</w:t>
      </w:r>
    </w:p>
    <w:p w14:paraId="6E058396">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(2)《信息技术服务 运行维护 第2部分：交付规范》（GB/T 28827.2-2012）</w:t>
      </w:r>
    </w:p>
    <w:p w14:paraId="182C66DC">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(3)《信息技术服务 运行维护 第3部分：应急响应规范》（GB/T 28827.3-2012）</w:t>
      </w:r>
    </w:p>
    <w:p w14:paraId="7337CC77">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(4)《信息技术服务 运行维护 第4部分：数据中心服务要求》（GB/T 28827.4-2019）</w:t>
      </w:r>
    </w:p>
    <w:p w14:paraId="44A2B868">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(5)《信息技术服务 运行维护 第6部分：应用系统服务要求》（GB/T 28827.6-2019）</w:t>
      </w:r>
    </w:p>
    <w:p w14:paraId="41B50E80">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(6)《信息技术服务 运行维护 第7部分：成本度量规范》（GB/T 28827.7-2022）</w:t>
      </w:r>
    </w:p>
    <w:p w14:paraId="69946C82">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(7)《公共安全视频监控联网系统信息传输、交换、控制技术要求》（GB/T 28181-2016）</w:t>
      </w:r>
    </w:p>
    <w:p w14:paraId="312DDBC1">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(8)《智能交通管理系统前端设备运行维护规范》 （GA/T 1043—2025）</w:t>
      </w:r>
    </w:p>
    <w:p w14:paraId="1BE5A0BB">
      <w:pPr>
        <w:widowControl w:val="0"/>
        <w:adjustRightInd w:val="0"/>
        <w:snapToGrid w:val="0"/>
        <w:spacing w:line="300" w:lineRule="auto"/>
        <w:ind w:left="23" w:firstLine="556"/>
        <w:jc w:val="left"/>
        <w:rPr>
          <w:color w:val="auto"/>
          <w:sz w:val="24"/>
          <w:szCs w:val="24"/>
          <w:highlight w:val="none"/>
        </w:rPr>
      </w:pPr>
      <w:r>
        <w:rPr>
          <w:rFonts w:hint="eastAsia"/>
          <w:color w:val="auto"/>
          <w:sz w:val="24"/>
          <w:szCs w:val="24"/>
          <w:highlight w:val="none"/>
        </w:rPr>
        <w:t>其他关键技术标准：</w:t>
      </w:r>
    </w:p>
    <w:p w14:paraId="5AA99E86">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《信息技术开放系统互联网络层安全协议》（GB/T 17963-2000）</w:t>
      </w:r>
    </w:p>
    <w:p w14:paraId="3D90C2BD">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（三）软件规范与成本管理</w:t>
      </w:r>
    </w:p>
    <w:p w14:paraId="15D15C1C">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软件研发与运维成本</w:t>
      </w:r>
    </w:p>
    <w:p w14:paraId="4C24DEDC">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 xml:space="preserve">(1)《软件工程 软件开发成本度量规范》（GB/T 36964-2018）  </w:t>
      </w:r>
    </w:p>
    <w:p w14:paraId="6FE87D99">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 xml:space="preserve">(2)《软件研发成本度量规范（应用指南）》（SJ/T 11463-2013）  </w:t>
      </w:r>
    </w:p>
    <w:p w14:paraId="6D2A0DEF">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服务定价与市场规范</w:t>
      </w:r>
    </w:p>
    <w:p w14:paraId="7B3F2B54">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(1)《建设工程监理与相关服务收费管理规定》（发改价格〔2007〕670号）</w:t>
      </w:r>
    </w:p>
    <w:p w14:paraId="6AF11CDC">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(2)《国家发展改革委关于进一步放开建设项目专业服务价格的通知》（发改价格〔2015〕299号）</w:t>
      </w:r>
    </w:p>
    <w:p w14:paraId="1B05F698">
      <w:pPr>
        <w:widowControl w:val="0"/>
        <w:adjustRightInd w:val="0"/>
        <w:snapToGrid w:val="0"/>
        <w:spacing w:line="300" w:lineRule="auto"/>
        <w:ind w:left="23" w:firstLine="556"/>
        <w:jc w:val="left"/>
        <w:rPr>
          <w:rFonts w:hint="eastAsia"/>
          <w:color w:val="auto"/>
          <w:sz w:val="24"/>
          <w:szCs w:val="24"/>
          <w:highlight w:val="none"/>
        </w:rPr>
      </w:pPr>
      <w:r>
        <w:rPr>
          <w:rFonts w:hint="eastAsia"/>
          <w:color w:val="auto"/>
          <w:sz w:val="24"/>
          <w:szCs w:val="24"/>
          <w:highlight w:val="none"/>
        </w:rPr>
        <w:t xml:space="preserve"> </w:t>
      </w:r>
    </w:p>
    <w:p w14:paraId="47AFDCE9">
      <w:pPr>
        <w:numPr>
          <w:ilvl w:val="0"/>
          <w:numId w:val="0"/>
        </w:numPr>
        <w:spacing w:line="560" w:lineRule="exact"/>
        <w:ind w:firstLine="482" w:firstLineChars="200"/>
        <w:rPr>
          <w:rFonts w:hint="eastAsia" w:ascii="黑体" w:hAnsi="黑体" w:eastAsia="黑体"/>
          <w:b/>
          <w:color w:val="auto"/>
          <w:sz w:val="24"/>
          <w:szCs w:val="24"/>
          <w:highlight w:val="none"/>
          <w:lang w:eastAsia="zh-CN"/>
        </w:rPr>
      </w:pPr>
      <w:r>
        <w:rPr>
          <w:rFonts w:hint="eastAsia" w:ascii="黑体" w:hAnsi="黑体" w:eastAsia="黑体" w:cs="Times New Roman"/>
          <w:b/>
          <w:color w:val="auto"/>
          <w:sz w:val="24"/>
          <w:szCs w:val="24"/>
          <w:highlight w:val="none"/>
          <w:u w:color="000000"/>
          <w:lang w:val="en-US" w:eastAsia="zh-CN" w:bidi="ar-SA"/>
        </w:rPr>
        <w:t>三、</w:t>
      </w:r>
      <w:r>
        <w:rPr>
          <w:rFonts w:hint="eastAsia" w:ascii="黑体" w:hAnsi="黑体" w:eastAsia="黑体"/>
          <w:b/>
          <w:color w:val="auto"/>
          <w:sz w:val="24"/>
          <w:szCs w:val="24"/>
          <w:highlight w:val="none"/>
          <w:lang w:eastAsia="zh-CN"/>
        </w:rPr>
        <w:t>运维服务内容及标准（要求）</w:t>
      </w:r>
    </w:p>
    <w:tbl>
      <w:tblPr>
        <w:tblStyle w:val="2"/>
        <w:tblW w:w="9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27"/>
        <w:gridCol w:w="862"/>
        <w:gridCol w:w="1236"/>
        <w:gridCol w:w="3019"/>
        <w:gridCol w:w="2911"/>
        <w:gridCol w:w="1243"/>
      </w:tblGrid>
      <w:tr w14:paraId="14B91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427" w:type="dxa"/>
            <w:tcBorders>
              <w:top w:val="single" w:color="auto" w:sz="4" w:space="0"/>
              <w:left w:val="single" w:color="auto" w:sz="4" w:space="0"/>
              <w:bottom w:val="single" w:color="auto" w:sz="4" w:space="0"/>
              <w:right w:val="single" w:color="auto" w:sz="4" w:space="0"/>
            </w:tcBorders>
            <w:shd w:val="clear" w:color="auto" w:fill="auto"/>
            <w:vAlign w:val="center"/>
          </w:tcPr>
          <w:p w14:paraId="44CF511F">
            <w:pPr>
              <w:spacing w:line="240" w:lineRule="auto"/>
              <w:jc w:val="center"/>
              <w:textAlignment w:val="center"/>
              <w:rPr>
                <w:rFonts w:hint="eastAsia" w:asciiTheme="minorEastAsia" w:hAnsiTheme="minorEastAsia" w:eastAsiaTheme="minorEastAsia" w:cstheme="minorEastAsia"/>
                <w:b/>
                <w:bCs/>
                <w:color w:val="auto"/>
                <w:szCs w:val="21"/>
                <w:highlight w:val="none"/>
                <w:lang w:val="en-US" w:eastAsia="en-US" w:bidi="ar"/>
              </w:rPr>
            </w:pPr>
            <w:r>
              <w:rPr>
                <w:rFonts w:hint="eastAsia" w:asciiTheme="minorEastAsia" w:hAnsiTheme="minorEastAsia" w:eastAsiaTheme="minorEastAsia" w:cstheme="minorEastAsia"/>
                <w:b/>
                <w:bCs/>
                <w:color w:val="auto"/>
                <w:szCs w:val="21"/>
                <w:highlight w:val="none"/>
                <w:lang w:val="en-US" w:eastAsia="zh-CN" w:bidi="ar"/>
              </w:rPr>
              <w:t>序号</w:t>
            </w:r>
          </w:p>
        </w:tc>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14:paraId="611F6F05">
            <w:pPr>
              <w:spacing w:line="240" w:lineRule="auto"/>
              <w:jc w:val="center"/>
              <w:textAlignment w:val="center"/>
              <w:rPr>
                <w:rFonts w:hint="eastAsia" w:asciiTheme="minorEastAsia" w:hAnsiTheme="minorEastAsia" w:eastAsiaTheme="minorEastAsia" w:cstheme="minorEastAsia"/>
                <w:b/>
                <w:bCs/>
                <w:color w:val="auto"/>
                <w:szCs w:val="21"/>
                <w:highlight w:val="none"/>
                <w:lang w:val="en-US" w:eastAsia="en-US" w:bidi="ar"/>
              </w:rPr>
            </w:pPr>
            <w:r>
              <w:rPr>
                <w:rFonts w:hint="eastAsia" w:asciiTheme="minorEastAsia" w:hAnsiTheme="minorEastAsia" w:eastAsiaTheme="minorEastAsia" w:cstheme="minorEastAsia"/>
                <w:b/>
                <w:bCs/>
                <w:color w:val="auto"/>
                <w:szCs w:val="21"/>
                <w:highlight w:val="none"/>
                <w:lang w:val="en-US" w:eastAsia="zh-CN" w:bidi="ar"/>
              </w:rPr>
              <w:t>服务单位</w:t>
            </w:r>
          </w:p>
        </w:tc>
        <w:tc>
          <w:tcPr>
            <w:tcW w:w="1236" w:type="dxa"/>
            <w:tcBorders>
              <w:top w:val="single" w:color="auto" w:sz="4" w:space="0"/>
              <w:left w:val="single" w:color="auto" w:sz="4" w:space="0"/>
              <w:bottom w:val="single" w:color="auto" w:sz="4" w:space="0"/>
              <w:right w:val="single" w:color="auto" w:sz="4" w:space="0"/>
            </w:tcBorders>
            <w:shd w:val="clear" w:color="auto" w:fill="auto"/>
            <w:vAlign w:val="center"/>
          </w:tcPr>
          <w:p w14:paraId="605F23A8">
            <w:pPr>
              <w:spacing w:line="240" w:lineRule="auto"/>
              <w:jc w:val="center"/>
              <w:textAlignment w:val="center"/>
              <w:rPr>
                <w:rFonts w:hint="eastAsia" w:asciiTheme="minorEastAsia" w:hAnsiTheme="minorEastAsia" w:eastAsiaTheme="minorEastAsia" w:cstheme="minorEastAsia"/>
                <w:b/>
                <w:bCs/>
                <w:color w:val="auto"/>
                <w:szCs w:val="21"/>
                <w:highlight w:val="none"/>
                <w:lang w:val="en-US" w:eastAsia="en-US" w:bidi="ar"/>
              </w:rPr>
            </w:pPr>
            <w:r>
              <w:rPr>
                <w:rFonts w:hint="eastAsia" w:asciiTheme="minorEastAsia" w:hAnsiTheme="minorEastAsia" w:eastAsiaTheme="minorEastAsia" w:cstheme="minorEastAsia"/>
                <w:b/>
                <w:bCs/>
                <w:color w:val="auto"/>
                <w:szCs w:val="21"/>
                <w:highlight w:val="none"/>
                <w:lang w:val="en-US" w:eastAsia="zh-CN" w:bidi="ar"/>
              </w:rPr>
              <w:t>运维项目</w:t>
            </w:r>
          </w:p>
        </w:tc>
        <w:tc>
          <w:tcPr>
            <w:tcW w:w="3019" w:type="dxa"/>
            <w:tcBorders>
              <w:top w:val="single" w:color="auto" w:sz="4" w:space="0"/>
              <w:left w:val="single" w:color="auto" w:sz="4" w:space="0"/>
              <w:bottom w:val="single" w:color="auto" w:sz="4" w:space="0"/>
              <w:right w:val="single" w:color="auto" w:sz="4" w:space="0"/>
            </w:tcBorders>
            <w:shd w:val="clear" w:color="auto" w:fill="auto"/>
            <w:vAlign w:val="center"/>
          </w:tcPr>
          <w:p w14:paraId="43A9A1ED">
            <w:pPr>
              <w:keepNext w:val="0"/>
              <w:keepLines w:val="0"/>
              <w:pageBreakBefore w:val="0"/>
              <w:widowControl/>
              <w:wordWrap/>
              <w:overflowPunct/>
              <w:topLinePunct w:val="0"/>
              <w:bidi w:val="0"/>
              <w:snapToGrid/>
              <w:spacing w:line="240" w:lineRule="auto"/>
              <w:jc w:val="center"/>
              <w:textAlignment w:val="center"/>
              <w:rPr>
                <w:rFonts w:hint="eastAsia" w:asciiTheme="minorEastAsia" w:hAnsiTheme="minorEastAsia" w:eastAsiaTheme="minorEastAsia" w:cstheme="minorEastAsia"/>
                <w:b/>
                <w:bCs/>
                <w:color w:val="auto"/>
                <w:szCs w:val="21"/>
                <w:highlight w:val="none"/>
                <w:lang w:val="en-US" w:eastAsia="en-US" w:bidi="ar"/>
              </w:rPr>
            </w:pPr>
            <w:r>
              <w:rPr>
                <w:rFonts w:hint="eastAsia" w:asciiTheme="minorEastAsia" w:hAnsiTheme="minorEastAsia" w:eastAsiaTheme="minorEastAsia" w:cstheme="minorEastAsia"/>
                <w:b/>
                <w:bCs/>
                <w:color w:val="auto"/>
                <w:szCs w:val="21"/>
                <w:highlight w:val="none"/>
                <w:lang w:val="en-US" w:eastAsia="zh-CN" w:bidi="ar"/>
              </w:rPr>
              <w:t>服务内容</w:t>
            </w:r>
          </w:p>
        </w:tc>
        <w:tc>
          <w:tcPr>
            <w:tcW w:w="29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D58CF3">
            <w:pPr>
              <w:keepNext w:val="0"/>
              <w:keepLines w:val="0"/>
              <w:pageBreakBefore w:val="0"/>
              <w:widowControl/>
              <w:wordWrap/>
              <w:overflowPunct/>
              <w:topLinePunct w:val="0"/>
              <w:bidi w:val="0"/>
              <w:snapToGrid/>
              <w:spacing w:line="240" w:lineRule="auto"/>
              <w:jc w:val="center"/>
              <w:textAlignment w:val="center"/>
              <w:rPr>
                <w:rFonts w:hint="eastAsia" w:asciiTheme="minorEastAsia" w:hAnsiTheme="minorEastAsia" w:eastAsiaTheme="minorEastAsia" w:cstheme="minorEastAsia"/>
                <w:b/>
                <w:bCs/>
                <w:color w:val="auto"/>
                <w:szCs w:val="21"/>
                <w:highlight w:val="none"/>
                <w:lang w:val="en-US" w:eastAsia="en-US" w:bidi="ar"/>
              </w:rPr>
            </w:pPr>
            <w:r>
              <w:rPr>
                <w:rFonts w:hint="eastAsia" w:asciiTheme="minorEastAsia" w:hAnsiTheme="minorEastAsia" w:eastAsiaTheme="minorEastAsia" w:cstheme="minorEastAsia"/>
                <w:b/>
                <w:bCs/>
                <w:color w:val="auto"/>
                <w:szCs w:val="21"/>
                <w:highlight w:val="none"/>
                <w:lang w:val="en-US" w:eastAsia="zh-CN" w:bidi="ar"/>
              </w:rPr>
              <w:t>服务标准</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067370">
            <w:pPr>
              <w:spacing w:line="240" w:lineRule="auto"/>
              <w:jc w:val="center"/>
              <w:textAlignment w:val="center"/>
              <w:rPr>
                <w:rFonts w:hint="eastAsia" w:asciiTheme="minorEastAsia" w:hAnsiTheme="minorEastAsia" w:eastAsiaTheme="minorEastAsia" w:cstheme="minorEastAsia"/>
                <w:b/>
                <w:bCs/>
                <w:color w:val="auto"/>
                <w:szCs w:val="21"/>
                <w:highlight w:val="none"/>
                <w:lang w:val="en-US" w:eastAsia="zh-CN" w:bidi="ar"/>
              </w:rPr>
            </w:pPr>
            <w:r>
              <w:rPr>
                <w:rFonts w:hint="eastAsia" w:asciiTheme="minorEastAsia" w:hAnsiTheme="minorEastAsia" w:eastAsiaTheme="minorEastAsia" w:cstheme="minorEastAsia"/>
                <w:b/>
                <w:bCs/>
                <w:color w:val="auto"/>
                <w:szCs w:val="21"/>
                <w:highlight w:val="none"/>
                <w:lang w:val="en-US" w:eastAsia="zh-CN" w:bidi="ar"/>
              </w:rPr>
              <w:t>备注</w:t>
            </w:r>
          </w:p>
        </w:tc>
      </w:tr>
      <w:tr w14:paraId="4AE1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427" w:type="dxa"/>
            <w:tcBorders>
              <w:top w:val="single" w:color="auto" w:sz="4" w:space="0"/>
              <w:left w:val="single" w:color="auto" w:sz="4" w:space="0"/>
              <w:bottom w:val="single" w:color="auto" w:sz="4" w:space="0"/>
              <w:right w:val="single" w:color="auto" w:sz="4" w:space="0"/>
            </w:tcBorders>
            <w:shd w:val="clear" w:color="auto" w:fill="auto"/>
            <w:vAlign w:val="center"/>
          </w:tcPr>
          <w:p w14:paraId="19C8D10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ottom"/>
              <w:rPr>
                <w:rFonts w:hint="eastAsia" w:ascii="宋体" w:hAnsi="宋体" w:eastAsia="宋体" w:cs="宋体"/>
                <w:snapToGrid w:val="0"/>
                <w:color w:val="auto"/>
                <w:kern w:val="0"/>
                <w:sz w:val="21"/>
                <w:szCs w:val="21"/>
                <w:highlight w:val="none"/>
                <w:lang w:val="en-US" w:eastAsia="en-US"/>
              </w:rPr>
            </w:pPr>
            <w:r>
              <w:rPr>
                <w:rFonts w:hint="eastAsia" w:ascii="宋体" w:hAnsi="宋体" w:eastAsia="宋体" w:cs="宋体"/>
                <w:snapToGrid w:val="0"/>
                <w:color w:val="auto"/>
                <w:kern w:val="0"/>
                <w:sz w:val="21"/>
                <w:szCs w:val="21"/>
                <w:highlight w:val="none"/>
                <w:lang w:val="en-US" w:eastAsia="zh-CN" w:bidi="ar"/>
              </w:rPr>
              <w:t>1</w:t>
            </w:r>
          </w:p>
        </w:tc>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14:paraId="66E25DDD">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ottom"/>
              <w:rPr>
                <w:rFonts w:hint="eastAsia" w:ascii="宋体" w:hAnsi="宋体" w:eastAsia="宋体" w:cs="宋体"/>
                <w:snapToGrid w:val="0"/>
                <w:color w:val="auto"/>
                <w:kern w:val="0"/>
                <w:sz w:val="21"/>
                <w:szCs w:val="21"/>
                <w:highlight w:val="none"/>
                <w:lang w:val="en-US" w:eastAsia="en-US"/>
              </w:rPr>
            </w:pPr>
            <w:r>
              <w:rPr>
                <w:rFonts w:hint="eastAsia" w:ascii="宋体" w:hAnsi="宋体" w:eastAsia="宋体" w:cs="宋体"/>
                <w:snapToGrid w:val="0"/>
                <w:color w:val="auto"/>
                <w:kern w:val="0"/>
                <w:sz w:val="21"/>
                <w:szCs w:val="21"/>
                <w:highlight w:val="none"/>
                <w:lang w:val="en-US" w:eastAsia="zh-CN" w:bidi="ar"/>
              </w:rPr>
              <w:t>安阳市人力资源和社会保障局</w:t>
            </w:r>
          </w:p>
        </w:tc>
        <w:tc>
          <w:tcPr>
            <w:tcW w:w="1236" w:type="dxa"/>
            <w:tcBorders>
              <w:top w:val="single" w:color="auto" w:sz="4" w:space="0"/>
              <w:left w:val="single" w:color="auto" w:sz="4" w:space="0"/>
              <w:bottom w:val="single" w:color="auto" w:sz="4" w:space="0"/>
              <w:right w:val="single" w:color="auto" w:sz="4" w:space="0"/>
            </w:tcBorders>
            <w:shd w:val="clear" w:color="auto" w:fill="auto"/>
            <w:vAlign w:val="center"/>
          </w:tcPr>
          <w:p w14:paraId="5D96579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31" w:rightChars="-15"/>
              <w:jc w:val="left"/>
              <w:textAlignment w:val="bottom"/>
              <w:rPr>
                <w:rFonts w:hint="eastAsia" w:ascii="宋体" w:hAnsi="宋体" w:cs="宋体"/>
                <w:snapToGrid w:val="0"/>
                <w:color w:val="auto"/>
                <w:kern w:val="0"/>
                <w:sz w:val="21"/>
                <w:szCs w:val="21"/>
                <w:highlight w:val="none"/>
                <w:lang w:val="en-US" w:eastAsia="en-US" w:bidi="ar"/>
              </w:rPr>
            </w:pPr>
            <w:r>
              <w:rPr>
                <w:rFonts w:hint="eastAsia" w:ascii="宋体" w:hAnsi="宋体" w:cs="宋体"/>
                <w:snapToGrid w:val="0"/>
                <w:color w:val="auto"/>
                <w:kern w:val="0"/>
                <w:sz w:val="21"/>
                <w:szCs w:val="21"/>
                <w:highlight w:val="none"/>
                <w:lang w:val="en-US" w:eastAsia="zh-CN" w:bidi="ar"/>
              </w:rPr>
              <w:t>安阳“洹泉涌流”人才服务信息系统</w:t>
            </w:r>
          </w:p>
          <w:p w14:paraId="2CB1B5E4">
            <w:pPr>
              <w:keepNext w:val="0"/>
              <w:keepLines w:val="0"/>
              <w:widowControl/>
              <w:suppressLineNumbers w:val="0"/>
              <w:kinsoku w:val="0"/>
              <w:autoSpaceDE w:val="0"/>
              <w:autoSpaceDN w:val="0"/>
              <w:adjustRightInd w:val="0"/>
              <w:snapToGrid w:val="0"/>
              <w:spacing w:before="0" w:beforeAutospacing="0" w:after="0" w:afterAutospacing="0" w:line="240" w:lineRule="auto"/>
              <w:ind w:left="0" w:right="-31" w:rightChars="-15"/>
              <w:jc w:val="left"/>
              <w:textAlignment w:val="bottom"/>
              <w:rPr>
                <w:rFonts w:hint="eastAsia" w:ascii="宋体" w:hAnsi="宋体" w:cs="宋体"/>
                <w:snapToGrid w:val="0"/>
                <w:color w:val="auto"/>
                <w:kern w:val="0"/>
                <w:sz w:val="21"/>
                <w:szCs w:val="21"/>
                <w:highlight w:val="none"/>
                <w:lang w:val="en-US" w:eastAsia="en-US" w:bidi="ar"/>
              </w:rPr>
            </w:pPr>
            <w:r>
              <w:rPr>
                <w:rFonts w:hint="eastAsia" w:ascii="宋体" w:hAnsi="宋体" w:cs="宋体"/>
                <w:snapToGrid w:val="0"/>
                <w:color w:val="auto"/>
                <w:kern w:val="0"/>
                <w:sz w:val="21"/>
                <w:szCs w:val="21"/>
                <w:highlight w:val="none"/>
                <w:lang w:val="en-US" w:eastAsia="zh-CN" w:bidi="ar"/>
              </w:rPr>
              <w:t>（安阳市职业技能指导服务中心）</w:t>
            </w:r>
          </w:p>
        </w:tc>
        <w:tc>
          <w:tcPr>
            <w:tcW w:w="3019" w:type="dxa"/>
            <w:tcBorders>
              <w:top w:val="single" w:color="auto" w:sz="4" w:space="0"/>
              <w:left w:val="single" w:color="auto" w:sz="4" w:space="0"/>
              <w:bottom w:val="single" w:color="auto" w:sz="4" w:space="0"/>
              <w:right w:val="single" w:color="auto" w:sz="4" w:space="0"/>
            </w:tcBorders>
            <w:shd w:val="clear" w:color="auto" w:fill="auto"/>
            <w:vAlign w:val="center"/>
          </w:tcPr>
          <w:p w14:paraId="645BBB9B">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en-US" w:bidi="ar"/>
              </w:rPr>
            </w:pPr>
            <w:r>
              <w:rPr>
                <w:rFonts w:hint="eastAsia" w:ascii="宋体" w:hAnsi="宋体" w:eastAsia="宋体" w:cs="宋体"/>
                <w:snapToGrid w:val="0"/>
                <w:color w:val="auto"/>
                <w:kern w:val="0"/>
                <w:sz w:val="21"/>
                <w:szCs w:val="21"/>
                <w:highlight w:val="none"/>
                <w:lang w:val="en-US" w:eastAsia="zh-CN" w:bidi="ar"/>
              </w:rPr>
              <w:t>硬件类运维：</w:t>
            </w:r>
            <w:r>
              <w:rPr>
                <w:rFonts w:hint="eastAsia" w:ascii="宋体" w:hAnsi="宋体" w:eastAsia="宋体" w:cs="宋体"/>
                <w:snapToGrid w:val="0"/>
                <w:color w:val="auto"/>
                <w:kern w:val="0"/>
                <w:sz w:val="21"/>
                <w:szCs w:val="21"/>
                <w:highlight w:val="none"/>
                <w:lang w:val="en-US" w:eastAsia="zh-CN" w:bidi="ar"/>
              </w:rPr>
              <w:br w:type="textWrapping"/>
            </w:r>
            <w:r>
              <w:rPr>
                <w:rFonts w:hint="eastAsia" w:ascii="宋体" w:hAnsi="宋体" w:eastAsia="宋体" w:cs="宋体"/>
                <w:snapToGrid w:val="0"/>
                <w:color w:val="auto"/>
                <w:kern w:val="0"/>
                <w:sz w:val="21"/>
                <w:szCs w:val="21"/>
                <w:highlight w:val="none"/>
                <w:lang w:val="en-US" w:eastAsia="zh-CN" w:bidi="ar"/>
              </w:rPr>
              <w:t>多合一社会保障卡读卡设备</w:t>
            </w:r>
            <w:r>
              <w:rPr>
                <w:rFonts w:hint="eastAsia" w:ascii="宋体" w:hAnsi="宋体" w:eastAsia="宋体" w:cs="宋体"/>
                <w:snapToGrid w:val="0"/>
                <w:color w:val="auto"/>
                <w:kern w:val="0"/>
                <w:sz w:val="21"/>
                <w:szCs w:val="21"/>
                <w:highlight w:val="none"/>
                <w:lang w:val="en-US" w:eastAsia="zh-CN" w:bidi="ar"/>
              </w:rPr>
              <w:br w:type="textWrapping"/>
            </w:r>
            <w:r>
              <w:rPr>
                <w:rFonts w:hint="eastAsia" w:ascii="宋体" w:hAnsi="宋体" w:eastAsia="宋体" w:cs="宋体"/>
                <w:snapToGrid w:val="0"/>
                <w:color w:val="auto"/>
                <w:kern w:val="0"/>
                <w:sz w:val="21"/>
                <w:szCs w:val="21"/>
                <w:highlight w:val="none"/>
                <w:lang w:val="en-US" w:eastAsia="zh-CN" w:bidi="ar"/>
              </w:rPr>
              <w:t>需提供运维服务：确保读卡器使用正常，运行良好。</w:t>
            </w:r>
            <w:r>
              <w:rPr>
                <w:rFonts w:hint="eastAsia" w:ascii="宋体" w:hAnsi="宋体" w:eastAsia="宋体" w:cs="宋体"/>
                <w:snapToGrid w:val="0"/>
                <w:color w:val="auto"/>
                <w:kern w:val="0"/>
                <w:sz w:val="21"/>
                <w:szCs w:val="21"/>
                <w:highlight w:val="none"/>
                <w:lang w:val="en-US" w:eastAsia="zh-CN" w:bidi="ar"/>
              </w:rPr>
              <w:br w:type="textWrapping"/>
            </w:r>
            <w:r>
              <w:rPr>
                <w:rFonts w:hint="eastAsia" w:ascii="宋体" w:hAnsi="宋体" w:eastAsia="宋体" w:cs="宋体"/>
                <w:snapToGrid w:val="0"/>
                <w:color w:val="auto"/>
                <w:kern w:val="0"/>
                <w:sz w:val="21"/>
                <w:szCs w:val="21"/>
                <w:highlight w:val="none"/>
                <w:lang w:val="en-US" w:eastAsia="zh-CN" w:bidi="ar"/>
              </w:rPr>
              <w:t>软件类运维：</w:t>
            </w:r>
          </w:p>
          <w:p w14:paraId="02FED42F">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en-US" w:bidi="ar"/>
              </w:rPr>
            </w:pPr>
            <w:r>
              <w:rPr>
                <w:rFonts w:hint="eastAsia" w:ascii="宋体" w:hAnsi="宋体" w:eastAsia="宋体" w:cs="宋体"/>
                <w:snapToGrid w:val="0"/>
                <w:color w:val="auto"/>
                <w:kern w:val="0"/>
                <w:sz w:val="21"/>
                <w:szCs w:val="21"/>
                <w:highlight w:val="none"/>
                <w:lang w:val="en-US" w:eastAsia="zh-CN" w:bidi="ar"/>
              </w:rPr>
              <w:t>软件包含：安阳“洹泉涌流”人才服务信息系统</w:t>
            </w:r>
          </w:p>
          <w:p w14:paraId="4868E714">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en-US"/>
              </w:rPr>
            </w:pPr>
            <w:r>
              <w:rPr>
                <w:rFonts w:hint="eastAsia" w:ascii="宋体" w:hAnsi="宋体" w:eastAsia="宋体" w:cs="宋体"/>
                <w:snapToGrid w:val="0"/>
                <w:color w:val="auto"/>
                <w:kern w:val="0"/>
                <w:sz w:val="21"/>
                <w:szCs w:val="21"/>
                <w:highlight w:val="none"/>
                <w:lang w:val="en-US" w:eastAsia="zh-CN" w:bidi="ar"/>
              </w:rPr>
              <w:t>需提供运维服务：负责系统日常技术维护、功能优化升级工作，主要维护内容包含保证系统正常运行、解答用户使用疑问、定期备份系统和数据、保证系统安全和数据安全等。运维方需定期执行数据库巡检，实施数据备份，防止数据丢失。当有批量信息需要录入、比对、导出时，运维方需提供相应服务。当系统及数据资源需要迁移时，运维方需提供相应服务。与市政务服务平台、市数据中台对接。</w:t>
            </w:r>
          </w:p>
        </w:tc>
        <w:tc>
          <w:tcPr>
            <w:tcW w:w="2911" w:type="dxa"/>
            <w:tcBorders>
              <w:top w:val="single" w:color="auto" w:sz="4" w:space="0"/>
              <w:left w:val="single" w:color="auto" w:sz="4" w:space="0"/>
              <w:bottom w:val="single" w:color="auto" w:sz="4" w:space="0"/>
              <w:right w:val="single" w:color="auto" w:sz="4" w:space="0"/>
            </w:tcBorders>
            <w:shd w:val="clear" w:color="auto" w:fill="auto"/>
            <w:vAlign w:val="center"/>
          </w:tcPr>
          <w:p w14:paraId="4DEB55E9">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left"/>
              <w:textAlignment w:val="bottom"/>
              <w:rPr>
                <w:rFonts w:hint="eastAsia" w:ascii="宋体" w:hAnsi="宋体" w:eastAsia="宋体" w:cs="宋体"/>
                <w:snapToGrid w:val="0"/>
                <w:color w:val="auto"/>
                <w:kern w:val="0"/>
                <w:sz w:val="21"/>
                <w:szCs w:val="21"/>
                <w:highlight w:val="none"/>
                <w:lang w:val="en-US" w:eastAsia="en-US" w:bidi="ar"/>
              </w:rPr>
            </w:pPr>
            <w:r>
              <w:rPr>
                <w:rFonts w:hint="eastAsia" w:ascii="宋体" w:hAnsi="宋体" w:eastAsia="宋体" w:cs="宋体"/>
                <w:snapToGrid w:val="0"/>
                <w:color w:val="auto"/>
                <w:kern w:val="0"/>
                <w:sz w:val="21"/>
                <w:szCs w:val="21"/>
                <w:highlight w:val="none"/>
                <w:lang w:val="en-US" w:eastAsia="zh-CN" w:bidi="ar"/>
              </w:rPr>
              <w:t>硬件类运维</w:t>
            </w:r>
          </w:p>
          <w:p w14:paraId="517CDC3B">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left"/>
              <w:textAlignment w:val="bottom"/>
              <w:rPr>
                <w:rFonts w:hint="eastAsia" w:ascii="宋体" w:hAnsi="宋体" w:eastAsia="宋体" w:cs="宋体"/>
                <w:snapToGrid w:val="0"/>
                <w:color w:val="auto"/>
                <w:kern w:val="0"/>
                <w:sz w:val="21"/>
                <w:szCs w:val="21"/>
                <w:highlight w:val="none"/>
                <w:lang w:val="en-US" w:eastAsia="en-US" w:bidi="ar"/>
              </w:rPr>
            </w:pPr>
            <w:r>
              <w:rPr>
                <w:rFonts w:hint="eastAsia" w:ascii="宋体" w:hAnsi="宋体" w:eastAsia="宋体" w:cs="宋体"/>
                <w:snapToGrid w:val="0"/>
                <w:color w:val="auto"/>
                <w:kern w:val="0"/>
                <w:sz w:val="21"/>
                <w:szCs w:val="21"/>
                <w:highlight w:val="none"/>
                <w:lang w:val="en-US" w:eastAsia="zh-CN" w:bidi="ar"/>
              </w:rPr>
              <w:t>服务时间：7*24小时</w:t>
            </w:r>
            <w:r>
              <w:rPr>
                <w:rFonts w:hint="eastAsia" w:ascii="宋体" w:hAnsi="宋体" w:cs="宋体"/>
                <w:snapToGrid w:val="0"/>
                <w:color w:val="auto"/>
                <w:kern w:val="0"/>
                <w:sz w:val="21"/>
                <w:szCs w:val="21"/>
                <w:highlight w:val="none"/>
                <w:lang w:val="en-US" w:eastAsia="zh-CN" w:bidi="ar"/>
              </w:rPr>
              <w:t>服务</w:t>
            </w:r>
          </w:p>
          <w:p w14:paraId="3FA0FE77">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left"/>
              <w:textAlignment w:val="bottom"/>
              <w:rPr>
                <w:rFonts w:hint="eastAsia" w:ascii="宋体" w:hAnsi="宋体" w:eastAsia="宋体" w:cs="宋体"/>
                <w:snapToGrid w:val="0"/>
                <w:color w:val="auto"/>
                <w:kern w:val="0"/>
                <w:sz w:val="21"/>
                <w:szCs w:val="21"/>
                <w:highlight w:val="none"/>
                <w:lang w:val="en-US" w:eastAsia="en-US" w:bidi="ar"/>
              </w:rPr>
            </w:pPr>
            <w:r>
              <w:rPr>
                <w:rFonts w:hint="eastAsia" w:ascii="宋体" w:hAnsi="宋体" w:eastAsia="宋体" w:cs="宋体"/>
                <w:snapToGrid w:val="0"/>
                <w:color w:val="auto"/>
                <w:kern w:val="0"/>
                <w:sz w:val="21"/>
                <w:szCs w:val="21"/>
                <w:highlight w:val="none"/>
                <w:lang w:val="en-US" w:eastAsia="zh-CN" w:bidi="ar"/>
              </w:rPr>
              <w:t>响应时效</w:t>
            </w:r>
            <w:r>
              <w:rPr>
                <w:rFonts w:hint="eastAsia" w:ascii="宋体" w:hAnsi="宋体" w:cs="宋体"/>
                <w:snapToGrid w:val="0"/>
                <w:color w:val="auto"/>
                <w:kern w:val="0"/>
                <w:sz w:val="21"/>
                <w:szCs w:val="21"/>
                <w:highlight w:val="none"/>
                <w:lang w:val="en-US" w:eastAsia="zh-CN" w:bidi="ar"/>
              </w:rPr>
              <w:t>：</w:t>
            </w:r>
            <w:r>
              <w:rPr>
                <w:rFonts w:hint="eastAsia" w:ascii="宋体" w:hAnsi="宋体" w:eastAsia="宋体" w:cs="宋体"/>
                <w:snapToGrid w:val="0"/>
                <w:color w:val="auto"/>
                <w:kern w:val="0"/>
                <w:sz w:val="21"/>
                <w:szCs w:val="21"/>
                <w:highlight w:val="none"/>
                <w:lang w:val="en-US" w:eastAsia="zh-CN" w:bidi="ar"/>
              </w:rPr>
              <w:t>2小时以内远程进行故障排除</w:t>
            </w:r>
          </w:p>
          <w:p w14:paraId="579C52C5">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left"/>
              <w:textAlignment w:val="bottom"/>
              <w:rPr>
                <w:rFonts w:hint="eastAsia" w:ascii="宋体" w:hAnsi="宋体" w:eastAsia="宋体" w:cs="宋体"/>
                <w:snapToGrid w:val="0"/>
                <w:color w:val="auto"/>
                <w:kern w:val="0"/>
                <w:sz w:val="21"/>
                <w:szCs w:val="21"/>
                <w:highlight w:val="none"/>
                <w:lang w:val="en-US" w:eastAsia="en-US" w:bidi="ar"/>
              </w:rPr>
            </w:pPr>
            <w:r>
              <w:rPr>
                <w:rFonts w:hint="eastAsia" w:ascii="宋体" w:hAnsi="宋体" w:eastAsia="宋体" w:cs="宋体"/>
                <w:snapToGrid w:val="0"/>
                <w:color w:val="auto"/>
                <w:kern w:val="0"/>
                <w:sz w:val="21"/>
                <w:szCs w:val="21"/>
                <w:highlight w:val="none"/>
                <w:lang w:val="en-US" w:eastAsia="zh-CN" w:bidi="ar"/>
              </w:rPr>
              <w:t>到场时间</w:t>
            </w:r>
            <w:r>
              <w:rPr>
                <w:rFonts w:hint="eastAsia" w:ascii="宋体" w:hAnsi="宋体" w:cs="宋体"/>
                <w:snapToGrid w:val="0"/>
                <w:color w:val="auto"/>
                <w:kern w:val="0"/>
                <w:sz w:val="21"/>
                <w:szCs w:val="21"/>
                <w:highlight w:val="none"/>
                <w:lang w:val="en-US" w:eastAsia="zh-CN" w:bidi="ar"/>
              </w:rPr>
              <w:t>：</w:t>
            </w:r>
            <w:r>
              <w:rPr>
                <w:rFonts w:hint="eastAsia" w:ascii="宋体" w:hAnsi="宋体" w:eastAsia="宋体" w:cs="宋体"/>
                <w:snapToGrid w:val="0"/>
                <w:color w:val="auto"/>
                <w:kern w:val="0"/>
                <w:sz w:val="21"/>
                <w:szCs w:val="21"/>
                <w:highlight w:val="none"/>
                <w:lang w:val="en-US" w:eastAsia="zh-CN" w:bidi="ar"/>
              </w:rPr>
              <w:t>远程不能解决的，4小时到达现场解决问题。</w:t>
            </w:r>
          </w:p>
          <w:p w14:paraId="1E4217C4">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left"/>
              <w:textAlignment w:val="bottom"/>
              <w:rPr>
                <w:rFonts w:hint="eastAsia" w:ascii="宋体" w:hAnsi="宋体" w:eastAsia="宋体" w:cs="宋体"/>
                <w:snapToGrid w:val="0"/>
                <w:color w:val="auto"/>
                <w:kern w:val="0"/>
                <w:sz w:val="21"/>
                <w:szCs w:val="21"/>
                <w:highlight w:val="none"/>
                <w:lang w:val="en-US" w:eastAsia="en-US" w:bidi="ar"/>
              </w:rPr>
            </w:pPr>
            <w:r>
              <w:rPr>
                <w:rFonts w:hint="eastAsia" w:ascii="宋体" w:hAnsi="宋体" w:eastAsia="宋体" w:cs="宋体"/>
                <w:snapToGrid w:val="0"/>
                <w:color w:val="auto"/>
                <w:kern w:val="0"/>
                <w:sz w:val="21"/>
                <w:szCs w:val="21"/>
                <w:highlight w:val="none"/>
                <w:lang w:val="en-US" w:eastAsia="zh-CN" w:bidi="ar"/>
              </w:rPr>
              <w:t>软件类运维</w:t>
            </w:r>
          </w:p>
          <w:p w14:paraId="740D5E91">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left"/>
              <w:textAlignment w:val="bottom"/>
              <w:rPr>
                <w:rFonts w:hint="eastAsia" w:ascii="宋体" w:hAnsi="宋体" w:eastAsia="宋体" w:cs="宋体"/>
                <w:snapToGrid w:val="0"/>
                <w:color w:val="auto"/>
                <w:kern w:val="0"/>
                <w:sz w:val="21"/>
                <w:szCs w:val="21"/>
                <w:highlight w:val="none"/>
                <w:lang w:val="en-US" w:eastAsia="en-US" w:bidi="ar"/>
              </w:rPr>
            </w:pPr>
            <w:r>
              <w:rPr>
                <w:rFonts w:hint="eastAsia" w:ascii="宋体" w:hAnsi="宋体" w:eastAsia="宋体" w:cs="宋体"/>
                <w:snapToGrid w:val="0"/>
                <w:color w:val="auto"/>
                <w:kern w:val="0"/>
                <w:sz w:val="21"/>
                <w:szCs w:val="21"/>
                <w:highlight w:val="none"/>
                <w:lang w:val="en-US" w:eastAsia="zh-CN" w:bidi="ar"/>
              </w:rPr>
              <w:t>服务时间</w:t>
            </w:r>
            <w:r>
              <w:rPr>
                <w:rFonts w:hint="eastAsia" w:ascii="宋体" w:hAnsi="宋体" w:cs="宋体"/>
                <w:snapToGrid w:val="0"/>
                <w:color w:val="auto"/>
                <w:kern w:val="0"/>
                <w:sz w:val="21"/>
                <w:szCs w:val="21"/>
                <w:highlight w:val="none"/>
                <w:lang w:val="en-US" w:eastAsia="zh-CN" w:bidi="ar"/>
              </w:rPr>
              <w:t>：</w:t>
            </w:r>
            <w:r>
              <w:rPr>
                <w:rFonts w:hint="eastAsia" w:ascii="宋体" w:hAnsi="宋体" w:eastAsia="宋体" w:cs="宋体"/>
                <w:snapToGrid w:val="0"/>
                <w:color w:val="auto"/>
                <w:kern w:val="0"/>
                <w:sz w:val="21"/>
                <w:szCs w:val="21"/>
                <w:highlight w:val="none"/>
                <w:lang w:val="en-US" w:eastAsia="zh-CN" w:bidi="ar"/>
              </w:rPr>
              <w:t>7*24小时</w:t>
            </w:r>
            <w:r>
              <w:rPr>
                <w:rFonts w:hint="eastAsia" w:ascii="宋体" w:hAnsi="宋体" w:cs="宋体"/>
                <w:snapToGrid w:val="0"/>
                <w:color w:val="auto"/>
                <w:kern w:val="0"/>
                <w:sz w:val="21"/>
                <w:szCs w:val="21"/>
                <w:highlight w:val="none"/>
                <w:lang w:val="en-US" w:eastAsia="zh-CN" w:bidi="ar"/>
              </w:rPr>
              <w:t>服务</w:t>
            </w:r>
          </w:p>
          <w:p w14:paraId="310C4340">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left"/>
              <w:textAlignment w:val="bottom"/>
              <w:rPr>
                <w:rFonts w:hint="eastAsia" w:ascii="宋体" w:hAnsi="宋体" w:eastAsia="宋体" w:cs="宋体"/>
                <w:snapToGrid w:val="0"/>
                <w:color w:val="auto"/>
                <w:kern w:val="0"/>
                <w:sz w:val="21"/>
                <w:szCs w:val="21"/>
                <w:highlight w:val="none"/>
                <w:lang w:val="en-US" w:eastAsia="en-US" w:bidi="ar"/>
              </w:rPr>
            </w:pPr>
            <w:r>
              <w:rPr>
                <w:rFonts w:hint="eastAsia" w:ascii="宋体" w:hAnsi="宋体" w:eastAsia="宋体" w:cs="宋体"/>
                <w:snapToGrid w:val="0"/>
                <w:color w:val="auto"/>
                <w:kern w:val="0"/>
                <w:sz w:val="21"/>
                <w:szCs w:val="21"/>
                <w:highlight w:val="none"/>
                <w:lang w:val="en-US" w:eastAsia="zh-CN" w:bidi="ar"/>
              </w:rPr>
              <w:t>响应时效</w:t>
            </w:r>
            <w:r>
              <w:rPr>
                <w:rFonts w:hint="eastAsia" w:ascii="宋体" w:hAnsi="宋体" w:cs="宋体"/>
                <w:snapToGrid w:val="0"/>
                <w:color w:val="auto"/>
                <w:kern w:val="0"/>
                <w:sz w:val="21"/>
                <w:szCs w:val="21"/>
                <w:highlight w:val="none"/>
                <w:lang w:val="en-US" w:eastAsia="zh-CN" w:bidi="ar"/>
              </w:rPr>
              <w:t>：</w:t>
            </w:r>
            <w:r>
              <w:rPr>
                <w:rFonts w:hint="eastAsia" w:ascii="宋体" w:hAnsi="宋体" w:eastAsia="宋体" w:cs="宋体"/>
                <w:snapToGrid w:val="0"/>
                <w:color w:val="auto"/>
                <w:kern w:val="0"/>
                <w:sz w:val="21"/>
                <w:szCs w:val="21"/>
                <w:highlight w:val="none"/>
                <w:lang w:val="en-US" w:eastAsia="zh-CN" w:bidi="ar"/>
              </w:rPr>
              <w:t>15分钟</w:t>
            </w:r>
          </w:p>
          <w:p w14:paraId="6F14E0B4">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left"/>
              <w:textAlignment w:val="bottom"/>
              <w:rPr>
                <w:rFonts w:hint="eastAsia" w:ascii="宋体" w:hAnsi="宋体" w:eastAsia="宋体" w:cs="宋体"/>
                <w:snapToGrid w:val="0"/>
                <w:color w:val="auto"/>
                <w:kern w:val="0"/>
                <w:sz w:val="21"/>
                <w:szCs w:val="21"/>
                <w:highlight w:val="none"/>
                <w:lang w:val="en-US" w:eastAsia="en-US" w:bidi="ar"/>
              </w:rPr>
            </w:pPr>
            <w:r>
              <w:rPr>
                <w:rFonts w:hint="eastAsia" w:ascii="宋体" w:hAnsi="宋体" w:eastAsia="宋体" w:cs="宋体"/>
                <w:snapToGrid w:val="0"/>
                <w:color w:val="auto"/>
                <w:kern w:val="0"/>
                <w:sz w:val="21"/>
                <w:szCs w:val="21"/>
                <w:highlight w:val="none"/>
                <w:lang w:val="en-US" w:eastAsia="zh-CN" w:bidi="ar"/>
              </w:rPr>
              <w:t>到场时间</w:t>
            </w:r>
            <w:r>
              <w:rPr>
                <w:rFonts w:hint="eastAsia" w:ascii="宋体" w:hAnsi="宋体" w:cs="宋体"/>
                <w:snapToGrid w:val="0"/>
                <w:color w:val="auto"/>
                <w:kern w:val="0"/>
                <w:sz w:val="21"/>
                <w:szCs w:val="21"/>
                <w:highlight w:val="none"/>
                <w:lang w:val="en-US" w:eastAsia="zh-CN" w:bidi="ar"/>
              </w:rPr>
              <w:t>：</w:t>
            </w:r>
            <w:r>
              <w:rPr>
                <w:rFonts w:hint="eastAsia" w:ascii="宋体" w:hAnsi="宋体" w:eastAsia="宋体" w:cs="宋体"/>
                <w:snapToGrid w:val="0"/>
                <w:color w:val="auto"/>
                <w:kern w:val="0"/>
                <w:sz w:val="21"/>
                <w:szCs w:val="21"/>
                <w:highlight w:val="none"/>
                <w:lang w:val="en-US" w:eastAsia="zh-CN" w:bidi="ar"/>
              </w:rPr>
              <w:t>远程不能解决的，4小时到达现场解决问题</w:t>
            </w:r>
          </w:p>
          <w:p w14:paraId="34409BEE">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left"/>
              <w:textAlignment w:val="bottom"/>
              <w:rPr>
                <w:rFonts w:hint="eastAsia" w:ascii="宋体" w:hAnsi="宋体" w:eastAsia="宋体" w:cs="宋体"/>
                <w:snapToGrid w:val="0"/>
                <w:color w:val="auto"/>
                <w:kern w:val="0"/>
                <w:sz w:val="21"/>
                <w:szCs w:val="21"/>
                <w:highlight w:val="none"/>
                <w:lang w:val="en-US" w:eastAsia="en-US" w:bidi="ar"/>
              </w:rPr>
            </w:pPr>
            <w:r>
              <w:rPr>
                <w:rFonts w:hint="eastAsia" w:ascii="宋体" w:hAnsi="宋体" w:eastAsia="宋体" w:cs="宋体"/>
                <w:snapToGrid w:val="0"/>
                <w:color w:val="auto"/>
                <w:kern w:val="0"/>
                <w:sz w:val="21"/>
                <w:szCs w:val="21"/>
                <w:highlight w:val="none"/>
                <w:lang w:val="en-US" w:eastAsia="zh-CN" w:bidi="ar"/>
              </w:rPr>
              <w:t>故障恢复时间</w:t>
            </w:r>
            <w:r>
              <w:rPr>
                <w:rFonts w:hint="eastAsia" w:ascii="宋体" w:hAnsi="宋体" w:cs="宋体"/>
                <w:snapToGrid w:val="0"/>
                <w:color w:val="auto"/>
                <w:kern w:val="0"/>
                <w:sz w:val="21"/>
                <w:szCs w:val="21"/>
                <w:highlight w:val="none"/>
                <w:lang w:val="en-US" w:eastAsia="zh-CN" w:bidi="ar"/>
              </w:rPr>
              <w:t>：</w:t>
            </w:r>
            <w:r>
              <w:rPr>
                <w:rFonts w:hint="eastAsia" w:ascii="宋体" w:hAnsi="宋体" w:eastAsia="宋体" w:cs="宋体"/>
                <w:snapToGrid w:val="0"/>
                <w:color w:val="auto"/>
                <w:kern w:val="0"/>
                <w:sz w:val="21"/>
                <w:szCs w:val="21"/>
                <w:highlight w:val="none"/>
                <w:lang w:val="en-US" w:eastAsia="zh-CN" w:bidi="ar"/>
              </w:rPr>
              <w:t>12小时以内</w:t>
            </w:r>
          </w:p>
          <w:p w14:paraId="1D392D81">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left"/>
              <w:textAlignment w:val="bottom"/>
              <w:rPr>
                <w:rFonts w:hint="eastAsia" w:ascii="宋体" w:hAnsi="宋体" w:eastAsia="宋体" w:cs="宋体"/>
                <w:snapToGrid w:val="0"/>
                <w:color w:val="auto"/>
                <w:kern w:val="0"/>
                <w:sz w:val="21"/>
                <w:szCs w:val="21"/>
                <w:highlight w:val="none"/>
                <w:lang w:val="en-US" w:eastAsia="en-US" w:bidi="ar"/>
              </w:rPr>
            </w:pPr>
            <w:r>
              <w:rPr>
                <w:rFonts w:hint="eastAsia" w:ascii="宋体" w:hAnsi="宋体" w:eastAsia="宋体" w:cs="宋体"/>
                <w:snapToGrid w:val="0"/>
                <w:color w:val="auto"/>
                <w:kern w:val="0"/>
                <w:sz w:val="21"/>
                <w:szCs w:val="21"/>
                <w:highlight w:val="none"/>
                <w:lang w:val="en-US" w:eastAsia="zh-CN" w:bidi="ar"/>
              </w:rPr>
              <w:t>巡检周期</w:t>
            </w:r>
            <w:r>
              <w:rPr>
                <w:rFonts w:hint="eastAsia" w:ascii="宋体" w:hAnsi="宋体" w:cs="宋体"/>
                <w:snapToGrid w:val="0"/>
                <w:color w:val="auto"/>
                <w:kern w:val="0"/>
                <w:sz w:val="21"/>
                <w:szCs w:val="21"/>
                <w:highlight w:val="none"/>
                <w:lang w:val="en-US" w:eastAsia="zh-CN" w:bidi="ar"/>
              </w:rPr>
              <w:t>：</w:t>
            </w:r>
            <w:r>
              <w:rPr>
                <w:rFonts w:hint="eastAsia" w:ascii="宋体" w:hAnsi="宋体" w:eastAsia="宋体" w:cs="宋体"/>
                <w:snapToGrid w:val="0"/>
                <w:color w:val="auto"/>
                <w:kern w:val="0"/>
                <w:sz w:val="21"/>
                <w:szCs w:val="21"/>
                <w:highlight w:val="none"/>
                <w:lang w:val="en-US" w:eastAsia="zh-CN" w:bidi="ar"/>
              </w:rPr>
              <w:t>每月一次</w:t>
            </w:r>
          </w:p>
          <w:p w14:paraId="567193FA">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left"/>
              <w:textAlignment w:val="bottom"/>
              <w:rPr>
                <w:rFonts w:hint="eastAsia" w:ascii="宋体" w:hAnsi="宋体" w:eastAsia="宋体" w:cs="宋体"/>
                <w:snapToGrid w:val="0"/>
                <w:color w:val="auto"/>
                <w:kern w:val="0"/>
                <w:sz w:val="21"/>
                <w:szCs w:val="21"/>
                <w:highlight w:val="none"/>
                <w:lang w:val="en-US" w:eastAsia="en-US" w:bidi="ar"/>
              </w:rPr>
            </w:pPr>
            <w:r>
              <w:rPr>
                <w:rFonts w:hint="eastAsia" w:ascii="宋体" w:hAnsi="宋体" w:eastAsia="宋体" w:cs="宋体"/>
                <w:snapToGrid w:val="0"/>
                <w:color w:val="auto"/>
                <w:kern w:val="0"/>
                <w:sz w:val="21"/>
                <w:szCs w:val="21"/>
                <w:highlight w:val="none"/>
                <w:lang w:val="en-US" w:eastAsia="zh-CN" w:bidi="ar"/>
              </w:rPr>
              <w:t>如有设备需要更换零件或者不具备维修价值，出具相关建议，以便于</w:t>
            </w:r>
            <w:r>
              <w:rPr>
                <w:rFonts w:hint="eastAsia" w:ascii="宋体" w:hAnsi="宋体" w:cs="宋体"/>
                <w:snapToGrid w:val="0"/>
                <w:color w:val="auto"/>
                <w:kern w:val="0"/>
                <w:sz w:val="21"/>
                <w:szCs w:val="21"/>
                <w:highlight w:val="none"/>
                <w:lang w:val="en-US" w:eastAsia="zh-CN" w:bidi="ar"/>
              </w:rPr>
              <w:t>使用单位</w:t>
            </w:r>
            <w:r>
              <w:rPr>
                <w:rFonts w:hint="eastAsia" w:ascii="宋体" w:hAnsi="宋体" w:eastAsia="宋体" w:cs="宋体"/>
                <w:snapToGrid w:val="0"/>
                <w:color w:val="auto"/>
                <w:kern w:val="0"/>
                <w:sz w:val="21"/>
                <w:szCs w:val="21"/>
                <w:highlight w:val="none"/>
                <w:lang w:val="en-US" w:eastAsia="zh-CN" w:bidi="ar"/>
              </w:rPr>
              <w:t>合理进行更换或者报废处理(不包含设备采购)。</w:t>
            </w:r>
          </w:p>
        </w:tc>
        <w:tc>
          <w:tcPr>
            <w:tcW w:w="1243" w:type="dxa"/>
            <w:tcBorders>
              <w:top w:val="single" w:color="auto" w:sz="4" w:space="0"/>
              <w:left w:val="single" w:color="auto" w:sz="4" w:space="0"/>
              <w:bottom w:val="single" w:color="auto" w:sz="4" w:space="0"/>
              <w:right w:val="single" w:color="auto" w:sz="4" w:space="0"/>
            </w:tcBorders>
            <w:shd w:val="clear" w:color="auto" w:fill="auto"/>
            <w:vAlign w:val="center"/>
          </w:tcPr>
          <w:p w14:paraId="459A564A">
            <w:pPr>
              <w:keepNext w:val="0"/>
              <w:keepLines w:val="0"/>
              <w:widowControl/>
              <w:suppressLineNumbers w:val="0"/>
              <w:kinsoku w:val="0"/>
              <w:autoSpaceDE w:val="0"/>
              <w:autoSpaceDN w:val="0"/>
              <w:adjustRightInd w:val="0"/>
              <w:snapToGrid w:val="0"/>
              <w:spacing w:before="0" w:beforeAutospacing="0" w:after="0" w:afterAutospacing="0" w:line="240" w:lineRule="auto"/>
              <w:ind w:left="0" w:right="-31" w:rightChars="-15"/>
              <w:jc w:val="left"/>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cs="宋体"/>
                <w:snapToGrid w:val="0"/>
                <w:color w:val="auto"/>
                <w:kern w:val="0"/>
                <w:sz w:val="21"/>
                <w:szCs w:val="21"/>
                <w:highlight w:val="none"/>
                <w:lang w:val="en-US" w:eastAsia="zh-CN" w:bidi="ar"/>
              </w:rPr>
              <w:t>现有系统开发商为郑州信泽华计算机技术开发有限公司</w:t>
            </w:r>
          </w:p>
        </w:tc>
      </w:tr>
      <w:tr w14:paraId="0C74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427" w:type="dxa"/>
            <w:tcBorders>
              <w:top w:val="single" w:color="auto" w:sz="4" w:space="0"/>
              <w:left w:val="single" w:color="auto" w:sz="4" w:space="0"/>
              <w:bottom w:val="single" w:color="auto" w:sz="4" w:space="0"/>
              <w:right w:val="single" w:color="auto" w:sz="4" w:space="0"/>
            </w:tcBorders>
            <w:shd w:val="clear" w:color="auto" w:fill="auto"/>
            <w:vAlign w:val="center"/>
          </w:tcPr>
          <w:p w14:paraId="21C31C0C">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ottom"/>
              <w:rPr>
                <w:rFonts w:hint="default" w:ascii="宋体" w:hAnsi="宋体" w:eastAsia="宋体" w:cs="宋体"/>
                <w:snapToGrid w:val="0"/>
                <w:color w:val="auto"/>
                <w:kern w:val="0"/>
                <w:sz w:val="21"/>
                <w:szCs w:val="21"/>
                <w:highlight w:val="none"/>
                <w:lang w:val="en-US" w:eastAsia="zh-CN" w:bidi="ar"/>
              </w:rPr>
            </w:pPr>
            <w:r>
              <w:rPr>
                <w:rFonts w:hint="eastAsia" w:ascii="宋体" w:hAnsi="宋体" w:cs="宋体"/>
                <w:snapToGrid w:val="0"/>
                <w:color w:val="auto"/>
                <w:kern w:val="0"/>
                <w:sz w:val="21"/>
                <w:szCs w:val="21"/>
                <w:highlight w:val="none"/>
                <w:lang w:val="en-US" w:eastAsia="zh-CN" w:bidi="ar"/>
              </w:rPr>
              <w:t>2</w:t>
            </w:r>
          </w:p>
        </w:tc>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14:paraId="73DC07E0">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安阳市生态环境局</w:t>
            </w:r>
          </w:p>
        </w:tc>
        <w:tc>
          <w:tcPr>
            <w:tcW w:w="1236" w:type="dxa"/>
            <w:tcBorders>
              <w:top w:val="single" w:color="auto" w:sz="4" w:space="0"/>
              <w:left w:val="single" w:color="auto" w:sz="4" w:space="0"/>
              <w:bottom w:val="single" w:color="auto" w:sz="4" w:space="0"/>
              <w:right w:val="single" w:color="auto" w:sz="4" w:space="0"/>
            </w:tcBorders>
            <w:shd w:val="clear" w:color="auto" w:fill="auto"/>
            <w:vAlign w:val="center"/>
          </w:tcPr>
          <w:p w14:paraId="3544009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31" w:rightChars="-15"/>
              <w:jc w:val="left"/>
              <w:textAlignment w:val="bottom"/>
              <w:rPr>
                <w:rFonts w:hint="eastAsia" w:ascii="宋体" w:hAnsi="宋体" w:cs="宋体"/>
                <w:snapToGrid w:val="0"/>
                <w:color w:val="auto"/>
                <w:kern w:val="0"/>
                <w:sz w:val="21"/>
                <w:szCs w:val="21"/>
                <w:highlight w:val="none"/>
                <w:lang w:val="en-US" w:eastAsia="zh-CN" w:bidi="ar"/>
              </w:rPr>
            </w:pPr>
            <w:r>
              <w:rPr>
                <w:rFonts w:hint="eastAsia" w:ascii="宋体" w:hAnsi="宋体" w:cs="宋体"/>
                <w:snapToGrid w:val="0"/>
                <w:color w:val="auto"/>
                <w:kern w:val="0"/>
                <w:sz w:val="21"/>
                <w:szCs w:val="21"/>
                <w:highlight w:val="none"/>
                <w:lang w:val="en-US" w:eastAsia="zh-CN" w:bidi="ar"/>
              </w:rPr>
              <w:t>安阳市重点污染源监控平台</w:t>
            </w:r>
          </w:p>
          <w:p w14:paraId="41029FCD">
            <w:pPr>
              <w:keepNext w:val="0"/>
              <w:keepLines w:val="0"/>
              <w:widowControl/>
              <w:suppressLineNumbers w:val="0"/>
              <w:kinsoku w:val="0"/>
              <w:autoSpaceDE w:val="0"/>
              <w:autoSpaceDN w:val="0"/>
              <w:adjustRightInd w:val="0"/>
              <w:snapToGrid w:val="0"/>
              <w:spacing w:before="0" w:beforeAutospacing="0" w:after="0" w:afterAutospacing="0" w:line="240" w:lineRule="auto"/>
              <w:ind w:left="0" w:right="-31" w:rightChars="-15"/>
              <w:jc w:val="left"/>
              <w:textAlignment w:val="bottom"/>
              <w:rPr>
                <w:rFonts w:hint="eastAsia" w:ascii="宋体" w:hAnsi="宋体" w:cs="宋体"/>
                <w:snapToGrid w:val="0"/>
                <w:color w:val="auto"/>
                <w:kern w:val="0"/>
                <w:sz w:val="21"/>
                <w:szCs w:val="21"/>
                <w:highlight w:val="none"/>
                <w:lang w:val="en-US" w:eastAsia="zh-CN" w:bidi="ar"/>
              </w:rPr>
            </w:pPr>
            <w:r>
              <w:rPr>
                <w:rFonts w:hint="eastAsia" w:ascii="宋体" w:hAnsi="宋体" w:cs="宋体"/>
                <w:snapToGrid w:val="0"/>
                <w:color w:val="auto"/>
                <w:kern w:val="0"/>
                <w:sz w:val="21"/>
                <w:szCs w:val="21"/>
                <w:highlight w:val="none"/>
                <w:lang w:val="en-US" w:eastAsia="zh-CN" w:bidi="ar"/>
              </w:rPr>
              <w:t>（安阳市生态环境监测和安全中心）</w:t>
            </w:r>
          </w:p>
        </w:tc>
        <w:tc>
          <w:tcPr>
            <w:tcW w:w="3019" w:type="dxa"/>
            <w:tcBorders>
              <w:top w:val="single" w:color="auto" w:sz="4" w:space="0"/>
              <w:left w:val="single" w:color="auto" w:sz="4" w:space="0"/>
              <w:bottom w:val="single" w:color="auto" w:sz="4" w:space="0"/>
              <w:right w:val="single" w:color="auto" w:sz="4" w:space="0"/>
            </w:tcBorders>
            <w:shd w:val="clear" w:color="auto" w:fill="auto"/>
            <w:vAlign w:val="center"/>
          </w:tcPr>
          <w:p w14:paraId="106EA477">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1</w:t>
            </w:r>
            <w:r>
              <w:rPr>
                <w:rFonts w:hint="eastAsia" w:ascii="宋体" w:hAnsi="宋体" w:cs="宋体"/>
                <w:snapToGrid w:val="0"/>
                <w:color w:val="auto"/>
                <w:kern w:val="0"/>
                <w:sz w:val="21"/>
                <w:szCs w:val="21"/>
                <w:highlight w:val="none"/>
                <w:lang w:val="en-US" w:eastAsia="zh-CN" w:bidi="ar"/>
              </w:rPr>
              <w:t>.</w:t>
            </w:r>
            <w:r>
              <w:rPr>
                <w:rFonts w:hint="eastAsia" w:ascii="宋体" w:hAnsi="宋体" w:eastAsia="宋体" w:cs="宋体"/>
                <w:snapToGrid w:val="0"/>
                <w:color w:val="auto"/>
                <w:kern w:val="0"/>
                <w:sz w:val="21"/>
                <w:szCs w:val="21"/>
                <w:highlight w:val="none"/>
                <w:lang w:val="en-US" w:eastAsia="zh-CN" w:bidi="ar"/>
              </w:rPr>
              <w:t>主要负责运维平台</w:t>
            </w:r>
            <w:r>
              <w:rPr>
                <w:rFonts w:hint="eastAsia" w:ascii="宋体" w:hAnsi="宋体" w:cs="宋体"/>
                <w:snapToGrid w:val="0"/>
                <w:color w:val="auto"/>
                <w:kern w:val="0"/>
                <w:sz w:val="21"/>
                <w:szCs w:val="21"/>
                <w:highlight w:val="none"/>
                <w:lang w:val="en-US" w:eastAsia="zh-CN" w:bidi="ar"/>
              </w:rPr>
              <w:t>：</w:t>
            </w:r>
          </w:p>
          <w:p w14:paraId="713D2845">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安阳市重点污染源自动监控平台（市平台）</w:t>
            </w:r>
          </w:p>
          <w:p w14:paraId="71516972">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2</w:t>
            </w:r>
            <w:r>
              <w:rPr>
                <w:rFonts w:hint="eastAsia" w:ascii="宋体" w:hAnsi="宋体" w:cs="宋体"/>
                <w:snapToGrid w:val="0"/>
                <w:color w:val="auto"/>
                <w:kern w:val="0"/>
                <w:sz w:val="21"/>
                <w:szCs w:val="21"/>
                <w:highlight w:val="none"/>
                <w:lang w:val="en-US" w:eastAsia="zh-CN" w:bidi="ar"/>
              </w:rPr>
              <w:t>.要求从“</w:t>
            </w:r>
            <w:r>
              <w:rPr>
                <w:rFonts w:hint="eastAsia" w:ascii="宋体" w:hAnsi="宋体" w:eastAsia="宋体" w:cs="宋体"/>
                <w:snapToGrid w:val="0"/>
                <w:color w:val="auto"/>
                <w:kern w:val="0"/>
                <w:sz w:val="21"/>
                <w:szCs w:val="21"/>
                <w:highlight w:val="none"/>
                <w:lang w:val="en-US" w:eastAsia="zh-CN" w:bidi="ar"/>
              </w:rPr>
              <w:t>重点污染源自动监控与基础数据库系统（国发平台）</w:t>
            </w:r>
            <w:r>
              <w:rPr>
                <w:rFonts w:hint="eastAsia" w:ascii="宋体" w:hAnsi="宋体" w:cs="宋体"/>
                <w:snapToGrid w:val="0"/>
                <w:color w:val="auto"/>
                <w:kern w:val="0"/>
                <w:sz w:val="21"/>
                <w:szCs w:val="21"/>
                <w:highlight w:val="none"/>
                <w:lang w:val="en-US" w:eastAsia="zh-CN" w:bidi="ar"/>
              </w:rPr>
              <w:t>”</w:t>
            </w:r>
            <w:r>
              <w:rPr>
                <w:rFonts w:hint="eastAsia" w:ascii="宋体" w:hAnsi="宋体" w:eastAsia="宋体" w:cs="宋体"/>
                <w:snapToGrid w:val="0"/>
                <w:color w:val="auto"/>
                <w:kern w:val="0"/>
                <w:sz w:val="21"/>
                <w:szCs w:val="21"/>
                <w:highlight w:val="none"/>
                <w:lang w:val="en-US" w:eastAsia="zh-CN" w:bidi="ar"/>
              </w:rPr>
              <w:t>正常提取数据</w:t>
            </w:r>
            <w:r>
              <w:rPr>
                <w:rFonts w:hint="eastAsia" w:ascii="宋体" w:hAnsi="宋体" w:cs="宋体"/>
                <w:snapToGrid w:val="0"/>
                <w:color w:val="auto"/>
                <w:kern w:val="0"/>
                <w:sz w:val="21"/>
                <w:szCs w:val="21"/>
                <w:highlight w:val="none"/>
                <w:lang w:val="en-US" w:eastAsia="zh-CN" w:bidi="ar"/>
              </w:rPr>
              <w:t>。</w:t>
            </w:r>
          </w:p>
          <w:p w14:paraId="6E66AD12">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3</w:t>
            </w:r>
            <w:r>
              <w:rPr>
                <w:rFonts w:hint="eastAsia" w:ascii="宋体" w:hAnsi="宋体" w:cs="宋体"/>
                <w:snapToGrid w:val="0"/>
                <w:color w:val="auto"/>
                <w:kern w:val="0"/>
                <w:sz w:val="21"/>
                <w:szCs w:val="21"/>
                <w:highlight w:val="none"/>
                <w:lang w:val="en-US" w:eastAsia="zh-CN" w:bidi="ar"/>
              </w:rPr>
              <w:t>.</w:t>
            </w:r>
            <w:r>
              <w:rPr>
                <w:rFonts w:hint="eastAsia" w:ascii="宋体" w:hAnsi="宋体" w:eastAsia="宋体" w:cs="宋体"/>
                <w:snapToGrid w:val="0"/>
                <w:color w:val="auto"/>
                <w:kern w:val="0"/>
                <w:sz w:val="21"/>
                <w:szCs w:val="21"/>
                <w:highlight w:val="none"/>
                <w:lang w:val="en-US" w:eastAsia="zh-CN" w:bidi="ar"/>
              </w:rPr>
              <w:t>重大活动保障</w:t>
            </w:r>
          </w:p>
          <w:p w14:paraId="6D9485E2">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根据</w:t>
            </w:r>
            <w:r>
              <w:rPr>
                <w:rFonts w:hint="eastAsia" w:ascii="宋体" w:hAnsi="宋体" w:cs="宋体"/>
                <w:snapToGrid w:val="0"/>
                <w:color w:val="auto"/>
                <w:kern w:val="0"/>
                <w:sz w:val="21"/>
                <w:szCs w:val="21"/>
                <w:highlight w:val="none"/>
                <w:lang w:val="en-US" w:eastAsia="zh-CN" w:bidi="ar"/>
              </w:rPr>
              <w:t>服务单位</w:t>
            </w:r>
            <w:r>
              <w:rPr>
                <w:rFonts w:hint="eastAsia" w:ascii="宋体" w:hAnsi="宋体" w:eastAsia="宋体" w:cs="宋体"/>
                <w:snapToGrid w:val="0"/>
                <w:color w:val="auto"/>
                <w:kern w:val="0"/>
                <w:sz w:val="21"/>
                <w:szCs w:val="21"/>
                <w:highlight w:val="none"/>
                <w:lang w:val="en-US" w:eastAsia="zh-CN" w:bidi="ar"/>
              </w:rPr>
              <w:t>工作需要，在“两会”等重大活动和重污染天气管控期间，安排运维服务人员做好运维应急准备，提供保障服务。</w:t>
            </w:r>
          </w:p>
          <w:p w14:paraId="2F858F45">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4</w:t>
            </w:r>
            <w:r>
              <w:rPr>
                <w:rFonts w:hint="eastAsia" w:ascii="宋体" w:hAnsi="宋体" w:cs="宋体"/>
                <w:snapToGrid w:val="0"/>
                <w:color w:val="auto"/>
                <w:kern w:val="0"/>
                <w:sz w:val="21"/>
                <w:szCs w:val="21"/>
                <w:highlight w:val="none"/>
                <w:lang w:val="en-US" w:eastAsia="zh-CN" w:bidi="ar"/>
              </w:rPr>
              <w:t>.</w:t>
            </w:r>
            <w:r>
              <w:rPr>
                <w:rFonts w:hint="eastAsia" w:ascii="宋体" w:hAnsi="宋体" w:eastAsia="宋体" w:cs="宋体"/>
                <w:snapToGrid w:val="0"/>
                <w:color w:val="auto"/>
                <w:kern w:val="0"/>
                <w:sz w:val="21"/>
                <w:szCs w:val="21"/>
                <w:highlight w:val="none"/>
                <w:lang w:val="en-US" w:eastAsia="zh-CN" w:bidi="ar"/>
              </w:rPr>
              <w:t>巡检</w:t>
            </w:r>
          </w:p>
          <w:p w14:paraId="438ABCEF">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运维人员须对应用系统的运行状况等进行巡检并记录，提供巡检运维服务月报。通过定期检查数据库系统及应用系统的运行日志和状态，及时排除潜在的故障。巡查内容至少包含如下内容：</w:t>
            </w:r>
          </w:p>
          <w:p w14:paraId="289E7DA7">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检查业务系统是否访问正常，数据是否及时更新；</w:t>
            </w:r>
          </w:p>
          <w:p w14:paraId="323C9AEF">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检查系统日志信息是否存在异常告警；</w:t>
            </w:r>
          </w:p>
          <w:p w14:paraId="78E7E424">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检查数据库日志信息是否存在异常告警；</w:t>
            </w:r>
          </w:p>
          <w:p w14:paraId="6C832D44">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检查数据库备份是否正常，数据空间是否满足需求。</w:t>
            </w:r>
          </w:p>
          <w:p w14:paraId="443ED50F">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5</w:t>
            </w:r>
            <w:r>
              <w:rPr>
                <w:rFonts w:hint="eastAsia" w:ascii="宋体" w:hAnsi="宋体" w:cs="宋体"/>
                <w:snapToGrid w:val="0"/>
                <w:color w:val="auto"/>
                <w:kern w:val="0"/>
                <w:sz w:val="21"/>
                <w:szCs w:val="21"/>
                <w:highlight w:val="none"/>
                <w:lang w:val="en-US" w:eastAsia="zh-CN" w:bidi="ar"/>
              </w:rPr>
              <w:t>.</w:t>
            </w:r>
            <w:r>
              <w:rPr>
                <w:rFonts w:hint="eastAsia" w:ascii="宋体" w:hAnsi="宋体" w:eastAsia="宋体" w:cs="宋体"/>
                <w:snapToGrid w:val="0"/>
                <w:color w:val="auto"/>
                <w:kern w:val="0"/>
                <w:sz w:val="21"/>
                <w:szCs w:val="21"/>
                <w:highlight w:val="none"/>
                <w:lang w:val="en-US" w:eastAsia="zh-CN" w:bidi="ar"/>
              </w:rPr>
              <w:t>数据库维护</w:t>
            </w:r>
          </w:p>
          <w:p w14:paraId="3F5279D3">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包含的工作内容有：（1）验证服务的可用性，确保起关键作用的数据库服务的可用性。（2）监控数据库可用性，数据库运转不正常时，能够及时发现，并立即作出响应，启动相应措施。（3）监控SQL代理作业，运维单位可检查这些作业，以确保它们能够正常运行。（4）确保数据库的正常备份，出现问题后能够及时恢复。</w:t>
            </w:r>
          </w:p>
          <w:p w14:paraId="73A6B0FB">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6</w:t>
            </w:r>
            <w:r>
              <w:rPr>
                <w:rFonts w:hint="eastAsia" w:ascii="宋体" w:hAnsi="宋体" w:cs="宋体"/>
                <w:snapToGrid w:val="0"/>
                <w:color w:val="auto"/>
                <w:kern w:val="0"/>
                <w:sz w:val="21"/>
                <w:szCs w:val="21"/>
                <w:highlight w:val="none"/>
                <w:lang w:val="en-US" w:eastAsia="zh-CN" w:bidi="ar"/>
              </w:rPr>
              <w:t>.</w:t>
            </w:r>
            <w:r>
              <w:rPr>
                <w:rFonts w:hint="eastAsia" w:ascii="宋体" w:hAnsi="宋体" w:eastAsia="宋体" w:cs="宋体"/>
                <w:snapToGrid w:val="0"/>
                <w:color w:val="auto"/>
                <w:kern w:val="0"/>
                <w:sz w:val="21"/>
                <w:szCs w:val="21"/>
                <w:highlight w:val="none"/>
                <w:lang w:val="en-US" w:eastAsia="zh-CN" w:bidi="ar"/>
              </w:rPr>
              <w:t>自动监控类</w:t>
            </w:r>
          </w:p>
          <w:p w14:paraId="02E17E7C">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针对重点污染源、水、空气等环境自动监控系统进行软件维护服务。主要包括环境自动监控系统的通信、按要求提供监控数据查询和分析、预警、数据平台的管理与维护，以及前端站点的增加、修改、配置。</w:t>
            </w:r>
          </w:p>
          <w:p w14:paraId="11356D8A">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trike w:val="0"/>
                <w:dstrike w:val="0"/>
                <w:snapToGrid w:val="0"/>
                <w:color w:val="auto"/>
                <w:kern w:val="0"/>
                <w:sz w:val="21"/>
                <w:szCs w:val="21"/>
                <w:highlight w:val="none"/>
                <w:lang w:val="en-US" w:eastAsia="zh-CN" w:bidi="ar"/>
              </w:rPr>
            </w:pPr>
            <w:r>
              <w:rPr>
                <w:rFonts w:hint="eastAsia" w:ascii="宋体" w:hAnsi="宋体" w:eastAsia="宋体" w:cs="宋体"/>
                <w:strike w:val="0"/>
                <w:dstrike w:val="0"/>
                <w:snapToGrid w:val="0"/>
                <w:color w:val="auto"/>
                <w:kern w:val="0"/>
                <w:sz w:val="21"/>
                <w:szCs w:val="21"/>
                <w:highlight w:val="none"/>
                <w:lang w:val="en-US" w:eastAsia="zh-CN" w:bidi="ar"/>
              </w:rPr>
              <w:t>7</w:t>
            </w:r>
            <w:r>
              <w:rPr>
                <w:rFonts w:hint="eastAsia" w:ascii="宋体" w:hAnsi="宋体" w:cs="宋体"/>
                <w:strike w:val="0"/>
                <w:dstrike w:val="0"/>
                <w:snapToGrid w:val="0"/>
                <w:color w:val="auto"/>
                <w:kern w:val="0"/>
                <w:sz w:val="21"/>
                <w:szCs w:val="21"/>
                <w:highlight w:val="none"/>
                <w:lang w:val="en-US" w:eastAsia="zh-CN" w:bidi="ar"/>
              </w:rPr>
              <w:t>.</w:t>
            </w:r>
            <w:r>
              <w:rPr>
                <w:rFonts w:hint="eastAsia" w:ascii="宋体" w:hAnsi="宋体" w:eastAsia="宋体" w:cs="宋体"/>
                <w:strike w:val="0"/>
                <w:dstrike w:val="0"/>
                <w:snapToGrid w:val="0"/>
                <w:color w:val="auto"/>
                <w:kern w:val="0"/>
                <w:sz w:val="21"/>
                <w:szCs w:val="21"/>
                <w:highlight w:val="none"/>
                <w:lang w:val="en-US" w:eastAsia="zh-CN" w:bidi="ar"/>
              </w:rPr>
              <w:t>综合业务类</w:t>
            </w:r>
          </w:p>
          <w:p w14:paraId="481176E5">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trike w:val="0"/>
                <w:dstrike w:val="0"/>
                <w:snapToGrid w:val="0"/>
                <w:color w:val="auto"/>
                <w:kern w:val="0"/>
                <w:sz w:val="21"/>
                <w:szCs w:val="21"/>
                <w:highlight w:val="none"/>
                <w:lang w:val="en-US" w:eastAsia="zh-CN" w:bidi="ar"/>
              </w:rPr>
              <w:t>运维人员应为</w:t>
            </w:r>
            <w:r>
              <w:rPr>
                <w:rFonts w:hint="eastAsia" w:ascii="宋体" w:hAnsi="宋体" w:cs="宋体"/>
                <w:strike w:val="0"/>
                <w:dstrike w:val="0"/>
                <w:snapToGrid w:val="0"/>
                <w:color w:val="auto"/>
                <w:kern w:val="0"/>
                <w:sz w:val="21"/>
                <w:szCs w:val="21"/>
                <w:highlight w:val="none"/>
                <w:lang w:val="en-US" w:eastAsia="zh-CN" w:bidi="ar"/>
              </w:rPr>
              <w:t>该</w:t>
            </w:r>
            <w:r>
              <w:rPr>
                <w:rFonts w:hint="eastAsia" w:ascii="宋体" w:hAnsi="宋体" w:eastAsia="宋体" w:cs="宋体"/>
                <w:strike w:val="0"/>
                <w:dstrike w:val="0"/>
                <w:snapToGrid w:val="0"/>
                <w:color w:val="auto"/>
                <w:kern w:val="0"/>
                <w:sz w:val="21"/>
                <w:szCs w:val="21"/>
                <w:highlight w:val="none"/>
                <w:lang w:val="en-US" w:eastAsia="zh-CN" w:bidi="ar"/>
              </w:rPr>
              <w:t>系统提供信息管理服务和运维保障服务，保障系统正常稳定运行。运维单位应为市、县两级用户数据上报提供远程技术支持工作。</w:t>
            </w:r>
          </w:p>
        </w:tc>
        <w:tc>
          <w:tcPr>
            <w:tcW w:w="2911" w:type="dxa"/>
            <w:tcBorders>
              <w:top w:val="single" w:color="auto" w:sz="4" w:space="0"/>
              <w:left w:val="single" w:color="auto" w:sz="4" w:space="0"/>
              <w:bottom w:val="single" w:color="auto" w:sz="4" w:space="0"/>
              <w:right w:val="single" w:color="auto" w:sz="4" w:space="0"/>
            </w:tcBorders>
            <w:shd w:val="clear" w:color="auto" w:fill="auto"/>
            <w:vAlign w:val="center"/>
          </w:tcPr>
          <w:p w14:paraId="1BC291A6">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left"/>
              <w:textAlignment w:val="bottom"/>
              <w:rPr>
                <w:rFonts w:hint="eastAsia" w:ascii="宋体" w:hAnsi="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服务时间：7×24小时</w:t>
            </w:r>
            <w:r>
              <w:rPr>
                <w:rFonts w:hint="eastAsia" w:ascii="宋体" w:hAnsi="宋体" w:cs="宋体"/>
                <w:snapToGrid w:val="0"/>
                <w:color w:val="auto"/>
                <w:kern w:val="0"/>
                <w:sz w:val="21"/>
                <w:szCs w:val="21"/>
                <w:highlight w:val="none"/>
                <w:lang w:val="en-US" w:eastAsia="zh-CN" w:bidi="ar"/>
              </w:rPr>
              <w:t>服务</w:t>
            </w:r>
          </w:p>
          <w:p w14:paraId="723EA3A3">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left"/>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响应时效：15分钟之内</w:t>
            </w:r>
            <w:r>
              <w:rPr>
                <w:rFonts w:hint="eastAsia" w:ascii="宋体" w:hAnsi="宋体" w:eastAsia="宋体" w:cs="宋体"/>
                <w:snapToGrid w:val="0"/>
                <w:color w:val="auto"/>
                <w:kern w:val="0"/>
                <w:sz w:val="21"/>
                <w:szCs w:val="21"/>
                <w:highlight w:val="none"/>
                <w:lang w:val="en-US" w:eastAsia="zh-CN" w:bidi="ar"/>
              </w:rPr>
              <w:br w:type="textWrapping"/>
            </w:r>
            <w:r>
              <w:rPr>
                <w:rFonts w:hint="eastAsia" w:ascii="宋体" w:hAnsi="宋体" w:eastAsia="宋体" w:cs="宋体"/>
                <w:snapToGrid w:val="0"/>
                <w:color w:val="auto"/>
                <w:kern w:val="0"/>
                <w:sz w:val="21"/>
                <w:szCs w:val="21"/>
                <w:highlight w:val="none"/>
                <w:lang w:val="en-US" w:eastAsia="zh-CN" w:bidi="ar"/>
              </w:rPr>
              <w:t>到场时间：2小时之内</w:t>
            </w:r>
            <w:r>
              <w:rPr>
                <w:rFonts w:hint="eastAsia" w:ascii="宋体" w:hAnsi="宋体" w:eastAsia="宋体" w:cs="宋体"/>
                <w:snapToGrid w:val="0"/>
                <w:color w:val="auto"/>
                <w:kern w:val="0"/>
                <w:sz w:val="21"/>
                <w:szCs w:val="21"/>
                <w:highlight w:val="none"/>
                <w:lang w:val="en-US" w:eastAsia="zh-CN" w:bidi="ar"/>
              </w:rPr>
              <w:br w:type="textWrapping"/>
            </w:r>
            <w:r>
              <w:rPr>
                <w:rFonts w:hint="eastAsia" w:ascii="宋体" w:hAnsi="宋体" w:eastAsia="宋体" w:cs="宋体"/>
                <w:snapToGrid w:val="0"/>
                <w:color w:val="auto"/>
                <w:kern w:val="0"/>
                <w:sz w:val="21"/>
                <w:szCs w:val="21"/>
                <w:highlight w:val="none"/>
                <w:lang w:val="en-US" w:eastAsia="zh-CN" w:bidi="ar"/>
              </w:rPr>
              <w:t>故障恢复时间：2小时之内</w:t>
            </w:r>
            <w:r>
              <w:rPr>
                <w:rFonts w:hint="eastAsia" w:ascii="宋体" w:hAnsi="宋体" w:eastAsia="宋体" w:cs="宋体"/>
                <w:snapToGrid w:val="0"/>
                <w:color w:val="auto"/>
                <w:kern w:val="0"/>
                <w:sz w:val="21"/>
                <w:szCs w:val="21"/>
                <w:highlight w:val="none"/>
                <w:lang w:val="en-US" w:eastAsia="zh-CN" w:bidi="ar"/>
              </w:rPr>
              <w:br w:type="textWrapping"/>
            </w:r>
            <w:r>
              <w:rPr>
                <w:rFonts w:hint="eastAsia" w:ascii="宋体" w:hAnsi="宋体" w:eastAsia="宋体" w:cs="宋体"/>
                <w:snapToGrid w:val="0"/>
                <w:color w:val="auto"/>
                <w:kern w:val="0"/>
                <w:sz w:val="21"/>
                <w:szCs w:val="21"/>
                <w:highlight w:val="none"/>
                <w:lang w:val="en-US" w:eastAsia="zh-CN" w:bidi="ar"/>
              </w:rPr>
              <w:t>巡检周期：每月一次</w:t>
            </w:r>
          </w:p>
        </w:tc>
        <w:tc>
          <w:tcPr>
            <w:tcW w:w="1243" w:type="dxa"/>
            <w:tcBorders>
              <w:top w:val="single" w:color="auto" w:sz="4" w:space="0"/>
              <w:left w:val="single" w:color="auto" w:sz="4" w:space="0"/>
              <w:bottom w:val="single" w:color="auto" w:sz="4" w:space="0"/>
              <w:right w:val="single" w:color="auto" w:sz="4" w:space="0"/>
            </w:tcBorders>
            <w:shd w:val="clear" w:color="auto" w:fill="auto"/>
            <w:vAlign w:val="center"/>
          </w:tcPr>
          <w:p w14:paraId="6B26E96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31" w:rightChars="-15"/>
              <w:jc w:val="left"/>
              <w:textAlignment w:val="bottom"/>
              <w:rPr>
                <w:rFonts w:hint="eastAsia" w:ascii="宋体" w:hAnsi="宋体" w:cs="宋体"/>
                <w:snapToGrid w:val="0"/>
                <w:color w:val="auto"/>
                <w:kern w:val="0"/>
                <w:sz w:val="21"/>
                <w:szCs w:val="21"/>
                <w:highlight w:val="none"/>
                <w:lang w:val="en-US" w:eastAsia="zh-CN" w:bidi="ar"/>
              </w:rPr>
            </w:pPr>
            <w:r>
              <w:rPr>
                <w:rFonts w:hint="eastAsia" w:ascii="宋体" w:hAnsi="宋体" w:cs="宋体"/>
                <w:snapToGrid w:val="0"/>
                <w:color w:val="auto"/>
                <w:kern w:val="0"/>
                <w:sz w:val="21"/>
                <w:szCs w:val="21"/>
                <w:highlight w:val="none"/>
                <w:lang w:val="en-US" w:eastAsia="zh-CN" w:bidi="ar"/>
              </w:rPr>
              <w:t>现有系统开发商为河南雪城软件有限公司</w:t>
            </w:r>
          </w:p>
        </w:tc>
      </w:tr>
      <w:tr w14:paraId="5BFD5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tcBorders>
              <w:top w:val="single" w:color="auto" w:sz="4" w:space="0"/>
              <w:left w:val="single" w:color="auto" w:sz="4" w:space="0"/>
              <w:bottom w:val="single" w:color="auto" w:sz="4" w:space="0"/>
              <w:right w:val="single" w:color="auto" w:sz="4" w:space="0"/>
            </w:tcBorders>
            <w:shd w:val="clear" w:color="auto" w:fill="auto"/>
            <w:vAlign w:val="center"/>
          </w:tcPr>
          <w:p w14:paraId="6116140C">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ottom"/>
              <w:rPr>
                <w:rFonts w:hint="default" w:ascii="宋体" w:hAnsi="宋体" w:eastAsia="宋体" w:cs="宋体"/>
                <w:snapToGrid w:val="0"/>
                <w:color w:val="auto"/>
                <w:kern w:val="0"/>
                <w:sz w:val="21"/>
                <w:szCs w:val="21"/>
                <w:highlight w:val="none"/>
                <w:lang w:val="en-US" w:eastAsia="zh-CN" w:bidi="ar"/>
              </w:rPr>
            </w:pPr>
            <w:r>
              <w:rPr>
                <w:rFonts w:hint="eastAsia" w:ascii="宋体" w:hAnsi="宋体" w:cs="宋体"/>
                <w:snapToGrid w:val="0"/>
                <w:color w:val="auto"/>
                <w:kern w:val="0"/>
                <w:sz w:val="21"/>
                <w:szCs w:val="21"/>
                <w:highlight w:val="none"/>
                <w:lang w:val="en-US" w:eastAsia="zh-CN" w:bidi="ar"/>
              </w:rPr>
              <w:t>3</w:t>
            </w:r>
          </w:p>
        </w:tc>
        <w:tc>
          <w:tcPr>
            <w:tcW w:w="862" w:type="dxa"/>
            <w:vMerge w:val="restart"/>
            <w:tcBorders>
              <w:top w:val="single" w:color="auto" w:sz="4" w:space="0"/>
              <w:left w:val="single" w:color="auto" w:sz="4" w:space="0"/>
              <w:right w:val="single" w:color="auto" w:sz="4" w:space="0"/>
            </w:tcBorders>
            <w:shd w:val="clear" w:color="auto" w:fill="auto"/>
            <w:vAlign w:val="center"/>
          </w:tcPr>
          <w:p w14:paraId="68743B06">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ottom"/>
              <w:rPr>
                <w:rFonts w:hint="default" w:ascii="宋体" w:hAnsi="宋体" w:eastAsia="宋体" w:cs="宋体"/>
                <w:snapToGrid w:val="0"/>
                <w:color w:val="auto"/>
                <w:kern w:val="0"/>
                <w:sz w:val="21"/>
                <w:szCs w:val="21"/>
                <w:highlight w:val="none"/>
                <w:lang w:val="en-US" w:eastAsia="zh-CN" w:bidi="ar"/>
              </w:rPr>
            </w:pPr>
            <w:r>
              <w:rPr>
                <w:rFonts w:hint="eastAsia" w:ascii="宋体" w:hAnsi="宋体" w:cs="宋体"/>
                <w:snapToGrid w:val="0"/>
                <w:color w:val="auto"/>
                <w:kern w:val="0"/>
                <w:sz w:val="21"/>
                <w:szCs w:val="21"/>
                <w:highlight w:val="none"/>
                <w:lang w:val="en-US" w:eastAsia="zh-CN" w:bidi="ar"/>
              </w:rPr>
              <w:t>安阳市公安局</w:t>
            </w:r>
          </w:p>
        </w:tc>
        <w:tc>
          <w:tcPr>
            <w:tcW w:w="1236" w:type="dxa"/>
            <w:tcBorders>
              <w:top w:val="single" w:color="auto" w:sz="4" w:space="0"/>
              <w:left w:val="single" w:color="auto" w:sz="4" w:space="0"/>
              <w:bottom w:val="single" w:color="auto" w:sz="4" w:space="0"/>
              <w:right w:val="single" w:color="auto" w:sz="4" w:space="0"/>
            </w:tcBorders>
            <w:shd w:val="clear" w:color="auto" w:fill="auto"/>
            <w:vAlign w:val="center"/>
          </w:tcPr>
          <w:p w14:paraId="314F9C0E">
            <w:pPr>
              <w:keepNext w:val="0"/>
              <w:keepLines w:val="0"/>
              <w:widowControl/>
              <w:suppressLineNumbers w:val="0"/>
              <w:kinsoku w:val="0"/>
              <w:autoSpaceDE w:val="0"/>
              <w:autoSpaceDN w:val="0"/>
              <w:adjustRightInd w:val="0"/>
              <w:snapToGrid w:val="0"/>
              <w:spacing w:before="0" w:beforeAutospacing="0" w:after="0" w:afterAutospacing="0" w:line="240" w:lineRule="auto"/>
              <w:ind w:left="0" w:right="-31" w:rightChars="-15"/>
              <w:jc w:val="left"/>
              <w:textAlignment w:val="bottom"/>
              <w:rPr>
                <w:rFonts w:hint="eastAsia" w:ascii="宋体" w:hAnsi="宋体" w:cs="宋体"/>
                <w:snapToGrid w:val="0"/>
                <w:color w:val="auto"/>
                <w:kern w:val="0"/>
                <w:sz w:val="21"/>
                <w:szCs w:val="21"/>
                <w:highlight w:val="none"/>
                <w:lang w:val="en-US" w:eastAsia="zh-CN" w:bidi="ar"/>
              </w:rPr>
            </w:pPr>
            <w:r>
              <w:rPr>
                <w:rFonts w:hint="eastAsia" w:ascii="宋体" w:hAnsi="宋体" w:cs="宋体"/>
                <w:snapToGrid w:val="0"/>
                <w:color w:val="auto"/>
                <w:kern w:val="0"/>
                <w:sz w:val="21"/>
                <w:szCs w:val="21"/>
                <w:highlight w:val="none"/>
                <w:lang w:val="en-US" w:eastAsia="zh-CN" w:bidi="ar"/>
              </w:rPr>
              <w:t>政府购买电子警察服务一期运维</w:t>
            </w:r>
          </w:p>
          <w:p w14:paraId="2DF6FB1E">
            <w:pPr>
              <w:keepNext w:val="0"/>
              <w:keepLines w:val="0"/>
              <w:widowControl/>
              <w:suppressLineNumbers w:val="0"/>
              <w:kinsoku w:val="0"/>
              <w:autoSpaceDE w:val="0"/>
              <w:autoSpaceDN w:val="0"/>
              <w:adjustRightInd w:val="0"/>
              <w:snapToGrid w:val="0"/>
              <w:spacing w:before="0" w:beforeAutospacing="0" w:after="0" w:afterAutospacing="0" w:line="240" w:lineRule="auto"/>
              <w:ind w:left="0" w:right="-31" w:rightChars="-15"/>
              <w:jc w:val="left"/>
              <w:textAlignment w:val="bottom"/>
              <w:rPr>
                <w:rFonts w:hint="eastAsia" w:ascii="宋体" w:hAnsi="宋体" w:cs="宋体"/>
                <w:snapToGrid w:val="0"/>
                <w:color w:val="auto"/>
                <w:kern w:val="0"/>
                <w:sz w:val="21"/>
                <w:szCs w:val="21"/>
                <w:highlight w:val="none"/>
                <w:lang w:val="en-US" w:eastAsia="zh-CN" w:bidi="ar"/>
              </w:rPr>
            </w:pPr>
            <w:r>
              <w:rPr>
                <w:rFonts w:hint="eastAsia" w:ascii="宋体" w:hAnsi="宋体" w:cs="宋体"/>
                <w:snapToGrid w:val="0"/>
                <w:color w:val="auto"/>
                <w:kern w:val="0"/>
                <w:sz w:val="21"/>
                <w:szCs w:val="21"/>
                <w:highlight w:val="none"/>
                <w:lang w:val="en-US" w:eastAsia="zh-CN" w:bidi="ar"/>
              </w:rPr>
              <w:t>（安阳市公安局交通管理支队）</w:t>
            </w:r>
          </w:p>
        </w:tc>
        <w:tc>
          <w:tcPr>
            <w:tcW w:w="3019" w:type="dxa"/>
            <w:tcBorders>
              <w:top w:val="single" w:color="auto" w:sz="4" w:space="0"/>
              <w:left w:val="single" w:color="auto" w:sz="4" w:space="0"/>
              <w:bottom w:val="single" w:color="auto" w:sz="4" w:space="0"/>
              <w:right w:val="single" w:color="auto" w:sz="4" w:space="0"/>
            </w:tcBorders>
            <w:shd w:val="clear" w:color="auto" w:fill="auto"/>
            <w:vAlign w:val="center"/>
          </w:tcPr>
          <w:p w14:paraId="7FC8AE4E">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系统运维</w:t>
            </w:r>
          </w:p>
          <w:p w14:paraId="03B7E579">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包括：安阳市主城区内的路口及卡口电子警察点位234处；前</w:t>
            </w:r>
          </w:p>
          <w:p w14:paraId="2368292F">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端设备、存储设备、安全设备、网络设备及安装部件等运维</w:t>
            </w:r>
          </w:p>
          <w:p w14:paraId="27F23555">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w:t>
            </w:r>
          </w:p>
          <w:p w14:paraId="541F586C">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需要提供服务：巡检服务、故障保修服务和要务保障服务。</w:t>
            </w:r>
          </w:p>
          <w:p w14:paraId="6EC980E0">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软件类运维</w:t>
            </w:r>
          </w:p>
          <w:p w14:paraId="71B12A63">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软件功能包括：交通基础管理、中心车辆管理、行人闯红灯管理、行人闯红灯信息发布、智能运维，集控审计等功能运</w:t>
            </w:r>
          </w:p>
          <w:p w14:paraId="3B33624D">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维；</w:t>
            </w:r>
          </w:p>
          <w:p w14:paraId="5BB84FC9">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需要提供的服务：前端设备的接入和存储，并实现对相关数据的汇聚、处理、存储、应用、管理与共享，支持相关交管业务的开展。应对监控平台软件及时进行操作记录，做好现有软件版本更新。</w:t>
            </w:r>
          </w:p>
          <w:p w14:paraId="087E6B12">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硬件类运维</w:t>
            </w:r>
          </w:p>
          <w:p w14:paraId="136DB629">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硬件类包括：网络链路、前端设备（一体机、枪机、球机、爆闪灯、工业交换机、终端服务器等）、终端设备（服务器、存储设备、网络设备、安全设备等设备维护、视频中心维护）及电源设备等。</w:t>
            </w:r>
          </w:p>
          <w:p w14:paraId="774B6064">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需要提供的服务：网络链路运维服务、前端设备运维服务和终端设备运维。</w:t>
            </w:r>
          </w:p>
          <w:p w14:paraId="19313057">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数据安全包括：网络和设备安全、人员保密等。需要提供的服务：视频安全防护、系统防护、人员保密培训等。</w:t>
            </w:r>
          </w:p>
          <w:p w14:paraId="1C138B41">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其他运维</w:t>
            </w:r>
          </w:p>
          <w:p w14:paraId="288FCFF5">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整个运维服务周期内，运维服务商应负责234处电子警察系统设备的运维工作。</w:t>
            </w:r>
          </w:p>
          <w:p w14:paraId="1CBED458">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注：（1）本项目运维职责以《市级非涉密政务信息系统运维服务招标委托协议》为准。</w:t>
            </w:r>
          </w:p>
          <w:p w14:paraId="3EFEBE18">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（2）本项目根据工作需要挪移部分路口电子警察设备及安装部件时，运维服务商应在15个工作日无偿挪移到指定位置。</w:t>
            </w:r>
          </w:p>
        </w:tc>
        <w:tc>
          <w:tcPr>
            <w:tcW w:w="2911" w:type="dxa"/>
            <w:tcBorders>
              <w:top w:val="single" w:color="auto" w:sz="4" w:space="0"/>
              <w:left w:val="single" w:color="auto" w:sz="4" w:space="0"/>
              <w:bottom w:val="single" w:color="auto" w:sz="4" w:space="0"/>
              <w:right w:val="single" w:color="auto" w:sz="4" w:space="0"/>
            </w:tcBorders>
            <w:shd w:val="clear" w:color="auto" w:fill="auto"/>
            <w:vAlign w:val="center"/>
          </w:tcPr>
          <w:p w14:paraId="4399F181">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系统运维</w:t>
            </w:r>
          </w:p>
          <w:p w14:paraId="3CBCD16A">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服务时间：7×24小时服务；</w:t>
            </w:r>
          </w:p>
          <w:p w14:paraId="379CFF23">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响应时效：15分钟响应；</w:t>
            </w:r>
          </w:p>
          <w:p w14:paraId="19C172BC">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到场时间：2小时内；</w:t>
            </w:r>
          </w:p>
          <w:p w14:paraId="7D3412D5">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故障恢复时间：2小时内；</w:t>
            </w:r>
          </w:p>
          <w:p w14:paraId="5D9C0A1C">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巡检周期：每月一次；</w:t>
            </w:r>
          </w:p>
          <w:p w14:paraId="7657A73F">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要务保障特别要求：在重大安保活动、重大事件（例如：两会等重大安保活动）发生时，派出技术人员到现场值班，确保在重大活动和事件处理期间系统安全、可靠、有效运行；</w:t>
            </w:r>
          </w:p>
          <w:p w14:paraId="23FE2328">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人员要求承诺：提供该项目专职维护人员6人，且具有相关专业能力与职业素养。有相关的项目经验，对前端设备熟悉，具有丰富的维护及处理故障能力。维护人员中必须有2名具有特种作业操作证（电工）、网络工程师1名具有中级职称。</w:t>
            </w:r>
          </w:p>
          <w:p w14:paraId="701CD441">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网络工程师能力要求：</w:t>
            </w:r>
          </w:p>
          <w:p w14:paraId="30D2E64E">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1、技术能力：①熟悉linux、windows操作系统，能够独立搭建软件运行环境；②熟悉ssh，ftp，http协议，会看日志和抓包等排查手段； ③熟悉SQL或图数据库查询语言、使用Java/C++/Python等编程语言；④熟悉网络相关知识和配置，如TCP/IP、防火墙、负载均衡等。</w:t>
            </w:r>
          </w:p>
          <w:p w14:paraId="43214B02">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2、业务技能：①具有良好的安全意识和客户服务意识。②具有信息化项目管理经验，能够根据项目问题合理安排工作任务，跟踪问题完成进度，</w:t>
            </w:r>
          </w:p>
          <w:p w14:paraId="287ED7BB">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保证运维工作顺利进行；③能独立负责与客户的交流与沟通，有效协调公司内外的人员资源，快速解决客户问题。</w:t>
            </w:r>
          </w:p>
          <w:p w14:paraId="431BFC7C">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软件类运维</w:t>
            </w:r>
          </w:p>
          <w:p w14:paraId="1C82222B">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保障与安阳市公安局的智慧视频云平台、智慧交通平台、公交专用道抓拍系统、鸣笛抓拍系统对接和违法数据共享工作。</w:t>
            </w:r>
          </w:p>
          <w:p w14:paraId="08E2787C">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存储运维要求：本项目存储系统的存储容量包括视频容量计算和图片容量计算两部分，约6.6PB。视频录像保存时间不少于30天，机动车正常过车图片和行人闯红灯违法图片保存时间不少于180天，机动车违法图片保存时间不少于2年，要求配合使用方进行存储调阅。本项目存储资源由使用方提供</w:t>
            </w:r>
          </w:p>
          <w:p w14:paraId="75AC3668">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系统校时要求：每周对平台软件系统时钟进行一次时钟校正，确保系统时钟误差≤3S硬件类运维</w:t>
            </w:r>
          </w:p>
          <w:p w14:paraId="78388F34">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整个运维服务周期内，运维服务商应负责234处电子警察系统设备的运维工作，(1)视频在线率不低于95%；(2)违法行为捕获率不低于95%；(3)违法行为图片使用率不低于95%；(4)过车图像捕获率不低于95%；(5) 过车图片识别率不低于 95%</w:t>
            </w:r>
          </w:p>
          <w:p w14:paraId="129E1A9C">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网络链路运维要求：电子警察系统至中心平台带宽按每路口200M，雷达测速系统、行人闯红灯系统、远光灯检测系统至中心平台宽带按每一个点位100M。</w:t>
            </w:r>
          </w:p>
          <w:p w14:paraId="4279541B">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数据安全</w:t>
            </w:r>
          </w:p>
          <w:p w14:paraId="7717DE0F">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本项目相关的网络设备安全要求：遵守公安机房管理制度，落实机房进出程序，对机房人员使用的维修设备进行明确要求，保障数据及硬件安全。</w:t>
            </w:r>
          </w:p>
          <w:p w14:paraId="0DF97FE2">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人员信息安全要求：</w:t>
            </w:r>
          </w:p>
          <w:p w14:paraId="70FFB084">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（1）运维工作从业人员不得捏造数据、</w:t>
            </w:r>
            <w:r>
              <w:rPr>
                <w:rFonts w:hint="eastAsia" w:ascii="宋体" w:hAnsi="宋体" w:cs="宋体"/>
                <w:snapToGrid w:val="0"/>
                <w:color w:val="auto"/>
                <w:kern w:val="0"/>
                <w:sz w:val="21"/>
                <w:szCs w:val="21"/>
                <w:highlight w:val="none"/>
                <w:lang w:val="en-US" w:eastAsia="zh-CN" w:bidi="ar"/>
              </w:rPr>
              <w:t>弄虚作假</w:t>
            </w:r>
            <w:r>
              <w:rPr>
                <w:rFonts w:hint="eastAsia" w:ascii="宋体" w:hAnsi="宋体" w:eastAsia="宋体" w:cs="宋体"/>
                <w:snapToGrid w:val="0"/>
                <w:color w:val="auto"/>
                <w:kern w:val="0"/>
                <w:sz w:val="21"/>
                <w:szCs w:val="21"/>
                <w:highlight w:val="none"/>
                <w:lang w:val="en-US" w:eastAsia="zh-CN" w:bidi="ar"/>
              </w:rPr>
              <w:t>。</w:t>
            </w:r>
          </w:p>
          <w:p w14:paraId="1F9D9470">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（2）不得私自将视频、图像和数据以任何方式泄露给他人。</w:t>
            </w:r>
          </w:p>
          <w:p w14:paraId="62F6EAFA">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（3）不得因私查看、下载、修改视频、图像和数据。</w:t>
            </w:r>
          </w:p>
          <w:p w14:paraId="5D046086">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（4）不得在公共场合谈及视频内容。</w:t>
            </w:r>
          </w:p>
          <w:p w14:paraId="202EB531">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（5）不得私自将用户名密码等信息泄露给他人。</w:t>
            </w:r>
          </w:p>
          <w:p w14:paraId="045AC241">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（6）不得将未授权设备接入系统。</w:t>
            </w:r>
          </w:p>
          <w:p w14:paraId="7DB60538">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（7）不得私自通过手机、DV、照相机等设备翻录视频。</w:t>
            </w:r>
          </w:p>
          <w:p w14:paraId="75E3476B">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维护记录：</w:t>
            </w:r>
          </w:p>
          <w:p w14:paraId="5E72AA5F">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运维服务商所有从事维护的技服人员，需要填写维护记录单，详细记录维护的点位、故障原因、是否解决等信息，并请使用方安阳市公安局交通管理支队签字确认。运维服务商每月进行一次维护报告汇总，在报告单统计出报修设备的数量、已维护完毕的设备数量、未解决的原因，统计出故障解决率。</w:t>
            </w:r>
          </w:p>
          <w:p w14:paraId="7A9BFEAD">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其他运维：</w:t>
            </w:r>
          </w:p>
          <w:p w14:paraId="1AA76990">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运维服务商应对234处电子警察系统设备每月进行一次安全性检测，因运维服务商维护不到位造成的民事纠纷责任归属运维服务商。按照GA/T 1043-2025《智能交通管理系统前端设备运行维护规范》的要求提供服务。</w:t>
            </w:r>
          </w:p>
          <w:p w14:paraId="4256798D">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注：</w:t>
            </w:r>
            <w:r>
              <w:rPr>
                <w:rFonts w:hint="eastAsia" w:ascii="宋体" w:hAnsi="宋体" w:cs="宋体"/>
                <w:snapToGrid w:val="0"/>
                <w:color w:val="auto"/>
                <w:kern w:val="0"/>
                <w:sz w:val="21"/>
                <w:szCs w:val="21"/>
                <w:highlight w:val="none"/>
                <w:lang w:val="en-US" w:eastAsia="zh-CN" w:bidi="ar"/>
              </w:rPr>
              <w:t>1.</w:t>
            </w:r>
            <w:r>
              <w:rPr>
                <w:rFonts w:hint="eastAsia" w:ascii="宋体" w:hAnsi="宋体" w:eastAsia="宋体" w:cs="宋体"/>
                <w:snapToGrid w:val="0"/>
                <w:color w:val="auto"/>
                <w:kern w:val="0"/>
                <w:sz w:val="21"/>
                <w:szCs w:val="21"/>
                <w:highlight w:val="none"/>
                <w:lang w:val="en-US" w:eastAsia="zh-CN" w:bidi="ar"/>
              </w:rPr>
              <w:t>服务期内，运维项目涉及硬件设备维修，配品配件更换，设备无法通过维修实现正常使用需要更换的情况均由中标人负责，费用均包含在投标报价中。</w:t>
            </w:r>
          </w:p>
          <w:p w14:paraId="6BC4EDE8">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default" w:ascii="宋体" w:hAnsi="宋体" w:eastAsia="宋体" w:cs="宋体"/>
                <w:snapToGrid w:val="0"/>
                <w:color w:val="auto"/>
                <w:kern w:val="0"/>
                <w:sz w:val="21"/>
                <w:szCs w:val="21"/>
                <w:highlight w:val="none"/>
                <w:lang w:val="en-US" w:eastAsia="zh-CN" w:bidi="ar"/>
              </w:rPr>
            </w:pPr>
            <w:r>
              <w:rPr>
                <w:rFonts w:hint="default" w:ascii="宋体" w:hAnsi="宋体" w:eastAsia="宋体" w:cs="宋体"/>
                <w:snapToGrid w:val="0"/>
                <w:color w:val="auto"/>
                <w:kern w:val="0"/>
                <w:sz w:val="21"/>
                <w:szCs w:val="21"/>
                <w:highlight w:val="none"/>
                <w:lang w:val="en-US" w:eastAsia="zh-CN" w:bidi="ar"/>
              </w:rPr>
              <w:t>2.</w:t>
            </w:r>
            <w:r>
              <w:rPr>
                <w:rFonts w:hint="eastAsia" w:ascii="宋体" w:hAnsi="宋体" w:eastAsia="宋体" w:cs="宋体"/>
                <w:snapToGrid w:val="0"/>
                <w:color w:val="auto"/>
                <w:kern w:val="0"/>
                <w:sz w:val="21"/>
                <w:szCs w:val="21"/>
                <w:highlight w:val="none"/>
                <w:lang w:val="en-US" w:eastAsia="zh-CN" w:bidi="ar"/>
              </w:rPr>
              <w:t>运维期间更换设备、设施的资产权属和使用权属均归使用方所有。</w:t>
            </w:r>
          </w:p>
        </w:tc>
        <w:tc>
          <w:tcPr>
            <w:tcW w:w="1243" w:type="dxa"/>
            <w:tcBorders>
              <w:top w:val="single" w:color="auto" w:sz="4" w:space="0"/>
              <w:left w:val="single" w:color="auto" w:sz="4" w:space="0"/>
              <w:bottom w:val="single" w:color="auto" w:sz="4" w:space="0"/>
              <w:right w:val="single" w:color="auto" w:sz="4" w:space="0"/>
            </w:tcBorders>
            <w:shd w:val="clear" w:color="auto" w:fill="auto"/>
            <w:vAlign w:val="center"/>
          </w:tcPr>
          <w:p w14:paraId="0011788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31" w:rightChars="-15"/>
              <w:jc w:val="left"/>
              <w:textAlignment w:val="bottom"/>
              <w:rPr>
                <w:rFonts w:hint="eastAsia" w:ascii="宋体" w:hAnsi="宋体" w:cs="宋体"/>
                <w:snapToGrid w:val="0"/>
                <w:color w:val="auto"/>
                <w:kern w:val="0"/>
                <w:sz w:val="21"/>
                <w:szCs w:val="21"/>
                <w:highlight w:val="none"/>
                <w:lang w:val="en-US" w:eastAsia="zh-CN" w:bidi="ar"/>
              </w:rPr>
            </w:pPr>
            <w:r>
              <w:rPr>
                <w:rFonts w:hint="eastAsia" w:ascii="宋体" w:hAnsi="宋体" w:cs="宋体"/>
                <w:snapToGrid w:val="0"/>
                <w:color w:val="auto"/>
                <w:kern w:val="0"/>
                <w:sz w:val="21"/>
                <w:szCs w:val="21"/>
                <w:highlight w:val="none"/>
                <w:lang w:val="en-US" w:eastAsia="zh-CN" w:bidi="ar"/>
              </w:rPr>
              <w:t>现有系统开发商为杭州海康威视数字技术股份有限公司</w:t>
            </w:r>
          </w:p>
        </w:tc>
      </w:tr>
      <w:tr w14:paraId="48504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427" w:type="dxa"/>
            <w:tcBorders>
              <w:top w:val="single" w:color="auto" w:sz="4" w:space="0"/>
              <w:left w:val="single" w:color="auto" w:sz="4" w:space="0"/>
              <w:bottom w:val="single" w:color="auto" w:sz="4" w:space="0"/>
              <w:right w:val="single" w:color="auto" w:sz="4" w:space="0"/>
            </w:tcBorders>
            <w:shd w:val="clear" w:color="auto" w:fill="auto"/>
            <w:vAlign w:val="center"/>
          </w:tcPr>
          <w:p w14:paraId="44896554">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ottom"/>
              <w:rPr>
                <w:rFonts w:hint="default" w:ascii="宋体" w:hAnsi="宋体" w:eastAsia="宋体" w:cs="宋体"/>
                <w:snapToGrid w:val="0"/>
                <w:color w:val="auto"/>
                <w:kern w:val="0"/>
                <w:sz w:val="21"/>
                <w:szCs w:val="21"/>
                <w:highlight w:val="none"/>
                <w:lang w:val="en-US" w:eastAsia="zh-CN" w:bidi="ar"/>
              </w:rPr>
            </w:pPr>
            <w:r>
              <w:rPr>
                <w:rFonts w:hint="eastAsia" w:ascii="宋体" w:hAnsi="宋体" w:cs="宋体"/>
                <w:snapToGrid w:val="0"/>
                <w:color w:val="auto"/>
                <w:kern w:val="0"/>
                <w:sz w:val="21"/>
                <w:szCs w:val="21"/>
                <w:highlight w:val="none"/>
                <w:lang w:val="en-US" w:eastAsia="zh-CN" w:bidi="ar"/>
              </w:rPr>
              <w:t>4</w:t>
            </w:r>
          </w:p>
        </w:tc>
        <w:tc>
          <w:tcPr>
            <w:tcW w:w="862" w:type="dxa"/>
            <w:vMerge w:val="continue"/>
            <w:tcBorders>
              <w:left w:val="single" w:color="auto" w:sz="4" w:space="0"/>
              <w:right w:val="single" w:color="auto" w:sz="4" w:space="0"/>
            </w:tcBorders>
            <w:shd w:val="clear" w:color="auto" w:fill="auto"/>
            <w:vAlign w:val="center"/>
          </w:tcPr>
          <w:p w14:paraId="3FC1BA3E">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ottom"/>
              <w:rPr>
                <w:rFonts w:hint="eastAsia" w:ascii="宋体" w:hAnsi="宋体" w:eastAsia="宋体" w:cs="宋体"/>
                <w:snapToGrid w:val="0"/>
                <w:color w:val="auto"/>
                <w:kern w:val="0"/>
                <w:sz w:val="21"/>
                <w:szCs w:val="21"/>
                <w:highlight w:val="none"/>
                <w:lang w:val="en-US" w:eastAsia="zh-CN" w:bidi="ar"/>
              </w:rPr>
            </w:pPr>
          </w:p>
        </w:tc>
        <w:tc>
          <w:tcPr>
            <w:tcW w:w="1236" w:type="dxa"/>
            <w:tcBorders>
              <w:top w:val="single" w:color="auto" w:sz="4" w:space="0"/>
              <w:left w:val="single" w:color="auto" w:sz="4" w:space="0"/>
              <w:bottom w:val="single" w:color="auto" w:sz="4" w:space="0"/>
              <w:right w:val="single" w:color="auto" w:sz="4" w:space="0"/>
            </w:tcBorders>
            <w:shd w:val="clear" w:color="auto" w:fill="auto"/>
            <w:vAlign w:val="center"/>
          </w:tcPr>
          <w:p w14:paraId="52B20EC6">
            <w:pPr>
              <w:keepNext w:val="0"/>
              <w:keepLines w:val="0"/>
              <w:widowControl/>
              <w:suppressLineNumbers w:val="0"/>
              <w:kinsoku w:val="0"/>
              <w:autoSpaceDE w:val="0"/>
              <w:autoSpaceDN w:val="0"/>
              <w:adjustRightInd w:val="0"/>
              <w:snapToGrid w:val="0"/>
              <w:spacing w:before="0" w:beforeAutospacing="0" w:after="0" w:afterAutospacing="0" w:line="240" w:lineRule="auto"/>
              <w:ind w:left="0" w:right="-31" w:rightChars="-15"/>
              <w:jc w:val="left"/>
              <w:textAlignment w:val="bottom"/>
              <w:rPr>
                <w:rFonts w:hint="eastAsia" w:ascii="宋体" w:hAnsi="宋体" w:cs="宋体"/>
                <w:snapToGrid w:val="0"/>
                <w:color w:val="auto"/>
                <w:kern w:val="0"/>
                <w:sz w:val="21"/>
                <w:szCs w:val="21"/>
                <w:highlight w:val="none"/>
                <w:lang w:val="en-US" w:eastAsia="zh-CN" w:bidi="ar"/>
              </w:rPr>
            </w:pPr>
            <w:r>
              <w:rPr>
                <w:rFonts w:hint="eastAsia" w:ascii="宋体" w:hAnsi="宋体" w:cs="宋体"/>
                <w:snapToGrid w:val="0"/>
                <w:color w:val="auto"/>
                <w:kern w:val="0"/>
                <w:sz w:val="21"/>
                <w:szCs w:val="21"/>
                <w:highlight w:val="none"/>
                <w:lang w:val="en-US" w:eastAsia="zh-CN" w:bidi="ar"/>
              </w:rPr>
              <w:t>安阳高速智能卡口系统服务及视频调度系统服务</w:t>
            </w:r>
          </w:p>
          <w:p w14:paraId="44150962">
            <w:pPr>
              <w:keepNext w:val="0"/>
              <w:keepLines w:val="0"/>
              <w:widowControl/>
              <w:suppressLineNumbers w:val="0"/>
              <w:kinsoku w:val="0"/>
              <w:autoSpaceDE w:val="0"/>
              <w:autoSpaceDN w:val="0"/>
              <w:adjustRightInd w:val="0"/>
              <w:snapToGrid w:val="0"/>
              <w:spacing w:before="0" w:beforeAutospacing="0" w:after="0" w:afterAutospacing="0" w:line="240" w:lineRule="auto"/>
              <w:ind w:left="0" w:right="-31" w:rightChars="-15"/>
              <w:jc w:val="left"/>
              <w:textAlignment w:val="bottom"/>
              <w:rPr>
                <w:rFonts w:hint="eastAsia" w:ascii="宋体" w:hAnsi="宋体" w:cs="宋体"/>
                <w:snapToGrid w:val="0"/>
                <w:color w:val="auto"/>
                <w:kern w:val="0"/>
                <w:sz w:val="21"/>
                <w:szCs w:val="21"/>
                <w:highlight w:val="none"/>
                <w:lang w:val="en-US" w:eastAsia="zh-CN" w:bidi="ar"/>
              </w:rPr>
            </w:pPr>
            <w:r>
              <w:rPr>
                <w:rFonts w:hint="eastAsia" w:ascii="宋体" w:hAnsi="宋体" w:cs="宋体"/>
                <w:snapToGrid w:val="0"/>
                <w:color w:val="auto"/>
                <w:kern w:val="0"/>
                <w:sz w:val="21"/>
                <w:szCs w:val="21"/>
                <w:highlight w:val="none"/>
                <w:lang w:val="en-US" w:eastAsia="zh-CN" w:bidi="ar"/>
              </w:rPr>
              <w:t>（安阳市公安局交通管理支队）</w:t>
            </w:r>
          </w:p>
        </w:tc>
        <w:tc>
          <w:tcPr>
            <w:tcW w:w="3019" w:type="dxa"/>
            <w:tcBorders>
              <w:top w:val="single" w:color="auto" w:sz="4" w:space="0"/>
              <w:left w:val="single" w:color="auto" w:sz="4" w:space="0"/>
              <w:bottom w:val="single" w:color="auto" w:sz="4" w:space="0"/>
              <w:right w:val="single" w:color="auto" w:sz="4" w:space="0"/>
            </w:tcBorders>
            <w:shd w:val="clear" w:color="auto" w:fill="auto"/>
            <w:vAlign w:val="center"/>
          </w:tcPr>
          <w:p w14:paraId="020B468E">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系统运维：</w:t>
            </w:r>
          </w:p>
          <w:p w14:paraId="2980F5FB">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现有高速公路智能卡口系统，核心为48套电子警察前端、链路、终端设备及安装部件等运维。硬件类运维包含服务器和存储设备如下：全分析服务器（1台，海康威视DS-IF4040-03U/X）、通用服务器（3台，海康威视DS-VM21S-B）、网络视频存储（ 1 台 ， 海 康 威 视DS-A72024R）、网络图片存储 （ 1 台 ， 海 康 威 视 DS-A72024R）、视频处理器（1台</w:t>
            </w:r>
            <w:r>
              <w:rPr>
                <w:rFonts w:hint="eastAsia" w:ascii="宋体" w:hAnsi="宋体" w:cs="宋体"/>
                <w:snapToGrid w:val="0"/>
                <w:color w:val="auto"/>
                <w:kern w:val="0"/>
                <w:sz w:val="21"/>
                <w:szCs w:val="21"/>
                <w:highlight w:val="none"/>
                <w:lang w:val="en-US" w:eastAsia="zh-CN" w:bidi="ar"/>
              </w:rPr>
              <w:t>，</w:t>
            </w:r>
            <w:r>
              <w:rPr>
                <w:rFonts w:hint="eastAsia" w:ascii="宋体" w:hAnsi="宋体" w:eastAsia="宋体" w:cs="宋体"/>
                <w:snapToGrid w:val="0"/>
                <w:color w:val="auto"/>
                <w:kern w:val="0"/>
                <w:sz w:val="21"/>
                <w:szCs w:val="21"/>
                <w:highlight w:val="none"/>
                <w:lang w:val="en-US" w:eastAsia="zh-CN" w:bidi="ar"/>
              </w:rPr>
              <w:t>卡莱特X16E）。网络和安全设备，汇聚交换机（ 1 台 ， 海 康 威 视DS-3E3752-H）。</w:t>
            </w:r>
          </w:p>
          <w:p w14:paraId="397A34AE">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音视频系统，900万/500万卡口抓拍单元、智能球机（16台）、多合一补光灯（101支）等</w:t>
            </w:r>
          </w:p>
          <w:p w14:paraId="3366604B">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手持单兵（ 10 台， 海康威视W-500A）。</w:t>
            </w:r>
          </w:p>
          <w:p w14:paraId="159E76B0">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软件功能运维包括：交通违法管理平台软件，智能车辆应用子系统，高速下站口布控报警子系统，播控软件等功能运维。</w:t>
            </w:r>
          </w:p>
          <w:p w14:paraId="37A70680">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需要提供的服务：网络链路运维服务、前端设备运维服务和终端设备运维。</w:t>
            </w:r>
          </w:p>
          <w:p w14:paraId="5FCAE756">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数据安全包括：网络安全、设备安全、人员保密等。</w:t>
            </w:r>
          </w:p>
          <w:p w14:paraId="056E10BD">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需要提供的服务：视频安全防护、系统防护、人员保密培训等。</w:t>
            </w:r>
          </w:p>
          <w:p w14:paraId="161D7539">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其他运维</w:t>
            </w:r>
          </w:p>
          <w:p w14:paraId="1A67EB7B">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整个运维服务周期内，运维服务商应保证48处电子警察系统全套设备及安装部件等运维。</w:t>
            </w:r>
          </w:p>
          <w:p w14:paraId="1CAB843A">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注：（1）本项目运维职责以《市级非涉密政务信息系统运维服务招标委托协议》为准。</w:t>
            </w:r>
          </w:p>
          <w:p w14:paraId="0EE5A262">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（2）本项目根据工作需要挪移部分高速智能卡口设备及安装部件时，运维服务商应在15个</w:t>
            </w:r>
          </w:p>
          <w:p w14:paraId="23B75D9D">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工作日</w:t>
            </w:r>
            <w:r>
              <w:rPr>
                <w:rFonts w:hint="eastAsia" w:ascii="宋体" w:hAnsi="宋体" w:cs="宋体"/>
                <w:snapToGrid w:val="0"/>
                <w:color w:val="auto"/>
                <w:kern w:val="0"/>
                <w:sz w:val="21"/>
                <w:szCs w:val="21"/>
                <w:highlight w:val="none"/>
                <w:lang w:val="en-US" w:eastAsia="zh-CN" w:bidi="ar"/>
              </w:rPr>
              <w:t>内</w:t>
            </w:r>
            <w:r>
              <w:rPr>
                <w:rFonts w:hint="eastAsia" w:ascii="宋体" w:hAnsi="宋体" w:eastAsia="宋体" w:cs="宋体"/>
                <w:snapToGrid w:val="0"/>
                <w:color w:val="auto"/>
                <w:kern w:val="0"/>
                <w:sz w:val="21"/>
                <w:szCs w:val="21"/>
                <w:highlight w:val="none"/>
                <w:lang w:val="en-US" w:eastAsia="zh-CN" w:bidi="ar"/>
              </w:rPr>
              <w:t>无偿挪移到指定位置。</w:t>
            </w:r>
          </w:p>
        </w:tc>
        <w:tc>
          <w:tcPr>
            <w:tcW w:w="2911" w:type="dxa"/>
            <w:tcBorders>
              <w:top w:val="single" w:color="auto" w:sz="4" w:space="0"/>
              <w:left w:val="single" w:color="auto" w:sz="4" w:space="0"/>
              <w:bottom w:val="single" w:color="auto" w:sz="4" w:space="0"/>
              <w:right w:val="single" w:color="auto" w:sz="4" w:space="0"/>
            </w:tcBorders>
            <w:shd w:val="clear" w:color="auto" w:fill="auto"/>
            <w:vAlign w:val="center"/>
          </w:tcPr>
          <w:p w14:paraId="329FB69D">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color w:val="auto"/>
                <w:highlight w:val="none"/>
              </w:rPr>
            </w:pPr>
            <w:r>
              <w:rPr>
                <w:rFonts w:hint="eastAsia"/>
                <w:color w:val="auto"/>
                <w:highlight w:val="none"/>
              </w:rPr>
              <w:t>总体要求</w:t>
            </w:r>
          </w:p>
          <w:p w14:paraId="2B86DE75">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color w:val="auto"/>
                <w:highlight w:val="none"/>
              </w:rPr>
            </w:pPr>
            <w:r>
              <w:rPr>
                <w:rFonts w:hint="eastAsia"/>
                <w:color w:val="auto"/>
                <w:highlight w:val="none"/>
              </w:rPr>
              <w:t>服务时间：7×24小时</w:t>
            </w:r>
            <w:r>
              <w:rPr>
                <w:rFonts w:hint="eastAsia"/>
                <w:color w:val="auto"/>
                <w:highlight w:val="none"/>
                <w:lang w:eastAsia="zh-CN"/>
              </w:rPr>
              <w:t>服务</w:t>
            </w:r>
            <w:r>
              <w:rPr>
                <w:rFonts w:hint="eastAsia"/>
                <w:color w:val="auto"/>
                <w:highlight w:val="none"/>
              </w:rPr>
              <w:t>。</w:t>
            </w:r>
          </w:p>
          <w:p w14:paraId="6C2EE5B9">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color w:val="auto"/>
                <w:highlight w:val="none"/>
              </w:rPr>
            </w:pPr>
            <w:r>
              <w:rPr>
                <w:rFonts w:hint="eastAsia"/>
                <w:color w:val="auto"/>
                <w:highlight w:val="none"/>
              </w:rPr>
              <w:t>响应时效：15分钟。</w:t>
            </w:r>
          </w:p>
          <w:p w14:paraId="367E8F2D">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color w:val="auto"/>
                <w:highlight w:val="none"/>
              </w:rPr>
            </w:pPr>
            <w:r>
              <w:rPr>
                <w:rFonts w:hint="eastAsia"/>
                <w:color w:val="auto"/>
                <w:highlight w:val="none"/>
              </w:rPr>
              <w:t>巡检周期：每月一次。</w:t>
            </w:r>
          </w:p>
          <w:p w14:paraId="08F5D948">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color w:val="auto"/>
                <w:highlight w:val="none"/>
              </w:rPr>
            </w:pPr>
            <w:r>
              <w:rPr>
                <w:rFonts w:hint="eastAsia"/>
                <w:color w:val="auto"/>
                <w:highlight w:val="none"/>
              </w:rPr>
              <w:t>故障报修：2小时拿出应对方案，8小时修复。运维服务商每月进行一次维护报告汇总。整个运维服务周期内，运维服务商应保证48处电子警察系统全套设备及安装部件完好正常，视频在线率不低于95%；违法行为准确捕获率不低于 95%；违法行为图片使用率不低于95%；过车图像捕获率不低于95%；过车图片识别率不低于95%。</w:t>
            </w:r>
            <w:r>
              <w:rPr>
                <w:rFonts w:hint="eastAsia" w:ascii="宋体" w:hAnsi="宋体" w:eastAsia="宋体" w:cs="宋体"/>
                <w:snapToGrid w:val="0"/>
                <w:color w:val="auto"/>
                <w:kern w:val="0"/>
                <w:sz w:val="21"/>
                <w:szCs w:val="21"/>
                <w:highlight w:val="none"/>
                <w:lang w:val="en-US" w:eastAsia="zh-CN" w:bidi="ar"/>
              </w:rPr>
              <w:t>本项目存储资源由使用方提供。</w:t>
            </w:r>
          </w:p>
          <w:p w14:paraId="17171B79">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color w:val="auto"/>
                <w:highlight w:val="none"/>
              </w:rPr>
            </w:pPr>
            <w:r>
              <w:rPr>
                <w:rFonts w:hint="eastAsia"/>
                <w:color w:val="auto"/>
                <w:highlight w:val="none"/>
              </w:rPr>
              <w:t>维护人员需具备高速公路卡口设备运维经验，熟悉故障处理流程。</w:t>
            </w:r>
          </w:p>
          <w:p w14:paraId="21BB847B">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color w:val="auto"/>
                <w:highlight w:val="none"/>
              </w:rPr>
            </w:pPr>
            <w:r>
              <w:rPr>
                <w:rFonts w:hint="eastAsia"/>
                <w:color w:val="auto"/>
                <w:highlight w:val="none"/>
              </w:rPr>
              <w:t>系统运维要求：定期检测运行状态、升级版本；每月1次数据备份。</w:t>
            </w:r>
          </w:p>
          <w:p w14:paraId="27D06D6C">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color w:val="auto"/>
                <w:highlight w:val="none"/>
              </w:rPr>
            </w:pPr>
            <w:r>
              <w:rPr>
                <w:rFonts w:hint="eastAsia"/>
                <w:color w:val="auto"/>
                <w:highlight w:val="none"/>
              </w:rPr>
              <w:t>其他运维</w:t>
            </w:r>
            <w:r>
              <w:rPr>
                <w:rFonts w:hint="eastAsia"/>
                <w:color w:val="auto"/>
                <w:highlight w:val="none"/>
                <w:lang w:eastAsia="zh-CN"/>
              </w:rPr>
              <w:t>：</w:t>
            </w:r>
          </w:p>
          <w:p w14:paraId="5C0BA729">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color w:val="auto"/>
                <w:highlight w:val="none"/>
              </w:rPr>
            </w:pPr>
            <w:r>
              <w:rPr>
                <w:rFonts w:hint="eastAsia"/>
                <w:color w:val="auto"/>
                <w:highlight w:val="none"/>
              </w:rPr>
              <w:t>运维服务商应对48处电子警察系统全套设备及安装部件每月进行一次安全性检测，因运维服务商维护不到位造成的民事纠纷责任归属运维服务商。按照GA/T 1043-2025《智能交通管理系统前端设备运行维护规范》的要求提供服务。</w:t>
            </w:r>
          </w:p>
          <w:p w14:paraId="24728C4C">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color w:val="auto"/>
                <w:highlight w:val="none"/>
              </w:rPr>
            </w:pPr>
            <w:r>
              <w:rPr>
                <w:rFonts w:hint="eastAsia"/>
                <w:color w:val="auto"/>
                <w:highlight w:val="none"/>
              </w:rPr>
              <w:t>注：</w:t>
            </w:r>
            <w:r>
              <w:rPr>
                <w:rFonts w:hint="eastAsia"/>
                <w:color w:val="auto"/>
                <w:highlight w:val="none"/>
                <w:lang w:val="en-US" w:eastAsia="zh-CN"/>
              </w:rPr>
              <w:t>1.</w:t>
            </w:r>
            <w:r>
              <w:rPr>
                <w:rFonts w:hint="eastAsia"/>
                <w:color w:val="auto"/>
                <w:highlight w:val="none"/>
              </w:rPr>
              <w:t>服务期内，运维项目涉及硬件设备维修，配品配件更换，设备无法通过维修实现正常使用需要更换的情况均由中标人负责，费用均包含在投标报价中。</w:t>
            </w:r>
          </w:p>
          <w:p w14:paraId="78FABDFD">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default" w:ascii="宋体" w:hAnsi="宋体" w:eastAsia="宋体" w:cs="宋体"/>
                <w:snapToGrid w:val="0"/>
                <w:color w:val="auto"/>
                <w:kern w:val="0"/>
                <w:sz w:val="21"/>
                <w:szCs w:val="21"/>
                <w:highlight w:val="none"/>
                <w:lang w:val="en-US" w:eastAsia="zh-CN" w:bidi="ar"/>
              </w:rPr>
              <w:t>2.</w:t>
            </w:r>
            <w:r>
              <w:rPr>
                <w:rFonts w:hint="eastAsia" w:ascii="宋体" w:hAnsi="宋体" w:eastAsia="宋体" w:cs="宋体"/>
                <w:snapToGrid w:val="0"/>
                <w:color w:val="auto"/>
                <w:kern w:val="0"/>
                <w:sz w:val="21"/>
                <w:szCs w:val="21"/>
                <w:highlight w:val="none"/>
                <w:lang w:val="en-US" w:eastAsia="zh-CN" w:bidi="ar"/>
              </w:rPr>
              <w:t>运维期间更换设备、设施的资产权属和使用权属均归使用方所有。</w:t>
            </w:r>
          </w:p>
          <w:p w14:paraId="3E09AE73">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color w:val="auto"/>
                <w:highlight w:val="none"/>
                <w:lang w:val="en-US" w:eastAsia="zh-CN"/>
              </w:rPr>
            </w:pPr>
          </w:p>
        </w:tc>
        <w:tc>
          <w:tcPr>
            <w:tcW w:w="1243" w:type="dxa"/>
            <w:tcBorders>
              <w:top w:val="single" w:color="auto" w:sz="4" w:space="0"/>
              <w:left w:val="single" w:color="auto" w:sz="4" w:space="0"/>
              <w:bottom w:val="single" w:color="auto" w:sz="4" w:space="0"/>
              <w:right w:val="single" w:color="auto" w:sz="4" w:space="0"/>
            </w:tcBorders>
            <w:shd w:val="clear" w:color="auto" w:fill="auto"/>
            <w:vAlign w:val="center"/>
          </w:tcPr>
          <w:p w14:paraId="717A6364">
            <w:pPr>
              <w:keepNext w:val="0"/>
              <w:keepLines w:val="0"/>
              <w:widowControl/>
              <w:suppressLineNumbers w:val="0"/>
              <w:kinsoku w:val="0"/>
              <w:autoSpaceDE w:val="0"/>
              <w:autoSpaceDN w:val="0"/>
              <w:adjustRightInd w:val="0"/>
              <w:snapToGrid w:val="0"/>
              <w:spacing w:before="0" w:beforeAutospacing="0" w:after="0" w:afterAutospacing="0" w:line="240" w:lineRule="auto"/>
              <w:ind w:left="0" w:right="-31" w:rightChars="-15"/>
              <w:jc w:val="left"/>
              <w:textAlignment w:val="bottom"/>
              <w:rPr>
                <w:rFonts w:hint="eastAsia" w:ascii="宋体" w:hAnsi="宋体" w:cs="宋体"/>
                <w:snapToGrid w:val="0"/>
                <w:color w:val="auto"/>
                <w:kern w:val="0"/>
                <w:sz w:val="21"/>
                <w:szCs w:val="21"/>
                <w:highlight w:val="none"/>
                <w:lang w:val="en-US" w:eastAsia="zh-CN" w:bidi="ar"/>
              </w:rPr>
            </w:pPr>
            <w:r>
              <w:rPr>
                <w:rFonts w:hint="eastAsia" w:ascii="宋体" w:hAnsi="宋体" w:cs="宋体"/>
                <w:snapToGrid w:val="0"/>
                <w:color w:val="auto"/>
                <w:kern w:val="0"/>
                <w:sz w:val="21"/>
                <w:szCs w:val="21"/>
                <w:highlight w:val="none"/>
                <w:lang w:val="en-US" w:eastAsia="zh-CN" w:bidi="ar"/>
              </w:rPr>
              <w:t>现有系统开发商为杭州海康威视数字技术股份有限公司</w:t>
            </w:r>
          </w:p>
        </w:tc>
      </w:tr>
      <w:tr w14:paraId="0A432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tcBorders>
              <w:top w:val="single" w:color="auto" w:sz="4" w:space="0"/>
              <w:left w:val="single" w:color="auto" w:sz="4" w:space="0"/>
              <w:bottom w:val="single" w:color="auto" w:sz="4" w:space="0"/>
              <w:right w:val="single" w:color="auto" w:sz="4" w:space="0"/>
            </w:tcBorders>
            <w:shd w:val="clear" w:color="auto" w:fill="auto"/>
            <w:vAlign w:val="center"/>
          </w:tcPr>
          <w:p w14:paraId="4F00E66F">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ottom"/>
              <w:rPr>
                <w:rFonts w:hint="default" w:ascii="宋体" w:hAnsi="宋体" w:eastAsia="宋体" w:cs="宋体"/>
                <w:snapToGrid w:val="0"/>
                <w:color w:val="auto"/>
                <w:kern w:val="0"/>
                <w:sz w:val="21"/>
                <w:szCs w:val="21"/>
                <w:highlight w:val="none"/>
                <w:lang w:val="en-US" w:eastAsia="zh-CN" w:bidi="ar"/>
              </w:rPr>
            </w:pPr>
            <w:r>
              <w:rPr>
                <w:rFonts w:hint="eastAsia" w:ascii="宋体" w:hAnsi="宋体" w:cs="宋体"/>
                <w:snapToGrid w:val="0"/>
                <w:color w:val="auto"/>
                <w:kern w:val="0"/>
                <w:sz w:val="21"/>
                <w:szCs w:val="21"/>
                <w:highlight w:val="none"/>
                <w:lang w:val="en-US" w:eastAsia="zh-CN" w:bidi="ar"/>
              </w:rPr>
              <w:t>5</w:t>
            </w:r>
          </w:p>
        </w:tc>
        <w:tc>
          <w:tcPr>
            <w:tcW w:w="862" w:type="dxa"/>
            <w:vMerge w:val="continue"/>
            <w:tcBorders>
              <w:left w:val="single" w:color="auto" w:sz="4" w:space="0"/>
              <w:bottom w:val="single" w:color="auto" w:sz="4" w:space="0"/>
              <w:right w:val="single" w:color="auto" w:sz="4" w:space="0"/>
            </w:tcBorders>
            <w:shd w:val="clear" w:color="auto" w:fill="auto"/>
            <w:vAlign w:val="center"/>
          </w:tcPr>
          <w:p w14:paraId="0B48DAA5">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ottom"/>
              <w:rPr>
                <w:rFonts w:hint="eastAsia" w:ascii="宋体" w:hAnsi="宋体" w:eastAsia="宋体" w:cs="宋体"/>
                <w:snapToGrid w:val="0"/>
                <w:color w:val="auto"/>
                <w:kern w:val="0"/>
                <w:sz w:val="21"/>
                <w:szCs w:val="21"/>
                <w:highlight w:val="none"/>
                <w:lang w:val="en-US" w:eastAsia="zh-CN" w:bidi="ar"/>
              </w:rPr>
            </w:pPr>
          </w:p>
        </w:tc>
        <w:tc>
          <w:tcPr>
            <w:tcW w:w="1236" w:type="dxa"/>
            <w:tcBorders>
              <w:top w:val="single" w:color="auto" w:sz="4" w:space="0"/>
              <w:left w:val="single" w:color="auto" w:sz="4" w:space="0"/>
              <w:bottom w:val="single" w:color="auto" w:sz="4" w:space="0"/>
              <w:right w:val="single" w:color="auto" w:sz="4" w:space="0"/>
            </w:tcBorders>
            <w:shd w:val="clear" w:color="auto" w:fill="auto"/>
            <w:vAlign w:val="center"/>
          </w:tcPr>
          <w:p w14:paraId="15B345FE">
            <w:pPr>
              <w:keepNext w:val="0"/>
              <w:keepLines w:val="0"/>
              <w:widowControl/>
              <w:suppressLineNumbers w:val="0"/>
              <w:kinsoku w:val="0"/>
              <w:autoSpaceDE w:val="0"/>
              <w:autoSpaceDN w:val="0"/>
              <w:adjustRightInd w:val="0"/>
              <w:snapToGrid w:val="0"/>
              <w:spacing w:before="0" w:beforeAutospacing="0" w:after="0" w:afterAutospacing="0" w:line="240" w:lineRule="auto"/>
              <w:ind w:left="0" w:right="-31" w:rightChars="-15"/>
              <w:jc w:val="left"/>
              <w:textAlignment w:val="bottom"/>
              <w:rPr>
                <w:rFonts w:hint="eastAsia" w:ascii="宋体" w:hAnsi="宋体" w:cs="宋体"/>
                <w:snapToGrid w:val="0"/>
                <w:color w:val="auto"/>
                <w:kern w:val="0"/>
                <w:sz w:val="21"/>
                <w:szCs w:val="21"/>
                <w:highlight w:val="none"/>
                <w:lang w:val="en-US" w:eastAsia="zh-CN" w:bidi="ar"/>
              </w:rPr>
            </w:pPr>
            <w:r>
              <w:rPr>
                <w:rFonts w:hint="eastAsia" w:ascii="宋体" w:hAnsi="宋体" w:cs="宋体"/>
                <w:snapToGrid w:val="0"/>
                <w:color w:val="auto"/>
                <w:kern w:val="0"/>
                <w:sz w:val="21"/>
                <w:szCs w:val="21"/>
                <w:highlight w:val="none"/>
                <w:lang w:val="en-US" w:eastAsia="zh-CN" w:bidi="ar"/>
              </w:rPr>
              <w:t>殷墟遗址保护区“天眼”技防系统项目</w:t>
            </w:r>
          </w:p>
        </w:tc>
        <w:tc>
          <w:tcPr>
            <w:tcW w:w="3019" w:type="dxa"/>
            <w:tcBorders>
              <w:top w:val="single" w:color="auto" w:sz="4" w:space="0"/>
              <w:left w:val="single" w:color="auto" w:sz="4" w:space="0"/>
              <w:bottom w:val="single" w:color="auto" w:sz="4" w:space="0"/>
              <w:right w:val="single" w:color="auto" w:sz="4" w:space="0"/>
            </w:tcBorders>
            <w:shd w:val="clear" w:color="auto" w:fill="auto"/>
            <w:vAlign w:val="center"/>
          </w:tcPr>
          <w:p w14:paraId="25B280EE">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default"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总体运维</w:t>
            </w:r>
          </w:p>
          <w:p w14:paraId="1E50C1AA">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包括：殷墟遗址保护区城市建成区、道路路网等区域的1860处点位；前端设备接入，存储设备，安全设备，网络设备及相关配套设备（</w:t>
            </w:r>
            <w:r>
              <w:rPr>
                <w:rFonts w:hint="default" w:ascii="宋体" w:hAnsi="宋体" w:eastAsia="宋体" w:cs="宋体"/>
                <w:snapToGrid w:val="0"/>
                <w:color w:val="auto"/>
                <w:kern w:val="0"/>
                <w:sz w:val="21"/>
                <w:szCs w:val="21"/>
                <w:highlight w:val="none"/>
                <w:lang w:val="en-US" w:eastAsia="zh-CN" w:bidi="ar"/>
              </w:rPr>
              <w:t>按照GA/T 1043-2025《智能交通管理系统前端设备运行维护规范》的要求提供服务</w:t>
            </w:r>
            <w:r>
              <w:rPr>
                <w:rFonts w:hint="eastAsia" w:ascii="宋体" w:hAnsi="宋体" w:eastAsia="宋体" w:cs="宋体"/>
                <w:snapToGrid w:val="0"/>
                <w:color w:val="auto"/>
                <w:kern w:val="0"/>
                <w:sz w:val="21"/>
                <w:szCs w:val="21"/>
                <w:highlight w:val="none"/>
                <w:lang w:val="en-US" w:eastAsia="zh-CN" w:bidi="ar"/>
              </w:rPr>
              <w:t>）。</w:t>
            </w:r>
          </w:p>
          <w:p w14:paraId="50BD8CB9">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default"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前端运维</w:t>
            </w:r>
          </w:p>
          <w:p w14:paraId="5FA183A5">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包括：智能球机、全景球机、夜视全彩球机、智能枪机、移动监控球机，前端设备运行所需电费。</w:t>
            </w:r>
          </w:p>
          <w:p w14:paraId="78F64D74">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default"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后端服务器运维</w:t>
            </w:r>
          </w:p>
          <w:p w14:paraId="66AE496A">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包括：监控采集服务器、基础管理服务器、运维应用管理服务器、人脸结构化建模分析单元、WiFi大数据应用系统、中心管理服务器、数据库服务器、视频接入服务器、流媒体服务器、应用系统服务器、视频云存储系统、人脸大数据存储系统、WIFI大数据存储系统。</w:t>
            </w:r>
          </w:p>
          <w:p w14:paraId="22E8BF31">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平台系统运维</w:t>
            </w:r>
          </w:p>
          <w:p w14:paraId="52A3E15A">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包括：人脸大数据应用系统、管理平台</w:t>
            </w:r>
          </w:p>
          <w:p w14:paraId="3D41553B">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网络和安全设备运维</w:t>
            </w:r>
          </w:p>
          <w:p w14:paraId="38DBF00C">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包括：视频网安全网关、视频网应用准入控制系统、安全网关、防火墙系统、入侵防御系统、行为日志审计系统、漏洞扫描管理系统、风险预警管控平台。</w:t>
            </w:r>
          </w:p>
          <w:p w14:paraId="019DC00F">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default"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项目运行所需网络传输专线1863条，其中1G专线3条，确保前端设备正常稳定运行。</w:t>
            </w:r>
          </w:p>
          <w:p w14:paraId="717B2C57">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项目设备所需机柜10个，要求机房环境：配有环境监控系统，对机房动力和环境等设备进行监控；配有独立配电柜、UPS配电房，至少两路专线电源；配备门禁、摄像头等安全设备。</w:t>
            </w:r>
          </w:p>
          <w:p w14:paraId="69EC5CC2">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需要提供的服务：</w:t>
            </w:r>
          </w:p>
          <w:p w14:paraId="5C73EDDD">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default" w:ascii="宋体" w:hAnsi="宋体" w:eastAsia="宋体" w:cs="宋体"/>
                <w:snapToGrid w:val="0"/>
                <w:color w:val="auto"/>
                <w:kern w:val="0"/>
                <w:sz w:val="21"/>
                <w:szCs w:val="21"/>
                <w:highlight w:val="none"/>
                <w:lang w:val="en-US" w:eastAsia="zh-CN" w:bidi="ar"/>
              </w:rPr>
              <w:t>1.</w:t>
            </w:r>
            <w:r>
              <w:rPr>
                <w:rFonts w:hint="eastAsia" w:ascii="宋体" w:hAnsi="宋体" w:eastAsia="宋体" w:cs="宋体"/>
                <w:snapToGrid w:val="0"/>
                <w:color w:val="auto"/>
                <w:kern w:val="0"/>
                <w:sz w:val="21"/>
                <w:szCs w:val="21"/>
                <w:highlight w:val="none"/>
                <w:lang w:val="en-US" w:eastAsia="zh-CN" w:bidi="ar"/>
              </w:rPr>
              <w:t>前端设备的接入和存储，并实现对相关数据的汇聚、处理、存储、应用、管理与共享，支持相关业务的展开。</w:t>
            </w:r>
          </w:p>
          <w:p w14:paraId="4C01B29E">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default" w:ascii="宋体" w:hAnsi="宋体" w:eastAsia="宋体" w:cs="宋体"/>
                <w:snapToGrid w:val="0"/>
                <w:color w:val="auto"/>
                <w:kern w:val="0"/>
                <w:sz w:val="21"/>
                <w:szCs w:val="21"/>
                <w:highlight w:val="none"/>
                <w:lang w:val="en-US" w:eastAsia="zh-CN" w:bidi="ar"/>
              </w:rPr>
              <w:t>2.</w:t>
            </w:r>
            <w:r>
              <w:rPr>
                <w:rFonts w:hint="eastAsia" w:ascii="宋体" w:hAnsi="宋体" w:eastAsia="宋体" w:cs="宋体"/>
                <w:snapToGrid w:val="0"/>
                <w:color w:val="auto"/>
                <w:kern w:val="0"/>
                <w:sz w:val="21"/>
                <w:szCs w:val="21"/>
                <w:highlight w:val="none"/>
                <w:lang w:val="en-US" w:eastAsia="zh-CN" w:bidi="ar"/>
              </w:rPr>
              <w:t>对现有的监控平台及相关系统进行优化升级，对业务人员进行培训，保证业务人员熟练掌握系统使用。</w:t>
            </w:r>
          </w:p>
          <w:p w14:paraId="142176B8">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default" w:ascii="宋体" w:hAnsi="宋体" w:eastAsia="宋体" w:cs="宋体"/>
                <w:snapToGrid w:val="0"/>
                <w:color w:val="auto"/>
                <w:kern w:val="0"/>
                <w:sz w:val="21"/>
                <w:szCs w:val="21"/>
                <w:highlight w:val="none"/>
                <w:lang w:val="en-US" w:eastAsia="zh-CN" w:bidi="ar"/>
              </w:rPr>
              <w:t>3.</w:t>
            </w:r>
            <w:r>
              <w:rPr>
                <w:rFonts w:hint="eastAsia" w:ascii="宋体" w:hAnsi="宋体" w:eastAsia="宋体" w:cs="宋体"/>
                <w:snapToGrid w:val="0"/>
                <w:color w:val="auto"/>
                <w:kern w:val="0"/>
                <w:sz w:val="21"/>
                <w:szCs w:val="21"/>
                <w:highlight w:val="none"/>
                <w:lang w:val="en-US" w:eastAsia="zh-CN" w:bidi="ar"/>
              </w:rPr>
              <w:t>提供运维服务所需要的专业运维工具，前后端设备故障维修服务，提供网络线路维护服务和设备保养服务，提供专业运维队伍服务、及时运维保障服务。</w:t>
            </w:r>
          </w:p>
          <w:p w14:paraId="2BED825A">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default" w:ascii="宋体" w:hAnsi="宋体" w:eastAsia="宋体" w:cs="宋体"/>
                <w:snapToGrid w:val="0"/>
                <w:color w:val="auto"/>
                <w:kern w:val="0"/>
                <w:sz w:val="21"/>
                <w:szCs w:val="21"/>
                <w:highlight w:val="none"/>
                <w:lang w:val="en-US" w:eastAsia="zh-CN" w:bidi="ar"/>
              </w:rPr>
              <w:t>4.</w:t>
            </w:r>
            <w:r>
              <w:rPr>
                <w:rFonts w:hint="eastAsia" w:ascii="宋体" w:hAnsi="宋体" w:eastAsia="宋体" w:cs="宋体"/>
                <w:snapToGrid w:val="0"/>
                <w:color w:val="auto"/>
                <w:kern w:val="0"/>
                <w:sz w:val="21"/>
                <w:szCs w:val="21"/>
                <w:highlight w:val="none"/>
                <w:lang w:val="en-US" w:eastAsia="zh-CN" w:bidi="ar"/>
              </w:rPr>
              <w:t>提供省、市实际工作中要求的其他运维服务，包括但不限于现场巡检，前端设备外观完整情况检查，</w:t>
            </w:r>
            <w:r>
              <w:rPr>
                <w:rFonts w:hint="eastAsia" w:ascii="宋体" w:hAnsi="宋体" w:cs="宋体"/>
                <w:snapToGrid w:val="0"/>
                <w:color w:val="auto"/>
                <w:kern w:val="0"/>
                <w:sz w:val="21"/>
                <w:szCs w:val="21"/>
                <w:highlight w:val="none"/>
                <w:lang w:val="en-US" w:eastAsia="zh-CN" w:bidi="ar"/>
              </w:rPr>
              <w:t>后台在线率等运维巡检，提供月度运维和运行报告。</w:t>
            </w:r>
          </w:p>
          <w:p w14:paraId="12555D14">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宋体" w:hAnsi="宋体" w:eastAsia="宋体" w:cs="宋体"/>
                <w:snapToGrid w:val="0"/>
                <w:color w:val="auto"/>
                <w:kern w:val="0"/>
                <w:sz w:val="21"/>
                <w:szCs w:val="21"/>
                <w:highlight w:val="none"/>
                <w:lang w:val="en-US" w:eastAsia="zh-CN" w:bidi="ar"/>
              </w:rPr>
            </w:pPr>
            <w:r>
              <w:rPr>
                <w:rFonts w:hint="default" w:ascii="宋体" w:hAnsi="宋体" w:eastAsia="宋体" w:cs="宋体"/>
                <w:snapToGrid w:val="0"/>
                <w:color w:val="auto"/>
                <w:kern w:val="0"/>
                <w:sz w:val="21"/>
                <w:szCs w:val="21"/>
                <w:highlight w:val="none"/>
                <w:lang w:val="en-US" w:eastAsia="zh-CN" w:bidi="ar"/>
              </w:rPr>
              <w:t>5.</w:t>
            </w:r>
            <w:r>
              <w:rPr>
                <w:rFonts w:hint="eastAsia" w:ascii="宋体" w:hAnsi="宋体" w:eastAsia="宋体" w:cs="宋体"/>
                <w:snapToGrid w:val="0"/>
                <w:color w:val="auto"/>
                <w:kern w:val="0"/>
                <w:sz w:val="21"/>
                <w:szCs w:val="21"/>
                <w:highlight w:val="none"/>
                <w:lang w:val="en-US" w:eastAsia="zh-CN" w:bidi="ar"/>
              </w:rPr>
              <w:t>提供重大安保活动、重大节假日重保等其他临时性服务需求，支撑治安防控、侦查打击、反恐维稳、服务民生等公安业务领域。</w:t>
            </w:r>
          </w:p>
          <w:p w14:paraId="0779AE6B">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leftChars="0" w:right="0" w:rightChars="0"/>
              <w:jc w:val="both"/>
              <w:textAlignment w:val="bottom"/>
              <w:rPr>
                <w:rFonts w:hint="eastAsia" w:asciiTheme="minorEastAsia" w:hAnsiTheme="minorEastAsia" w:eastAsiaTheme="minorEastAsia" w:cstheme="minorEastAsia"/>
                <w:b w:val="0"/>
                <w:bCs w:val="0"/>
                <w:snapToGrid w:val="0"/>
                <w:color w:val="auto"/>
                <w:kern w:val="0"/>
                <w:sz w:val="21"/>
                <w:szCs w:val="21"/>
                <w:highlight w:val="none"/>
                <w:lang w:val="en-US" w:eastAsia="zh-CN" w:bidi="ar"/>
              </w:rPr>
            </w:pPr>
            <w:r>
              <w:rPr>
                <w:rFonts w:hint="default" w:ascii="宋体" w:hAnsi="宋体" w:eastAsia="宋体" w:cs="宋体"/>
                <w:snapToGrid w:val="0"/>
                <w:color w:val="auto"/>
                <w:kern w:val="0"/>
                <w:sz w:val="21"/>
                <w:szCs w:val="21"/>
                <w:highlight w:val="none"/>
                <w:lang w:val="en-US" w:eastAsia="zh-CN" w:bidi="ar"/>
              </w:rPr>
              <w:t>6.</w:t>
            </w:r>
            <w:r>
              <w:rPr>
                <w:rFonts w:hint="eastAsia" w:ascii="宋体" w:hAnsi="宋体" w:eastAsia="宋体" w:cs="宋体"/>
                <w:snapToGrid w:val="0"/>
                <w:color w:val="auto"/>
                <w:kern w:val="0"/>
                <w:sz w:val="21"/>
                <w:szCs w:val="21"/>
                <w:highlight w:val="none"/>
                <w:lang w:val="en-US" w:eastAsia="zh-CN" w:bidi="ar"/>
              </w:rPr>
              <w:t>监控巡查服务：包括</w:t>
            </w:r>
            <w:r>
              <w:rPr>
                <w:rFonts w:hint="default" w:ascii="宋体" w:hAnsi="宋体" w:eastAsia="宋体" w:cs="宋体"/>
                <w:snapToGrid w:val="0"/>
                <w:color w:val="auto"/>
                <w:kern w:val="0"/>
                <w:sz w:val="21"/>
                <w:szCs w:val="21"/>
                <w:highlight w:val="none"/>
                <w:lang w:val="en-US" w:eastAsia="zh-CN" w:bidi="ar"/>
              </w:rPr>
              <w:t>全天</w:t>
            </w:r>
            <w:r>
              <w:rPr>
                <w:rFonts w:hint="eastAsia" w:ascii="宋体" w:hAnsi="宋体" w:eastAsia="宋体" w:cs="宋体"/>
                <w:snapToGrid w:val="0"/>
                <w:color w:val="auto"/>
                <w:kern w:val="0"/>
                <w:sz w:val="21"/>
                <w:szCs w:val="21"/>
                <w:highlight w:val="none"/>
                <w:lang w:val="en-US" w:eastAsia="zh-CN" w:bidi="ar"/>
              </w:rPr>
              <w:t>值守与日常监控巡查，警情分级处置与联动，系统操作与日常自检，配合保障与专项工作。</w:t>
            </w:r>
          </w:p>
        </w:tc>
        <w:tc>
          <w:tcPr>
            <w:tcW w:w="2911" w:type="dxa"/>
            <w:tcBorders>
              <w:top w:val="single" w:color="auto" w:sz="4" w:space="0"/>
              <w:left w:val="single" w:color="auto" w:sz="4" w:space="0"/>
              <w:bottom w:val="single" w:color="auto" w:sz="4" w:space="0"/>
              <w:right w:val="single" w:color="auto" w:sz="4" w:space="0"/>
            </w:tcBorders>
            <w:shd w:val="clear" w:color="auto" w:fill="auto"/>
            <w:vAlign w:val="center"/>
          </w:tcPr>
          <w:p w14:paraId="20A447C4">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总体要求：</w:t>
            </w:r>
          </w:p>
          <w:p w14:paraId="1967C1D8">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整个运维服务周期内，运维服务商应保证1860处点位系统全套设备及附属设施完好正常，监控设备在线率不低于95%；</w:t>
            </w:r>
          </w:p>
          <w:p w14:paraId="3A0D0AC3">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服务时间：7×24小时服务</w:t>
            </w:r>
          </w:p>
          <w:p w14:paraId="09D77368">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响应时效：15分钟以内</w:t>
            </w:r>
          </w:p>
          <w:p w14:paraId="0A2C1937">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到场时间：4小时以内</w:t>
            </w:r>
          </w:p>
          <w:p w14:paraId="7B1E7646">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故障恢复时间：6小时以内</w:t>
            </w:r>
          </w:p>
          <w:p w14:paraId="115F5B13">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巡检周期：每月一次</w:t>
            </w:r>
          </w:p>
          <w:p w14:paraId="0F3DCB4A">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运维团队要求</w:t>
            </w:r>
          </w:p>
          <w:p w14:paraId="3B01F9C5">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人员要求：运维人员具有相关专业能力与职业素养。有相关的项目经验，对前端设备熟悉，具有丰富的维护及处理故障能力。团队负责人需具备监控系统运维管理经验，熟悉前后端整体架构。</w:t>
            </w:r>
          </w:p>
          <w:p w14:paraId="525CF5DD">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相关能力要求：</w:t>
            </w:r>
          </w:p>
          <w:p w14:paraId="4FFBD427">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default" w:ascii="宋体" w:hAnsi="宋体" w:eastAsia="宋体" w:cs="宋体"/>
                <w:snapToGrid w:val="0"/>
                <w:color w:val="auto"/>
                <w:kern w:val="0"/>
                <w:sz w:val="21"/>
                <w:szCs w:val="21"/>
                <w:highlight w:val="none"/>
                <w:lang w:val="en-US" w:eastAsia="zh-CN" w:bidi="ar"/>
              </w:rPr>
              <w:t>1.</w:t>
            </w:r>
            <w:r>
              <w:rPr>
                <w:rFonts w:hint="eastAsia" w:ascii="宋体" w:hAnsi="宋体" w:eastAsia="宋体" w:cs="宋体"/>
                <w:snapToGrid w:val="0"/>
                <w:color w:val="auto"/>
                <w:kern w:val="0"/>
                <w:sz w:val="21"/>
                <w:szCs w:val="21"/>
                <w:highlight w:val="none"/>
                <w:lang w:val="en-US" w:eastAsia="zh-CN" w:bidi="ar"/>
              </w:rPr>
              <w:t>技术能力：①熟悉</w:t>
            </w:r>
            <w:r>
              <w:rPr>
                <w:rFonts w:hint="eastAsia" w:ascii="宋体" w:hAnsi="宋体" w:cs="宋体"/>
                <w:snapToGrid w:val="0"/>
                <w:color w:val="auto"/>
                <w:kern w:val="0"/>
                <w:sz w:val="21"/>
                <w:szCs w:val="21"/>
                <w:highlight w:val="none"/>
                <w:lang w:val="en-US" w:eastAsia="zh-CN" w:bidi="ar"/>
              </w:rPr>
              <w:t>L</w:t>
            </w:r>
            <w:r>
              <w:rPr>
                <w:rFonts w:hint="eastAsia" w:ascii="宋体" w:hAnsi="宋体" w:eastAsia="宋体" w:cs="宋体"/>
                <w:snapToGrid w:val="0"/>
                <w:color w:val="auto"/>
                <w:kern w:val="0"/>
                <w:sz w:val="21"/>
                <w:szCs w:val="21"/>
                <w:highlight w:val="none"/>
                <w:lang w:val="en-US" w:eastAsia="zh-CN" w:bidi="ar"/>
              </w:rPr>
              <w:t>inux、windows操作系统，能够独立搭建软件运行环境；②熟悉ssh，ftp，http协议，会看日志和抓包等排查手段； ③熟悉SQL或图数据库查询语言、使用Java/C++/Python等编程语言；④熟悉网络相关知识和配置，如TCP/IP、防火墙、负载均衡等。</w:t>
            </w:r>
          </w:p>
          <w:p w14:paraId="585C767B">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default" w:ascii="宋体" w:hAnsi="宋体" w:eastAsia="宋体" w:cs="宋体"/>
                <w:snapToGrid w:val="0"/>
                <w:color w:val="auto"/>
                <w:kern w:val="0"/>
                <w:sz w:val="21"/>
                <w:szCs w:val="21"/>
                <w:highlight w:val="none"/>
                <w:lang w:val="en-US" w:eastAsia="zh-CN" w:bidi="ar"/>
              </w:rPr>
              <w:t>2.</w:t>
            </w:r>
            <w:r>
              <w:rPr>
                <w:rFonts w:hint="eastAsia" w:ascii="宋体" w:hAnsi="宋体" w:eastAsia="宋体" w:cs="宋体"/>
                <w:snapToGrid w:val="0"/>
                <w:color w:val="auto"/>
                <w:kern w:val="0"/>
                <w:sz w:val="21"/>
                <w:szCs w:val="21"/>
                <w:highlight w:val="none"/>
                <w:lang w:val="en-US" w:eastAsia="zh-CN" w:bidi="ar"/>
              </w:rPr>
              <w:t>素质能力：①具备识别相关故障、疑难问题排查处理的能力，并能够编制汇总故障、问题，形成问题报告并提交公司；②工作认真负责、严谨细致，有良好团队协作能力、团队精神，谦虚踏实、吃苦耐劳；③良好的沟通能力、协作能力、服务意识、总结提炼和文档能力。</w:t>
            </w:r>
          </w:p>
          <w:p w14:paraId="32DF83B9">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default" w:ascii="宋体" w:hAnsi="宋体" w:eastAsia="宋体" w:cs="宋体"/>
                <w:snapToGrid w:val="0"/>
                <w:color w:val="auto"/>
                <w:kern w:val="0"/>
                <w:sz w:val="21"/>
                <w:szCs w:val="21"/>
                <w:highlight w:val="none"/>
                <w:lang w:val="en-US" w:eastAsia="zh-CN" w:bidi="ar"/>
              </w:rPr>
              <w:t>3.</w:t>
            </w:r>
            <w:r>
              <w:rPr>
                <w:rFonts w:hint="eastAsia" w:ascii="宋体" w:hAnsi="宋体" w:eastAsia="宋体" w:cs="宋体"/>
                <w:snapToGrid w:val="0"/>
                <w:color w:val="auto"/>
                <w:kern w:val="0"/>
                <w:sz w:val="21"/>
                <w:szCs w:val="21"/>
                <w:highlight w:val="none"/>
                <w:lang w:val="en-US" w:eastAsia="zh-CN" w:bidi="ar"/>
              </w:rPr>
              <w:t>业务技能：①具有良好的安全意识和客户服务意识。②具有信息化项目管理经验，能够根据项目问题合理安排工作任务，跟踪问题完成进度，保证运维工作顺利进行；③能独立负责与客户的交流与沟通，有效协调公司内外的人员资源，快速解决客户问题。</w:t>
            </w:r>
          </w:p>
          <w:p w14:paraId="164CC3EA">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注：</w:t>
            </w:r>
          </w:p>
          <w:p w14:paraId="216542E9">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default" w:ascii="宋体" w:hAnsi="宋体" w:eastAsia="宋体" w:cs="宋体"/>
                <w:snapToGrid w:val="0"/>
                <w:color w:val="auto"/>
                <w:kern w:val="0"/>
                <w:sz w:val="21"/>
                <w:szCs w:val="21"/>
                <w:highlight w:val="none"/>
                <w:lang w:val="en-US" w:eastAsia="zh-CN" w:bidi="ar"/>
              </w:rPr>
            </w:pPr>
            <w:r>
              <w:rPr>
                <w:rFonts w:hint="default" w:ascii="宋体" w:hAnsi="宋体" w:eastAsia="宋体" w:cs="宋体"/>
                <w:snapToGrid w:val="0"/>
                <w:color w:val="auto"/>
                <w:kern w:val="0"/>
                <w:sz w:val="21"/>
                <w:szCs w:val="21"/>
                <w:highlight w:val="none"/>
                <w:lang w:val="en-US" w:eastAsia="zh-CN" w:bidi="ar"/>
              </w:rPr>
              <w:t>1.</w:t>
            </w:r>
            <w:r>
              <w:rPr>
                <w:rFonts w:hint="eastAsia" w:ascii="宋体" w:hAnsi="宋体" w:eastAsia="宋体" w:cs="宋体"/>
                <w:snapToGrid w:val="0"/>
                <w:color w:val="auto"/>
                <w:kern w:val="0"/>
                <w:sz w:val="21"/>
                <w:szCs w:val="21"/>
                <w:highlight w:val="none"/>
                <w:lang w:val="en-US" w:eastAsia="zh-CN" w:bidi="ar"/>
              </w:rPr>
              <w:t>服务期内，运维项目涉及硬件设备维修，配品配件更换,设备无法通过维修实现正常使用需要更换的情况均由中标人负责，费用均包含在投标报价中。</w:t>
            </w:r>
          </w:p>
          <w:p w14:paraId="158402F0">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default" w:ascii="宋体" w:hAnsi="宋体" w:eastAsia="宋体" w:cs="宋体"/>
                <w:snapToGrid w:val="0"/>
                <w:color w:val="auto"/>
                <w:kern w:val="0"/>
                <w:sz w:val="21"/>
                <w:szCs w:val="21"/>
                <w:highlight w:val="none"/>
                <w:lang w:val="en-US" w:eastAsia="zh-CN" w:bidi="ar"/>
              </w:rPr>
              <w:t>2.</w:t>
            </w:r>
            <w:r>
              <w:rPr>
                <w:rFonts w:hint="eastAsia" w:ascii="宋体" w:hAnsi="宋体" w:eastAsia="宋体" w:cs="宋体"/>
                <w:snapToGrid w:val="0"/>
                <w:color w:val="auto"/>
                <w:kern w:val="0"/>
                <w:sz w:val="21"/>
                <w:szCs w:val="21"/>
                <w:highlight w:val="none"/>
                <w:lang w:val="en-US" w:eastAsia="zh-CN" w:bidi="ar"/>
              </w:rPr>
              <w:t>运维期间更换设备、设施的资产权属和使用权属均归使用方所有。</w:t>
            </w:r>
          </w:p>
          <w:p w14:paraId="4BE8270D">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Theme="minorEastAsia" w:hAnsiTheme="minorEastAsia" w:eastAsiaTheme="minorEastAsia" w:cstheme="minorEastAsia"/>
                <w:b w:val="0"/>
                <w:bCs w:val="0"/>
                <w:snapToGrid w:val="0"/>
                <w:color w:val="auto"/>
                <w:kern w:val="0"/>
                <w:sz w:val="21"/>
                <w:szCs w:val="21"/>
                <w:highlight w:val="none"/>
                <w:lang w:val="en-US" w:eastAsia="zh-CN" w:bidi="ar"/>
              </w:rPr>
            </w:pPr>
            <w:r>
              <w:rPr>
                <w:rFonts w:hint="default" w:ascii="宋体" w:hAnsi="宋体" w:eastAsia="宋体" w:cs="宋体"/>
                <w:snapToGrid w:val="0"/>
                <w:color w:val="auto"/>
                <w:kern w:val="0"/>
                <w:sz w:val="21"/>
                <w:szCs w:val="21"/>
                <w:highlight w:val="none"/>
                <w:lang w:val="en-US" w:eastAsia="zh-CN" w:bidi="ar"/>
              </w:rPr>
              <w:t>3.</w:t>
            </w:r>
            <w:r>
              <w:rPr>
                <w:rFonts w:hint="eastAsia" w:ascii="宋体" w:hAnsi="宋体" w:eastAsia="宋体" w:cs="宋体"/>
                <w:snapToGrid w:val="0"/>
                <w:color w:val="auto"/>
                <w:kern w:val="0"/>
                <w:sz w:val="21"/>
                <w:szCs w:val="21"/>
                <w:highlight w:val="none"/>
                <w:lang w:val="en-US" w:eastAsia="zh-CN" w:bidi="ar"/>
              </w:rPr>
              <w:t>本项目现有软硬件设备已运行五年，在合同运行期间状况正常，设备完整，符合业主单位使用要求。</w:t>
            </w:r>
          </w:p>
        </w:tc>
        <w:tc>
          <w:tcPr>
            <w:tcW w:w="1243" w:type="dxa"/>
            <w:tcBorders>
              <w:top w:val="single" w:color="auto" w:sz="4" w:space="0"/>
              <w:left w:val="single" w:color="auto" w:sz="4" w:space="0"/>
              <w:bottom w:val="single" w:color="auto" w:sz="4" w:space="0"/>
              <w:right w:val="single" w:color="auto" w:sz="4" w:space="0"/>
            </w:tcBorders>
            <w:shd w:val="clear" w:color="auto" w:fill="auto"/>
            <w:vAlign w:val="center"/>
          </w:tcPr>
          <w:p w14:paraId="36217E4E">
            <w:pPr>
              <w:keepNext w:val="0"/>
              <w:keepLines w:val="0"/>
              <w:widowControl/>
              <w:suppressLineNumbers w:val="0"/>
              <w:kinsoku w:val="0"/>
              <w:autoSpaceDE w:val="0"/>
              <w:autoSpaceDN w:val="0"/>
              <w:adjustRightInd w:val="0"/>
              <w:snapToGrid w:val="0"/>
              <w:spacing w:before="0" w:beforeAutospacing="0" w:after="0" w:afterAutospacing="0" w:line="240" w:lineRule="auto"/>
              <w:ind w:left="0" w:right="-31" w:rightChars="-15"/>
              <w:jc w:val="left"/>
              <w:textAlignment w:val="bottom"/>
              <w:rPr>
                <w:rFonts w:hint="eastAsia" w:ascii="宋体" w:hAnsi="宋体" w:cs="宋体"/>
                <w:snapToGrid w:val="0"/>
                <w:color w:val="auto"/>
                <w:kern w:val="0"/>
                <w:sz w:val="21"/>
                <w:szCs w:val="21"/>
                <w:highlight w:val="none"/>
                <w:lang w:val="en-US" w:eastAsia="zh-CN" w:bidi="ar"/>
              </w:rPr>
            </w:pPr>
            <w:r>
              <w:rPr>
                <w:rFonts w:hint="eastAsia" w:ascii="宋体" w:hAnsi="宋体" w:cs="宋体"/>
                <w:snapToGrid w:val="0"/>
                <w:color w:val="auto"/>
                <w:kern w:val="0"/>
                <w:sz w:val="21"/>
                <w:szCs w:val="21"/>
                <w:highlight w:val="none"/>
                <w:lang w:val="en-US" w:eastAsia="zh-CN" w:bidi="ar"/>
              </w:rPr>
              <w:t>现有系统开发商为杭州海康威视数字技术股份有限公司</w:t>
            </w:r>
          </w:p>
        </w:tc>
      </w:tr>
      <w:tr w14:paraId="69730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427" w:type="dxa"/>
            <w:tcBorders>
              <w:top w:val="single" w:color="auto" w:sz="4" w:space="0"/>
              <w:left w:val="single" w:color="auto" w:sz="4" w:space="0"/>
              <w:bottom w:val="single" w:color="auto" w:sz="4" w:space="0"/>
              <w:right w:val="single" w:color="auto" w:sz="4" w:space="0"/>
            </w:tcBorders>
            <w:shd w:val="clear" w:color="auto" w:fill="auto"/>
            <w:vAlign w:val="center"/>
          </w:tcPr>
          <w:p w14:paraId="385A1BFB">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ottom"/>
              <w:rPr>
                <w:rFonts w:hint="default" w:ascii="宋体" w:hAnsi="宋体" w:eastAsia="宋体" w:cs="宋体"/>
                <w:snapToGrid w:val="0"/>
                <w:color w:val="auto"/>
                <w:kern w:val="0"/>
                <w:sz w:val="21"/>
                <w:szCs w:val="21"/>
                <w:highlight w:val="none"/>
                <w:lang w:val="en-US" w:eastAsia="zh-CN" w:bidi="ar"/>
              </w:rPr>
            </w:pPr>
            <w:r>
              <w:rPr>
                <w:rFonts w:hint="eastAsia" w:ascii="宋体" w:hAnsi="宋体" w:cs="宋体"/>
                <w:snapToGrid w:val="0"/>
                <w:color w:val="auto"/>
                <w:kern w:val="0"/>
                <w:sz w:val="21"/>
                <w:szCs w:val="21"/>
                <w:highlight w:val="none"/>
                <w:lang w:val="en-US" w:eastAsia="zh-CN" w:bidi="ar"/>
              </w:rPr>
              <w:t>6</w:t>
            </w:r>
          </w:p>
        </w:tc>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14:paraId="7E788FE1">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ottom"/>
              <w:rPr>
                <w:rFonts w:hint="default" w:ascii="宋体" w:hAnsi="宋体" w:eastAsia="宋体" w:cs="宋体"/>
                <w:snapToGrid w:val="0"/>
                <w:color w:val="auto"/>
                <w:kern w:val="0"/>
                <w:sz w:val="21"/>
                <w:szCs w:val="21"/>
                <w:highlight w:val="none"/>
                <w:lang w:val="en-US" w:eastAsia="zh-CN" w:bidi="ar"/>
              </w:rPr>
            </w:pPr>
            <w:r>
              <w:rPr>
                <w:rFonts w:hint="eastAsia" w:ascii="宋体" w:hAnsi="宋体" w:cs="宋体"/>
                <w:snapToGrid w:val="0"/>
                <w:color w:val="auto"/>
                <w:kern w:val="0"/>
                <w:sz w:val="21"/>
                <w:szCs w:val="21"/>
                <w:highlight w:val="none"/>
                <w:lang w:val="en-US" w:eastAsia="zh-CN" w:bidi="ar"/>
              </w:rPr>
              <w:t>安阳市教育局</w:t>
            </w:r>
          </w:p>
        </w:tc>
        <w:tc>
          <w:tcPr>
            <w:tcW w:w="1236" w:type="dxa"/>
            <w:tcBorders>
              <w:top w:val="single" w:color="auto" w:sz="4" w:space="0"/>
              <w:left w:val="single" w:color="auto" w:sz="4" w:space="0"/>
              <w:bottom w:val="single" w:color="auto" w:sz="4" w:space="0"/>
              <w:right w:val="single" w:color="auto" w:sz="4" w:space="0"/>
            </w:tcBorders>
            <w:shd w:val="clear" w:color="auto" w:fill="auto"/>
            <w:vAlign w:val="center"/>
          </w:tcPr>
          <w:p w14:paraId="0547C0AA">
            <w:pPr>
              <w:keepNext w:val="0"/>
              <w:keepLines w:val="0"/>
              <w:widowControl/>
              <w:suppressLineNumbers w:val="0"/>
              <w:kinsoku w:val="0"/>
              <w:autoSpaceDE w:val="0"/>
              <w:autoSpaceDN w:val="0"/>
              <w:adjustRightInd w:val="0"/>
              <w:snapToGrid w:val="0"/>
              <w:spacing w:before="0" w:beforeAutospacing="0" w:after="0" w:afterAutospacing="0" w:line="240" w:lineRule="auto"/>
              <w:ind w:left="0" w:right="-31" w:rightChars="-15"/>
              <w:jc w:val="left"/>
              <w:textAlignment w:val="bottom"/>
              <w:rPr>
                <w:rFonts w:hint="eastAsia" w:ascii="宋体" w:hAnsi="宋体" w:cs="宋体"/>
                <w:snapToGrid w:val="0"/>
                <w:color w:val="auto"/>
                <w:kern w:val="0"/>
                <w:sz w:val="21"/>
                <w:szCs w:val="21"/>
                <w:highlight w:val="none"/>
                <w:lang w:val="en-US" w:eastAsia="zh-CN" w:bidi="ar"/>
              </w:rPr>
            </w:pPr>
            <w:r>
              <w:rPr>
                <w:rFonts w:hint="eastAsia" w:ascii="宋体" w:hAnsi="宋体" w:cs="宋体"/>
                <w:snapToGrid w:val="0"/>
                <w:color w:val="auto"/>
                <w:kern w:val="0"/>
                <w:sz w:val="21"/>
                <w:szCs w:val="21"/>
                <w:highlight w:val="none"/>
                <w:lang w:val="en-US" w:eastAsia="zh-CN" w:bidi="ar"/>
              </w:rPr>
              <w:t>安阳市网络教研平台（安阳市教育教研中心）</w:t>
            </w:r>
          </w:p>
        </w:tc>
        <w:tc>
          <w:tcPr>
            <w:tcW w:w="3019" w:type="dxa"/>
            <w:tcBorders>
              <w:top w:val="single" w:color="auto" w:sz="4" w:space="0"/>
              <w:left w:val="single" w:color="auto" w:sz="4" w:space="0"/>
              <w:bottom w:val="single" w:color="auto" w:sz="4" w:space="0"/>
              <w:right w:val="single" w:color="auto" w:sz="4" w:space="0"/>
            </w:tcBorders>
            <w:shd w:val="clear" w:color="auto" w:fill="auto"/>
            <w:vAlign w:val="center"/>
          </w:tcPr>
          <w:p w14:paraId="15F419E6">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1.系统日常运维服务，包括但不限于对平台及其系统运行环境进行状态监测和定期检查，按月提供系统巡检报告，及时修复安全漏洞和安全隐患，排除数据错误等。</w:t>
            </w:r>
          </w:p>
          <w:p w14:paraId="30B55D5F">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2.系统突发事件的诊断、排除。解决方案需经过安阳市教育教研中心同意后才能实施。</w:t>
            </w:r>
          </w:p>
          <w:p w14:paraId="2295871C">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3.因业务发展需要或需求变动需要对平台及其数据进行迁移、备份等工作。</w:t>
            </w:r>
          </w:p>
          <w:p w14:paraId="418A542C">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4.配合完成平台等级保护测评及其整改工作。</w:t>
            </w:r>
          </w:p>
          <w:p w14:paraId="7298DF4C">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5.配合我市的智慧教育网络或其他大型网络对接工作，对平台的基础数据和相关对接接口进行开放并提供对接的相关工作支持。</w:t>
            </w:r>
          </w:p>
          <w:p w14:paraId="31449322">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6.因</w:t>
            </w:r>
            <w:r>
              <w:rPr>
                <w:rFonts w:hint="eastAsia" w:ascii="宋体" w:hAnsi="宋体" w:cs="宋体"/>
                <w:snapToGrid w:val="0"/>
                <w:color w:val="auto"/>
                <w:kern w:val="0"/>
                <w:sz w:val="21"/>
                <w:szCs w:val="21"/>
                <w:highlight w:val="none"/>
                <w:lang w:val="en-US" w:eastAsia="zh-CN" w:bidi="ar"/>
              </w:rPr>
              <w:t>工作</w:t>
            </w:r>
            <w:r>
              <w:rPr>
                <w:rFonts w:hint="eastAsia" w:ascii="宋体" w:hAnsi="宋体" w:eastAsia="宋体" w:cs="宋体"/>
                <w:snapToGrid w:val="0"/>
                <w:color w:val="auto"/>
                <w:kern w:val="0"/>
                <w:sz w:val="21"/>
                <w:szCs w:val="21"/>
                <w:highlight w:val="none"/>
                <w:lang w:val="en-US" w:eastAsia="zh-CN" w:bidi="ar"/>
              </w:rPr>
              <w:t>需要</w:t>
            </w:r>
            <w:r>
              <w:rPr>
                <w:rFonts w:hint="eastAsia" w:ascii="宋体" w:hAnsi="宋体" w:cs="宋体"/>
                <w:snapToGrid w:val="0"/>
                <w:color w:val="auto"/>
                <w:kern w:val="0"/>
                <w:sz w:val="21"/>
                <w:szCs w:val="21"/>
                <w:highlight w:val="none"/>
                <w:lang w:val="en-US" w:eastAsia="zh-CN" w:bidi="ar"/>
              </w:rPr>
              <w:t>，</w:t>
            </w:r>
            <w:r>
              <w:rPr>
                <w:rFonts w:hint="eastAsia" w:ascii="宋体" w:hAnsi="宋体" w:eastAsia="宋体" w:cs="宋体"/>
                <w:snapToGrid w:val="0"/>
                <w:color w:val="auto"/>
                <w:kern w:val="0"/>
                <w:sz w:val="21"/>
                <w:szCs w:val="21"/>
                <w:highlight w:val="none"/>
                <w:lang w:val="en-US" w:eastAsia="zh-CN" w:bidi="ar"/>
              </w:rPr>
              <w:t>平台与第三方教育产品进行互通接入时，协助进行对接工作。</w:t>
            </w:r>
          </w:p>
          <w:p w14:paraId="2564EFEB">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7.对我市用户在平台使用过程中，遇到的使用问题进行解答和提供相应的技术支持。</w:t>
            </w:r>
          </w:p>
          <w:p w14:paraId="76E9D776">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8.对现有功能模块提供后续对接和优化服务。</w:t>
            </w:r>
          </w:p>
          <w:p w14:paraId="7220D4AD">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9.对系统软件各项相关技术问题进行解答，包括但不限于技术咨询、指导和信息提供等。</w:t>
            </w:r>
          </w:p>
          <w:p w14:paraId="2474A2F2">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10.定期清理运维过程中所生成的生产数据库中的临时表，优化数据库，如建立并优化索引、优化存储过程、数据库表拆分等，提高系统运行速度。</w:t>
            </w:r>
          </w:p>
          <w:p w14:paraId="774337A7">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11.应配合做好重点保障时期、省市攻防演练活动、重大网络安全事件处置等工作。</w:t>
            </w:r>
          </w:p>
          <w:p w14:paraId="2C39974C">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12.根据业务需要，通过现场方式对业务人员进行系统运行管理、使用操作等方面的培训。</w:t>
            </w:r>
          </w:p>
        </w:tc>
        <w:tc>
          <w:tcPr>
            <w:tcW w:w="2911" w:type="dxa"/>
            <w:tcBorders>
              <w:top w:val="single" w:color="auto" w:sz="4" w:space="0"/>
              <w:left w:val="single" w:color="auto" w:sz="4" w:space="0"/>
              <w:bottom w:val="single" w:color="auto" w:sz="4" w:space="0"/>
              <w:right w:val="single" w:color="auto" w:sz="4" w:space="0"/>
            </w:tcBorders>
            <w:shd w:val="clear" w:color="auto" w:fill="auto"/>
            <w:vAlign w:val="center"/>
          </w:tcPr>
          <w:p w14:paraId="1B4DE2FD">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1.工作人员需严格填写运维服务工单。</w:t>
            </w:r>
          </w:p>
          <w:p w14:paraId="636C6EDC">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2.应保证指派经验丰富的运维工程师来具体承担运维服务工作，服务人员应保证相对固定，若有变动，须提前三日通知并征得同意。</w:t>
            </w:r>
          </w:p>
          <w:p w14:paraId="072B6A90">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3、其他时间要求</w:t>
            </w:r>
          </w:p>
          <w:p w14:paraId="1F88344E">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服务时间：7×24小时服务；</w:t>
            </w:r>
          </w:p>
          <w:p w14:paraId="5FEB7CCB">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响应时间：15分钟以内；</w:t>
            </w:r>
          </w:p>
          <w:p w14:paraId="2D5E1D34">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到场时间：若远程无法解决，应在4小时内到达现场；</w:t>
            </w:r>
          </w:p>
          <w:p w14:paraId="391B6ADF">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故障恢复时间：简单故障24小时以内，复杂故障48小时以内；</w:t>
            </w:r>
          </w:p>
          <w:p w14:paraId="6BFE9447">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240" w:lineRule="auto"/>
              <w:ind w:left="0" w:right="0"/>
              <w:jc w:val="both"/>
              <w:textAlignment w:val="bottom"/>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系统巡检周期：每月一次。</w:t>
            </w:r>
          </w:p>
        </w:tc>
        <w:tc>
          <w:tcPr>
            <w:tcW w:w="1243" w:type="dxa"/>
            <w:tcBorders>
              <w:top w:val="single" w:color="auto" w:sz="4" w:space="0"/>
              <w:left w:val="single" w:color="auto" w:sz="4" w:space="0"/>
              <w:bottom w:val="single" w:color="auto" w:sz="4" w:space="0"/>
              <w:right w:val="single" w:color="auto" w:sz="4" w:space="0"/>
            </w:tcBorders>
            <w:shd w:val="clear" w:color="auto" w:fill="auto"/>
            <w:vAlign w:val="center"/>
          </w:tcPr>
          <w:p w14:paraId="24B54C7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31" w:rightChars="-15"/>
              <w:jc w:val="left"/>
              <w:textAlignment w:val="bottom"/>
              <w:rPr>
                <w:rFonts w:hint="eastAsia" w:ascii="宋体" w:hAnsi="宋体" w:cs="宋体"/>
                <w:snapToGrid w:val="0"/>
                <w:color w:val="auto"/>
                <w:kern w:val="0"/>
                <w:sz w:val="21"/>
                <w:szCs w:val="21"/>
                <w:highlight w:val="none"/>
                <w:lang w:val="en-US" w:eastAsia="zh-CN" w:bidi="ar"/>
              </w:rPr>
            </w:pPr>
            <w:r>
              <w:rPr>
                <w:rFonts w:hint="eastAsia" w:ascii="宋体" w:hAnsi="宋体" w:cs="宋体"/>
                <w:snapToGrid w:val="0"/>
                <w:color w:val="auto"/>
                <w:kern w:val="0"/>
                <w:sz w:val="21"/>
                <w:szCs w:val="21"/>
                <w:highlight w:val="none"/>
                <w:lang w:val="en-US" w:eastAsia="zh-CN" w:bidi="ar"/>
              </w:rPr>
              <w:t>现有系统开发商为北京中教启星科技股份有限公司</w:t>
            </w:r>
          </w:p>
        </w:tc>
      </w:tr>
    </w:tbl>
    <w:p w14:paraId="79179AC2">
      <w:pPr>
        <w:keepNext w:val="0"/>
        <w:keepLines w:val="0"/>
        <w:pageBreakBefore w:val="0"/>
        <w:widowControl/>
        <w:kinsoku/>
        <w:wordWrap/>
        <w:overflowPunct/>
        <w:topLinePunct w:val="0"/>
        <w:autoSpaceDE/>
        <w:autoSpaceDN/>
        <w:bidi w:val="0"/>
        <w:adjustRightInd/>
        <w:snapToGrid w:val="0"/>
        <w:spacing w:line="300" w:lineRule="auto"/>
        <w:ind w:firstLine="480" w:firstLineChars="200"/>
        <w:textAlignment w:val="baseline"/>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注：</w:t>
      </w:r>
    </w:p>
    <w:p w14:paraId="39A44D59">
      <w:pPr>
        <w:keepNext w:val="0"/>
        <w:keepLines w:val="0"/>
        <w:pageBreakBefore w:val="0"/>
        <w:widowControl/>
        <w:kinsoku/>
        <w:wordWrap/>
        <w:overflowPunct/>
        <w:topLinePunct w:val="0"/>
        <w:autoSpaceDE/>
        <w:autoSpaceDN/>
        <w:bidi w:val="0"/>
        <w:adjustRightInd/>
        <w:snapToGrid w:val="0"/>
        <w:spacing w:line="300" w:lineRule="auto"/>
        <w:ind w:firstLine="480" w:firstLineChars="200"/>
        <w:textAlignment w:val="baseline"/>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1、</w:t>
      </w:r>
      <w:r>
        <w:rPr>
          <w:rFonts w:hint="eastAsia" w:asciiTheme="minorEastAsia" w:hAnsiTheme="minorEastAsia" w:eastAsiaTheme="minorEastAsia" w:cstheme="minorEastAsia"/>
          <w:b w:val="0"/>
          <w:bCs w:val="0"/>
          <w:color w:val="auto"/>
          <w:sz w:val="24"/>
          <w:szCs w:val="24"/>
          <w:highlight w:val="none"/>
          <w:lang w:eastAsia="zh-CN"/>
        </w:rPr>
        <w:t>实际运维工作中需要驻场服务的，驻场服务人员数量及服务时间应满足各使用单位实际工作需</w:t>
      </w:r>
      <w:r>
        <w:rPr>
          <w:rFonts w:hint="eastAsia" w:asciiTheme="minorEastAsia" w:hAnsiTheme="minorEastAsia" w:eastAsiaTheme="minorEastAsia" w:cstheme="minorEastAsia"/>
          <w:b w:val="0"/>
          <w:bCs w:val="0"/>
          <w:color w:val="auto"/>
          <w:sz w:val="24"/>
          <w:szCs w:val="24"/>
          <w:highlight w:val="none"/>
          <w:lang w:val="en-US" w:eastAsia="zh-CN"/>
        </w:rPr>
        <w:t>要</w:t>
      </w:r>
      <w:r>
        <w:rPr>
          <w:rFonts w:hint="eastAsia" w:asciiTheme="minorEastAsia" w:hAnsiTheme="minorEastAsia" w:eastAsiaTheme="minorEastAsia" w:cstheme="minorEastAsia"/>
          <w:b w:val="0"/>
          <w:bCs w:val="0"/>
          <w:color w:val="auto"/>
          <w:sz w:val="24"/>
          <w:szCs w:val="24"/>
          <w:highlight w:val="none"/>
          <w:lang w:eastAsia="zh-CN"/>
        </w:rPr>
        <w:t>，人员办公、食宿等一切费用均由中标人自行承担。</w:t>
      </w:r>
    </w:p>
    <w:p w14:paraId="5C5C75BD">
      <w:pPr>
        <w:keepNext w:val="0"/>
        <w:keepLines w:val="0"/>
        <w:pageBreakBefore w:val="0"/>
        <w:widowControl/>
        <w:kinsoku/>
        <w:wordWrap/>
        <w:overflowPunct/>
        <w:topLinePunct w:val="0"/>
        <w:autoSpaceDE/>
        <w:autoSpaceDN/>
        <w:bidi w:val="0"/>
        <w:adjustRightInd/>
        <w:snapToGrid w:val="0"/>
        <w:spacing w:line="300" w:lineRule="auto"/>
        <w:ind w:firstLine="480" w:firstLineChars="200"/>
        <w:textAlignment w:val="baseline"/>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2、中标人应对各使用单位不同层次的应用人员进行操作培训服务，按需开展集中培训与现场实操指导，编制系统操作指引文档，做好人员轮岗后的补充培训工作，指导使用单位人员掌握基础操作与简易故障排查方法。</w:t>
      </w:r>
    </w:p>
    <w:p w14:paraId="2306C8BA">
      <w:pPr>
        <w:keepNext w:val="0"/>
        <w:keepLines w:val="0"/>
        <w:pageBreakBefore w:val="0"/>
        <w:widowControl/>
        <w:kinsoku/>
        <w:wordWrap/>
        <w:overflowPunct/>
        <w:topLinePunct w:val="0"/>
        <w:autoSpaceDE/>
        <w:autoSpaceDN/>
        <w:bidi w:val="0"/>
        <w:adjustRightInd/>
        <w:snapToGrid w:val="0"/>
        <w:spacing w:line="300" w:lineRule="auto"/>
        <w:ind w:firstLine="480" w:firstLineChars="200"/>
        <w:textAlignment w:val="baseline"/>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3、中标人应按照本次运维服务内容及标准每月开展巡检，按月汇总形成工作报告，交由使用单位签字确认归档，保障项目正常运行。</w:t>
      </w:r>
    </w:p>
    <w:p w14:paraId="59D2F182">
      <w:pPr>
        <w:keepNext w:val="0"/>
        <w:keepLines w:val="0"/>
        <w:pageBreakBefore w:val="0"/>
        <w:widowControl/>
        <w:kinsoku/>
        <w:wordWrap/>
        <w:overflowPunct/>
        <w:topLinePunct w:val="0"/>
        <w:autoSpaceDE/>
        <w:autoSpaceDN/>
        <w:bidi w:val="0"/>
        <w:adjustRightInd/>
        <w:snapToGrid w:val="0"/>
        <w:spacing w:line="300" w:lineRule="auto"/>
        <w:ind w:firstLine="480" w:firstLineChars="200"/>
        <w:textAlignment w:val="baseline"/>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4、中标人根据工作需要，做好现有软件版本更新，负责以上系统与我市数据中台对接工作。</w:t>
      </w:r>
    </w:p>
    <w:p w14:paraId="0C01EE99">
      <w:pPr>
        <w:keepNext w:val="0"/>
        <w:keepLines w:val="0"/>
        <w:pageBreakBefore w:val="0"/>
        <w:widowControl/>
        <w:kinsoku/>
        <w:wordWrap/>
        <w:overflowPunct/>
        <w:topLinePunct w:val="0"/>
        <w:autoSpaceDE/>
        <w:autoSpaceDN/>
        <w:bidi w:val="0"/>
        <w:adjustRightInd/>
        <w:snapToGrid w:val="0"/>
        <w:spacing w:line="300" w:lineRule="auto"/>
        <w:ind w:firstLine="480" w:firstLineChars="200"/>
        <w:textAlignment w:val="baseline"/>
        <w:rPr>
          <w:rFonts w:hint="default"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5、中标人应完整覆盖全年各类重要时期安全重保工作，具体要求参照《河南省行政审批和政务信息管理局关于印发&lt;重要时期网络安全保障工作指南&gt;的通知》执行。</w:t>
      </w:r>
    </w:p>
    <w:p w14:paraId="7944AA5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firstLine="480" w:firstLineChars="200"/>
        <w:textAlignment w:val="baseline"/>
        <w:rPr>
          <w:rFonts w:hint="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6、投标人应在投标文件中提供6个运维项目的运维方案。</w:t>
      </w:r>
    </w:p>
    <w:p w14:paraId="012BD694">
      <w:pPr>
        <w:spacing w:line="560" w:lineRule="exact"/>
        <w:ind w:firstLine="482" w:firstLineChars="200"/>
        <w:rPr>
          <w:rFonts w:hint="eastAsia" w:ascii="黑体" w:hAnsi="黑体" w:eastAsia="黑体"/>
          <w:b/>
          <w:color w:val="auto"/>
          <w:sz w:val="24"/>
          <w:szCs w:val="24"/>
          <w:highlight w:val="none"/>
          <w:lang w:eastAsia="zh-CN"/>
        </w:rPr>
      </w:pPr>
      <w:r>
        <w:rPr>
          <w:rFonts w:hint="eastAsia" w:ascii="黑体" w:hAnsi="黑体" w:eastAsia="黑体"/>
          <w:b/>
          <w:color w:val="auto"/>
          <w:sz w:val="24"/>
          <w:szCs w:val="24"/>
          <w:highlight w:val="none"/>
        </w:rPr>
        <w:t>四、服务</w:t>
      </w:r>
      <w:r>
        <w:rPr>
          <w:rFonts w:hint="eastAsia" w:ascii="黑体" w:hAnsi="黑体" w:eastAsia="黑体"/>
          <w:b/>
          <w:color w:val="auto"/>
          <w:sz w:val="24"/>
          <w:szCs w:val="24"/>
          <w:highlight w:val="none"/>
          <w:lang w:eastAsia="zh-CN"/>
        </w:rPr>
        <w:t>期</w:t>
      </w:r>
    </w:p>
    <w:p w14:paraId="76C2ACE7">
      <w:pPr>
        <w:widowControl w:val="0"/>
        <w:adjustRightInd w:val="0"/>
        <w:snapToGrid w:val="0"/>
        <w:spacing w:before="156" w:beforeLines="50" w:line="300" w:lineRule="auto"/>
        <w:ind w:left="22" w:firstLine="555"/>
        <w:jc w:val="left"/>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合同签订</w:t>
      </w:r>
      <w:r>
        <w:rPr>
          <w:rFonts w:hint="eastAsia" w:asciiTheme="minorEastAsia" w:hAnsiTheme="minorEastAsia" w:eastAsiaTheme="minorEastAsia" w:cstheme="minorEastAsia"/>
          <w:b w:val="0"/>
          <w:bCs w:val="0"/>
          <w:color w:val="auto"/>
          <w:sz w:val="24"/>
          <w:szCs w:val="24"/>
          <w:highlight w:val="none"/>
          <w:lang w:val="en-US" w:eastAsia="zh-CN"/>
        </w:rPr>
        <w:t>之日起1年，如遇信</w:t>
      </w:r>
      <w:r>
        <w:rPr>
          <w:rFonts w:hint="eastAsia" w:ascii="Times New Roman" w:hAnsi="Times New Roman" w:eastAsia="宋体" w:cs="Times New Roman"/>
          <w:color w:val="auto"/>
          <w:sz w:val="24"/>
          <w:szCs w:val="24"/>
          <w:highlight w:val="none"/>
          <w:lang w:val="en-US" w:eastAsia="zh-CN"/>
        </w:rPr>
        <w:t>息化改革等不可抗力因素造成实际服务时间减少时，将据实结算。</w:t>
      </w:r>
    </w:p>
    <w:p w14:paraId="0723067A">
      <w:pPr>
        <w:numPr>
          <w:ilvl w:val="0"/>
          <w:numId w:val="0"/>
        </w:numPr>
        <w:spacing w:line="560" w:lineRule="exact"/>
        <w:ind w:left="0" w:leftChars="0" w:firstLine="482" w:firstLineChars="200"/>
        <w:rPr>
          <w:rFonts w:hint="eastAsia" w:ascii="黑体" w:hAnsi="黑体" w:eastAsia="黑体"/>
          <w:b/>
          <w:color w:val="auto"/>
          <w:sz w:val="24"/>
          <w:szCs w:val="24"/>
          <w:highlight w:val="none"/>
          <w:lang w:eastAsia="zh-CN"/>
        </w:rPr>
      </w:pPr>
      <w:r>
        <w:rPr>
          <w:rFonts w:hint="eastAsia" w:ascii="黑体" w:hAnsi="黑体" w:eastAsia="黑体" w:cs="Times New Roman"/>
          <w:b/>
          <w:color w:val="auto"/>
          <w:sz w:val="24"/>
          <w:szCs w:val="24"/>
          <w:highlight w:val="none"/>
          <w:u w:color="000000"/>
          <w:lang w:val="en-US" w:eastAsia="zh-CN" w:bidi="ar-SA"/>
        </w:rPr>
        <w:t>五、</w:t>
      </w:r>
      <w:r>
        <w:rPr>
          <w:rFonts w:hint="eastAsia" w:ascii="黑体" w:hAnsi="黑体" w:eastAsia="黑体"/>
          <w:b/>
          <w:color w:val="auto"/>
          <w:sz w:val="24"/>
          <w:szCs w:val="24"/>
          <w:highlight w:val="none"/>
          <w:lang w:eastAsia="zh-CN"/>
        </w:rPr>
        <w:t>运维考评</w:t>
      </w:r>
    </w:p>
    <w:p w14:paraId="3AC3C2A3">
      <w:pPr>
        <w:widowControl w:val="0"/>
        <w:adjustRightInd w:val="0"/>
        <w:snapToGrid w:val="0"/>
        <w:spacing w:before="156" w:beforeLines="50" w:line="300" w:lineRule="auto"/>
        <w:ind w:left="22" w:firstLine="555"/>
        <w:jc w:val="left"/>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为确保运维服务质量，项目实施过程中，将根据相关考核规定，从工单考评、制度考评、方案考评、服务质量考评、事故认定、应急事故响应考评、应急演练等方面对中标人运维服务进行考评，并依据考评结果支付合同款项。</w:t>
      </w:r>
    </w:p>
    <w:p w14:paraId="40F0CC4A">
      <w:pPr>
        <w:widowControl w:val="0"/>
        <w:adjustRightInd w:val="0"/>
        <w:snapToGrid w:val="0"/>
        <w:spacing w:before="156" w:beforeLines="50" w:line="300" w:lineRule="auto"/>
        <w:ind w:left="22" w:firstLine="555"/>
        <w:jc w:val="left"/>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考评实施百分扣分制，根据相关考核规定进行考评打分，按如下标准执行：</w:t>
      </w:r>
    </w:p>
    <w:p w14:paraId="1D5E059F">
      <w:pPr>
        <w:widowControl w:val="0"/>
        <w:adjustRightInd w:val="0"/>
        <w:snapToGrid w:val="0"/>
        <w:spacing w:before="156" w:beforeLines="50" w:line="300" w:lineRule="auto"/>
        <w:ind w:left="22" w:firstLine="555"/>
        <w:jc w:val="left"/>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考评得分90分以上（含90分），则100%支付当期合同款项；</w:t>
      </w:r>
    </w:p>
    <w:p w14:paraId="3F5440A4">
      <w:pPr>
        <w:widowControl w:val="0"/>
        <w:adjustRightInd w:val="0"/>
        <w:snapToGrid w:val="0"/>
        <w:spacing w:before="156" w:beforeLines="50" w:line="300" w:lineRule="auto"/>
        <w:ind w:left="22" w:firstLine="555"/>
        <w:jc w:val="left"/>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考评得分在60至90分（含60分），则每扣1分，扣减总合同价款的2‰；</w:t>
      </w:r>
    </w:p>
    <w:p w14:paraId="698E7B07">
      <w:pPr>
        <w:widowControl w:val="0"/>
        <w:adjustRightInd w:val="0"/>
        <w:snapToGrid w:val="0"/>
        <w:spacing w:before="156" w:beforeLines="50" w:line="300" w:lineRule="auto"/>
        <w:ind w:left="22" w:firstLine="555"/>
        <w:jc w:val="left"/>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考评得分在60分以下，则视为中标人不具备运维服务能力，视同中标人单方违约，采购人有权终止合同，违约责任及一切损失由中标人自行承担。</w:t>
      </w:r>
    </w:p>
    <w:p w14:paraId="7C7CD5CF">
      <w:pPr>
        <w:spacing w:line="560" w:lineRule="exact"/>
        <w:ind w:firstLine="482" w:firstLineChars="200"/>
        <w:rPr>
          <w:rFonts w:ascii="黑体" w:hAnsi="黑体" w:eastAsia="黑体"/>
          <w:b/>
          <w:color w:val="auto"/>
          <w:sz w:val="24"/>
          <w:szCs w:val="24"/>
          <w:highlight w:val="none"/>
        </w:rPr>
      </w:pPr>
      <w:r>
        <w:rPr>
          <w:rFonts w:hint="eastAsia" w:ascii="黑体" w:hAnsi="黑体" w:eastAsia="黑体"/>
          <w:b/>
          <w:color w:val="auto"/>
          <w:sz w:val="24"/>
          <w:szCs w:val="24"/>
          <w:highlight w:val="none"/>
        </w:rPr>
        <w:t>六、其他</w:t>
      </w:r>
    </w:p>
    <w:p w14:paraId="4C31C32A">
      <w:pPr>
        <w:widowControl w:val="0"/>
        <w:adjustRightInd w:val="0"/>
        <w:snapToGrid w:val="0"/>
        <w:spacing w:before="156" w:beforeLines="50" w:line="300" w:lineRule="auto"/>
        <w:ind w:left="22" w:firstLine="555"/>
        <w:jc w:val="left"/>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1、为保证运维服务工作正常开展，承诺具备运维服务能力，并在中标一周内按运维服务要求及投标承诺组建运维服务团队，否则，采购人有权视其提供虚假承诺谋取中标，上报财政监督管理部门予以处理。</w:t>
      </w:r>
      <w:r>
        <w:rPr>
          <w:rFonts w:hint="eastAsia" w:asciiTheme="minorEastAsia" w:hAnsiTheme="minorEastAsia" w:eastAsiaTheme="minorEastAsia" w:cstheme="minorEastAsia"/>
          <w:b w:val="0"/>
          <w:bCs w:val="0"/>
          <w:color w:val="auto"/>
          <w:sz w:val="24"/>
          <w:szCs w:val="24"/>
          <w:highlight w:val="none"/>
          <w:lang w:val="en-US" w:eastAsia="zh-CN"/>
        </w:rPr>
        <w:t>采购人有权要求中标人更换运维人员，中标人如需更换运维服务团队人员应经采购人同意，且更换人员资历不能低于原服务人员。</w:t>
      </w:r>
      <w:r>
        <w:rPr>
          <w:rFonts w:hint="eastAsia" w:asciiTheme="minorEastAsia" w:hAnsiTheme="minorEastAsia" w:eastAsiaTheme="minorEastAsia" w:cstheme="minorEastAsia"/>
          <w:b/>
          <w:bCs/>
          <w:color w:val="auto"/>
          <w:sz w:val="24"/>
          <w:szCs w:val="24"/>
          <w:highlight w:val="none"/>
          <w:lang w:val="en-US" w:eastAsia="zh-CN"/>
        </w:rPr>
        <w:t>提供承诺函。</w:t>
      </w:r>
    </w:p>
    <w:p w14:paraId="7E33FCCB">
      <w:pPr>
        <w:widowControl w:val="0"/>
        <w:adjustRightInd w:val="0"/>
        <w:snapToGrid w:val="0"/>
        <w:spacing w:before="156" w:beforeLines="50" w:line="300" w:lineRule="auto"/>
        <w:ind w:left="22" w:firstLine="555"/>
        <w:jc w:val="left"/>
        <w:rPr>
          <w:rFonts w:hint="eastAsia" w:ascii="Times New Roman" w:hAnsi="Times New Roman" w:eastAsia="宋体" w:cs="Times New Roman"/>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本次招标涵盖4家单位6个运维项目，投标人应充分了解运维项目的工作需求，达到使用部门工作目标。对于虚假应标、中标后无正当理由放弃中标、拖延签约和恶意低价中标不履行合同的，采购人、采购代理机构将上报财政监督管理部门予以处理，违约、违规行为将</w:t>
      </w:r>
      <w:r>
        <w:rPr>
          <w:rFonts w:hint="eastAsia" w:ascii="Times New Roman" w:hAnsi="Times New Roman" w:eastAsia="宋体" w:cs="Times New Roman"/>
          <w:color w:val="auto"/>
          <w:sz w:val="24"/>
          <w:szCs w:val="24"/>
          <w:highlight w:val="none"/>
          <w:lang w:val="en-US" w:eastAsia="zh-CN"/>
        </w:rPr>
        <w:t>承担：罚金、列入政府采购不良行为记录名单1-3年市场禁入。</w:t>
      </w:r>
    </w:p>
    <w:p w14:paraId="0244D49C">
      <w:pPr>
        <w:pStyle w:val="4"/>
        <w:ind w:firstLine="480"/>
        <w:rPr>
          <w:rFonts w:hint="eastAsia" w:ascii="宋体" w:hAnsi="宋体" w:cs="Arial"/>
          <w:color w:val="auto"/>
          <w:szCs w:val="24"/>
          <w:highlight w:val="none"/>
          <w:shd w:val="clear" w:color="auto" w:fill="FFFFFF"/>
        </w:rPr>
      </w:pPr>
      <w:r>
        <w:rPr>
          <w:rFonts w:hint="eastAsia" w:ascii="黑体" w:hAnsi="黑体" w:eastAsia="黑体"/>
          <w:b/>
          <w:color w:val="auto"/>
          <w:sz w:val="24"/>
          <w:szCs w:val="24"/>
          <w:highlight w:val="none"/>
        </w:rPr>
        <w:t>七、保密要求</w:t>
      </w:r>
    </w:p>
    <w:p w14:paraId="71035723">
      <w:pPr>
        <w:pStyle w:val="4"/>
        <w:ind w:firstLine="480"/>
        <w:rPr>
          <w:rFonts w:ascii="宋体" w:hAnsi="宋体" w:cs="Arial"/>
          <w:color w:val="auto"/>
          <w:szCs w:val="24"/>
          <w:highlight w:val="none"/>
          <w:shd w:val="clear" w:color="auto" w:fill="FFFFFF"/>
        </w:rPr>
      </w:pPr>
      <w:r>
        <w:rPr>
          <w:rFonts w:hint="eastAsia" w:ascii="宋体" w:hAnsi="宋体" w:cs="Arial"/>
          <w:color w:val="auto"/>
          <w:szCs w:val="24"/>
          <w:highlight w:val="none"/>
          <w:shd w:val="clear" w:color="auto" w:fill="FFFFFF"/>
        </w:rPr>
        <w:t>投标人应做到下列保密义务：</w:t>
      </w:r>
    </w:p>
    <w:p w14:paraId="1C57217B">
      <w:pPr>
        <w:pStyle w:val="4"/>
        <w:ind w:firstLine="480"/>
        <w:rPr>
          <w:rFonts w:ascii="宋体" w:hAnsi="宋体" w:cs="Arial"/>
          <w:color w:val="auto"/>
          <w:szCs w:val="24"/>
          <w:highlight w:val="none"/>
          <w:shd w:val="clear" w:color="auto" w:fill="FFFFFF"/>
        </w:rPr>
      </w:pPr>
      <w:r>
        <w:rPr>
          <w:rFonts w:hint="eastAsia" w:ascii="宋体" w:hAnsi="宋体" w:cs="Arial"/>
          <w:color w:val="auto"/>
          <w:szCs w:val="24"/>
          <w:highlight w:val="none"/>
          <w:shd w:val="clear" w:color="auto" w:fill="FFFFFF"/>
        </w:rPr>
        <w:t>1、保密内容（包括技术信息）：所有项目相关的技术资料及商务文件。</w:t>
      </w:r>
    </w:p>
    <w:p w14:paraId="1FC08E1B">
      <w:pPr>
        <w:pStyle w:val="4"/>
        <w:ind w:firstLine="480"/>
        <w:rPr>
          <w:rFonts w:ascii="宋体" w:hAnsi="宋体" w:cs="Arial"/>
          <w:color w:val="auto"/>
          <w:szCs w:val="24"/>
          <w:highlight w:val="none"/>
          <w:shd w:val="clear" w:color="auto" w:fill="FFFFFF"/>
        </w:rPr>
      </w:pPr>
      <w:r>
        <w:rPr>
          <w:rFonts w:hint="eastAsia" w:ascii="宋体" w:hAnsi="宋体" w:cs="Arial"/>
          <w:color w:val="auto"/>
          <w:szCs w:val="24"/>
          <w:highlight w:val="none"/>
          <w:shd w:val="clear" w:color="auto" w:fill="FFFFFF"/>
        </w:rPr>
        <w:t>2、涉密人员范围：投标人所有项目参与成员。</w:t>
      </w:r>
    </w:p>
    <w:p w14:paraId="79F8B00D">
      <w:pPr>
        <w:pStyle w:val="4"/>
        <w:ind w:firstLine="480"/>
        <w:rPr>
          <w:rFonts w:ascii="宋体" w:hAnsi="宋体" w:cs="Arial"/>
          <w:color w:val="auto"/>
          <w:szCs w:val="24"/>
          <w:highlight w:val="none"/>
          <w:shd w:val="clear" w:color="auto" w:fill="FFFFFF"/>
        </w:rPr>
      </w:pPr>
      <w:r>
        <w:rPr>
          <w:rFonts w:hint="eastAsia" w:ascii="宋体" w:hAnsi="宋体" w:cs="Arial"/>
          <w:color w:val="auto"/>
          <w:szCs w:val="24"/>
          <w:highlight w:val="none"/>
          <w:shd w:val="clear" w:color="auto" w:fill="FFFFFF"/>
        </w:rPr>
        <w:t>3、泄密责任：按照国家法律规定执行。</w:t>
      </w:r>
    </w:p>
    <w:p w14:paraId="3B23AA23">
      <w:pPr>
        <w:widowControl w:val="0"/>
        <w:adjustRightInd w:val="0"/>
        <w:snapToGrid w:val="0"/>
        <w:spacing w:before="156" w:beforeLines="50" w:line="300" w:lineRule="auto"/>
        <w:ind w:left="22" w:firstLine="555"/>
        <w:jc w:val="left"/>
        <w:rPr>
          <w:rFonts w:hint="eastAsia" w:ascii="Times New Roman" w:hAnsi="Times New Roman" w:eastAsia="宋体" w:cs="Times New Roman"/>
          <w:b/>
          <w:bCs/>
          <w:color w:val="auto"/>
          <w:sz w:val="24"/>
          <w:szCs w:val="24"/>
          <w:highlight w:val="none"/>
        </w:rPr>
      </w:pPr>
      <w:r>
        <w:rPr>
          <w:rFonts w:hint="eastAsia" w:ascii="Times New Roman" w:hAnsi="Times New Roman" w:eastAsia="宋体" w:cs="Times New Roman"/>
          <w:b/>
          <w:bCs/>
          <w:color w:val="auto"/>
          <w:sz w:val="24"/>
          <w:szCs w:val="24"/>
          <w:highlight w:val="none"/>
          <w:lang w:val="en-US" w:eastAsia="zh-CN"/>
        </w:rPr>
        <w:t>八、本项目</w:t>
      </w:r>
      <w:r>
        <w:rPr>
          <w:rFonts w:hint="eastAsia" w:ascii="Times New Roman" w:hAnsi="Times New Roman" w:eastAsia="宋体" w:cs="Times New Roman"/>
          <w:b/>
          <w:bCs/>
          <w:color w:val="auto"/>
          <w:sz w:val="24"/>
          <w:szCs w:val="24"/>
          <w:highlight w:val="none"/>
        </w:rPr>
        <w:t>的中小企业划分标准所属行业为：软件和信息服务业。</w:t>
      </w:r>
    </w:p>
    <w:p w14:paraId="3859D82F">
      <w:pPr>
        <w:widowControl w:val="0"/>
        <w:adjustRightInd w:val="0"/>
        <w:snapToGrid w:val="0"/>
        <w:spacing w:before="156" w:beforeLines="50" w:line="300" w:lineRule="auto"/>
        <w:ind w:left="22" w:firstLine="555"/>
        <w:jc w:val="left"/>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提醒：投标人按照采购文件中标明的服务项目的所属行业、按该行业所对应的中小企业划分标准，作为服务的承接商（供应商）是否属于小微企业的判断标准。</w:t>
      </w:r>
    </w:p>
    <w:p w14:paraId="12E080D5">
      <w:pPr>
        <w:widowControl w:val="0"/>
        <w:adjustRightInd w:val="0"/>
        <w:snapToGrid w:val="0"/>
        <w:spacing w:before="156" w:beforeLines="50" w:line="300" w:lineRule="auto"/>
        <w:ind w:left="22" w:firstLine="555"/>
        <w:jc w:val="left"/>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投标人不应按照自身的行业属性作为小微企业的判断标准（应按采购文件标明的所属行业进行判断）。</w:t>
      </w:r>
    </w:p>
    <w:p w14:paraId="5CF7DA48">
      <w:pPr>
        <w:spacing w:line="360" w:lineRule="auto"/>
        <w:jc w:val="left"/>
        <w:rPr>
          <w:rFonts w:hint="eastAsia" w:ascii="宋体" w:hAnsi="宋体"/>
          <w:color w:val="auto"/>
          <w:sz w:val="24"/>
          <w:szCs w:val="24"/>
          <w:highlight w:val="none"/>
        </w:rPr>
      </w:pPr>
    </w:p>
    <w:p w14:paraId="504A6FA9">
      <w:pPr>
        <w:adjustRightInd w:val="0"/>
        <w:snapToGrid w:val="0"/>
        <w:spacing w:before="156" w:beforeLines="50" w:line="300" w:lineRule="auto"/>
        <w:ind w:firstLine="482" w:firstLineChars="200"/>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5</w:t>
      </w:r>
      <w:r>
        <w:rPr>
          <w:rFonts w:ascii="黑体" w:hAnsi="黑体" w:eastAsia="黑体"/>
          <w:b/>
          <w:color w:val="auto"/>
          <w:sz w:val="24"/>
          <w:szCs w:val="24"/>
          <w:highlight w:val="none"/>
        </w:rPr>
        <w:t xml:space="preserve"> </w:t>
      </w:r>
      <w:r>
        <w:rPr>
          <w:rFonts w:hint="eastAsia" w:ascii="黑体" w:hAnsi="黑体" w:eastAsia="黑体"/>
          <w:b/>
          <w:color w:val="auto"/>
          <w:sz w:val="24"/>
          <w:szCs w:val="24"/>
          <w:highlight w:val="none"/>
        </w:rPr>
        <w:t>安</w:t>
      </w:r>
      <w:r>
        <w:rPr>
          <w:rFonts w:ascii="黑体" w:hAnsi="黑体" w:eastAsia="黑体"/>
          <w:b/>
          <w:color w:val="auto"/>
          <w:sz w:val="24"/>
          <w:szCs w:val="24"/>
          <w:highlight w:val="none"/>
        </w:rPr>
        <w:t>全</w:t>
      </w:r>
    </w:p>
    <w:p w14:paraId="7775A47A">
      <w:pPr>
        <w:widowControl w:val="0"/>
        <w:adjustRightInd w:val="0"/>
        <w:snapToGrid w:val="0"/>
        <w:spacing w:before="156" w:beforeLines="50" w:line="300" w:lineRule="auto"/>
        <w:ind w:left="22" w:firstLine="555"/>
        <w:jc w:val="left"/>
        <w:rPr>
          <w:color w:val="auto"/>
          <w:sz w:val="24"/>
          <w:szCs w:val="24"/>
          <w:highlight w:val="none"/>
        </w:rPr>
      </w:pPr>
      <w:r>
        <w:rPr>
          <w:rFonts w:hint="eastAsia"/>
          <w:color w:val="auto"/>
          <w:sz w:val="24"/>
          <w:szCs w:val="24"/>
          <w:highlight w:val="none"/>
        </w:rPr>
        <w:t>投标服务（及所涉货物材料设施）应符合国家、行业的各</w:t>
      </w:r>
      <w:r>
        <w:rPr>
          <w:color w:val="auto"/>
          <w:sz w:val="24"/>
          <w:szCs w:val="24"/>
          <w:highlight w:val="none"/>
        </w:rPr>
        <w:t>项</w:t>
      </w:r>
      <w:r>
        <w:rPr>
          <w:rFonts w:hint="eastAsia"/>
          <w:color w:val="auto"/>
          <w:sz w:val="24"/>
          <w:szCs w:val="24"/>
          <w:highlight w:val="none"/>
        </w:rPr>
        <w:t>安全标准，投</w:t>
      </w:r>
      <w:r>
        <w:rPr>
          <w:color w:val="auto"/>
          <w:sz w:val="24"/>
          <w:szCs w:val="24"/>
          <w:highlight w:val="none"/>
        </w:rPr>
        <w:t>标</w:t>
      </w:r>
      <w:r>
        <w:rPr>
          <w:rFonts w:hint="eastAsia"/>
          <w:color w:val="auto"/>
          <w:sz w:val="24"/>
          <w:szCs w:val="24"/>
          <w:highlight w:val="none"/>
        </w:rPr>
        <w:t>人</w:t>
      </w:r>
      <w:r>
        <w:rPr>
          <w:color w:val="auto"/>
          <w:sz w:val="24"/>
          <w:szCs w:val="24"/>
          <w:highlight w:val="none"/>
        </w:rPr>
        <w:t>对</w:t>
      </w:r>
      <w:r>
        <w:rPr>
          <w:rFonts w:hint="eastAsia"/>
          <w:color w:val="auto"/>
          <w:sz w:val="24"/>
          <w:szCs w:val="24"/>
          <w:highlight w:val="none"/>
        </w:rPr>
        <w:t>投标服务（及所涉货物材料设施）的</w:t>
      </w:r>
      <w:r>
        <w:rPr>
          <w:color w:val="auto"/>
          <w:sz w:val="24"/>
          <w:szCs w:val="24"/>
          <w:highlight w:val="none"/>
        </w:rPr>
        <w:t>安全性承担全部责任。</w:t>
      </w:r>
      <w:r>
        <w:rPr>
          <w:rFonts w:hint="eastAsia"/>
          <w:color w:val="auto"/>
          <w:sz w:val="24"/>
          <w:szCs w:val="24"/>
          <w:highlight w:val="none"/>
        </w:rPr>
        <w:t>服务期内不符合保障人身、财产安全的国家标准、行业标准的服务（及所涉货物材料设施），将</w:t>
      </w:r>
      <w:r>
        <w:rPr>
          <w:color w:val="auto"/>
          <w:sz w:val="24"/>
          <w:szCs w:val="24"/>
          <w:highlight w:val="none"/>
        </w:rPr>
        <w:t>依法承担民事及相应刑事责任</w:t>
      </w:r>
      <w:r>
        <w:rPr>
          <w:rFonts w:hint="eastAsia"/>
          <w:color w:val="auto"/>
          <w:sz w:val="24"/>
          <w:szCs w:val="24"/>
          <w:highlight w:val="none"/>
        </w:rPr>
        <w:t>。合</w:t>
      </w:r>
      <w:r>
        <w:rPr>
          <w:color w:val="auto"/>
          <w:sz w:val="24"/>
          <w:szCs w:val="24"/>
          <w:highlight w:val="none"/>
        </w:rPr>
        <w:t>同履行中的安全责任由中标人承担全部责任。</w:t>
      </w:r>
    </w:p>
    <w:p w14:paraId="2A947D06">
      <w:pPr>
        <w:widowControl w:val="0"/>
        <w:adjustRightInd w:val="0"/>
        <w:snapToGrid w:val="0"/>
        <w:spacing w:before="156" w:beforeLines="50" w:line="300" w:lineRule="auto"/>
        <w:ind w:left="22" w:firstLine="555"/>
        <w:jc w:val="left"/>
        <w:rPr>
          <w:color w:val="auto"/>
          <w:sz w:val="24"/>
          <w:szCs w:val="24"/>
          <w:highlight w:val="none"/>
        </w:rPr>
      </w:pPr>
    </w:p>
    <w:p w14:paraId="726D9373">
      <w:pPr>
        <w:adjustRightInd w:val="0"/>
        <w:snapToGrid w:val="0"/>
        <w:spacing w:before="156" w:beforeLines="50" w:line="300" w:lineRule="auto"/>
        <w:ind w:firstLine="482" w:firstLineChars="200"/>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6</w:t>
      </w:r>
      <w:r>
        <w:rPr>
          <w:rFonts w:ascii="黑体" w:hAnsi="黑体" w:eastAsia="黑体"/>
          <w:b/>
          <w:color w:val="auto"/>
          <w:sz w:val="24"/>
          <w:szCs w:val="24"/>
          <w:highlight w:val="none"/>
        </w:rPr>
        <w:t xml:space="preserve"> </w:t>
      </w:r>
      <w:r>
        <w:rPr>
          <w:rFonts w:hint="eastAsia" w:ascii="黑体" w:hAnsi="黑体" w:eastAsia="黑体"/>
          <w:b/>
          <w:color w:val="auto"/>
          <w:sz w:val="24"/>
          <w:szCs w:val="24"/>
          <w:highlight w:val="none"/>
        </w:rPr>
        <w:t>投</w:t>
      </w:r>
      <w:r>
        <w:rPr>
          <w:rFonts w:ascii="黑体" w:hAnsi="黑体" w:eastAsia="黑体"/>
          <w:b/>
          <w:color w:val="auto"/>
          <w:sz w:val="24"/>
          <w:szCs w:val="24"/>
          <w:highlight w:val="none"/>
        </w:rPr>
        <w:t>标文件</w:t>
      </w:r>
      <w:r>
        <w:rPr>
          <w:rFonts w:hint="eastAsia" w:ascii="黑体" w:hAnsi="黑体" w:eastAsia="黑体"/>
          <w:b/>
          <w:color w:val="auto"/>
          <w:sz w:val="24"/>
          <w:szCs w:val="24"/>
          <w:highlight w:val="none"/>
        </w:rPr>
        <w:t>对“具体服务（技术）要求”的</w:t>
      </w:r>
      <w:r>
        <w:rPr>
          <w:rFonts w:ascii="黑体" w:hAnsi="黑体" w:eastAsia="黑体"/>
          <w:b/>
          <w:color w:val="auto"/>
          <w:sz w:val="24"/>
          <w:szCs w:val="24"/>
          <w:highlight w:val="none"/>
        </w:rPr>
        <w:t>响应</w:t>
      </w:r>
    </w:p>
    <w:p w14:paraId="69CEE780">
      <w:pPr>
        <w:widowControl w:val="0"/>
        <w:adjustRightInd w:val="0"/>
        <w:snapToGrid w:val="0"/>
        <w:spacing w:before="156" w:beforeLines="50" w:line="300" w:lineRule="auto"/>
        <w:ind w:left="22" w:firstLine="555"/>
        <w:jc w:val="left"/>
        <w:rPr>
          <w:rFonts w:hint="eastAsia"/>
          <w:color w:val="auto"/>
          <w:sz w:val="24"/>
          <w:szCs w:val="24"/>
          <w:highlight w:val="none"/>
        </w:rPr>
      </w:pPr>
      <w:r>
        <w:rPr>
          <w:rFonts w:hint="eastAsia"/>
          <w:color w:val="auto"/>
          <w:sz w:val="24"/>
          <w:szCs w:val="24"/>
          <w:highlight w:val="none"/>
        </w:rPr>
        <w:t>“</w:t>
      </w:r>
      <w:r>
        <w:rPr>
          <w:rFonts w:ascii="宋体" w:hAnsi="宋体"/>
          <w:color w:val="auto"/>
          <w:sz w:val="24"/>
          <w:szCs w:val="24"/>
          <w:highlight w:val="none"/>
        </w:rPr>
        <w:t>2.4</w:t>
      </w:r>
      <w:r>
        <w:rPr>
          <w:rFonts w:hint="eastAsia" w:ascii="宋体" w:hAnsi="宋体"/>
          <w:color w:val="auto"/>
          <w:sz w:val="24"/>
          <w:szCs w:val="24"/>
          <w:highlight w:val="none"/>
        </w:rPr>
        <w:t>标段（包）内容（具体范围、数量），具体服务（技术）要求</w:t>
      </w:r>
      <w:r>
        <w:rPr>
          <w:rFonts w:hint="eastAsia"/>
          <w:color w:val="auto"/>
          <w:sz w:val="24"/>
          <w:szCs w:val="24"/>
          <w:highlight w:val="none"/>
        </w:rPr>
        <w:t>”为采购</w:t>
      </w:r>
      <w:r>
        <w:rPr>
          <w:color w:val="auto"/>
          <w:sz w:val="24"/>
          <w:szCs w:val="24"/>
          <w:highlight w:val="none"/>
        </w:rPr>
        <w:t>需求的</w:t>
      </w:r>
      <w:r>
        <w:rPr>
          <w:rFonts w:hint="eastAsia"/>
          <w:color w:val="auto"/>
          <w:sz w:val="24"/>
          <w:szCs w:val="24"/>
          <w:highlight w:val="none"/>
        </w:rPr>
        <w:t>基础</w:t>
      </w:r>
      <w:r>
        <w:rPr>
          <w:color w:val="auto"/>
          <w:sz w:val="24"/>
          <w:szCs w:val="24"/>
          <w:highlight w:val="none"/>
        </w:rPr>
        <w:t>性</w:t>
      </w:r>
      <w:r>
        <w:rPr>
          <w:rFonts w:hint="eastAsia"/>
          <w:color w:val="auto"/>
          <w:sz w:val="24"/>
          <w:szCs w:val="24"/>
          <w:highlight w:val="none"/>
        </w:rPr>
        <w:t>要求，服务内容</w:t>
      </w:r>
      <w:r>
        <w:rPr>
          <w:color w:val="auto"/>
          <w:sz w:val="24"/>
          <w:szCs w:val="24"/>
          <w:highlight w:val="none"/>
        </w:rPr>
        <w:t>应当明确</w:t>
      </w:r>
      <w:r>
        <w:rPr>
          <w:rFonts w:hint="eastAsia"/>
          <w:color w:val="auto"/>
          <w:sz w:val="24"/>
          <w:szCs w:val="24"/>
          <w:highlight w:val="none"/>
        </w:rPr>
        <w:t>，服务所涉产品及技术参数应当明确并最</w:t>
      </w:r>
      <w:r>
        <w:rPr>
          <w:color w:val="auto"/>
          <w:sz w:val="24"/>
          <w:szCs w:val="24"/>
          <w:highlight w:val="none"/>
        </w:rPr>
        <w:t>终指向具体明确的产</w:t>
      </w:r>
      <w:r>
        <w:rPr>
          <w:rFonts w:hint="eastAsia"/>
          <w:color w:val="auto"/>
          <w:sz w:val="24"/>
          <w:szCs w:val="24"/>
          <w:highlight w:val="none"/>
        </w:rPr>
        <w:t>品。投</w:t>
      </w:r>
      <w:r>
        <w:rPr>
          <w:color w:val="auto"/>
          <w:sz w:val="24"/>
          <w:szCs w:val="24"/>
          <w:highlight w:val="none"/>
        </w:rPr>
        <w:t>标</w:t>
      </w:r>
      <w:r>
        <w:rPr>
          <w:rFonts w:hint="eastAsia"/>
          <w:color w:val="auto"/>
          <w:sz w:val="24"/>
          <w:szCs w:val="24"/>
          <w:highlight w:val="none"/>
        </w:rPr>
        <w:t>文</w:t>
      </w:r>
      <w:r>
        <w:rPr>
          <w:color w:val="auto"/>
          <w:sz w:val="24"/>
          <w:szCs w:val="24"/>
          <w:highlight w:val="none"/>
        </w:rPr>
        <w:t>件</w:t>
      </w:r>
      <w:r>
        <w:rPr>
          <w:rFonts w:hint="eastAsia"/>
          <w:color w:val="auto"/>
          <w:sz w:val="24"/>
          <w:szCs w:val="24"/>
          <w:highlight w:val="none"/>
        </w:rPr>
        <w:t>技术参数抄袭招标文件“</w:t>
      </w:r>
      <w:r>
        <w:rPr>
          <w:rFonts w:hint="eastAsia" w:ascii="宋体" w:hAnsi="宋体"/>
          <w:color w:val="auto"/>
          <w:sz w:val="24"/>
          <w:szCs w:val="24"/>
          <w:highlight w:val="none"/>
        </w:rPr>
        <w:t>具体服务（技术）要求</w:t>
      </w:r>
      <w:r>
        <w:rPr>
          <w:rFonts w:hint="eastAsia"/>
          <w:color w:val="auto"/>
          <w:sz w:val="24"/>
          <w:szCs w:val="24"/>
          <w:highlight w:val="none"/>
        </w:rPr>
        <w:t>”，投</w:t>
      </w:r>
      <w:r>
        <w:rPr>
          <w:color w:val="auto"/>
          <w:sz w:val="24"/>
          <w:szCs w:val="24"/>
          <w:highlight w:val="none"/>
        </w:rPr>
        <w:t>标产品</w:t>
      </w:r>
      <w:r>
        <w:rPr>
          <w:rFonts w:hint="eastAsia"/>
          <w:color w:val="auto"/>
          <w:sz w:val="24"/>
          <w:szCs w:val="24"/>
          <w:highlight w:val="none"/>
        </w:rPr>
        <w:t>不</w:t>
      </w:r>
      <w:r>
        <w:rPr>
          <w:color w:val="auto"/>
          <w:sz w:val="24"/>
          <w:szCs w:val="24"/>
          <w:highlight w:val="none"/>
        </w:rPr>
        <w:t>明确</w:t>
      </w:r>
      <w:r>
        <w:rPr>
          <w:rFonts w:hint="eastAsia"/>
          <w:color w:val="auto"/>
          <w:sz w:val="24"/>
          <w:szCs w:val="24"/>
          <w:highlight w:val="none"/>
        </w:rPr>
        <w:t>的</w:t>
      </w:r>
      <w:r>
        <w:rPr>
          <w:color w:val="auto"/>
          <w:sz w:val="24"/>
          <w:szCs w:val="24"/>
          <w:highlight w:val="none"/>
        </w:rPr>
        <w:t>、或</w:t>
      </w:r>
      <w:r>
        <w:rPr>
          <w:rFonts w:hint="eastAsia"/>
          <w:color w:val="auto"/>
          <w:sz w:val="24"/>
          <w:szCs w:val="24"/>
          <w:highlight w:val="none"/>
        </w:rPr>
        <w:t>与投</w:t>
      </w:r>
      <w:r>
        <w:rPr>
          <w:color w:val="auto"/>
          <w:sz w:val="24"/>
          <w:szCs w:val="24"/>
          <w:highlight w:val="none"/>
        </w:rPr>
        <w:t>标产品</w:t>
      </w:r>
      <w:r>
        <w:rPr>
          <w:rFonts w:hint="eastAsia"/>
          <w:color w:val="auto"/>
          <w:sz w:val="24"/>
          <w:szCs w:val="24"/>
          <w:highlight w:val="none"/>
        </w:rPr>
        <w:t>不</w:t>
      </w:r>
      <w:r>
        <w:rPr>
          <w:color w:val="auto"/>
          <w:sz w:val="24"/>
          <w:szCs w:val="24"/>
          <w:highlight w:val="none"/>
        </w:rPr>
        <w:t>一致</w:t>
      </w:r>
      <w:r>
        <w:rPr>
          <w:rFonts w:hint="eastAsia"/>
          <w:color w:val="auto"/>
          <w:sz w:val="24"/>
          <w:szCs w:val="24"/>
          <w:highlight w:val="none"/>
        </w:rPr>
        <w:t>的</w:t>
      </w:r>
      <w:r>
        <w:rPr>
          <w:color w:val="auto"/>
          <w:sz w:val="24"/>
          <w:szCs w:val="24"/>
          <w:highlight w:val="none"/>
        </w:rPr>
        <w:t>，</w:t>
      </w:r>
      <w:r>
        <w:rPr>
          <w:rFonts w:hint="eastAsia"/>
          <w:color w:val="auto"/>
          <w:sz w:val="24"/>
          <w:szCs w:val="24"/>
          <w:highlight w:val="none"/>
        </w:rPr>
        <w:t>评标委员会有权按照实质性判断原则评定其为无效投标。</w:t>
      </w:r>
    </w:p>
    <w:p w14:paraId="3C634253">
      <w:pPr>
        <w:widowControl w:val="0"/>
        <w:adjustRightInd w:val="0"/>
        <w:snapToGrid w:val="0"/>
        <w:spacing w:before="156" w:beforeLines="50" w:line="300" w:lineRule="auto"/>
        <w:ind w:left="22" w:firstLine="555"/>
        <w:jc w:val="left"/>
        <w:rPr>
          <w:rFonts w:hint="eastAsia"/>
          <w:color w:val="auto"/>
          <w:sz w:val="24"/>
          <w:szCs w:val="24"/>
          <w:highlight w:val="none"/>
        </w:rPr>
      </w:pPr>
    </w:p>
    <w:p w14:paraId="4ADBC90A">
      <w:pPr>
        <w:adjustRightInd w:val="0"/>
        <w:snapToGrid w:val="0"/>
        <w:spacing w:before="156" w:beforeLines="50" w:line="300" w:lineRule="auto"/>
        <w:ind w:firstLine="482" w:firstLineChars="200"/>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7技术偏离</w:t>
      </w:r>
    </w:p>
    <w:p w14:paraId="4F9D9E8F">
      <w:pPr>
        <w:widowControl w:val="0"/>
        <w:adjustRightInd w:val="0"/>
        <w:snapToGrid w:val="0"/>
        <w:spacing w:before="156" w:beforeLines="50" w:line="300" w:lineRule="auto"/>
        <w:ind w:firstLine="540"/>
        <w:rPr>
          <w:rFonts w:ascii="宋体" w:hAnsi="宋体"/>
          <w:color w:val="auto"/>
          <w:sz w:val="24"/>
          <w:szCs w:val="24"/>
          <w:highlight w:val="none"/>
        </w:rPr>
      </w:pPr>
      <w:r>
        <w:rPr>
          <w:color w:val="auto"/>
          <w:sz w:val="24"/>
          <w:szCs w:val="24"/>
          <w:highlight w:val="none"/>
        </w:rPr>
        <w:t>2.7.</w:t>
      </w:r>
      <w:r>
        <w:rPr>
          <w:rFonts w:hint="eastAsia"/>
          <w:color w:val="auto"/>
          <w:sz w:val="24"/>
          <w:szCs w:val="24"/>
          <w:highlight w:val="none"/>
        </w:rPr>
        <w:t>1★服务所涉货物材料设施的</w:t>
      </w:r>
      <w:r>
        <w:rPr>
          <w:rFonts w:hint="eastAsia" w:ascii="黑体" w:hAnsi="黑体" w:eastAsia="黑体"/>
          <w:b/>
          <w:color w:val="auto"/>
          <w:sz w:val="24"/>
          <w:szCs w:val="24"/>
          <w:highlight w:val="none"/>
        </w:rPr>
        <w:t>不接受负偏差，低于“具体服务（技术）要求”的、为无效投标。</w:t>
      </w:r>
    </w:p>
    <w:p w14:paraId="05FE2622">
      <w:pPr>
        <w:widowControl w:val="0"/>
        <w:adjustRightInd w:val="0"/>
        <w:snapToGrid w:val="0"/>
        <w:spacing w:before="156" w:beforeLines="50" w:line="300" w:lineRule="auto"/>
        <w:ind w:left="22" w:firstLine="555"/>
        <w:jc w:val="left"/>
        <w:rPr>
          <w:color w:val="auto"/>
          <w:sz w:val="24"/>
          <w:szCs w:val="24"/>
          <w:highlight w:val="none"/>
        </w:rPr>
      </w:pPr>
      <w:r>
        <w:rPr>
          <w:color w:val="auto"/>
          <w:sz w:val="24"/>
          <w:szCs w:val="24"/>
          <w:highlight w:val="none"/>
        </w:rPr>
        <w:t>2.</w:t>
      </w:r>
      <w:r>
        <w:rPr>
          <w:rFonts w:hint="eastAsia"/>
          <w:color w:val="auto"/>
          <w:sz w:val="24"/>
          <w:szCs w:val="24"/>
          <w:highlight w:val="none"/>
        </w:rPr>
        <w:t>7</w:t>
      </w:r>
      <w:r>
        <w:rPr>
          <w:color w:val="auto"/>
          <w:sz w:val="24"/>
          <w:szCs w:val="24"/>
          <w:highlight w:val="none"/>
        </w:rPr>
        <w:t>.</w:t>
      </w:r>
      <w:r>
        <w:rPr>
          <w:rFonts w:hint="eastAsia"/>
          <w:color w:val="auto"/>
          <w:sz w:val="24"/>
          <w:szCs w:val="24"/>
          <w:highlight w:val="none"/>
        </w:rPr>
        <w:t>2 除服务所涉货物材料设施的</w:t>
      </w:r>
      <w:r>
        <w:rPr>
          <w:rFonts w:hint="eastAsia" w:ascii="黑体" w:hAnsi="黑体" w:eastAsia="黑体"/>
          <w:b/>
          <w:color w:val="auto"/>
          <w:sz w:val="24"/>
          <w:szCs w:val="24"/>
          <w:highlight w:val="none"/>
        </w:rPr>
        <w:t>技术偏离外，其他内容不接受负偏差。</w:t>
      </w:r>
    </w:p>
    <w:p w14:paraId="657FBC7B">
      <w:pPr>
        <w:widowControl w:val="0"/>
        <w:adjustRightInd w:val="0"/>
        <w:snapToGrid w:val="0"/>
        <w:spacing w:before="156" w:beforeLines="50" w:line="300" w:lineRule="auto"/>
        <w:ind w:left="22" w:firstLine="555"/>
        <w:jc w:val="left"/>
        <w:rPr>
          <w:color w:val="auto"/>
          <w:sz w:val="24"/>
          <w:szCs w:val="24"/>
          <w:highlight w:val="none"/>
        </w:rPr>
      </w:pPr>
      <w:r>
        <w:rPr>
          <w:color w:val="auto"/>
          <w:sz w:val="24"/>
          <w:szCs w:val="24"/>
          <w:highlight w:val="none"/>
        </w:rPr>
        <w:t>2.</w:t>
      </w:r>
      <w:r>
        <w:rPr>
          <w:rFonts w:hint="eastAsia"/>
          <w:color w:val="auto"/>
          <w:sz w:val="24"/>
          <w:szCs w:val="24"/>
          <w:highlight w:val="none"/>
        </w:rPr>
        <w:t>7</w:t>
      </w:r>
      <w:r>
        <w:rPr>
          <w:color w:val="auto"/>
          <w:sz w:val="24"/>
          <w:szCs w:val="24"/>
          <w:highlight w:val="none"/>
        </w:rPr>
        <w:t>.</w:t>
      </w:r>
      <w:r>
        <w:rPr>
          <w:rFonts w:hint="eastAsia"/>
          <w:color w:val="auto"/>
          <w:sz w:val="24"/>
          <w:szCs w:val="24"/>
          <w:highlight w:val="none"/>
        </w:rPr>
        <w:t>3 投标文件对技术偏差的描述要求：见第三章投标人须知</w:t>
      </w:r>
      <w:r>
        <w:rPr>
          <w:color w:val="auto"/>
          <w:sz w:val="24"/>
          <w:szCs w:val="24"/>
          <w:highlight w:val="none"/>
        </w:rPr>
        <w:t>3.7.3</w:t>
      </w:r>
      <w:r>
        <w:rPr>
          <w:rFonts w:hint="eastAsia"/>
          <w:color w:val="auto"/>
          <w:sz w:val="24"/>
          <w:szCs w:val="24"/>
          <w:highlight w:val="none"/>
        </w:rPr>
        <w:t>项。</w:t>
      </w:r>
    </w:p>
    <w:p w14:paraId="284C957A">
      <w:pPr>
        <w:widowControl w:val="0"/>
        <w:adjustRightInd w:val="0"/>
        <w:snapToGrid w:val="0"/>
        <w:spacing w:before="156" w:beforeLines="50" w:line="300" w:lineRule="auto"/>
        <w:rPr>
          <w:color w:val="auto"/>
          <w:sz w:val="24"/>
          <w:szCs w:val="24"/>
          <w:highlight w:val="none"/>
        </w:rPr>
      </w:pPr>
    </w:p>
    <w:p w14:paraId="6AA66DAA">
      <w:pPr>
        <w:adjustRightInd w:val="0"/>
        <w:snapToGrid w:val="0"/>
        <w:spacing w:line="300" w:lineRule="auto"/>
        <w:ind w:firstLine="566" w:firstLineChars="235"/>
        <w:jc w:val="left"/>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8</w:t>
      </w:r>
      <w:r>
        <w:rPr>
          <w:rFonts w:ascii="黑体" w:hAnsi="黑体" w:eastAsia="黑体"/>
          <w:b/>
          <w:color w:val="auto"/>
          <w:sz w:val="24"/>
          <w:szCs w:val="24"/>
          <w:highlight w:val="none"/>
        </w:rPr>
        <w:t xml:space="preserve"> </w:t>
      </w:r>
      <w:r>
        <w:rPr>
          <w:rFonts w:hint="eastAsia" w:ascii="黑体" w:hAnsi="黑体" w:eastAsia="黑体"/>
          <w:b/>
          <w:color w:val="auto"/>
          <w:sz w:val="24"/>
          <w:szCs w:val="24"/>
          <w:highlight w:val="none"/>
        </w:rPr>
        <w:t>合同履行期限后、服务项目所涉货物的售后服务</w:t>
      </w:r>
    </w:p>
    <w:p w14:paraId="22D27D5F">
      <w:pPr>
        <w:adjustRightInd w:val="0"/>
        <w:snapToGrid w:val="0"/>
        <w:spacing w:line="300" w:lineRule="auto"/>
        <w:ind w:firstLine="564" w:firstLineChars="235"/>
        <w:jc w:val="left"/>
        <w:rPr>
          <w:color w:val="auto"/>
          <w:sz w:val="24"/>
          <w:szCs w:val="24"/>
          <w:highlight w:val="none"/>
        </w:rPr>
      </w:pPr>
      <w:r>
        <w:rPr>
          <w:rFonts w:hint="eastAsia"/>
          <w:color w:val="auto"/>
          <w:sz w:val="24"/>
          <w:szCs w:val="24"/>
          <w:highlight w:val="none"/>
        </w:rPr>
        <w:t>无特殊要求，服务要求中已作要求的从其要求。</w:t>
      </w:r>
    </w:p>
    <w:p w14:paraId="335E88D6">
      <w:pPr>
        <w:adjustRightInd w:val="0"/>
        <w:snapToGrid w:val="0"/>
        <w:spacing w:line="300" w:lineRule="auto"/>
        <w:ind w:firstLine="564" w:firstLineChars="235"/>
        <w:jc w:val="left"/>
        <w:rPr>
          <w:color w:val="auto"/>
          <w:sz w:val="24"/>
          <w:szCs w:val="24"/>
          <w:highlight w:val="none"/>
        </w:rPr>
      </w:pPr>
    </w:p>
    <w:p w14:paraId="1301B0B3">
      <w:pPr>
        <w:adjustRightInd w:val="0"/>
        <w:snapToGrid w:val="0"/>
        <w:spacing w:line="300" w:lineRule="auto"/>
        <w:ind w:firstLine="566" w:firstLineChars="235"/>
        <w:jc w:val="left"/>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9保险、所涉货物包装</w:t>
      </w:r>
    </w:p>
    <w:p w14:paraId="0751D420">
      <w:pPr>
        <w:adjustRightInd w:val="0"/>
        <w:snapToGrid w:val="0"/>
        <w:spacing w:line="300" w:lineRule="auto"/>
        <w:ind w:firstLine="564" w:firstLineChars="235"/>
        <w:jc w:val="left"/>
        <w:rPr>
          <w:color w:val="auto"/>
          <w:sz w:val="24"/>
          <w:szCs w:val="24"/>
          <w:highlight w:val="none"/>
        </w:rPr>
      </w:pPr>
      <w:r>
        <w:rPr>
          <w:rFonts w:hint="eastAsia"/>
          <w:color w:val="auto"/>
          <w:sz w:val="24"/>
          <w:szCs w:val="24"/>
          <w:highlight w:val="none"/>
        </w:rPr>
        <w:t>2.9.1保险（如需）：</w:t>
      </w:r>
    </w:p>
    <w:p w14:paraId="44D9EAD9">
      <w:pPr>
        <w:adjustRightInd w:val="0"/>
        <w:snapToGrid w:val="0"/>
        <w:spacing w:line="300" w:lineRule="auto"/>
        <w:ind w:firstLine="564" w:firstLineChars="235"/>
        <w:jc w:val="left"/>
        <w:rPr>
          <w:color w:val="auto"/>
          <w:sz w:val="24"/>
          <w:szCs w:val="24"/>
          <w:highlight w:val="none"/>
        </w:rPr>
      </w:pPr>
      <w:r>
        <w:rPr>
          <w:rFonts w:hint="eastAsia"/>
          <w:color w:val="auto"/>
          <w:sz w:val="24"/>
          <w:szCs w:val="24"/>
          <w:highlight w:val="none"/>
        </w:rPr>
        <w:t>投标人应遵循国家相关保险的规定，依照法规规定，根据项目属性需要，办理货物设施等的财产保险、危险作业人员的工伤和意外伤害保险、设计和工程保险、第三方责任险，相关保险费用及相应责任由中标人承担。</w:t>
      </w:r>
    </w:p>
    <w:p w14:paraId="3B172977">
      <w:pPr>
        <w:adjustRightInd w:val="0"/>
        <w:snapToGrid w:val="0"/>
        <w:spacing w:line="300" w:lineRule="auto"/>
        <w:ind w:firstLine="564" w:firstLineChars="235"/>
        <w:jc w:val="left"/>
        <w:rPr>
          <w:color w:val="auto"/>
          <w:sz w:val="24"/>
          <w:szCs w:val="24"/>
          <w:highlight w:val="none"/>
        </w:rPr>
      </w:pPr>
      <w:r>
        <w:rPr>
          <w:rFonts w:hint="eastAsia"/>
          <w:color w:val="auto"/>
          <w:sz w:val="24"/>
          <w:szCs w:val="24"/>
          <w:highlight w:val="none"/>
        </w:rPr>
        <w:t>2.9.2所涉货物包装：</w:t>
      </w:r>
    </w:p>
    <w:p w14:paraId="3DA3DA0D">
      <w:pPr>
        <w:adjustRightInd w:val="0"/>
        <w:snapToGrid w:val="0"/>
        <w:spacing w:line="300" w:lineRule="auto"/>
        <w:ind w:firstLine="564" w:firstLineChars="235"/>
        <w:jc w:val="left"/>
        <w:rPr>
          <w:color w:val="auto"/>
          <w:sz w:val="24"/>
          <w:szCs w:val="24"/>
          <w:highlight w:val="none"/>
        </w:rPr>
      </w:pPr>
      <w:r>
        <w:rPr>
          <w:rFonts w:hint="eastAsia"/>
          <w:color w:val="auto"/>
          <w:sz w:val="24"/>
          <w:szCs w:val="24"/>
          <w:highlight w:val="none"/>
        </w:rPr>
        <w:t>中标人负责按国家相关标准进行货物包装，设备的包装均应有良好的防湿、防锈、防潮、防雨、防腐及防碰撞的措施，凡由于包装不良造成的损失和由此产生的费用均由中标人承担。</w:t>
      </w:r>
    </w:p>
    <w:p w14:paraId="67E7DA67">
      <w:pPr>
        <w:adjustRightInd w:val="0"/>
        <w:snapToGrid w:val="0"/>
        <w:spacing w:line="300" w:lineRule="auto"/>
        <w:ind w:firstLine="566" w:firstLineChars="235"/>
        <w:jc w:val="left"/>
        <w:rPr>
          <w:rFonts w:ascii="黑体" w:hAnsi="黑体" w:eastAsia="黑体"/>
          <w:b/>
          <w:color w:val="auto"/>
          <w:sz w:val="24"/>
          <w:szCs w:val="24"/>
          <w:highlight w:val="none"/>
        </w:rPr>
      </w:pPr>
    </w:p>
    <w:p w14:paraId="4EA13B6B">
      <w:pPr>
        <w:adjustRightInd w:val="0"/>
        <w:snapToGrid w:val="0"/>
        <w:spacing w:line="300" w:lineRule="auto"/>
        <w:ind w:firstLine="566" w:firstLineChars="235"/>
        <w:jc w:val="left"/>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10</w:t>
      </w:r>
      <w:r>
        <w:rPr>
          <w:rFonts w:ascii="黑体" w:hAnsi="黑体" w:eastAsia="黑体"/>
          <w:b/>
          <w:color w:val="auto"/>
          <w:sz w:val="24"/>
          <w:szCs w:val="24"/>
          <w:highlight w:val="none"/>
        </w:rPr>
        <w:t xml:space="preserve"> </w:t>
      </w:r>
      <w:r>
        <w:rPr>
          <w:rFonts w:hint="eastAsia" w:ascii="黑体" w:hAnsi="黑体" w:eastAsia="黑体"/>
          <w:b/>
          <w:color w:val="auto"/>
          <w:sz w:val="24"/>
          <w:szCs w:val="24"/>
          <w:highlight w:val="none"/>
        </w:rPr>
        <w:t>采购标的的验收标准</w:t>
      </w:r>
    </w:p>
    <w:p w14:paraId="72C8929F">
      <w:pPr>
        <w:adjustRightInd w:val="0"/>
        <w:snapToGrid w:val="0"/>
        <w:spacing w:line="300" w:lineRule="auto"/>
        <w:ind w:firstLine="564" w:firstLineChars="235"/>
        <w:jc w:val="left"/>
        <w:rPr>
          <w:rFonts w:hint="eastAsia" w:ascii="宋体" w:hAnsi="宋体" w:cs="楷体_GB2312"/>
          <w:color w:val="auto"/>
          <w:sz w:val="24"/>
          <w:highlight w:val="none"/>
          <w:lang w:val="zh-CN"/>
        </w:rPr>
      </w:pPr>
      <w:r>
        <w:rPr>
          <w:rFonts w:hint="eastAsia" w:ascii="宋体" w:hAnsi="宋体" w:cs="楷体_GB2312"/>
          <w:color w:val="auto"/>
          <w:sz w:val="24"/>
          <w:highlight w:val="none"/>
          <w:lang w:val="zh-CN"/>
        </w:rPr>
        <w:t>见“第三章</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投标人须知”</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第9条“验收”条款。</w:t>
      </w:r>
    </w:p>
    <w:p w14:paraId="243E34B6">
      <w:pPr>
        <w:adjustRightInd w:val="0"/>
        <w:snapToGrid w:val="0"/>
        <w:spacing w:line="300" w:lineRule="auto"/>
        <w:ind w:firstLine="564" w:firstLineChars="235"/>
        <w:jc w:val="left"/>
        <w:rPr>
          <w:rFonts w:hint="eastAsia" w:ascii="宋体" w:hAnsi="宋体" w:cs="楷体_GB2312"/>
          <w:color w:val="auto"/>
          <w:sz w:val="24"/>
          <w:highlight w:val="none"/>
          <w:lang w:val="zh-CN"/>
        </w:rPr>
      </w:pPr>
    </w:p>
    <w:p w14:paraId="24CDC10A">
      <w:pPr>
        <w:adjustRightInd w:val="0"/>
        <w:snapToGrid w:val="0"/>
        <w:spacing w:before="156" w:beforeLines="50" w:line="300" w:lineRule="auto"/>
        <w:ind w:firstLine="566" w:firstLineChars="235"/>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11采购标的的其他技术、服务等要求</w:t>
      </w:r>
    </w:p>
    <w:p w14:paraId="276B2439">
      <w:pPr>
        <w:adjustRightInd w:val="0"/>
        <w:snapToGrid w:val="0"/>
        <w:spacing w:before="156" w:beforeLines="50" w:line="300" w:lineRule="auto"/>
        <w:ind w:firstLine="720" w:firstLineChars="300"/>
        <w:rPr>
          <w:rFonts w:ascii="黑体" w:hAnsi="黑体" w:eastAsia="黑体"/>
          <w:b/>
          <w:color w:val="auto"/>
          <w:sz w:val="24"/>
          <w:szCs w:val="24"/>
          <w:highlight w:val="none"/>
        </w:rPr>
      </w:pPr>
      <w:r>
        <w:rPr>
          <w:rFonts w:hint="eastAsia"/>
          <w:color w:val="auto"/>
          <w:sz w:val="24"/>
          <w:szCs w:val="24"/>
          <w:highlight w:val="none"/>
        </w:rPr>
        <w:t>无</w:t>
      </w:r>
    </w:p>
    <w:p w14:paraId="702DD35E">
      <w:pPr>
        <w:adjustRightInd w:val="0"/>
        <w:snapToGrid w:val="0"/>
        <w:spacing w:before="156" w:beforeLines="50" w:line="300" w:lineRule="auto"/>
        <w:ind w:firstLine="562" w:firstLineChars="200"/>
        <w:outlineLvl w:val="1"/>
        <w:rPr>
          <w:rFonts w:ascii="黑体" w:hAnsi="黑体" w:eastAsia="黑体"/>
          <w:b/>
          <w:color w:val="auto"/>
          <w:sz w:val="28"/>
          <w:highlight w:val="none"/>
        </w:rPr>
      </w:pPr>
      <w:bookmarkStart w:id="3" w:name="_Toc2086"/>
      <w:r>
        <w:rPr>
          <w:rFonts w:hint="eastAsia" w:ascii="黑体" w:hAnsi="黑体" w:eastAsia="黑体"/>
          <w:b/>
          <w:color w:val="auto"/>
          <w:sz w:val="28"/>
          <w:highlight w:val="none"/>
        </w:rPr>
        <w:t>3</w:t>
      </w:r>
      <w:r>
        <w:rPr>
          <w:rFonts w:ascii="黑体" w:hAnsi="黑体" w:eastAsia="黑体"/>
          <w:b/>
          <w:color w:val="auto"/>
          <w:sz w:val="28"/>
          <w:highlight w:val="none"/>
        </w:rPr>
        <w:t xml:space="preserve">. </w:t>
      </w:r>
      <w:r>
        <w:rPr>
          <w:rFonts w:hint="eastAsia" w:ascii="黑体" w:hAnsi="黑体" w:eastAsia="黑体"/>
          <w:b/>
          <w:color w:val="auto"/>
          <w:sz w:val="28"/>
          <w:highlight w:val="none"/>
        </w:rPr>
        <w:t>项目其他要求</w:t>
      </w:r>
      <w:bookmarkEnd w:id="3"/>
    </w:p>
    <w:p w14:paraId="0BEEF3B7">
      <w:pPr>
        <w:adjustRightInd w:val="0"/>
        <w:snapToGrid w:val="0"/>
        <w:spacing w:before="156" w:beforeLines="50" w:line="300" w:lineRule="auto"/>
        <w:ind w:firstLine="720" w:firstLineChars="300"/>
      </w:pPr>
      <w:r>
        <w:rPr>
          <w:rFonts w:hint="eastAsia"/>
          <w:color w:val="auto"/>
          <w:sz w:val="24"/>
          <w:szCs w:val="24"/>
          <w:highlight w:val="none"/>
        </w:rPr>
        <w:t>无</w:t>
      </w:r>
      <w:bookmarkStart w:id="4" w:name="_GoBack"/>
      <w:bookmarkEnd w:id="4"/>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简体">
    <w:altName w:val="微软雅黑"/>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650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57" w:lineRule="atLeast"/>
      <w:jc w:val="both"/>
      <w:textAlignment w:val="baseline"/>
    </w:pPr>
    <w:rPr>
      <w:rFonts w:ascii="Times New Roman" w:hAnsi="Times New Roman" w:eastAsia="宋体" w:cs="Times New Roman"/>
      <w:color w:val="000000"/>
      <w:sz w:val="21"/>
      <w:u w:color="000000"/>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样式 首行缩进:  0 字符"/>
    <w:basedOn w:val="1"/>
    <w:qFormat/>
    <w:uiPriority w:val="0"/>
    <w:pPr>
      <w:widowControl w:val="0"/>
      <w:spacing w:line="360" w:lineRule="auto"/>
      <w:ind w:firstLine="200" w:firstLineChars="200"/>
      <w:textAlignment w:val="auto"/>
    </w:pPr>
    <w:rPr>
      <w:color w:val="auto"/>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2026-07-20T07:42:54Z</dcterms:created>
  <dc:creator>Administrator</dc:creator>
  <cp:lastModifiedBy>Administrator</cp:lastModifiedBy>
  <dcterms:modified xsi:type="dcterms:W3CDTF">2026-07-20T07:43:28Z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eyJoZGlkIjoiYzRlYzE4NmFkNWE4NGFlNjlkMjJmNTIzODdmN2JjZGIiLCJ1c2VySWQiOiI0Mjg5NzQzNDUifQ==</vt:lpwstr>
  </property>
  <property fmtid="{D5CDD505-2E9C-101B-9397-08002B2CF9AE}" pid="4" name="ICV">
    <vt:lpwstr>9F340A843BA84CBD986815EECB6861B0_12</vt:lpwstr>
  </property>
</Properties>
</file>