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75433">
      <w:pPr>
        <w:widowControl w:val="0"/>
        <w:snapToGrid w:val="0"/>
        <w:spacing w:line="560" w:lineRule="exact"/>
        <w:jc w:val="both"/>
        <w:rPr>
          <w:rFonts w:eastAsia="黑体"/>
          <w:b/>
          <w:color w:val="auto"/>
          <w:spacing w:val="40"/>
          <w:sz w:val="40"/>
          <w:szCs w:val="40"/>
        </w:rPr>
      </w:pPr>
    </w:p>
    <w:p w14:paraId="4A90261A">
      <w:pPr>
        <w:widowControl w:val="0"/>
        <w:adjustRightInd w:val="0"/>
        <w:snapToGrid w:val="0"/>
        <w:spacing w:line="360" w:lineRule="auto"/>
        <w:jc w:val="center"/>
        <w:rPr>
          <w:rFonts w:hint="eastAsia" w:ascii="黑体" w:hAnsi="黑体" w:eastAsia="黑体" w:cs="黑体"/>
          <w:color w:val="auto"/>
          <w:sz w:val="44"/>
          <w:szCs w:val="44"/>
        </w:rPr>
      </w:pPr>
      <w:bookmarkStart w:id="0" w:name="OLE_LINK13"/>
      <w:bookmarkStart w:id="1" w:name="OLE_LINK12"/>
      <w:bookmarkStart w:id="2" w:name="OLE_LINK17"/>
      <w:r>
        <w:rPr>
          <w:rFonts w:hint="eastAsia" w:ascii="黑体" w:hAnsi="黑体" w:eastAsia="黑体" w:cs="黑体"/>
          <w:color w:val="auto"/>
          <w:sz w:val="44"/>
          <w:szCs w:val="44"/>
        </w:rPr>
        <w:t>安阳高新技术产业开发区智慧城市运营中心</w:t>
      </w:r>
      <w:bookmarkStart w:id="3" w:name="OLE_LINK16"/>
      <w:bookmarkStart w:id="4" w:name="OLE_LINK14"/>
      <w:r>
        <w:rPr>
          <w:rFonts w:hint="eastAsia" w:ascii="黑体" w:hAnsi="黑体" w:eastAsia="黑体" w:cs="黑体"/>
          <w:color w:val="auto"/>
          <w:sz w:val="44"/>
          <w:szCs w:val="44"/>
        </w:rPr>
        <w:t>长江大道东段（东风路-光明路）雨水管网改造施工图设计</w:t>
      </w:r>
      <w:bookmarkEnd w:id="0"/>
      <w:bookmarkEnd w:id="1"/>
      <w:bookmarkEnd w:id="2"/>
      <w:bookmarkEnd w:id="3"/>
      <w:bookmarkEnd w:id="4"/>
      <w:r>
        <w:rPr>
          <w:rFonts w:hint="eastAsia" w:ascii="黑体" w:hAnsi="黑体" w:eastAsia="黑体" w:cs="黑体"/>
          <w:color w:val="auto"/>
          <w:sz w:val="44"/>
          <w:szCs w:val="44"/>
        </w:rPr>
        <w:t>项目</w:t>
      </w:r>
    </w:p>
    <w:p w14:paraId="42FFAA12">
      <w:pPr>
        <w:widowControl w:val="0"/>
        <w:snapToGrid w:val="0"/>
        <w:spacing w:beforeLines="100" w:line="240" w:lineRule="auto"/>
        <w:jc w:val="both"/>
        <w:rPr>
          <w:rFonts w:eastAsia="黑体"/>
          <w:b/>
          <w:color w:val="auto"/>
          <w:sz w:val="44"/>
        </w:rPr>
      </w:pPr>
    </w:p>
    <w:p w14:paraId="7C7537D0">
      <w:pPr>
        <w:widowControl w:val="0"/>
        <w:snapToGrid w:val="0"/>
        <w:spacing w:beforeLines="100" w:line="240" w:lineRule="auto"/>
        <w:jc w:val="center"/>
        <w:rPr>
          <w:rFonts w:ascii="华文新魏" w:hAnsi="微软雅黑" w:eastAsia="华文新魏"/>
          <w:b/>
          <w:color w:val="auto"/>
          <w:sz w:val="116"/>
          <w:szCs w:val="116"/>
        </w:rPr>
      </w:pPr>
      <w:r>
        <w:rPr>
          <w:rFonts w:hint="eastAsia" w:ascii="华文新魏" w:hAnsi="微软雅黑" w:eastAsia="华文新魏"/>
          <w:b/>
          <w:color w:val="auto"/>
          <w:sz w:val="116"/>
          <w:szCs w:val="116"/>
        </w:rPr>
        <w:t>磋商文件</w:t>
      </w:r>
    </w:p>
    <w:p w14:paraId="10FA8F03">
      <w:pPr>
        <w:widowControl w:val="0"/>
        <w:snapToGrid w:val="0"/>
        <w:spacing w:beforeLines="100" w:line="560" w:lineRule="exact"/>
        <w:jc w:val="center"/>
        <w:rPr>
          <w:rFonts w:hint="default" w:eastAsia="宋体"/>
          <w:b/>
          <w:color w:val="auto"/>
          <w:sz w:val="32"/>
          <w:szCs w:val="32"/>
          <w:lang w:val="en-US" w:eastAsia="zh-CN"/>
        </w:rPr>
      </w:pPr>
      <w:r>
        <w:rPr>
          <w:rFonts w:hint="eastAsia" w:ascii="宋体" w:hAnsi="宋体"/>
          <w:color w:val="auto"/>
          <w:sz w:val="32"/>
          <w:szCs w:val="32"/>
        </w:rPr>
        <w:t>项目编号：</w:t>
      </w:r>
      <w:r>
        <w:rPr>
          <w:rFonts w:hint="eastAsia" w:ascii="宋体" w:hAnsi="宋体"/>
          <w:color w:val="auto"/>
          <w:sz w:val="32"/>
          <w:szCs w:val="32"/>
          <w:lang w:val="en-US" w:eastAsia="zh-CN"/>
        </w:rPr>
        <w:t>安开财磋商采购-2026-18</w:t>
      </w:r>
    </w:p>
    <w:p w14:paraId="6DC11306">
      <w:pPr>
        <w:widowControl w:val="0"/>
        <w:snapToGrid w:val="0"/>
        <w:spacing w:beforeLines="100" w:line="560" w:lineRule="exact"/>
        <w:jc w:val="center"/>
        <w:rPr>
          <w:rFonts w:eastAsia="黑体"/>
          <w:b/>
          <w:color w:val="auto"/>
          <w:sz w:val="44"/>
        </w:rPr>
      </w:pPr>
    </w:p>
    <w:p w14:paraId="57CD3863">
      <w:pPr>
        <w:widowControl w:val="0"/>
        <w:snapToGrid w:val="0"/>
        <w:spacing w:beforeLines="100" w:line="560" w:lineRule="exact"/>
        <w:jc w:val="center"/>
        <w:rPr>
          <w:rFonts w:eastAsia="黑体"/>
          <w:b/>
          <w:color w:val="auto"/>
          <w:sz w:val="44"/>
        </w:rPr>
      </w:pPr>
    </w:p>
    <w:p w14:paraId="3051D1C6">
      <w:pPr>
        <w:widowControl w:val="0"/>
        <w:snapToGrid w:val="0"/>
        <w:spacing w:beforeLines="100" w:line="560" w:lineRule="exact"/>
        <w:jc w:val="center"/>
        <w:rPr>
          <w:rFonts w:eastAsia="黑体"/>
          <w:b/>
          <w:color w:val="auto"/>
          <w:sz w:val="44"/>
        </w:rPr>
      </w:pPr>
    </w:p>
    <w:p w14:paraId="7721BB55">
      <w:pPr>
        <w:widowControl w:val="0"/>
        <w:snapToGrid w:val="0"/>
        <w:spacing w:beforeLines="100" w:line="560" w:lineRule="exact"/>
        <w:rPr>
          <w:rFonts w:eastAsia="黑体"/>
          <w:b/>
          <w:color w:val="auto"/>
          <w:sz w:val="44"/>
        </w:rPr>
      </w:pPr>
    </w:p>
    <w:p w14:paraId="33A22A9B">
      <w:pPr>
        <w:widowControl w:val="0"/>
        <w:snapToGrid w:val="0"/>
        <w:spacing w:line="660" w:lineRule="exact"/>
        <w:ind w:firstLine="540" w:firstLineChars="168"/>
        <w:rPr>
          <w:rFonts w:ascii="黑体" w:hAnsi="黑体" w:eastAsia="黑体"/>
          <w:b/>
          <w:color w:val="auto"/>
          <w:sz w:val="32"/>
          <w:szCs w:val="32"/>
        </w:rPr>
      </w:pPr>
      <w:r>
        <w:rPr>
          <w:rFonts w:hint="eastAsia" w:ascii="黑体" w:hAnsi="黑体" w:eastAsia="黑体"/>
          <w:b/>
          <w:color w:val="auto"/>
          <w:sz w:val="32"/>
          <w:szCs w:val="32"/>
        </w:rPr>
        <w:t>采购人：安阳高新技术产业开发区智慧城市运营中心</w:t>
      </w:r>
    </w:p>
    <w:p w14:paraId="354A5970">
      <w:pPr>
        <w:widowControl w:val="0"/>
        <w:snapToGrid w:val="0"/>
        <w:spacing w:line="660" w:lineRule="exact"/>
        <w:ind w:firstLine="540" w:firstLineChars="168"/>
        <w:rPr>
          <w:rFonts w:ascii="黑体" w:hAnsi="黑体" w:eastAsia="黑体"/>
          <w:b/>
          <w:color w:val="auto"/>
          <w:sz w:val="32"/>
          <w:szCs w:val="32"/>
        </w:rPr>
        <w:sectPr>
          <w:footerReference r:id="rId6" w:type="first"/>
          <w:footerReference r:id="rId5" w:type="default"/>
          <w:pgSz w:w="11905" w:h="16837"/>
          <w:pgMar w:top="1418" w:right="1106" w:bottom="1418" w:left="1418" w:header="567" w:footer="567" w:gutter="0"/>
          <w:pgNumType w:fmt="numberInDash" w:start="0"/>
          <w:cols w:space="720" w:num="1"/>
          <w:titlePg/>
        </w:sectPr>
      </w:pPr>
      <w:r>
        <w:rPr>
          <w:rFonts w:hint="eastAsia" w:ascii="黑体" w:hAnsi="黑体" w:eastAsia="黑体"/>
          <w:b/>
          <w:color w:val="auto"/>
          <w:sz w:val="32"/>
          <w:szCs w:val="32"/>
        </w:rPr>
        <w:t>代理机构：中新创达咨询有限公司</w:t>
      </w:r>
    </w:p>
    <w:p w14:paraId="2D532759">
      <w:pPr>
        <w:pStyle w:val="54"/>
        <w:ind w:firstLine="723" w:firstLineChars="200"/>
        <w:jc w:val="center"/>
        <w:rPr>
          <w:rFonts w:ascii="宋体" w:hAnsi="宋体" w:cs="宋体"/>
          <w:color w:val="auto"/>
          <w:sz w:val="36"/>
          <w:szCs w:val="36"/>
          <w:lang w:val="zh-CN"/>
        </w:rPr>
      </w:pPr>
      <w:r>
        <w:rPr>
          <w:rFonts w:hint="eastAsia" w:ascii="宋体" w:hAnsi="宋体" w:cs="宋体"/>
          <w:color w:val="auto"/>
          <w:sz w:val="36"/>
          <w:szCs w:val="36"/>
          <w:lang w:val="zh-CN"/>
        </w:rPr>
        <w:t>目录</w:t>
      </w:r>
    </w:p>
    <w:p w14:paraId="42AD54A3">
      <w:pPr>
        <w:pStyle w:val="14"/>
        <w:tabs>
          <w:tab w:val="right" w:leader="dot" w:pos="9745"/>
        </w:tabs>
        <w:spacing w:line="360" w:lineRule="auto"/>
        <w:rPr>
          <w:rFonts w:ascii="宋体" w:hAnsi="宋体" w:cs="宋体"/>
          <w:b/>
          <w:bCs/>
          <w:color w:val="auto"/>
          <w:sz w:val="28"/>
          <w:szCs w:val="28"/>
        </w:rPr>
      </w:pP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TOC \o "1-3" \h \z \u </w:instrText>
      </w:r>
      <w:r>
        <w:rPr>
          <w:rFonts w:hint="eastAsia" w:ascii="宋体" w:hAnsi="宋体" w:cs="宋体"/>
          <w:b/>
          <w:bCs/>
          <w:color w:val="auto"/>
          <w:sz w:val="28"/>
          <w:szCs w:val="28"/>
        </w:rPr>
        <w:fldChar w:fldCharType="separate"/>
      </w:r>
      <w:r>
        <w:rPr>
          <w:color w:val="auto"/>
        </w:rPr>
        <w:fldChar w:fldCharType="begin"/>
      </w:r>
      <w:r>
        <w:rPr>
          <w:color w:val="auto"/>
        </w:rPr>
        <w:instrText xml:space="preserve"> HYPERLINK "file:///C:\\Users\\Administrator\\Desktop\\安阳县再生水勘察设计26.4.23\\2、招标文件（再生水）\\招标文件正文.docx" \l "_Toc22305" </w:instrText>
      </w:r>
      <w:r>
        <w:rPr>
          <w:color w:val="auto"/>
        </w:rPr>
        <w:fldChar w:fldCharType="separate"/>
      </w:r>
      <w:r>
        <w:rPr>
          <w:rStyle w:val="25"/>
          <w:rFonts w:hint="eastAsia" w:ascii="宋体" w:hAnsi="宋体" w:cs="宋体"/>
          <w:b/>
          <w:bCs/>
          <w:color w:val="auto"/>
          <w:sz w:val="28"/>
          <w:szCs w:val="28"/>
        </w:rPr>
        <w:t>第一部分 竞争性磋商公告</w:t>
      </w:r>
      <w:r>
        <w:rPr>
          <w:rStyle w:val="25"/>
          <w:rFonts w:hint="eastAsia" w:ascii="宋体" w:hAnsi="宋体" w:cs="宋体"/>
          <w:b/>
          <w:bCs/>
          <w:color w:val="auto"/>
          <w:sz w:val="28"/>
          <w:szCs w:val="28"/>
        </w:rPr>
        <w:tab/>
      </w:r>
      <w:r>
        <w:rPr>
          <w:rStyle w:val="25"/>
          <w:rFonts w:hint="eastAsia" w:ascii="宋体" w:hAnsi="宋体" w:cs="宋体"/>
          <w:b/>
          <w:bCs/>
          <w:color w:val="auto"/>
          <w:sz w:val="28"/>
          <w:szCs w:val="28"/>
        </w:rPr>
        <w:fldChar w:fldCharType="begin"/>
      </w:r>
      <w:r>
        <w:rPr>
          <w:rStyle w:val="25"/>
          <w:rFonts w:hint="eastAsia" w:ascii="宋体" w:hAnsi="宋体" w:cs="宋体"/>
          <w:b/>
          <w:bCs/>
          <w:color w:val="auto"/>
          <w:sz w:val="28"/>
          <w:szCs w:val="28"/>
        </w:rPr>
        <w:instrText xml:space="preserve"> PAGEREF _Toc22305 \h </w:instrText>
      </w:r>
      <w:r>
        <w:rPr>
          <w:rStyle w:val="25"/>
          <w:rFonts w:hint="eastAsia" w:ascii="宋体" w:hAnsi="宋体" w:cs="宋体"/>
          <w:b/>
          <w:bCs/>
          <w:color w:val="auto"/>
          <w:sz w:val="28"/>
          <w:szCs w:val="28"/>
        </w:rPr>
        <w:fldChar w:fldCharType="separate"/>
      </w:r>
      <w:r>
        <w:rPr>
          <w:rStyle w:val="25"/>
          <w:rFonts w:hint="eastAsia" w:ascii="宋体" w:hAnsi="宋体" w:cs="宋体"/>
          <w:b/>
          <w:bCs/>
          <w:color w:val="auto"/>
          <w:sz w:val="28"/>
          <w:szCs w:val="28"/>
        </w:rPr>
        <w:t>1</w:t>
      </w:r>
      <w:r>
        <w:rPr>
          <w:rStyle w:val="25"/>
          <w:rFonts w:hint="eastAsia" w:ascii="宋体" w:hAnsi="宋体" w:cs="宋体"/>
          <w:b/>
          <w:bCs/>
          <w:color w:val="auto"/>
          <w:sz w:val="28"/>
          <w:szCs w:val="28"/>
        </w:rPr>
        <w:fldChar w:fldCharType="end"/>
      </w:r>
      <w:r>
        <w:rPr>
          <w:rStyle w:val="25"/>
          <w:rFonts w:hint="eastAsia" w:ascii="宋体" w:hAnsi="宋体" w:cs="宋体"/>
          <w:b/>
          <w:bCs/>
          <w:color w:val="auto"/>
          <w:sz w:val="28"/>
          <w:szCs w:val="28"/>
        </w:rPr>
        <w:fldChar w:fldCharType="end"/>
      </w:r>
    </w:p>
    <w:p w14:paraId="16738D49">
      <w:pPr>
        <w:pStyle w:val="14"/>
        <w:tabs>
          <w:tab w:val="right" w:leader="dot" w:pos="9745"/>
        </w:tabs>
        <w:spacing w:line="360" w:lineRule="auto"/>
        <w:rPr>
          <w:rFonts w:ascii="宋体" w:hAnsi="宋体" w:cs="宋体"/>
          <w:b/>
          <w:bCs/>
          <w:color w:val="auto"/>
          <w:sz w:val="28"/>
          <w:szCs w:val="28"/>
        </w:rPr>
      </w:pPr>
      <w:r>
        <w:rPr>
          <w:color w:val="auto"/>
        </w:rPr>
        <w:fldChar w:fldCharType="begin"/>
      </w:r>
      <w:r>
        <w:rPr>
          <w:color w:val="auto"/>
        </w:rPr>
        <w:instrText xml:space="preserve"> HYPERLINK "file:///C:\\Users\\Administrator\\Desktop\\安阳县再生水勘察设计26.4.23\\2、招标文件（再生水）\\招标文件正文.docx" \l "_Toc16603" </w:instrText>
      </w:r>
      <w:r>
        <w:rPr>
          <w:color w:val="auto"/>
        </w:rPr>
        <w:fldChar w:fldCharType="separate"/>
      </w:r>
      <w:r>
        <w:rPr>
          <w:rStyle w:val="25"/>
          <w:rFonts w:hint="eastAsia" w:ascii="宋体" w:hAnsi="宋体" w:cs="宋体"/>
          <w:b/>
          <w:bCs/>
          <w:color w:val="auto"/>
          <w:sz w:val="28"/>
          <w:szCs w:val="28"/>
        </w:rPr>
        <w:t>第二部分 供应商须知</w:t>
      </w:r>
      <w:r>
        <w:rPr>
          <w:rStyle w:val="25"/>
          <w:rFonts w:hint="eastAsia" w:ascii="宋体" w:hAnsi="宋体" w:cs="宋体"/>
          <w:b/>
          <w:bCs/>
          <w:color w:val="auto"/>
          <w:sz w:val="28"/>
          <w:szCs w:val="28"/>
        </w:rPr>
        <w:tab/>
      </w:r>
      <w:r>
        <w:rPr>
          <w:rStyle w:val="25"/>
          <w:rFonts w:hint="eastAsia" w:ascii="宋体" w:hAnsi="宋体" w:cs="宋体"/>
          <w:b/>
          <w:bCs/>
          <w:color w:val="auto"/>
          <w:sz w:val="28"/>
          <w:szCs w:val="28"/>
          <w:lang w:val="en-US" w:eastAsia="zh-CN"/>
        </w:rPr>
        <w:t>4</w:t>
      </w:r>
      <w:r>
        <w:rPr>
          <w:rStyle w:val="25"/>
          <w:rFonts w:hint="eastAsia" w:ascii="宋体" w:hAnsi="宋体" w:cs="宋体"/>
          <w:b/>
          <w:bCs/>
          <w:color w:val="auto"/>
          <w:sz w:val="28"/>
          <w:szCs w:val="28"/>
        </w:rPr>
        <w:fldChar w:fldCharType="end"/>
      </w:r>
    </w:p>
    <w:p w14:paraId="17F3F42D">
      <w:pPr>
        <w:pStyle w:val="14"/>
        <w:tabs>
          <w:tab w:val="right" w:leader="dot" w:pos="9745"/>
        </w:tabs>
        <w:spacing w:line="360" w:lineRule="auto"/>
        <w:rPr>
          <w:rFonts w:ascii="宋体" w:hAnsi="宋体" w:cs="宋体"/>
          <w:b/>
          <w:bCs/>
          <w:color w:val="auto"/>
          <w:sz w:val="28"/>
          <w:szCs w:val="28"/>
        </w:rPr>
      </w:pPr>
      <w:r>
        <w:rPr>
          <w:color w:val="auto"/>
        </w:rPr>
        <w:fldChar w:fldCharType="begin"/>
      </w:r>
      <w:r>
        <w:rPr>
          <w:color w:val="auto"/>
        </w:rPr>
        <w:instrText xml:space="preserve"> HYPERLINK "file:///C:\\Users\\Administrator\\Desktop\\安阳县再生水勘察设计26.4.23\\2、招标文件（再生水）\\招标文件正文.docx" \l "_Toc11570" </w:instrText>
      </w:r>
      <w:r>
        <w:rPr>
          <w:color w:val="auto"/>
        </w:rPr>
        <w:fldChar w:fldCharType="separate"/>
      </w:r>
      <w:r>
        <w:rPr>
          <w:rStyle w:val="25"/>
          <w:rFonts w:hint="eastAsia" w:ascii="宋体" w:hAnsi="宋体" w:cs="宋体"/>
          <w:b/>
          <w:bCs/>
          <w:color w:val="auto"/>
          <w:sz w:val="28"/>
          <w:szCs w:val="28"/>
        </w:rPr>
        <w:t>第三部分 采购人需求</w:t>
      </w:r>
      <w:r>
        <w:rPr>
          <w:rStyle w:val="25"/>
          <w:rFonts w:hint="eastAsia" w:ascii="宋体" w:hAnsi="宋体" w:cs="宋体"/>
          <w:b/>
          <w:bCs/>
          <w:color w:val="auto"/>
          <w:sz w:val="28"/>
          <w:szCs w:val="28"/>
        </w:rPr>
        <w:tab/>
      </w:r>
      <w:r>
        <w:rPr>
          <w:rStyle w:val="25"/>
          <w:rFonts w:hint="eastAsia" w:ascii="宋体" w:hAnsi="宋体" w:cs="宋体"/>
          <w:b/>
          <w:bCs/>
          <w:color w:val="auto"/>
          <w:sz w:val="28"/>
          <w:szCs w:val="28"/>
        </w:rPr>
        <w:fldChar w:fldCharType="begin"/>
      </w:r>
      <w:r>
        <w:rPr>
          <w:rStyle w:val="25"/>
          <w:rFonts w:hint="eastAsia" w:ascii="宋体" w:hAnsi="宋体" w:cs="宋体"/>
          <w:b/>
          <w:bCs/>
          <w:color w:val="auto"/>
          <w:sz w:val="28"/>
          <w:szCs w:val="28"/>
        </w:rPr>
        <w:instrText xml:space="preserve"> PAGEREF _Toc11570 \h </w:instrText>
      </w:r>
      <w:r>
        <w:rPr>
          <w:rStyle w:val="25"/>
          <w:rFonts w:hint="eastAsia" w:ascii="宋体" w:hAnsi="宋体" w:cs="宋体"/>
          <w:b/>
          <w:bCs/>
          <w:color w:val="auto"/>
          <w:sz w:val="28"/>
          <w:szCs w:val="28"/>
        </w:rPr>
        <w:fldChar w:fldCharType="separate"/>
      </w:r>
      <w:r>
        <w:rPr>
          <w:rStyle w:val="25"/>
          <w:rFonts w:hint="eastAsia" w:ascii="宋体" w:hAnsi="宋体" w:cs="宋体"/>
          <w:b/>
          <w:bCs/>
          <w:color w:val="auto"/>
          <w:sz w:val="28"/>
          <w:szCs w:val="28"/>
        </w:rPr>
        <w:t>2</w:t>
      </w:r>
      <w:r>
        <w:rPr>
          <w:rStyle w:val="25"/>
          <w:rFonts w:hint="eastAsia" w:ascii="宋体" w:hAnsi="宋体" w:cs="宋体"/>
          <w:b/>
          <w:bCs/>
          <w:color w:val="auto"/>
          <w:sz w:val="28"/>
          <w:szCs w:val="28"/>
          <w:lang w:val="en-US" w:eastAsia="zh-CN"/>
        </w:rPr>
        <w:t>1</w:t>
      </w:r>
      <w:r>
        <w:rPr>
          <w:rStyle w:val="25"/>
          <w:rFonts w:hint="eastAsia" w:ascii="宋体" w:hAnsi="宋体" w:cs="宋体"/>
          <w:b/>
          <w:bCs/>
          <w:color w:val="auto"/>
          <w:sz w:val="28"/>
          <w:szCs w:val="28"/>
        </w:rPr>
        <w:fldChar w:fldCharType="end"/>
      </w:r>
      <w:r>
        <w:rPr>
          <w:rStyle w:val="25"/>
          <w:rFonts w:hint="eastAsia" w:ascii="宋体" w:hAnsi="宋体" w:cs="宋体"/>
          <w:b/>
          <w:bCs/>
          <w:color w:val="auto"/>
          <w:sz w:val="28"/>
          <w:szCs w:val="28"/>
        </w:rPr>
        <w:fldChar w:fldCharType="end"/>
      </w:r>
    </w:p>
    <w:p w14:paraId="43A4EC09">
      <w:pPr>
        <w:pStyle w:val="14"/>
        <w:tabs>
          <w:tab w:val="right" w:leader="dot" w:pos="9745"/>
        </w:tabs>
        <w:spacing w:line="360" w:lineRule="auto"/>
        <w:rPr>
          <w:rFonts w:ascii="宋体" w:hAnsi="宋体" w:cs="宋体"/>
          <w:b/>
          <w:bCs/>
          <w:color w:val="auto"/>
          <w:sz w:val="28"/>
          <w:szCs w:val="28"/>
        </w:rPr>
      </w:pPr>
      <w:r>
        <w:rPr>
          <w:color w:val="auto"/>
        </w:rPr>
        <w:fldChar w:fldCharType="begin"/>
      </w:r>
      <w:r>
        <w:rPr>
          <w:color w:val="auto"/>
        </w:rPr>
        <w:instrText xml:space="preserve"> HYPERLINK "file:///C:\\Users\\Administrator\\Desktop\\安阳县再生水勘察设计26.4.23\\2、招标文件（再生水）\\招标文件正文.docx" \l "_Toc9222" </w:instrText>
      </w:r>
      <w:r>
        <w:rPr>
          <w:color w:val="auto"/>
        </w:rPr>
        <w:fldChar w:fldCharType="separate"/>
      </w:r>
      <w:r>
        <w:rPr>
          <w:rStyle w:val="25"/>
          <w:rFonts w:hint="eastAsia" w:ascii="宋体" w:hAnsi="宋体" w:cs="宋体"/>
          <w:b/>
          <w:bCs/>
          <w:color w:val="auto"/>
          <w:sz w:val="28"/>
          <w:szCs w:val="28"/>
        </w:rPr>
        <w:t>第四部分 评审标准和评审办法</w:t>
      </w:r>
      <w:r>
        <w:rPr>
          <w:rStyle w:val="25"/>
          <w:rFonts w:hint="eastAsia" w:ascii="宋体" w:hAnsi="宋体" w:cs="宋体"/>
          <w:b/>
          <w:bCs/>
          <w:color w:val="auto"/>
          <w:sz w:val="28"/>
          <w:szCs w:val="28"/>
        </w:rPr>
        <w:tab/>
      </w:r>
      <w:r>
        <w:rPr>
          <w:rStyle w:val="25"/>
          <w:rFonts w:hint="eastAsia" w:ascii="宋体" w:hAnsi="宋体" w:cs="宋体"/>
          <w:b/>
          <w:bCs/>
          <w:color w:val="auto"/>
          <w:sz w:val="28"/>
          <w:szCs w:val="28"/>
        </w:rPr>
        <w:fldChar w:fldCharType="begin"/>
      </w:r>
      <w:r>
        <w:rPr>
          <w:rStyle w:val="25"/>
          <w:rFonts w:hint="eastAsia" w:ascii="宋体" w:hAnsi="宋体" w:cs="宋体"/>
          <w:b/>
          <w:bCs/>
          <w:color w:val="auto"/>
          <w:sz w:val="28"/>
          <w:szCs w:val="28"/>
        </w:rPr>
        <w:instrText xml:space="preserve"> PAGEREF _Toc9222 \h </w:instrText>
      </w:r>
      <w:r>
        <w:rPr>
          <w:rStyle w:val="25"/>
          <w:rFonts w:hint="eastAsia" w:ascii="宋体" w:hAnsi="宋体" w:cs="宋体"/>
          <w:b/>
          <w:bCs/>
          <w:color w:val="auto"/>
          <w:sz w:val="28"/>
          <w:szCs w:val="28"/>
        </w:rPr>
        <w:fldChar w:fldCharType="separate"/>
      </w:r>
      <w:r>
        <w:rPr>
          <w:rStyle w:val="25"/>
          <w:rFonts w:hint="eastAsia" w:ascii="宋体" w:hAnsi="宋体" w:cs="宋体"/>
          <w:b/>
          <w:bCs/>
          <w:color w:val="auto"/>
          <w:sz w:val="28"/>
          <w:szCs w:val="28"/>
        </w:rPr>
        <w:t>2</w:t>
      </w:r>
      <w:r>
        <w:rPr>
          <w:rStyle w:val="25"/>
          <w:rFonts w:hint="eastAsia" w:ascii="宋体" w:hAnsi="宋体" w:cs="宋体"/>
          <w:b/>
          <w:bCs/>
          <w:color w:val="auto"/>
          <w:sz w:val="28"/>
          <w:szCs w:val="28"/>
          <w:lang w:val="en-US" w:eastAsia="zh-CN"/>
        </w:rPr>
        <w:t>3</w:t>
      </w:r>
      <w:r>
        <w:rPr>
          <w:rStyle w:val="25"/>
          <w:rFonts w:hint="eastAsia" w:ascii="宋体" w:hAnsi="宋体" w:cs="宋体"/>
          <w:b/>
          <w:bCs/>
          <w:color w:val="auto"/>
          <w:sz w:val="28"/>
          <w:szCs w:val="28"/>
        </w:rPr>
        <w:fldChar w:fldCharType="end"/>
      </w:r>
      <w:r>
        <w:rPr>
          <w:rStyle w:val="25"/>
          <w:rFonts w:hint="eastAsia" w:ascii="宋体" w:hAnsi="宋体" w:cs="宋体"/>
          <w:b/>
          <w:bCs/>
          <w:color w:val="auto"/>
          <w:sz w:val="28"/>
          <w:szCs w:val="28"/>
        </w:rPr>
        <w:fldChar w:fldCharType="end"/>
      </w:r>
    </w:p>
    <w:p w14:paraId="64AF0577">
      <w:pPr>
        <w:pStyle w:val="14"/>
        <w:tabs>
          <w:tab w:val="right" w:leader="dot" w:pos="9745"/>
        </w:tabs>
        <w:spacing w:line="360" w:lineRule="auto"/>
        <w:rPr>
          <w:rFonts w:hint="eastAsia" w:ascii="宋体" w:hAnsi="宋体" w:eastAsia="宋体" w:cs="宋体"/>
          <w:b/>
          <w:bCs/>
          <w:color w:val="auto"/>
          <w:sz w:val="28"/>
          <w:szCs w:val="28"/>
          <w:lang w:val="en-US" w:eastAsia="zh-CN"/>
        </w:rPr>
      </w:pPr>
      <w:r>
        <w:rPr>
          <w:color w:val="auto"/>
        </w:rPr>
        <w:fldChar w:fldCharType="begin"/>
      </w:r>
      <w:r>
        <w:rPr>
          <w:color w:val="auto"/>
        </w:rPr>
        <w:instrText xml:space="preserve"> HYPERLINK "file:///C:\\Users\\Administrator\\Desktop\\安阳县再生水勘察设计26.4.23\\2、招标文件（再生水）\\招标文件正文.docx" \l "_Toc32256" </w:instrText>
      </w:r>
      <w:r>
        <w:rPr>
          <w:color w:val="auto"/>
        </w:rPr>
        <w:fldChar w:fldCharType="separate"/>
      </w:r>
      <w:r>
        <w:rPr>
          <w:rStyle w:val="25"/>
          <w:rFonts w:hint="eastAsia" w:ascii="宋体" w:hAnsi="宋体" w:cs="宋体"/>
          <w:b/>
          <w:bCs/>
          <w:color w:val="auto"/>
          <w:sz w:val="28"/>
          <w:szCs w:val="28"/>
        </w:rPr>
        <w:t>第五部分  合同（格式）</w:t>
      </w:r>
      <w:r>
        <w:rPr>
          <w:rStyle w:val="25"/>
          <w:rFonts w:hint="eastAsia" w:ascii="宋体" w:hAnsi="宋体" w:cs="宋体"/>
          <w:b/>
          <w:bCs/>
          <w:color w:val="auto"/>
          <w:sz w:val="28"/>
          <w:szCs w:val="28"/>
        </w:rPr>
        <w:tab/>
      </w:r>
      <w:r>
        <w:rPr>
          <w:rStyle w:val="25"/>
          <w:rFonts w:hint="eastAsia" w:ascii="宋体" w:hAnsi="宋体" w:cs="宋体"/>
          <w:b/>
          <w:bCs/>
          <w:color w:val="auto"/>
          <w:sz w:val="28"/>
          <w:szCs w:val="28"/>
          <w:lang w:val="en-US" w:eastAsia="zh-CN"/>
        </w:rPr>
        <w:t>3</w:t>
      </w:r>
      <w:r>
        <w:rPr>
          <w:rStyle w:val="25"/>
          <w:rFonts w:hint="eastAsia" w:ascii="宋体" w:hAnsi="宋体" w:cs="宋体"/>
          <w:b/>
          <w:bCs/>
          <w:color w:val="auto"/>
          <w:sz w:val="28"/>
          <w:szCs w:val="28"/>
        </w:rPr>
        <w:fldChar w:fldCharType="end"/>
      </w:r>
      <w:r>
        <w:rPr>
          <w:rStyle w:val="25"/>
          <w:rFonts w:hint="eastAsia" w:ascii="宋体" w:hAnsi="宋体" w:cs="宋体"/>
          <w:b/>
          <w:bCs/>
          <w:color w:val="auto"/>
          <w:sz w:val="28"/>
          <w:szCs w:val="28"/>
          <w:lang w:val="en-US" w:eastAsia="zh-CN"/>
        </w:rPr>
        <w:t>3</w:t>
      </w:r>
    </w:p>
    <w:p w14:paraId="4E0356C9">
      <w:pPr>
        <w:pStyle w:val="14"/>
        <w:tabs>
          <w:tab w:val="right" w:leader="dot" w:pos="9745"/>
        </w:tabs>
        <w:spacing w:line="360" w:lineRule="auto"/>
        <w:rPr>
          <w:rFonts w:ascii="宋体" w:hAnsi="宋体" w:cs="宋体"/>
          <w:b/>
          <w:bCs/>
          <w:color w:val="auto"/>
          <w:sz w:val="28"/>
          <w:szCs w:val="28"/>
        </w:rPr>
      </w:pPr>
      <w:r>
        <w:rPr>
          <w:color w:val="auto"/>
        </w:rPr>
        <w:fldChar w:fldCharType="begin"/>
      </w:r>
      <w:r>
        <w:rPr>
          <w:color w:val="auto"/>
        </w:rPr>
        <w:instrText xml:space="preserve"> HYPERLINK "file:///C:\\Users\\Administrator\\Desktop\\安阳县再生水勘察设计26.4.23\\2、招标文件（再生水）\\招标文件正文.docx" \l "_Toc18549" </w:instrText>
      </w:r>
      <w:r>
        <w:rPr>
          <w:color w:val="auto"/>
        </w:rPr>
        <w:fldChar w:fldCharType="separate"/>
      </w:r>
      <w:r>
        <w:rPr>
          <w:rStyle w:val="25"/>
          <w:rFonts w:hint="eastAsia" w:ascii="宋体" w:hAnsi="宋体" w:cs="宋体"/>
          <w:b/>
          <w:bCs/>
          <w:color w:val="auto"/>
          <w:sz w:val="28"/>
          <w:szCs w:val="28"/>
        </w:rPr>
        <w:t>第六部分 附件——响应文件格式</w:t>
      </w:r>
      <w:r>
        <w:rPr>
          <w:rStyle w:val="25"/>
          <w:rFonts w:hint="eastAsia" w:ascii="宋体" w:hAnsi="宋体" w:cs="宋体"/>
          <w:b/>
          <w:bCs/>
          <w:color w:val="auto"/>
          <w:sz w:val="28"/>
          <w:szCs w:val="28"/>
        </w:rPr>
        <w:tab/>
      </w:r>
      <w:r>
        <w:rPr>
          <w:rStyle w:val="25"/>
          <w:rFonts w:hint="eastAsia" w:ascii="宋体" w:hAnsi="宋体" w:cs="宋体"/>
          <w:b/>
          <w:bCs/>
          <w:color w:val="auto"/>
          <w:sz w:val="28"/>
          <w:szCs w:val="28"/>
        </w:rPr>
        <w:fldChar w:fldCharType="begin"/>
      </w:r>
      <w:r>
        <w:rPr>
          <w:rStyle w:val="25"/>
          <w:rFonts w:hint="eastAsia" w:ascii="宋体" w:hAnsi="宋体" w:cs="宋体"/>
          <w:b/>
          <w:bCs/>
          <w:color w:val="auto"/>
          <w:sz w:val="28"/>
          <w:szCs w:val="28"/>
        </w:rPr>
        <w:instrText xml:space="preserve"> PAGEREF _Toc18549 \h </w:instrText>
      </w:r>
      <w:r>
        <w:rPr>
          <w:rStyle w:val="25"/>
          <w:rFonts w:hint="eastAsia" w:ascii="宋体" w:hAnsi="宋体" w:cs="宋体"/>
          <w:b/>
          <w:bCs/>
          <w:color w:val="auto"/>
          <w:sz w:val="28"/>
          <w:szCs w:val="28"/>
        </w:rPr>
        <w:fldChar w:fldCharType="separate"/>
      </w:r>
      <w:r>
        <w:rPr>
          <w:rStyle w:val="25"/>
          <w:rFonts w:hint="eastAsia" w:ascii="宋体" w:hAnsi="宋体" w:cs="宋体"/>
          <w:b/>
          <w:bCs/>
          <w:color w:val="auto"/>
          <w:sz w:val="28"/>
          <w:szCs w:val="28"/>
        </w:rPr>
        <w:t>4</w:t>
      </w:r>
      <w:r>
        <w:rPr>
          <w:rStyle w:val="25"/>
          <w:rFonts w:hint="eastAsia" w:ascii="宋体" w:hAnsi="宋体" w:cs="宋体"/>
          <w:b/>
          <w:bCs/>
          <w:color w:val="auto"/>
          <w:sz w:val="28"/>
          <w:szCs w:val="28"/>
          <w:lang w:val="en-US" w:eastAsia="zh-CN"/>
        </w:rPr>
        <w:t>4</w:t>
      </w:r>
      <w:r>
        <w:rPr>
          <w:rStyle w:val="25"/>
          <w:rFonts w:hint="eastAsia" w:ascii="宋体" w:hAnsi="宋体" w:cs="宋体"/>
          <w:b/>
          <w:bCs/>
          <w:color w:val="auto"/>
          <w:sz w:val="28"/>
          <w:szCs w:val="28"/>
        </w:rPr>
        <w:fldChar w:fldCharType="end"/>
      </w:r>
      <w:r>
        <w:rPr>
          <w:rStyle w:val="25"/>
          <w:rFonts w:hint="eastAsia" w:ascii="宋体" w:hAnsi="宋体" w:cs="宋体"/>
          <w:b/>
          <w:bCs/>
          <w:color w:val="auto"/>
          <w:sz w:val="28"/>
          <w:szCs w:val="28"/>
        </w:rPr>
        <w:fldChar w:fldCharType="end"/>
      </w:r>
    </w:p>
    <w:p w14:paraId="56FE2004">
      <w:pPr>
        <w:rPr>
          <w:color w:val="auto"/>
        </w:rPr>
      </w:pPr>
      <w:r>
        <w:rPr>
          <w:rFonts w:hint="eastAsia" w:ascii="宋体" w:hAnsi="宋体" w:cs="宋体"/>
          <w:b/>
          <w:bCs/>
          <w:color w:val="auto"/>
          <w:sz w:val="28"/>
          <w:szCs w:val="28"/>
        </w:rPr>
        <w:fldChar w:fldCharType="end"/>
      </w:r>
    </w:p>
    <w:p w14:paraId="71479B8B">
      <w:pPr>
        <w:widowControl w:val="0"/>
        <w:snapToGrid w:val="0"/>
        <w:spacing w:line="660" w:lineRule="exact"/>
        <w:ind w:firstLine="607" w:firstLineChars="168"/>
        <w:rPr>
          <w:rFonts w:ascii="黑体" w:hAnsi="黑体" w:eastAsia="黑体"/>
          <w:b/>
          <w:color w:val="auto"/>
          <w:sz w:val="36"/>
          <w:szCs w:val="36"/>
        </w:rPr>
      </w:pPr>
    </w:p>
    <w:p w14:paraId="383D9117">
      <w:pPr>
        <w:widowControl w:val="0"/>
        <w:snapToGrid w:val="0"/>
        <w:spacing w:line="560" w:lineRule="exact"/>
        <w:ind w:firstLine="181" w:firstLineChars="50"/>
        <w:rPr>
          <w:rFonts w:ascii="黑体" w:eastAsia="黑体"/>
          <w:b/>
          <w:color w:val="auto"/>
          <w:sz w:val="36"/>
          <w:szCs w:val="36"/>
        </w:rPr>
        <w:sectPr>
          <w:pgSz w:w="11905" w:h="16837"/>
          <w:pgMar w:top="1418" w:right="1106" w:bottom="1418" w:left="1418" w:header="567" w:footer="567" w:gutter="0"/>
          <w:pgNumType w:fmt="numberInDash" w:start="0"/>
          <w:cols w:space="720" w:num="1"/>
          <w:titlePg/>
        </w:sectPr>
      </w:pPr>
    </w:p>
    <w:p w14:paraId="57B20643">
      <w:pPr>
        <w:widowControl w:val="0"/>
        <w:snapToGrid w:val="0"/>
        <w:spacing w:line="560" w:lineRule="exact"/>
        <w:jc w:val="center"/>
        <w:outlineLvl w:val="0"/>
        <w:rPr>
          <w:color w:val="auto"/>
          <w:sz w:val="28"/>
          <w:szCs w:val="28"/>
        </w:rPr>
      </w:pPr>
      <w:bookmarkStart w:id="5" w:name="_Toc192581409"/>
      <w:r>
        <w:rPr>
          <w:rFonts w:hint="eastAsia" w:eastAsia="黑体"/>
          <w:b/>
          <w:color w:val="auto"/>
          <w:sz w:val="36"/>
          <w:szCs w:val="36"/>
        </w:rPr>
        <w:t>第一</w:t>
      </w:r>
      <w:r>
        <w:rPr>
          <w:rFonts w:hint="eastAsia" w:eastAsia="黑体"/>
          <w:b/>
          <w:color w:val="auto"/>
          <w:sz w:val="36"/>
          <w:szCs w:val="36"/>
          <w:lang w:val="en-US" w:eastAsia="zh-CN"/>
        </w:rPr>
        <w:t xml:space="preserve">部分 </w:t>
      </w:r>
      <w:r>
        <w:rPr>
          <w:rFonts w:hint="eastAsia" w:eastAsia="黑体"/>
          <w:b/>
          <w:color w:val="auto"/>
          <w:sz w:val="36"/>
          <w:szCs w:val="36"/>
        </w:rPr>
        <w:t>竞争性磋商公告</w:t>
      </w:r>
      <w:bookmarkEnd w:id="5"/>
    </w:p>
    <w:p w14:paraId="668771AC">
      <w:pPr>
        <w:widowControl w:val="0"/>
        <w:adjustRightInd w:val="0"/>
        <w:snapToGrid w:val="0"/>
        <w:spacing w:line="360" w:lineRule="auto"/>
        <w:ind w:firstLine="632" w:firstLineChars="225"/>
        <w:jc w:val="left"/>
        <w:rPr>
          <w:rFonts w:ascii="黑体" w:hAnsi="黑体" w:eastAsia="黑体"/>
          <w:b/>
          <w:color w:val="auto"/>
          <w:sz w:val="28"/>
          <w:szCs w:val="28"/>
        </w:rPr>
      </w:pPr>
      <w:r>
        <w:rPr>
          <w:rFonts w:hint="eastAsia" w:ascii="黑体" w:hAnsi="黑体" w:eastAsia="黑体"/>
          <w:b/>
          <w:color w:val="auto"/>
          <w:sz w:val="28"/>
          <w:szCs w:val="28"/>
          <w:lang w:val="en-US" w:eastAsia="zh-CN"/>
        </w:rPr>
        <w:t>一</w:t>
      </w:r>
      <w:r>
        <w:rPr>
          <w:rFonts w:hint="eastAsia" w:ascii="黑体" w:hAnsi="黑体" w:eastAsia="黑体"/>
          <w:b/>
          <w:color w:val="auto"/>
          <w:sz w:val="28"/>
          <w:szCs w:val="28"/>
        </w:rPr>
        <w:t>.项目基本情况</w:t>
      </w:r>
    </w:p>
    <w:p w14:paraId="0F3A3518">
      <w:pPr>
        <w:widowControl w:val="0"/>
        <w:adjustRightInd w:val="0"/>
        <w:snapToGrid w:val="0"/>
        <w:spacing w:line="360" w:lineRule="auto"/>
        <w:ind w:firstLine="540" w:firstLineChars="225"/>
        <w:jc w:val="left"/>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lang w:val="en-US" w:eastAsia="zh-CN"/>
        </w:rPr>
        <w:t>.</w:t>
      </w:r>
      <w:r>
        <w:rPr>
          <w:rFonts w:hint="eastAsia" w:ascii="宋体" w:hAnsi="宋体"/>
          <w:color w:val="auto"/>
          <w:sz w:val="24"/>
          <w:szCs w:val="24"/>
        </w:rPr>
        <w:t>项目编号：</w:t>
      </w:r>
      <w:r>
        <w:rPr>
          <w:rFonts w:hint="eastAsia" w:ascii="宋体" w:hAnsi="宋体"/>
          <w:color w:val="auto"/>
          <w:sz w:val="24"/>
          <w:szCs w:val="24"/>
          <w:lang w:val="en-US" w:eastAsia="zh-CN"/>
        </w:rPr>
        <w:t>安开财磋商采购-2026-18</w:t>
      </w:r>
    </w:p>
    <w:p w14:paraId="4EAA7A46">
      <w:pPr>
        <w:spacing w:before="33" w:line="360" w:lineRule="auto"/>
        <w:ind w:firstLine="480" w:firstLineChars="200"/>
        <w:rPr>
          <w:rFonts w:ascii="宋体" w:hAnsi="宋体" w:cs="宋体"/>
          <w:color w:val="auto"/>
          <w:sz w:val="24"/>
          <w:szCs w:val="24"/>
        </w:rPr>
      </w:pPr>
      <w:r>
        <w:rPr>
          <w:rFonts w:ascii="宋体" w:hAnsi="宋体"/>
          <w:color w:val="auto"/>
          <w:sz w:val="24"/>
          <w:szCs w:val="24"/>
        </w:rPr>
        <w:t>2</w:t>
      </w:r>
      <w:r>
        <w:rPr>
          <w:rFonts w:hint="eastAsia" w:ascii="宋体" w:hAnsi="宋体"/>
          <w:color w:val="auto"/>
          <w:sz w:val="24"/>
          <w:szCs w:val="24"/>
          <w:lang w:val="en-US" w:eastAsia="zh-CN"/>
        </w:rPr>
        <w:t>.</w:t>
      </w:r>
      <w:r>
        <w:rPr>
          <w:rFonts w:hint="eastAsia" w:ascii="宋体" w:hAnsi="宋体"/>
          <w:color w:val="auto"/>
          <w:sz w:val="24"/>
          <w:szCs w:val="24"/>
        </w:rPr>
        <w:t>项目名称</w:t>
      </w:r>
      <w:bookmarkStart w:id="6" w:name="OLE_LINK47"/>
      <w:r>
        <w:rPr>
          <w:rFonts w:hint="eastAsia" w:ascii="宋体" w:hAnsi="宋体"/>
          <w:color w:val="auto"/>
          <w:sz w:val="24"/>
          <w:szCs w:val="24"/>
        </w:rPr>
        <w:t>：</w:t>
      </w:r>
      <w:bookmarkEnd w:id="6"/>
      <w:r>
        <w:rPr>
          <w:rFonts w:hint="eastAsia" w:asciiTheme="minorEastAsia" w:hAnsiTheme="minorEastAsia" w:eastAsiaTheme="minorEastAsia"/>
          <w:color w:val="auto"/>
          <w:sz w:val="24"/>
          <w:szCs w:val="24"/>
        </w:rPr>
        <w:t>安阳高新技术产业开发区智慧城市运营中心长江大道东段（东风路-光明路）雨水管网改造施工图设计项目</w:t>
      </w:r>
    </w:p>
    <w:p w14:paraId="09DB1DF9">
      <w:pPr>
        <w:widowControl w:val="0"/>
        <w:adjustRightInd w:val="0"/>
        <w:snapToGrid w:val="0"/>
        <w:spacing w:line="360" w:lineRule="auto"/>
        <w:ind w:firstLine="480" w:firstLineChars="200"/>
        <w:jc w:val="left"/>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w:t>
      </w:r>
      <w:r>
        <w:rPr>
          <w:rFonts w:hint="eastAsia" w:ascii="宋体" w:hAnsi="宋体"/>
          <w:color w:val="auto"/>
          <w:sz w:val="24"/>
          <w:szCs w:val="24"/>
        </w:rPr>
        <w:t>采购方式：竞争性磋商</w:t>
      </w:r>
    </w:p>
    <w:p w14:paraId="6559C587">
      <w:pPr>
        <w:widowControl w:val="0"/>
        <w:adjustRightInd w:val="0"/>
        <w:snapToGrid w:val="0"/>
        <w:spacing w:line="360" w:lineRule="auto"/>
        <w:ind w:firstLine="480" w:firstLineChars="200"/>
        <w:jc w:val="left"/>
        <w:rPr>
          <w:rFonts w:ascii="宋体" w:hAnsi="宋体"/>
          <w:color w:val="auto"/>
          <w:sz w:val="24"/>
          <w:szCs w:val="24"/>
        </w:rPr>
      </w:pPr>
      <w:r>
        <w:rPr>
          <w:rFonts w:hint="eastAsia" w:ascii="宋体" w:hAnsi="宋体"/>
          <w:color w:val="auto"/>
          <w:sz w:val="24"/>
          <w:szCs w:val="24"/>
        </w:rPr>
        <w:t>4</w:t>
      </w:r>
      <w:r>
        <w:rPr>
          <w:rFonts w:hint="eastAsia" w:ascii="宋体" w:hAnsi="宋体"/>
          <w:color w:val="auto"/>
          <w:sz w:val="24"/>
          <w:szCs w:val="24"/>
          <w:lang w:val="en-US" w:eastAsia="zh-CN"/>
        </w:rPr>
        <w:t>.</w:t>
      </w:r>
      <w:r>
        <w:rPr>
          <w:rFonts w:hint="eastAsia" w:ascii="宋体" w:hAnsi="宋体"/>
          <w:color w:val="auto"/>
          <w:sz w:val="24"/>
          <w:szCs w:val="24"/>
        </w:rPr>
        <w:t>预算金额：46.00万元</w:t>
      </w:r>
    </w:p>
    <w:p w14:paraId="53433BAF">
      <w:pPr>
        <w:pStyle w:val="17"/>
        <w:spacing w:before="0" w:beforeAutospacing="0" w:after="0" w:afterAutospacing="0" w:line="360" w:lineRule="auto"/>
        <w:ind w:firstLine="480" w:firstLineChars="200"/>
        <w:rPr>
          <w:color w:val="auto"/>
        </w:rPr>
      </w:pPr>
      <w:r>
        <w:rPr>
          <w:rFonts w:hint="eastAsia"/>
          <w:color w:val="auto"/>
        </w:rPr>
        <w:t>最高限价：46.00万元</w:t>
      </w:r>
    </w:p>
    <w:tbl>
      <w:tblPr>
        <w:tblStyle w:val="19"/>
        <w:tblW w:w="9717" w:type="dxa"/>
        <w:tblInd w:w="-27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71"/>
        <w:gridCol w:w="1058"/>
        <w:gridCol w:w="2708"/>
        <w:gridCol w:w="1276"/>
        <w:gridCol w:w="1283"/>
        <w:gridCol w:w="1350"/>
        <w:gridCol w:w="1271"/>
      </w:tblGrid>
      <w:tr w14:paraId="00EB070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500" w:hRule="atLeast"/>
        </w:trPr>
        <w:tc>
          <w:tcPr>
            <w:tcW w:w="771" w:type="dxa"/>
            <w:tcBorders>
              <w:top w:val="single" w:color="000000" w:sz="2" w:space="0"/>
              <w:left w:val="single" w:color="000000" w:sz="6" w:space="0"/>
              <w:bottom w:val="single" w:color="auto" w:sz="4" w:space="0"/>
              <w:right w:val="single" w:color="auto" w:sz="4" w:space="0"/>
            </w:tcBorders>
            <w:vAlign w:val="center"/>
          </w:tcPr>
          <w:p w14:paraId="390F16E4">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序号</w:t>
            </w:r>
          </w:p>
        </w:tc>
        <w:tc>
          <w:tcPr>
            <w:tcW w:w="1058" w:type="dxa"/>
            <w:tcBorders>
              <w:top w:val="single" w:color="000000" w:sz="2" w:space="0"/>
              <w:left w:val="single" w:color="000000" w:sz="6" w:space="0"/>
              <w:bottom w:val="single" w:color="auto" w:sz="4" w:space="0"/>
              <w:right w:val="single" w:color="auto" w:sz="4" w:space="0"/>
            </w:tcBorders>
            <w:vAlign w:val="center"/>
          </w:tcPr>
          <w:p w14:paraId="5290709C">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包号</w:t>
            </w:r>
          </w:p>
        </w:tc>
        <w:tc>
          <w:tcPr>
            <w:tcW w:w="2708" w:type="dxa"/>
            <w:tcBorders>
              <w:top w:val="single" w:color="000000" w:sz="2" w:space="0"/>
              <w:left w:val="single" w:color="auto" w:sz="4" w:space="0"/>
              <w:bottom w:val="single" w:color="auto" w:sz="4" w:space="0"/>
              <w:right w:val="single" w:color="auto" w:sz="4" w:space="0"/>
            </w:tcBorders>
            <w:vAlign w:val="center"/>
          </w:tcPr>
          <w:p w14:paraId="23C1A34E">
            <w:pPr>
              <w:ind w:left="180"/>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包名称</w:t>
            </w:r>
          </w:p>
        </w:tc>
        <w:tc>
          <w:tcPr>
            <w:tcW w:w="1276" w:type="dxa"/>
            <w:tcBorders>
              <w:top w:val="single" w:color="000000" w:sz="2" w:space="0"/>
              <w:left w:val="single" w:color="auto" w:sz="4" w:space="0"/>
              <w:bottom w:val="single" w:color="auto" w:sz="4" w:space="0"/>
              <w:right w:val="single" w:color="000000" w:sz="6" w:space="0"/>
            </w:tcBorders>
            <w:vAlign w:val="center"/>
          </w:tcPr>
          <w:p w14:paraId="4DB99637">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包预算（元）</w:t>
            </w:r>
          </w:p>
        </w:tc>
        <w:tc>
          <w:tcPr>
            <w:tcW w:w="1283" w:type="dxa"/>
            <w:tcBorders>
              <w:top w:val="single" w:color="000000" w:sz="2" w:space="0"/>
              <w:left w:val="single" w:color="000000" w:sz="6" w:space="0"/>
              <w:bottom w:val="single" w:color="auto" w:sz="4" w:space="0"/>
              <w:right w:val="single" w:color="000000" w:sz="6" w:space="0"/>
            </w:tcBorders>
            <w:vAlign w:val="center"/>
          </w:tcPr>
          <w:p w14:paraId="7CA448A5">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包最高限价（元）</w:t>
            </w:r>
          </w:p>
        </w:tc>
        <w:tc>
          <w:tcPr>
            <w:tcW w:w="1350" w:type="dxa"/>
            <w:tcBorders>
              <w:top w:val="single" w:color="000000" w:sz="2" w:space="0"/>
              <w:left w:val="single" w:color="000000" w:sz="6" w:space="0"/>
              <w:bottom w:val="single" w:color="auto" w:sz="4" w:space="0"/>
              <w:right w:val="single" w:color="000000" w:sz="6" w:space="0"/>
            </w:tcBorders>
            <w:vAlign w:val="center"/>
          </w:tcPr>
          <w:p w14:paraId="7761DB6A">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是否专门面向中小企业</w:t>
            </w:r>
          </w:p>
        </w:tc>
        <w:tc>
          <w:tcPr>
            <w:tcW w:w="1271" w:type="dxa"/>
            <w:tcBorders>
              <w:top w:val="single" w:color="000000" w:sz="2" w:space="0"/>
              <w:left w:val="single" w:color="000000" w:sz="6" w:space="0"/>
              <w:bottom w:val="single" w:color="auto" w:sz="4" w:space="0"/>
              <w:right w:val="single" w:color="000000" w:sz="6" w:space="0"/>
            </w:tcBorders>
            <w:vAlign w:val="center"/>
          </w:tcPr>
          <w:p w14:paraId="74CAB178">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采购预留金额（元）</w:t>
            </w:r>
          </w:p>
        </w:tc>
      </w:tr>
      <w:tr w14:paraId="1CAA1DC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cantSplit/>
          <w:trHeight w:val="940" w:hRule="atLeast"/>
        </w:trPr>
        <w:tc>
          <w:tcPr>
            <w:tcW w:w="771" w:type="dxa"/>
            <w:tcBorders>
              <w:top w:val="single" w:color="000000" w:sz="6" w:space="0"/>
              <w:left w:val="single" w:color="000000" w:sz="6" w:space="0"/>
              <w:bottom w:val="single" w:color="000000" w:sz="6" w:space="0"/>
              <w:right w:val="single" w:color="auto" w:sz="4" w:space="0"/>
            </w:tcBorders>
            <w:vAlign w:val="center"/>
          </w:tcPr>
          <w:p w14:paraId="3336E49C">
            <w:pPr>
              <w:jc w:val="center"/>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1</w:t>
            </w:r>
          </w:p>
        </w:tc>
        <w:tc>
          <w:tcPr>
            <w:tcW w:w="1058" w:type="dxa"/>
            <w:tcBorders>
              <w:top w:val="single" w:color="000000" w:sz="6" w:space="0"/>
              <w:left w:val="single" w:color="000000" w:sz="6" w:space="0"/>
              <w:bottom w:val="single" w:color="000000" w:sz="6" w:space="0"/>
              <w:right w:val="single" w:color="auto" w:sz="4" w:space="0"/>
            </w:tcBorders>
            <w:vAlign w:val="center"/>
          </w:tcPr>
          <w:p w14:paraId="4184BE09">
            <w:pPr>
              <w:jc w:val="center"/>
              <w:rPr>
                <w:rFonts w:asciiTheme="minorEastAsia" w:hAnsiTheme="minorEastAsia" w:eastAsiaTheme="minorEastAsia"/>
                <w:bCs/>
                <w:iCs/>
                <w:color w:val="auto"/>
                <w:sz w:val="24"/>
                <w:szCs w:val="24"/>
              </w:rPr>
            </w:pPr>
            <w:r>
              <w:rPr>
                <w:rFonts w:hint="eastAsia" w:asciiTheme="minorEastAsia" w:hAnsiTheme="minorEastAsia" w:eastAsiaTheme="minorEastAsia"/>
                <w:bCs/>
                <w:iCs/>
                <w:color w:val="auto"/>
                <w:sz w:val="24"/>
                <w:szCs w:val="24"/>
                <w:lang w:val="en-US" w:eastAsia="zh-CN"/>
              </w:rPr>
              <w:t>安开财磋商采购-2026-18</w:t>
            </w:r>
          </w:p>
        </w:tc>
        <w:tc>
          <w:tcPr>
            <w:tcW w:w="2708" w:type="dxa"/>
            <w:tcBorders>
              <w:top w:val="single" w:color="000000" w:sz="6" w:space="0"/>
              <w:left w:val="single" w:color="auto" w:sz="4" w:space="0"/>
              <w:bottom w:val="single" w:color="000000" w:sz="6" w:space="0"/>
              <w:right w:val="single" w:color="auto" w:sz="4" w:space="0"/>
            </w:tcBorders>
            <w:vAlign w:val="center"/>
          </w:tcPr>
          <w:p w14:paraId="122132B6">
            <w:pPr>
              <w:ind w:left="105"/>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安阳高新技术产业开发区智慧城市运营中心长江大道东段（东风路-光明路）雨水管网改造施工图设计项目</w:t>
            </w:r>
          </w:p>
        </w:tc>
        <w:tc>
          <w:tcPr>
            <w:tcW w:w="1276" w:type="dxa"/>
            <w:tcBorders>
              <w:top w:val="single" w:color="000000" w:sz="6" w:space="0"/>
              <w:left w:val="single" w:color="auto" w:sz="4" w:space="0"/>
              <w:bottom w:val="single" w:color="000000" w:sz="6" w:space="0"/>
              <w:right w:val="single" w:color="000000" w:sz="6" w:space="0"/>
            </w:tcBorders>
            <w:vAlign w:val="center"/>
          </w:tcPr>
          <w:p w14:paraId="65AF882A">
            <w:pPr>
              <w:ind w:left="105"/>
              <w:jc w:val="center"/>
              <w:rPr>
                <w:rFonts w:asciiTheme="minorEastAsia" w:hAnsiTheme="minorEastAsia" w:eastAsiaTheme="minorEastAsia"/>
                <w:color w:val="auto"/>
                <w:sz w:val="24"/>
                <w:szCs w:val="24"/>
              </w:rPr>
            </w:pPr>
            <w:bookmarkStart w:id="68" w:name="_GoBack"/>
            <w:r>
              <w:rPr>
                <w:rFonts w:hint="eastAsia" w:asciiTheme="minorEastAsia" w:hAnsiTheme="minorEastAsia" w:eastAsiaTheme="minorEastAsia"/>
                <w:sz w:val="24"/>
                <w:szCs w:val="24"/>
              </w:rPr>
              <w:t>460000</w:t>
            </w:r>
            <w:bookmarkEnd w:id="68"/>
            <w:r>
              <w:rPr>
                <w:rFonts w:hint="eastAsia" w:asciiTheme="minorEastAsia" w:hAnsiTheme="minorEastAsia" w:eastAsiaTheme="minorEastAsia"/>
                <w:sz w:val="24"/>
                <w:szCs w:val="24"/>
              </w:rPr>
              <w:t>.00</w:t>
            </w:r>
          </w:p>
        </w:tc>
        <w:tc>
          <w:tcPr>
            <w:tcW w:w="1283" w:type="dxa"/>
            <w:tcBorders>
              <w:top w:val="single" w:color="000000" w:sz="6" w:space="0"/>
              <w:left w:val="single" w:color="000000" w:sz="6" w:space="0"/>
              <w:bottom w:val="single" w:color="000000" w:sz="6" w:space="0"/>
              <w:right w:val="single" w:color="000000" w:sz="6" w:space="0"/>
            </w:tcBorders>
            <w:vAlign w:val="center"/>
          </w:tcPr>
          <w:p w14:paraId="125D95B8">
            <w:pPr>
              <w:ind w:left="105"/>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460000.00</w:t>
            </w:r>
          </w:p>
        </w:tc>
        <w:tc>
          <w:tcPr>
            <w:tcW w:w="1350" w:type="dxa"/>
            <w:tcBorders>
              <w:top w:val="single" w:color="000000" w:sz="6" w:space="0"/>
              <w:left w:val="single" w:color="000000" w:sz="6" w:space="0"/>
              <w:bottom w:val="single" w:color="000000" w:sz="6" w:space="0"/>
              <w:right w:val="single" w:color="000000" w:sz="6" w:space="0"/>
            </w:tcBorders>
            <w:vAlign w:val="center"/>
          </w:tcPr>
          <w:p w14:paraId="1548D45D">
            <w:pPr>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是</w:t>
            </w:r>
          </w:p>
        </w:tc>
        <w:tc>
          <w:tcPr>
            <w:tcW w:w="1271" w:type="dxa"/>
            <w:tcBorders>
              <w:top w:val="single" w:color="000000" w:sz="6" w:space="0"/>
              <w:left w:val="single" w:color="000000" w:sz="6" w:space="0"/>
              <w:bottom w:val="single" w:color="000000" w:sz="6" w:space="0"/>
              <w:right w:val="single" w:color="000000" w:sz="6" w:space="0"/>
            </w:tcBorders>
            <w:vAlign w:val="center"/>
          </w:tcPr>
          <w:p w14:paraId="78E6D289">
            <w:pPr>
              <w:jc w:val="center"/>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460000.00</w:t>
            </w:r>
          </w:p>
        </w:tc>
      </w:tr>
    </w:tbl>
    <w:p w14:paraId="335EC6DA">
      <w:pPr>
        <w:pStyle w:val="17"/>
        <w:spacing w:before="0" w:beforeAutospacing="0" w:after="0" w:afterAutospacing="0" w:line="360" w:lineRule="auto"/>
        <w:ind w:firstLine="480" w:firstLineChars="200"/>
        <w:rPr>
          <w:color w:val="auto"/>
        </w:rPr>
      </w:pPr>
      <w:bookmarkStart w:id="7" w:name="OLE_LINK18"/>
      <w:r>
        <w:rPr>
          <w:rFonts w:hint="eastAsia"/>
          <w:color w:val="auto"/>
        </w:rPr>
        <w:t>5、采购需求（包括但不限于标的的名称、数量、简要技术需求或服务要求等）</w:t>
      </w:r>
    </w:p>
    <w:p w14:paraId="41CC5A09">
      <w:pPr>
        <w:pStyle w:val="17"/>
        <w:spacing w:before="0" w:beforeAutospacing="0" w:after="0" w:afterAutospacing="0" w:line="360" w:lineRule="auto"/>
        <w:ind w:firstLine="480" w:firstLineChars="200"/>
        <w:rPr>
          <w:color w:val="auto"/>
        </w:rPr>
      </w:pPr>
      <w:r>
        <w:rPr>
          <w:rFonts w:hint="eastAsia"/>
          <w:color w:val="auto"/>
        </w:rPr>
        <w:t>5.1采购内容：</w:t>
      </w:r>
      <w:r>
        <w:rPr>
          <w:rFonts w:hint="eastAsia"/>
          <w:color w:val="auto"/>
          <w:spacing w:val="2"/>
        </w:rPr>
        <w:t>本项目施工图设计及预算编制</w:t>
      </w:r>
      <w:r>
        <w:rPr>
          <w:rFonts w:hint="eastAsia"/>
          <w:color w:val="auto"/>
        </w:rPr>
        <w:t>。</w:t>
      </w:r>
    </w:p>
    <w:p w14:paraId="213A18C4">
      <w:pPr>
        <w:pStyle w:val="17"/>
        <w:spacing w:before="0" w:beforeAutospacing="0" w:after="0" w:afterAutospacing="0" w:line="360" w:lineRule="auto"/>
        <w:ind w:firstLine="480" w:firstLineChars="200"/>
        <w:rPr>
          <w:color w:val="auto"/>
        </w:rPr>
      </w:pPr>
      <w:r>
        <w:rPr>
          <w:rFonts w:hint="eastAsia"/>
          <w:color w:val="auto"/>
        </w:rPr>
        <w:t>5.2技术要求：</w:t>
      </w:r>
      <w:r>
        <w:rPr>
          <w:rFonts w:hint="eastAsia"/>
          <w:color w:val="auto"/>
          <w:spacing w:val="2"/>
        </w:rPr>
        <w:t>具体内容详见项目采购文件第三部分。</w:t>
      </w:r>
    </w:p>
    <w:p w14:paraId="432CB6E1">
      <w:pPr>
        <w:pStyle w:val="17"/>
        <w:spacing w:before="0" w:beforeAutospacing="0" w:after="0" w:afterAutospacing="0" w:line="360" w:lineRule="auto"/>
        <w:ind w:firstLine="480" w:firstLineChars="200"/>
        <w:rPr>
          <w:color w:val="auto"/>
        </w:rPr>
      </w:pPr>
      <w:r>
        <w:rPr>
          <w:rFonts w:hint="eastAsia"/>
          <w:color w:val="auto"/>
        </w:rPr>
        <w:t>5.3服务地点：采购人指定地点。</w:t>
      </w:r>
    </w:p>
    <w:p w14:paraId="07B3D4C8">
      <w:pPr>
        <w:pStyle w:val="17"/>
        <w:spacing w:before="0" w:beforeAutospacing="0" w:after="0" w:afterAutospacing="0" w:line="360" w:lineRule="auto"/>
        <w:ind w:firstLine="480" w:firstLineChars="200"/>
        <w:rPr>
          <w:color w:val="auto"/>
        </w:rPr>
      </w:pPr>
      <w:r>
        <w:rPr>
          <w:rFonts w:hint="eastAsia"/>
          <w:color w:val="auto"/>
        </w:rPr>
        <w:t>6</w:t>
      </w:r>
      <w:r>
        <w:rPr>
          <w:rFonts w:hint="eastAsia"/>
          <w:color w:val="auto"/>
          <w:lang w:val="en-US" w:eastAsia="zh-CN"/>
        </w:rPr>
        <w:t>.</w:t>
      </w:r>
      <w:r>
        <w:rPr>
          <w:rFonts w:hint="eastAsia"/>
          <w:color w:val="auto"/>
        </w:rPr>
        <w:t>合同履行期限（服务期）：</w:t>
      </w:r>
      <w:r>
        <w:rPr>
          <w:rFonts w:hint="eastAsia"/>
          <w:color w:val="auto"/>
          <w:spacing w:val="2"/>
        </w:rPr>
        <w:t>合同签订后7日历天</w:t>
      </w:r>
      <w:r>
        <w:rPr>
          <w:rFonts w:hint="eastAsia"/>
          <w:color w:val="auto"/>
        </w:rPr>
        <w:t>。</w:t>
      </w:r>
    </w:p>
    <w:p w14:paraId="52ACB462">
      <w:pPr>
        <w:pStyle w:val="17"/>
        <w:spacing w:before="0" w:beforeAutospacing="0" w:after="0" w:afterAutospacing="0" w:line="360" w:lineRule="auto"/>
        <w:ind w:firstLine="480" w:firstLineChars="200"/>
        <w:rPr>
          <w:color w:val="auto"/>
        </w:rPr>
      </w:pPr>
      <w:r>
        <w:rPr>
          <w:rFonts w:hint="eastAsia"/>
          <w:color w:val="auto"/>
        </w:rPr>
        <w:t>7</w:t>
      </w:r>
      <w:r>
        <w:rPr>
          <w:rFonts w:hint="eastAsia"/>
          <w:color w:val="auto"/>
          <w:lang w:val="en-US" w:eastAsia="zh-CN"/>
        </w:rPr>
        <w:t>.</w:t>
      </w:r>
      <w:r>
        <w:rPr>
          <w:rFonts w:hint="eastAsia"/>
          <w:color w:val="auto"/>
        </w:rPr>
        <w:t>本项目是否接受联合体投标：否。</w:t>
      </w:r>
    </w:p>
    <w:p w14:paraId="39D42E54">
      <w:pPr>
        <w:pStyle w:val="17"/>
        <w:spacing w:before="0" w:beforeAutospacing="0" w:after="0" w:afterAutospacing="0" w:line="360" w:lineRule="auto"/>
        <w:ind w:firstLine="480" w:firstLineChars="200"/>
        <w:rPr>
          <w:color w:val="auto"/>
        </w:rPr>
      </w:pPr>
      <w:r>
        <w:rPr>
          <w:rFonts w:hint="eastAsia"/>
          <w:color w:val="auto"/>
        </w:rPr>
        <w:t>8</w:t>
      </w:r>
      <w:r>
        <w:rPr>
          <w:rFonts w:hint="eastAsia"/>
          <w:color w:val="auto"/>
          <w:lang w:val="en-US" w:eastAsia="zh-CN"/>
        </w:rPr>
        <w:t>.</w:t>
      </w:r>
      <w:r>
        <w:rPr>
          <w:rFonts w:hint="eastAsia"/>
          <w:color w:val="auto"/>
        </w:rPr>
        <w:t>是否接受进口产品：否。</w:t>
      </w:r>
    </w:p>
    <w:p w14:paraId="62A09D80">
      <w:pPr>
        <w:pStyle w:val="17"/>
        <w:spacing w:before="0" w:beforeAutospacing="0" w:after="0" w:afterAutospacing="0" w:line="360" w:lineRule="auto"/>
        <w:ind w:firstLine="480" w:firstLineChars="200"/>
        <w:rPr>
          <w:rFonts w:asciiTheme="minorEastAsia" w:hAnsiTheme="minorEastAsia" w:cstheme="minorEastAsia"/>
          <w:color w:val="auto"/>
          <w:szCs w:val="32"/>
        </w:rPr>
      </w:pPr>
      <w:r>
        <w:rPr>
          <w:rFonts w:hint="eastAsia"/>
          <w:color w:val="auto"/>
        </w:rPr>
        <w:t>9</w:t>
      </w:r>
      <w:r>
        <w:rPr>
          <w:rFonts w:hint="eastAsia"/>
          <w:color w:val="auto"/>
          <w:lang w:val="en-US" w:eastAsia="zh-CN"/>
        </w:rPr>
        <w:t>.</w:t>
      </w:r>
      <w:r>
        <w:rPr>
          <w:rFonts w:hint="eastAsia"/>
          <w:color w:val="auto"/>
        </w:rPr>
        <w:t>是否专门面向中小企业：是。</w:t>
      </w:r>
    </w:p>
    <w:bookmarkEnd w:id="7"/>
    <w:p w14:paraId="3DD5021A">
      <w:pPr>
        <w:widowControl w:val="0"/>
        <w:snapToGrid w:val="0"/>
        <w:spacing w:line="360" w:lineRule="auto"/>
        <w:ind w:firstLine="562" w:firstLineChars="200"/>
        <w:rPr>
          <w:rFonts w:ascii="黑体" w:hAnsi="黑体" w:eastAsia="黑体"/>
          <w:b/>
          <w:color w:val="auto"/>
          <w:sz w:val="28"/>
          <w:szCs w:val="28"/>
        </w:rPr>
      </w:pPr>
      <w:bookmarkStart w:id="8" w:name="_Toc35393622"/>
      <w:bookmarkStart w:id="9" w:name="_Toc28359003"/>
      <w:bookmarkStart w:id="10" w:name="_Toc35393791"/>
      <w:bookmarkStart w:id="11" w:name="_Toc28359080"/>
      <w:r>
        <w:rPr>
          <w:rFonts w:hint="eastAsia" w:ascii="黑体" w:hAnsi="黑体" w:eastAsia="黑体"/>
          <w:b/>
          <w:color w:val="auto"/>
          <w:sz w:val="28"/>
          <w:szCs w:val="28"/>
        </w:rPr>
        <w:t>2.申请人的资格要求：</w:t>
      </w:r>
      <w:bookmarkEnd w:id="8"/>
      <w:bookmarkEnd w:id="9"/>
      <w:bookmarkEnd w:id="10"/>
      <w:bookmarkEnd w:id="11"/>
    </w:p>
    <w:p w14:paraId="5BA57D66">
      <w:pPr>
        <w:spacing w:line="360" w:lineRule="auto"/>
        <w:ind w:firstLine="480" w:firstLineChars="200"/>
        <w:rPr>
          <w:rFonts w:ascii="宋体" w:hAnsi="宋体"/>
          <w:color w:val="auto"/>
          <w:sz w:val="24"/>
          <w:szCs w:val="24"/>
        </w:rPr>
      </w:pPr>
      <w:r>
        <w:rPr>
          <w:rFonts w:hint="eastAsia" w:ascii="宋体" w:hAnsi="宋体"/>
          <w:color w:val="auto"/>
          <w:sz w:val="24"/>
          <w:szCs w:val="24"/>
        </w:rPr>
        <w:t>2.1满足《中华人民共和国政府采购法》第二十二条规定；</w:t>
      </w:r>
    </w:p>
    <w:p w14:paraId="061BABEC">
      <w:pPr>
        <w:spacing w:line="360" w:lineRule="auto"/>
        <w:ind w:firstLine="480" w:firstLineChars="200"/>
        <w:rPr>
          <w:rFonts w:ascii="宋体" w:hAnsi="宋体"/>
          <w:color w:val="auto"/>
          <w:sz w:val="24"/>
          <w:szCs w:val="24"/>
        </w:rPr>
      </w:pPr>
      <w:r>
        <w:rPr>
          <w:rFonts w:hint="eastAsia" w:ascii="宋体" w:hAnsi="宋体"/>
          <w:color w:val="auto"/>
          <w:sz w:val="24"/>
          <w:szCs w:val="24"/>
        </w:rPr>
        <w:t>2.2本项目的特定资格要求：</w:t>
      </w:r>
      <w:r>
        <w:rPr>
          <w:rFonts w:hint="eastAsia" w:ascii="宋体" w:hAnsi="宋体" w:cs="宋体"/>
          <w:color w:val="auto"/>
          <w:sz w:val="24"/>
          <w:szCs w:val="24"/>
        </w:rPr>
        <w:t>无专项资格要求。</w:t>
      </w:r>
    </w:p>
    <w:p w14:paraId="41DE0553">
      <w:pPr>
        <w:widowControl w:val="0"/>
        <w:snapToGrid w:val="0"/>
        <w:spacing w:line="360" w:lineRule="auto"/>
        <w:ind w:firstLine="482" w:firstLineChars="200"/>
        <w:rPr>
          <w:rFonts w:ascii="宋体" w:hAnsi="宋体"/>
          <w:b/>
          <w:bCs/>
          <w:color w:val="auto"/>
          <w:sz w:val="24"/>
          <w:szCs w:val="24"/>
        </w:rPr>
      </w:pPr>
      <w:r>
        <w:rPr>
          <w:rFonts w:hint="eastAsia" w:ascii="宋体" w:hAnsi="宋体"/>
          <w:b/>
          <w:bCs/>
          <w:color w:val="auto"/>
          <w:sz w:val="24"/>
          <w:szCs w:val="24"/>
        </w:rPr>
        <w:t>3</w:t>
      </w:r>
      <w:r>
        <w:rPr>
          <w:rFonts w:ascii="宋体" w:hAnsi="宋体"/>
          <w:b/>
          <w:bCs/>
          <w:color w:val="auto"/>
          <w:sz w:val="24"/>
          <w:szCs w:val="24"/>
        </w:rPr>
        <w:t>.</w:t>
      </w:r>
      <w:r>
        <w:rPr>
          <w:rFonts w:hint="eastAsia" w:ascii="宋体" w:hAnsi="宋体"/>
          <w:b/>
          <w:bCs/>
          <w:color w:val="auto"/>
          <w:sz w:val="24"/>
          <w:szCs w:val="24"/>
        </w:rPr>
        <w:t>项目的特定资格要求：</w:t>
      </w:r>
    </w:p>
    <w:p w14:paraId="57076E3F">
      <w:pPr>
        <w:pStyle w:val="17"/>
        <w:spacing w:before="0" w:beforeAutospacing="0" w:after="0" w:afterAutospacing="0" w:line="360" w:lineRule="auto"/>
        <w:ind w:firstLine="480" w:firstLineChars="200"/>
        <w:rPr>
          <w:color w:val="auto"/>
        </w:rPr>
      </w:pPr>
      <w:r>
        <w:rPr>
          <w:rFonts w:hint="eastAsia"/>
          <w:color w:val="auto"/>
        </w:rPr>
        <w:t>3.1满足《中华人民共和国政府采购法》第二十二条规定的供应商基础性资格要求；供应商自行承诺（格式自拟）并承担后果，承诺书不实的，按《政府采购法》有关提供虚假材料的有关规定给予处罚。</w:t>
      </w:r>
    </w:p>
    <w:p w14:paraId="7FF8DF28">
      <w:pPr>
        <w:pStyle w:val="17"/>
        <w:spacing w:before="0" w:beforeAutospacing="0" w:after="0" w:afterAutospacing="0" w:line="360" w:lineRule="auto"/>
        <w:ind w:firstLine="480" w:firstLineChars="200"/>
        <w:rPr>
          <w:color w:val="auto"/>
        </w:rPr>
      </w:pPr>
      <w:r>
        <w:rPr>
          <w:rFonts w:hint="eastAsia"/>
          <w:color w:val="auto"/>
        </w:rPr>
        <w:t>3.2</w:t>
      </w:r>
      <w:r>
        <w:rPr>
          <w:rFonts w:hint="eastAsia"/>
          <w:color w:val="auto"/>
          <w:spacing w:val="2"/>
        </w:rPr>
        <w:t>根据《关于在政府采购活动中查询及使用信用记录有关问题的通知》(财库[2016]125号)的规定，对列入失信被执行人、税收违法黑名单（重大税收违法失信主体）、政府采购严重违法失信行为记录名单的供应商，拒绝参与本项目政府采购活动。采购代理机构将在投标文件开封之前对参加本项目的供应商进行信用信息查询，截图打印，作为证据留存，供应商可不提供相关证明材料。</w:t>
      </w:r>
    </w:p>
    <w:p w14:paraId="28D9C07E">
      <w:pPr>
        <w:pStyle w:val="17"/>
        <w:spacing w:before="0" w:beforeAutospacing="0" w:after="0" w:afterAutospacing="0" w:line="360" w:lineRule="auto"/>
        <w:ind w:firstLine="480" w:firstLineChars="200"/>
        <w:rPr>
          <w:color w:val="auto"/>
        </w:rPr>
      </w:pPr>
      <w:r>
        <w:rPr>
          <w:rFonts w:hint="eastAsia"/>
          <w:color w:val="auto"/>
        </w:rPr>
        <w:t>3.3</w:t>
      </w:r>
      <w:r>
        <w:rPr>
          <w:rFonts w:hint="eastAsia"/>
          <w:color w:val="auto"/>
          <w:spacing w:val="2"/>
        </w:rPr>
        <w:t>单位负责人为同一人或者存在直接控股、管理关系的不同供应商，不得参加同一合同项下的政府采购活动；为本项目提供整体设计、规范编制或者项目管理、监理、检测等服务后不得再参加采购项目的其他采购活动</w:t>
      </w:r>
      <w:r>
        <w:rPr>
          <w:rFonts w:hint="eastAsia"/>
          <w:color w:val="auto"/>
        </w:rPr>
        <w:t>。</w:t>
      </w:r>
    </w:p>
    <w:p w14:paraId="30F161FE">
      <w:pPr>
        <w:pStyle w:val="17"/>
        <w:spacing w:before="0" w:beforeAutospacing="0" w:after="0" w:afterAutospacing="0" w:line="360" w:lineRule="auto"/>
        <w:ind w:firstLine="480" w:firstLineChars="200"/>
        <w:rPr>
          <w:color w:val="auto"/>
        </w:rPr>
      </w:pPr>
      <w:r>
        <w:rPr>
          <w:rFonts w:hint="eastAsia"/>
          <w:color w:val="auto"/>
        </w:rPr>
        <w:t>3.4项目的其他要求：</w:t>
      </w:r>
    </w:p>
    <w:p w14:paraId="5A53D4B4">
      <w:pPr>
        <w:spacing w:line="360" w:lineRule="auto"/>
        <w:ind w:firstLine="488" w:firstLineChars="200"/>
        <w:textAlignment w:val="auto"/>
        <w:rPr>
          <w:rFonts w:ascii="宋体" w:hAnsi="宋体" w:cs="宋体"/>
          <w:color w:val="auto"/>
          <w:spacing w:val="2"/>
          <w:sz w:val="24"/>
          <w:szCs w:val="24"/>
        </w:rPr>
      </w:pPr>
      <w:r>
        <w:rPr>
          <w:rFonts w:hint="eastAsia" w:ascii="宋体" w:hAnsi="宋体" w:cs="宋体"/>
          <w:color w:val="auto"/>
          <w:spacing w:val="2"/>
          <w:sz w:val="24"/>
          <w:szCs w:val="24"/>
        </w:rPr>
        <w:t>（1）供应商须具有行政主管部门颁发的工程设计市政行业（排水工程）专业乙级及以上资质或工程设计市政行业乙级及以上资质或工程设计综合甲级资质；并在人员、设备、资金等方面具有相应的能力。</w:t>
      </w:r>
    </w:p>
    <w:p w14:paraId="6FBC42B8">
      <w:pPr>
        <w:spacing w:line="360" w:lineRule="auto"/>
        <w:ind w:firstLine="488" w:firstLineChars="200"/>
        <w:textAlignment w:val="auto"/>
        <w:rPr>
          <w:rFonts w:ascii="宋体" w:hAnsi="宋体" w:cs="宋体"/>
          <w:color w:val="auto"/>
          <w:spacing w:val="2"/>
          <w:sz w:val="24"/>
          <w:szCs w:val="24"/>
        </w:rPr>
      </w:pPr>
      <w:r>
        <w:rPr>
          <w:rFonts w:hint="eastAsia" w:ascii="宋体" w:hAnsi="宋体" w:cs="宋体"/>
          <w:color w:val="auto"/>
          <w:spacing w:val="2"/>
          <w:sz w:val="24"/>
          <w:szCs w:val="24"/>
        </w:rPr>
        <w:t>供应商拟派项目设计负责人：具有高级及以上职称，（提供劳动合同和2026年1月1日以来连续3个月本单位社保证明）。</w:t>
      </w:r>
    </w:p>
    <w:p w14:paraId="26D824FB">
      <w:pPr>
        <w:pStyle w:val="17"/>
        <w:spacing w:before="0" w:beforeAutospacing="0" w:after="0" w:afterAutospacing="0" w:line="360" w:lineRule="auto"/>
        <w:ind w:firstLine="480" w:firstLineChars="200"/>
        <w:rPr>
          <w:color w:val="auto"/>
        </w:rPr>
      </w:pPr>
      <w:r>
        <w:rPr>
          <w:rFonts w:hint="eastAsia"/>
          <w:color w:val="auto"/>
        </w:rPr>
        <w:t>（2）具备法律、行政法规规定的其他条件。</w:t>
      </w:r>
    </w:p>
    <w:p w14:paraId="3C94DEE6">
      <w:pPr>
        <w:pStyle w:val="17"/>
        <w:spacing w:before="0" w:beforeAutospacing="0" w:after="0" w:afterAutospacing="0" w:line="360" w:lineRule="auto"/>
        <w:ind w:firstLine="480" w:firstLineChars="200"/>
        <w:rPr>
          <w:color w:val="auto"/>
        </w:rPr>
      </w:pPr>
      <w:r>
        <w:rPr>
          <w:rFonts w:hint="eastAsia"/>
          <w:color w:val="auto"/>
        </w:rPr>
        <w:t>（3）本项目不接受联合体投标。</w:t>
      </w:r>
    </w:p>
    <w:p w14:paraId="6CD0B121">
      <w:pPr>
        <w:pStyle w:val="17"/>
        <w:spacing w:before="0" w:beforeAutospacing="0" w:after="0" w:afterAutospacing="0" w:line="360" w:lineRule="auto"/>
        <w:ind w:firstLine="480" w:firstLineChars="200"/>
        <w:rPr>
          <w:color w:val="auto"/>
        </w:rPr>
      </w:pPr>
      <w:r>
        <w:rPr>
          <w:rFonts w:hint="eastAsia"/>
          <w:color w:val="auto"/>
        </w:rPr>
        <w:t>注：1.所有证照均应在有效期内，证照如需年检的、应为经年检有效的证照；文中“近”、“前”指距投标截止时间。</w:t>
      </w:r>
    </w:p>
    <w:p w14:paraId="6EF82E23">
      <w:pPr>
        <w:pStyle w:val="17"/>
        <w:spacing w:before="0" w:beforeAutospacing="0" w:after="0" w:afterAutospacing="0" w:line="360" w:lineRule="auto"/>
        <w:ind w:firstLine="480" w:firstLineChars="200"/>
        <w:rPr>
          <w:color w:val="auto"/>
        </w:rPr>
      </w:pPr>
      <w:r>
        <w:rPr>
          <w:rFonts w:hint="eastAsia"/>
          <w:color w:val="auto"/>
        </w:rPr>
        <w:t>2.资格证明材料（文件）应附于《响应文件》中并经供应商加盖单位公章。供应商对资格证明文件真实性有效合规承担责任，提供虚假材料的为无效投标并将进一步追究其责任。</w:t>
      </w:r>
    </w:p>
    <w:p w14:paraId="50CBF506">
      <w:pPr>
        <w:pStyle w:val="17"/>
        <w:spacing w:before="0" w:beforeAutospacing="0" w:after="0" w:afterAutospacing="0" w:line="360" w:lineRule="auto"/>
        <w:ind w:firstLine="480" w:firstLineChars="200"/>
        <w:rPr>
          <w:b/>
          <w:color w:val="auto"/>
        </w:rPr>
      </w:pPr>
      <w:r>
        <w:rPr>
          <w:rFonts w:hint="eastAsia"/>
          <w:color w:val="auto"/>
        </w:rPr>
        <w:t>3.本项目采取资格后审，开标后，将由磋商小组对供应商的资格证明材料（文件）进行资格审核，未按要求逐一提供、或资格审查不合格的为无效投标，供应商应自负其风险费用。</w:t>
      </w:r>
    </w:p>
    <w:p w14:paraId="45FFA5A9">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三</w:t>
      </w:r>
      <w:r>
        <w:rPr>
          <w:rFonts w:hint="eastAsia" w:asciiTheme="minorEastAsia" w:hAnsiTheme="minorEastAsia" w:eastAsiaTheme="minorEastAsia"/>
          <w:b/>
          <w:bCs/>
          <w:color w:val="auto"/>
          <w:sz w:val="24"/>
          <w:szCs w:val="24"/>
        </w:rPr>
        <w:t>．获取磋商文件</w:t>
      </w:r>
    </w:p>
    <w:p w14:paraId="6B0F8AEE">
      <w:pPr>
        <w:widowControl w:val="0"/>
        <w:snapToGrid w:val="0"/>
        <w:spacing w:line="360" w:lineRule="auto"/>
        <w:ind w:firstLine="566"/>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3</w:t>
      </w:r>
      <w:r>
        <w:rPr>
          <w:rFonts w:hint="eastAsia" w:asciiTheme="minorEastAsia" w:hAnsiTheme="minorEastAsia" w:eastAsiaTheme="minorEastAsia"/>
          <w:color w:val="auto"/>
          <w:sz w:val="24"/>
          <w:szCs w:val="24"/>
        </w:rPr>
        <w:t>.1、招标文件获取时间：2026年</w:t>
      </w:r>
      <w:r>
        <w:rPr>
          <w:rFonts w:hint="eastAsia" w:asciiTheme="minorEastAsia" w:hAnsiTheme="minorEastAsia" w:eastAsiaTheme="minorEastAsia"/>
          <w:color w:val="auto"/>
          <w:sz w:val="24"/>
          <w:szCs w:val="24"/>
          <w:lang w:val="en-US" w:eastAsia="zh-CN"/>
        </w:rPr>
        <w:t xml:space="preserve"> 7</w:t>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lang w:val="en-US" w:eastAsia="zh-CN"/>
        </w:rPr>
        <w:t>8</w:t>
      </w:r>
      <w:r>
        <w:rPr>
          <w:rFonts w:hint="eastAsia" w:asciiTheme="minorEastAsia" w:hAnsiTheme="minorEastAsia" w:eastAsiaTheme="minorEastAsia"/>
          <w:color w:val="auto"/>
          <w:sz w:val="24"/>
          <w:szCs w:val="24"/>
        </w:rPr>
        <w:t>日—2026年</w:t>
      </w:r>
      <w:r>
        <w:rPr>
          <w:rFonts w:hint="eastAsia" w:asciiTheme="minorEastAsia" w:hAnsiTheme="minorEastAsia" w:eastAsiaTheme="minorEastAsia"/>
          <w:color w:val="auto"/>
          <w:sz w:val="24"/>
          <w:szCs w:val="24"/>
          <w:lang w:val="en-US" w:eastAsia="zh-CN"/>
        </w:rPr>
        <w:t xml:space="preserve">7 </w:t>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lang w:val="en-US" w:eastAsia="zh-CN"/>
        </w:rPr>
        <w:t>14</w:t>
      </w:r>
      <w:r>
        <w:rPr>
          <w:rFonts w:hint="eastAsia" w:asciiTheme="minorEastAsia" w:hAnsiTheme="minorEastAsia" w:eastAsiaTheme="minorEastAsia"/>
          <w:color w:val="auto"/>
          <w:sz w:val="24"/>
          <w:szCs w:val="24"/>
        </w:rPr>
        <w:t>日（法定公休日、法定节假日除外），每日上午 9 时 00 分至 11时 30 分，下午 15时 00 分至 17 时 30 分（北京时间，下同）</w:t>
      </w:r>
    </w:p>
    <w:p w14:paraId="2509A58D">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3.2地点：</w:t>
      </w:r>
      <w:r>
        <w:rPr>
          <w:rFonts w:hint="eastAsia" w:asciiTheme="minorEastAsia" w:hAnsiTheme="minorEastAsia" w:eastAsiaTheme="minorEastAsia"/>
          <w:color w:val="auto"/>
          <w:sz w:val="24"/>
          <w:szCs w:val="24"/>
        </w:rPr>
        <w:t>在</w:t>
      </w:r>
      <w:r>
        <w:rPr>
          <w:color w:val="auto"/>
        </w:rPr>
        <w:fldChar w:fldCharType="begin"/>
      </w:r>
      <w:r>
        <w:rPr>
          <w:color w:val="auto"/>
        </w:rPr>
        <w:instrText xml:space="preserve"> HYPERLINK "http://www.cdgcgl.com.cn/" </w:instrText>
      </w:r>
      <w:r>
        <w:rPr>
          <w:color w:val="auto"/>
        </w:rPr>
        <w:fldChar w:fldCharType="separate"/>
      </w:r>
      <w:r>
        <w:rPr>
          <w:rFonts w:hint="eastAsia" w:asciiTheme="minorEastAsia" w:hAnsiTheme="minorEastAsia" w:eastAsiaTheme="minorEastAsia"/>
          <w:color w:val="auto"/>
          <w:sz w:val="24"/>
          <w:szCs w:val="24"/>
        </w:rPr>
        <w:t>中新创达咨询有限公司</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购买文件（安阳市开发区平原路与海河大道交叉口向南200米路东成翔电气二楼）</w:t>
      </w:r>
    </w:p>
    <w:p w14:paraId="2B17940C">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3</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val="en-US" w:eastAsia="zh-CN"/>
        </w:rPr>
        <w:t>3</w:t>
      </w:r>
      <w:r>
        <w:rPr>
          <w:rFonts w:hint="eastAsia" w:asciiTheme="minorEastAsia" w:hAnsiTheme="minorEastAsia" w:eastAsiaTheme="minorEastAsia"/>
          <w:color w:val="auto"/>
          <w:sz w:val="24"/>
          <w:szCs w:val="24"/>
        </w:rPr>
        <w:t>、报名时企业法定代表人或授权委托人携带以下资料持本人身份证原件现场报名。（1）企业营业执照（2）企业资质证书（3)开户许可证(4)项目负责人注册证书（不含临时）；（5）项目负责人提供本单位近3个月及以上缴纳社保证明（社保局出具的个人缴费明细）及劳动合同；(6）法人代表身份证明或法人授权书及被授权人身份证（以上资料均需现场查验原件留存盖公章的复印件一套）</w:t>
      </w:r>
    </w:p>
    <w:p w14:paraId="560D879B">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3</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val="en-US" w:eastAsia="zh-CN"/>
        </w:rPr>
        <w:t>4</w:t>
      </w:r>
      <w:r>
        <w:rPr>
          <w:rFonts w:hint="eastAsia" w:asciiTheme="minorEastAsia" w:hAnsiTheme="minorEastAsia" w:eastAsiaTheme="minorEastAsia"/>
          <w:color w:val="auto"/>
          <w:sz w:val="24"/>
          <w:szCs w:val="24"/>
        </w:rPr>
        <w:t>、招标文件售价500元/套，售后不退。</w:t>
      </w:r>
    </w:p>
    <w:p w14:paraId="68D7D5BD">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四</w:t>
      </w:r>
      <w:r>
        <w:rPr>
          <w:rFonts w:hint="eastAsia" w:asciiTheme="minorEastAsia" w:hAnsiTheme="minorEastAsia" w:eastAsiaTheme="minorEastAsia"/>
          <w:b/>
          <w:bCs/>
          <w:color w:val="auto"/>
          <w:sz w:val="24"/>
          <w:szCs w:val="24"/>
        </w:rPr>
        <w:t>、响应文件提交的截止时间及地点：</w:t>
      </w:r>
    </w:p>
    <w:p w14:paraId="7665FE41">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1、时间：2026年</w:t>
      </w:r>
      <w:r>
        <w:rPr>
          <w:rFonts w:hint="eastAsia" w:asciiTheme="minorEastAsia" w:hAnsiTheme="minorEastAsia" w:eastAsiaTheme="minorEastAsia"/>
          <w:color w:val="auto"/>
          <w:sz w:val="24"/>
          <w:szCs w:val="24"/>
          <w:lang w:val="en-US" w:eastAsia="zh-CN"/>
        </w:rPr>
        <w:t xml:space="preserve">7  </w:t>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lang w:val="en-US" w:eastAsia="zh-CN"/>
        </w:rPr>
        <w:t>20</w:t>
      </w:r>
      <w:r>
        <w:rPr>
          <w:rFonts w:hint="eastAsia" w:asciiTheme="minorEastAsia" w:hAnsiTheme="minorEastAsia" w:eastAsiaTheme="minorEastAsia"/>
          <w:color w:val="auto"/>
          <w:sz w:val="24"/>
          <w:szCs w:val="24"/>
        </w:rPr>
        <w:t>日下午</w:t>
      </w:r>
      <w:r>
        <w:rPr>
          <w:rFonts w:hint="eastAsia" w:asciiTheme="minorEastAsia" w:hAnsiTheme="minorEastAsia" w:eastAsiaTheme="minorEastAsia"/>
          <w:color w:val="auto"/>
          <w:sz w:val="24"/>
          <w:szCs w:val="24"/>
          <w:lang w:val="en-US" w:eastAsia="zh-CN"/>
        </w:rPr>
        <w:t>15：00分</w:t>
      </w:r>
      <w:r>
        <w:rPr>
          <w:rFonts w:hint="eastAsia" w:asciiTheme="minorEastAsia" w:hAnsiTheme="minorEastAsia" w:eastAsiaTheme="minorEastAsia"/>
          <w:color w:val="auto"/>
          <w:sz w:val="24"/>
          <w:szCs w:val="24"/>
        </w:rPr>
        <w:t>(北京时间)。</w:t>
      </w:r>
    </w:p>
    <w:p w14:paraId="5C6FC1E0">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2、地点：</w:t>
      </w:r>
      <w:r>
        <w:rPr>
          <w:color w:val="auto"/>
        </w:rPr>
        <w:fldChar w:fldCharType="begin"/>
      </w:r>
      <w:r>
        <w:rPr>
          <w:color w:val="auto"/>
        </w:rPr>
        <w:instrText xml:space="preserve"> HYPERLINK "http://www.cdgcgl.com.cn/" </w:instrText>
      </w:r>
      <w:r>
        <w:rPr>
          <w:color w:val="auto"/>
        </w:rPr>
        <w:fldChar w:fldCharType="separate"/>
      </w:r>
      <w:r>
        <w:rPr>
          <w:rFonts w:hint="eastAsia" w:asciiTheme="minorEastAsia" w:hAnsiTheme="minorEastAsia" w:eastAsiaTheme="minorEastAsia"/>
          <w:color w:val="auto"/>
          <w:sz w:val="24"/>
          <w:szCs w:val="24"/>
        </w:rPr>
        <w:t>中新创达咨询有限公司</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二楼开标厅（安阳市开发区平原路与海河大道交叉口向南200米路东成翔电气二楼）</w:t>
      </w:r>
    </w:p>
    <w:p w14:paraId="045437AB">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五</w:t>
      </w:r>
      <w:r>
        <w:rPr>
          <w:rFonts w:hint="eastAsia" w:asciiTheme="minorEastAsia" w:hAnsiTheme="minorEastAsia" w:eastAsiaTheme="minorEastAsia"/>
          <w:b/>
          <w:bCs/>
          <w:color w:val="auto"/>
          <w:sz w:val="24"/>
          <w:szCs w:val="24"/>
        </w:rPr>
        <w:t>、响应文件的开启时间及地点：</w:t>
      </w:r>
    </w:p>
    <w:p w14:paraId="75F83677">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1、时间：2026年</w:t>
      </w:r>
      <w:r>
        <w:rPr>
          <w:rFonts w:hint="eastAsia" w:asciiTheme="minorEastAsia" w:hAnsiTheme="minorEastAsia" w:eastAsiaTheme="minorEastAsia"/>
          <w:color w:val="auto"/>
          <w:sz w:val="24"/>
          <w:szCs w:val="24"/>
          <w:lang w:val="en-US" w:eastAsia="zh-CN"/>
        </w:rPr>
        <w:t>7</w:t>
      </w:r>
      <w:r>
        <w:rPr>
          <w:rFonts w:hint="eastAsia" w:asciiTheme="minorEastAsia" w:hAnsiTheme="minorEastAsia" w:eastAsiaTheme="minorEastAsia"/>
          <w:color w:val="auto"/>
          <w:sz w:val="24"/>
          <w:szCs w:val="24"/>
        </w:rPr>
        <w:t>月</w:t>
      </w:r>
      <w:r>
        <w:rPr>
          <w:rFonts w:hint="eastAsia" w:asciiTheme="minorEastAsia" w:hAnsiTheme="minorEastAsia" w:eastAsiaTheme="minorEastAsia"/>
          <w:color w:val="auto"/>
          <w:sz w:val="24"/>
          <w:szCs w:val="24"/>
          <w:lang w:val="en-US" w:eastAsia="zh-CN"/>
        </w:rPr>
        <w:t>20</w:t>
      </w:r>
      <w:r>
        <w:rPr>
          <w:rFonts w:hint="eastAsia" w:asciiTheme="minorEastAsia" w:hAnsiTheme="minorEastAsia" w:eastAsiaTheme="minorEastAsia"/>
          <w:color w:val="auto"/>
          <w:sz w:val="24"/>
          <w:szCs w:val="24"/>
        </w:rPr>
        <w:t>日下午</w:t>
      </w:r>
      <w:r>
        <w:rPr>
          <w:rFonts w:hint="eastAsia" w:asciiTheme="minorEastAsia" w:hAnsiTheme="minorEastAsia" w:eastAsiaTheme="minorEastAsia"/>
          <w:color w:val="auto"/>
          <w:sz w:val="24"/>
          <w:szCs w:val="24"/>
          <w:lang w:val="en-US" w:eastAsia="zh-CN"/>
        </w:rPr>
        <w:t xml:space="preserve">15:00分  </w:t>
      </w:r>
      <w:r>
        <w:rPr>
          <w:rFonts w:hint="eastAsia" w:asciiTheme="minorEastAsia" w:hAnsiTheme="minorEastAsia" w:eastAsiaTheme="minorEastAsia"/>
          <w:color w:val="auto"/>
          <w:sz w:val="24"/>
          <w:szCs w:val="24"/>
        </w:rPr>
        <w:t>(北京时间)。</w:t>
      </w:r>
    </w:p>
    <w:p w14:paraId="4063C474">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2、地点：</w:t>
      </w:r>
      <w:r>
        <w:rPr>
          <w:color w:val="auto"/>
        </w:rPr>
        <w:fldChar w:fldCharType="begin"/>
      </w:r>
      <w:r>
        <w:rPr>
          <w:color w:val="auto"/>
        </w:rPr>
        <w:instrText xml:space="preserve"> HYPERLINK "http://www.cdgcgl.com.cn/" </w:instrText>
      </w:r>
      <w:r>
        <w:rPr>
          <w:color w:val="auto"/>
        </w:rPr>
        <w:fldChar w:fldCharType="separate"/>
      </w:r>
      <w:r>
        <w:rPr>
          <w:rFonts w:hint="eastAsia" w:asciiTheme="minorEastAsia" w:hAnsiTheme="minorEastAsia" w:eastAsiaTheme="minorEastAsia"/>
          <w:color w:val="auto"/>
          <w:sz w:val="24"/>
          <w:szCs w:val="24"/>
        </w:rPr>
        <w:t>中新创达咨询有限公司</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二楼开标厅（安阳市开发区平原路与海河大道交叉口向南200米路东成翔电气二楼）</w:t>
      </w:r>
    </w:p>
    <w:p w14:paraId="43769955">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六</w:t>
      </w:r>
      <w:r>
        <w:rPr>
          <w:rFonts w:hint="eastAsia" w:asciiTheme="minorEastAsia" w:hAnsiTheme="minorEastAsia" w:eastAsiaTheme="minorEastAsia"/>
          <w:b/>
          <w:bCs/>
          <w:color w:val="auto"/>
          <w:sz w:val="24"/>
          <w:szCs w:val="24"/>
        </w:rPr>
        <w:t>、发布公告的媒介及公告期限：</w:t>
      </w:r>
    </w:p>
    <w:p w14:paraId="3F2343EC">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1、本次公告在《</w:t>
      </w:r>
      <w:r>
        <w:rPr>
          <w:rFonts w:hint="eastAsia" w:asciiTheme="minorEastAsia" w:hAnsiTheme="minorEastAsia" w:eastAsiaTheme="minorEastAsia"/>
          <w:color w:val="auto"/>
          <w:sz w:val="24"/>
          <w:szCs w:val="24"/>
          <w:lang w:val="en-US" w:eastAsia="zh-CN"/>
        </w:rPr>
        <w:t>河南省政府采购网</w:t>
      </w:r>
      <w:r>
        <w:rPr>
          <w:rFonts w:hint="eastAsia"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val="en-US" w:eastAsia="zh-CN"/>
        </w:rPr>
        <w:t>安阳市政府采购网</w:t>
      </w:r>
      <w:r>
        <w:rPr>
          <w:rFonts w:hint="eastAsia" w:asciiTheme="minorEastAsia" w:hAnsiTheme="minorEastAsia" w:eastAsiaTheme="minorEastAsia"/>
          <w:color w:val="auto"/>
          <w:sz w:val="24"/>
          <w:szCs w:val="24"/>
        </w:rPr>
        <w:t>》上同时发布。</w:t>
      </w:r>
    </w:p>
    <w:p w14:paraId="622D75B1">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2、公告期限为</w:t>
      </w:r>
      <w:r>
        <w:rPr>
          <w:rFonts w:hint="eastAsia" w:asciiTheme="minorEastAsia" w:hAnsiTheme="minorEastAsia" w:eastAsiaTheme="minorEastAsia"/>
          <w:color w:val="auto"/>
          <w:sz w:val="24"/>
          <w:szCs w:val="24"/>
          <w:lang w:val="en-US" w:eastAsia="zh-CN"/>
        </w:rPr>
        <w:t>三</w:t>
      </w:r>
      <w:r>
        <w:rPr>
          <w:rFonts w:hint="eastAsia" w:asciiTheme="minorEastAsia" w:hAnsiTheme="minorEastAsia" w:eastAsiaTheme="minorEastAsia"/>
          <w:color w:val="auto"/>
          <w:sz w:val="24"/>
          <w:szCs w:val="24"/>
        </w:rPr>
        <w:t>个工作日。</w:t>
      </w:r>
    </w:p>
    <w:p w14:paraId="3642D2D1">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七</w:t>
      </w:r>
      <w:r>
        <w:rPr>
          <w:rFonts w:hint="eastAsia" w:asciiTheme="minorEastAsia" w:hAnsiTheme="minorEastAsia" w:eastAsiaTheme="minorEastAsia"/>
          <w:b/>
          <w:bCs/>
          <w:color w:val="auto"/>
          <w:sz w:val="24"/>
          <w:szCs w:val="24"/>
        </w:rPr>
        <w:t>、项目落实的政府采购政策：</w:t>
      </w:r>
    </w:p>
    <w:p w14:paraId="184BFE55">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根据豫财购〔2017〕10号和安财购〔2017〕7号文件要求，参加政府采购项目的中小微企业供应商，持中标（成交）通知书可向金融机构申请合同融资。详情请登录安阳市政府采购网（http://www.hngp.gov.cn/anyang），进入网站飘窗或业务指南窗口了解金融机构提供的融资服务内容。</w:t>
      </w:r>
    </w:p>
    <w:p w14:paraId="4B08F7FC">
      <w:pPr>
        <w:widowControl w:val="0"/>
        <w:snapToGrid w:val="0"/>
        <w:spacing w:line="360" w:lineRule="auto"/>
        <w:ind w:firstLine="566"/>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lang w:val="en-US" w:eastAsia="zh-CN"/>
        </w:rPr>
        <w:t>八</w:t>
      </w:r>
      <w:r>
        <w:rPr>
          <w:rFonts w:hint="eastAsia" w:asciiTheme="minorEastAsia" w:hAnsiTheme="minorEastAsia" w:eastAsiaTheme="minorEastAsia"/>
          <w:b/>
          <w:bCs/>
          <w:color w:val="auto"/>
          <w:sz w:val="24"/>
          <w:szCs w:val="24"/>
        </w:rPr>
        <w:t>、联系方式：</w:t>
      </w:r>
    </w:p>
    <w:p w14:paraId="6E2AC193">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名 称：安阳高新技术产业开发区智慧城市运营中心</w:t>
      </w:r>
    </w:p>
    <w:p w14:paraId="261A12E9">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地 址：安阳高新技术产业开发区黄河大道中段</w:t>
      </w:r>
    </w:p>
    <w:p w14:paraId="05966274">
      <w:pPr>
        <w:widowControl w:val="0"/>
        <w:snapToGrid w:val="0"/>
        <w:spacing w:line="360" w:lineRule="auto"/>
        <w:ind w:firstLine="566"/>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rPr>
        <w:t xml:space="preserve">联系人： </w:t>
      </w:r>
      <w:r>
        <w:rPr>
          <w:rFonts w:hint="eastAsia" w:asciiTheme="minorEastAsia" w:hAnsiTheme="minorEastAsia" w:eastAsiaTheme="minorEastAsia"/>
          <w:color w:val="auto"/>
          <w:sz w:val="24"/>
          <w:szCs w:val="24"/>
          <w:lang w:val="en-US" w:eastAsia="zh-CN"/>
        </w:rPr>
        <w:t>王晓刚</w:t>
      </w:r>
    </w:p>
    <w:p w14:paraId="71558EC2">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联系方式：</w:t>
      </w:r>
      <w:bookmarkStart w:id="12" w:name="_Toc28359086"/>
      <w:bookmarkStart w:id="13" w:name="_Toc28359009"/>
      <w:r>
        <w:rPr>
          <w:rFonts w:hint="eastAsia" w:asciiTheme="minorEastAsia" w:hAnsiTheme="minorEastAsia" w:eastAsiaTheme="minorEastAsia"/>
          <w:color w:val="auto"/>
          <w:sz w:val="24"/>
          <w:szCs w:val="24"/>
          <w:lang w:val="en-US" w:eastAsia="zh-CN"/>
        </w:rPr>
        <w:t>15090019225</w:t>
      </w:r>
      <w:r>
        <w:rPr>
          <w:rFonts w:hint="eastAsia" w:asciiTheme="minorEastAsia" w:hAnsiTheme="minorEastAsia" w:eastAsiaTheme="minorEastAsia"/>
          <w:color w:val="auto"/>
          <w:sz w:val="24"/>
          <w:szCs w:val="24"/>
        </w:rPr>
        <w:t xml:space="preserve">  </w:t>
      </w:r>
    </w:p>
    <w:p w14:paraId="05E73C96">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采购代理机构信息</w:t>
      </w:r>
      <w:bookmarkEnd w:id="12"/>
      <w:bookmarkEnd w:id="13"/>
    </w:p>
    <w:p w14:paraId="4203090A">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名 称：中新创达咨询有限公司  　</w:t>
      </w:r>
    </w:p>
    <w:p w14:paraId="3B81BA71">
      <w:pPr>
        <w:widowControl w:val="0"/>
        <w:snapToGrid w:val="0"/>
        <w:spacing w:line="360" w:lineRule="auto"/>
        <w:ind w:firstLine="566"/>
        <w:rPr>
          <w:rFonts w:asciiTheme="minorEastAsia" w:hAnsiTheme="minorEastAsia" w:eastAsiaTheme="minorEastAsia"/>
          <w:color w:val="auto"/>
          <w:sz w:val="24"/>
          <w:szCs w:val="24"/>
        </w:rPr>
      </w:pPr>
      <w:bookmarkStart w:id="14" w:name="_Toc28359010"/>
      <w:bookmarkStart w:id="15" w:name="_Toc28359087"/>
      <w:r>
        <w:rPr>
          <w:rFonts w:hint="eastAsia" w:asciiTheme="minorEastAsia" w:hAnsiTheme="minorEastAsia" w:eastAsiaTheme="minorEastAsia"/>
          <w:color w:val="auto"/>
          <w:sz w:val="24"/>
          <w:szCs w:val="24"/>
        </w:rPr>
        <w:t>地 址：安阳市平原路南段成翔电器二楼</w:t>
      </w:r>
    </w:p>
    <w:p w14:paraId="68C7BF87">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联系人：刘海松</w:t>
      </w:r>
    </w:p>
    <w:p w14:paraId="5754FFA7">
      <w:pPr>
        <w:widowControl w:val="0"/>
        <w:snapToGrid w:val="0"/>
        <w:spacing w:line="360" w:lineRule="auto"/>
        <w:ind w:firstLine="566"/>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联系方式：18637228675</w:t>
      </w:r>
    </w:p>
    <w:p w14:paraId="20DA6AC7">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项目</w:t>
      </w:r>
      <w:r>
        <w:rPr>
          <w:rFonts w:asciiTheme="minorEastAsia" w:hAnsiTheme="minorEastAsia" w:eastAsiaTheme="minorEastAsia"/>
          <w:color w:val="auto"/>
          <w:sz w:val="24"/>
          <w:szCs w:val="24"/>
        </w:rPr>
        <w:t>联系方式</w:t>
      </w:r>
      <w:bookmarkEnd w:id="14"/>
      <w:bookmarkEnd w:id="15"/>
    </w:p>
    <w:p w14:paraId="64939E56">
      <w:pPr>
        <w:widowControl w:val="0"/>
        <w:snapToGrid w:val="0"/>
        <w:spacing w:line="360" w:lineRule="auto"/>
        <w:ind w:firstLine="566"/>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项目联系人：刘海松</w:t>
      </w:r>
    </w:p>
    <w:p w14:paraId="0547785E">
      <w:pPr>
        <w:widowControl w:val="0"/>
        <w:snapToGrid w:val="0"/>
        <w:spacing w:line="360" w:lineRule="auto"/>
        <w:ind w:firstLine="566"/>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联系方式：18637228675</w:t>
      </w:r>
    </w:p>
    <w:p w14:paraId="0B50F6B2">
      <w:pPr>
        <w:widowControl w:val="0"/>
        <w:snapToGrid w:val="0"/>
        <w:spacing w:line="360" w:lineRule="auto"/>
        <w:jc w:val="center"/>
        <w:outlineLvl w:val="0"/>
        <w:rPr>
          <w:rFonts w:eastAsia="黑体"/>
          <w:b/>
          <w:color w:val="auto"/>
          <w:spacing w:val="36"/>
          <w:sz w:val="36"/>
          <w:szCs w:val="36"/>
        </w:rPr>
      </w:pPr>
      <w:bookmarkStart w:id="16" w:name="_Toc192581410"/>
      <w:r>
        <w:rPr>
          <w:rFonts w:hint="eastAsia" w:eastAsia="黑体"/>
          <w:b/>
          <w:color w:val="auto"/>
          <w:sz w:val="36"/>
          <w:szCs w:val="36"/>
        </w:rPr>
        <w:t>第二</w:t>
      </w:r>
      <w:bookmarkEnd w:id="16"/>
      <w:bookmarkStart w:id="17" w:name="_Toc192581423"/>
      <w:r>
        <w:rPr>
          <w:rFonts w:hint="eastAsia" w:eastAsia="黑体"/>
          <w:b/>
          <w:color w:val="auto"/>
          <w:sz w:val="36"/>
          <w:szCs w:val="36"/>
          <w:lang w:val="en-US" w:eastAsia="zh-CN"/>
        </w:rPr>
        <w:t xml:space="preserve">部分 </w:t>
      </w:r>
      <w:r>
        <w:rPr>
          <w:rFonts w:hint="eastAsia" w:eastAsia="黑体"/>
          <w:b/>
          <w:color w:val="auto"/>
          <w:sz w:val="36"/>
          <w:szCs w:val="36"/>
        </w:rPr>
        <w:t>供应商须知</w:t>
      </w:r>
      <w:bookmarkEnd w:id="17"/>
    </w:p>
    <w:p w14:paraId="1E634015">
      <w:pPr>
        <w:spacing w:line="360" w:lineRule="auto"/>
        <w:ind w:right="238"/>
        <w:jc w:val="left"/>
        <w:outlineLvl w:val="1"/>
        <w:rPr>
          <w:rFonts w:eastAsia="黑体"/>
          <w:b/>
          <w:color w:val="auto"/>
          <w:sz w:val="28"/>
          <w:szCs w:val="28"/>
        </w:rPr>
      </w:pPr>
      <w:bookmarkStart w:id="18" w:name="_Toc192581424"/>
      <w:r>
        <w:rPr>
          <w:rFonts w:hint="eastAsia" w:eastAsia="黑体"/>
          <w:b/>
          <w:color w:val="auto"/>
          <w:sz w:val="28"/>
          <w:szCs w:val="28"/>
        </w:rPr>
        <w:t>供应商须知前附表</w:t>
      </w:r>
      <w:bookmarkEnd w:id="18"/>
    </w:p>
    <w:tbl>
      <w:tblPr>
        <w:tblStyle w:val="19"/>
        <w:tblW w:w="9960" w:type="dxa"/>
        <w:tblInd w:w="-6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852"/>
        <w:gridCol w:w="1792"/>
        <w:gridCol w:w="7316"/>
      </w:tblGrid>
      <w:tr w14:paraId="4107C1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21" w:hRule="atLeast"/>
          <w:tblHeader/>
        </w:trPr>
        <w:tc>
          <w:tcPr>
            <w:tcW w:w="852" w:type="dxa"/>
            <w:tcBorders>
              <w:top w:val="single" w:color="auto" w:sz="4" w:space="0"/>
              <w:left w:val="single" w:color="auto" w:sz="4" w:space="0"/>
              <w:bottom w:val="single" w:color="auto" w:sz="4" w:space="0"/>
              <w:right w:val="single" w:color="auto" w:sz="4" w:space="0"/>
            </w:tcBorders>
            <w:noWrap/>
          </w:tcPr>
          <w:p w14:paraId="0481358A">
            <w:pPr>
              <w:snapToGrid w:val="0"/>
              <w:spacing w:beforeLines="50" w:line="360" w:lineRule="auto"/>
              <w:jc w:val="center"/>
              <w:rPr>
                <w:rFonts w:asciiTheme="minorEastAsia" w:hAnsiTheme="minorEastAsia" w:eastAsiaTheme="minorEastAsia" w:cstheme="minorEastAsia"/>
                <w:bCs/>
                <w:color w:val="auto"/>
                <w:sz w:val="24"/>
                <w:szCs w:val="24"/>
              </w:rPr>
            </w:pPr>
            <w:r>
              <w:rPr>
                <w:rFonts w:hint="eastAsia"/>
                <w:color w:val="auto"/>
                <w:sz w:val="24"/>
                <w:szCs w:val="24"/>
              </w:rPr>
              <w:t>序号</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0FD1F9A0">
            <w:pPr>
              <w:snapToGrid w:val="0"/>
              <w:spacing w:beforeLines="50" w:line="360" w:lineRule="auto"/>
              <w:jc w:val="cente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事项</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09EF31EE">
            <w:pPr>
              <w:snapToGrid w:val="0"/>
              <w:spacing w:beforeLines="50" w:line="360" w:lineRule="auto"/>
              <w:jc w:val="center"/>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本项目的特别规定</w:t>
            </w:r>
          </w:p>
        </w:tc>
      </w:tr>
      <w:tr w14:paraId="6AD558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56FF3468">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4ADF455C">
            <w:pPr>
              <w:widowControl w:val="0"/>
              <w:adjustRightInd w:val="0"/>
              <w:snapToGrid w:val="0"/>
              <w:spacing w:line="360" w:lineRule="auto"/>
              <w:ind w:firstLine="240" w:firstLineChars="100"/>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供应商的资格要求及相关证明材料要求</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161D0BB2">
            <w:pPr>
              <w:widowControl w:val="0"/>
              <w:adjustRightInd w:val="0"/>
              <w:snapToGrid w:val="0"/>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1.提供</w:t>
            </w:r>
            <w:r>
              <w:rPr>
                <w:rFonts w:hint="eastAsia" w:asciiTheme="minorEastAsia" w:hAnsiTheme="minorEastAsia" w:eastAsiaTheme="minorEastAsia" w:cstheme="minorEastAsia"/>
                <w:color w:val="auto"/>
                <w:sz w:val="24"/>
                <w:szCs w:val="24"/>
                <w:lang w:val="zh-CN"/>
              </w:rPr>
              <w:t>满足《中华人民共和国政府采购法》第二十二条规定的承诺函。见磋商文件“第六部分附件——响应文件格式”。</w:t>
            </w:r>
          </w:p>
          <w:p w14:paraId="47C7548D">
            <w:pPr>
              <w:widowControl w:val="0"/>
              <w:adjustRightInd w:val="0"/>
              <w:snapToGrid w:val="0"/>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2.落实政府采购政策满足的资格要求及本项目的特定资格要求。见“第一部分采购邀请”相应条款。</w:t>
            </w:r>
          </w:p>
          <w:p w14:paraId="6178F4F5">
            <w:pPr>
              <w:widowControl w:val="0"/>
              <w:adjustRightInd w:val="0"/>
              <w:snapToGrid w:val="0"/>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说明：</w:t>
            </w:r>
            <w:r>
              <w:rPr>
                <w:rFonts w:hint="eastAsia" w:asciiTheme="minorEastAsia" w:hAnsiTheme="minorEastAsia" w:eastAsiaTheme="minorEastAsia" w:cstheme="minorEastAsia"/>
                <w:color w:val="auto"/>
                <w:sz w:val="24"/>
                <w:szCs w:val="24"/>
                <w:lang w:val="zh-CN"/>
              </w:rPr>
              <w:t>供应商未提供有效的资格证明文件的，视为供应商不具备磋商文件中规定的资格要求，投标无效。</w:t>
            </w:r>
          </w:p>
        </w:tc>
      </w:tr>
      <w:tr w14:paraId="782248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244699A1">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037B2A4B">
            <w:pPr>
              <w:widowControl w:val="0"/>
              <w:adjustRightInd w:val="0"/>
              <w:snapToGrid w:val="0"/>
              <w:spacing w:line="360" w:lineRule="auto"/>
              <w:ind w:firstLine="240" w:firstLineChars="100"/>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符合性要求及相关证明要求</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2BCCA0DF">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详见第三部分“采购人需求”相应条款。</w:t>
            </w:r>
          </w:p>
        </w:tc>
      </w:tr>
      <w:tr w14:paraId="3EF659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28"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0BD2C78A">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36FAD06B">
            <w:pPr>
              <w:widowControl w:val="0"/>
              <w:adjustRightInd w:val="0"/>
              <w:snapToGrid w:val="0"/>
              <w:spacing w:line="360" w:lineRule="auto"/>
              <w:ind w:firstLine="240" w:firstLineChars="100"/>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项目属性</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7E41B9BD">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服务类。</w:t>
            </w:r>
          </w:p>
        </w:tc>
      </w:tr>
      <w:tr w14:paraId="58F472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48"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676C7B58">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69B4A5D1">
            <w:pPr>
              <w:widowControl w:val="0"/>
              <w:adjustRightInd w:val="0"/>
              <w:snapToGrid w:val="0"/>
              <w:spacing w:line="360" w:lineRule="auto"/>
              <w:ind w:firstLine="240" w:firstLineChars="100"/>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所属行业</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6A26884A">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本项目采购标的对应的中小企业划分标准行业为：</w:t>
            </w:r>
            <w:r>
              <w:rPr>
                <w:rFonts w:hint="eastAsia" w:asciiTheme="minorEastAsia" w:hAnsiTheme="minorEastAsia" w:eastAsiaTheme="minorEastAsia" w:cstheme="minorEastAsia"/>
                <w:color w:val="auto"/>
                <w:sz w:val="24"/>
                <w:szCs w:val="24"/>
                <w:u w:val="single"/>
              </w:rPr>
              <w:t>其他未列明行业</w:t>
            </w:r>
            <w:r>
              <w:rPr>
                <w:rFonts w:hint="eastAsia" w:asciiTheme="minorEastAsia" w:hAnsiTheme="minorEastAsia" w:eastAsiaTheme="minorEastAsia" w:cstheme="minorEastAsia"/>
                <w:color w:val="auto"/>
                <w:sz w:val="24"/>
                <w:szCs w:val="24"/>
              </w:rPr>
              <w:t>。</w:t>
            </w:r>
          </w:p>
        </w:tc>
      </w:tr>
      <w:tr w14:paraId="3DA5A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57"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391839BA">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3D9CFFC3">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是否允许联合体投标</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205D725C">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见“第一部分竞争性磋商公告”相应条款。</w:t>
            </w:r>
          </w:p>
        </w:tc>
      </w:tr>
      <w:tr w14:paraId="080320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8"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757A400E">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406D6B74">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是否允许采购</w:t>
            </w:r>
          </w:p>
          <w:p w14:paraId="1E0EBDBF">
            <w:pPr>
              <w:widowControl w:val="0"/>
              <w:adjustRightInd w:val="0"/>
              <w:snapToGrid w:val="0"/>
              <w:spacing w:line="360" w:lineRule="auto"/>
              <w:jc w:val="center"/>
              <w:textAlignment w:val="auto"/>
              <w:rPr>
                <w:rFonts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sz w:val="24"/>
                <w:szCs w:val="24"/>
              </w:rPr>
              <w:t>进口产品</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2E75CC16">
            <w:pPr>
              <w:widowControl w:val="0"/>
              <w:adjustRightInd w:val="0"/>
              <w:snapToGrid w:val="0"/>
              <w:spacing w:line="360" w:lineRule="auto"/>
              <w:textAlignment w:val="auto"/>
              <w:rPr>
                <w:rFonts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sz w:val="24"/>
                <w:szCs w:val="24"/>
              </w:rPr>
              <w:t>见“第一部分竞争性磋商公告”相应条款。</w:t>
            </w:r>
          </w:p>
        </w:tc>
      </w:tr>
      <w:tr w14:paraId="00CFE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3"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5FAEB78F">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5FFD2D43">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是否允许分包</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7841E8B9">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否</w:t>
            </w:r>
          </w:p>
        </w:tc>
      </w:tr>
      <w:tr w14:paraId="464FE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90"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18450E31">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7E780B35">
            <w:pPr>
              <w:widowControl w:val="0"/>
              <w:adjustRightInd w:val="0"/>
              <w:snapToGrid w:val="0"/>
              <w:spacing w:line="360" w:lineRule="auto"/>
              <w:ind w:firstLine="240" w:firstLineChars="100"/>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踏勘现场</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4DD2D787">
            <w:pPr>
              <w:widowControl w:val="0"/>
              <w:adjustRightInd w:val="0"/>
              <w:snapToGrid w:val="0"/>
              <w:spacing w:line="360" w:lineRule="auto"/>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不组织。</w:t>
            </w:r>
          </w:p>
        </w:tc>
      </w:tr>
      <w:tr w14:paraId="67ACC8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610"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668E7828">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29A00AFE">
            <w:pPr>
              <w:widowControl w:val="0"/>
              <w:adjustRightInd w:val="0"/>
              <w:snapToGrid w:val="0"/>
              <w:spacing w:line="360" w:lineRule="auto"/>
              <w:jc w:val="center"/>
              <w:textAlignment w:val="auto"/>
              <w:rPr>
                <w:rFonts w:asciiTheme="minorEastAsia" w:hAnsiTheme="minorEastAsia" w:eastAsiaTheme="minorEastAsia" w:cstheme="minorEastAsia"/>
                <w:bCs/>
                <w:color w:val="auto"/>
                <w:kern w:val="2"/>
                <w:sz w:val="24"/>
                <w:szCs w:val="24"/>
              </w:rPr>
            </w:pPr>
            <w:r>
              <w:rPr>
                <w:rFonts w:hint="eastAsia" w:asciiTheme="minorEastAsia" w:hAnsiTheme="minorEastAsia" w:eastAsiaTheme="minorEastAsia" w:cstheme="minorEastAsia"/>
                <w:color w:val="auto"/>
                <w:sz w:val="24"/>
                <w:szCs w:val="24"/>
              </w:rPr>
              <w:t>评标方法</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48A12417">
            <w:pPr>
              <w:widowControl w:val="0"/>
              <w:tabs>
                <w:tab w:val="left" w:pos="9354"/>
              </w:tabs>
              <w:adjustRightInd w:val="0"/>
              <w:snapToGrid w:val="0"/>
              <w:spacing w:line="360" w:lineRule="auto"/>
              <w:ind w:firstLine="480" w:firstLineChars="200"/>
              <w:textAlignment w:val="auto"/>
              <w:rPr>
                <w:rFonts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综合评分法。（是指响应文件满足磋商文件全部实质性要求且按评审因素的量化指标评审得分最高的供应商为成交候选供应商的评标方法。）</w:t>
            </w:r>
          </w:p>
        </w:tc>
      </w:tr>
      <w:tr w14:paraId="0E9008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610"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310EB6B2">
            <w:pPr>
              <w:widowControl w:val="0"/>
              <w:tabs>
                <w:tab w:val="left" w:pos="9354"/>
              </w:tabs>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10</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316B6EC6">
            <w:pPr>
              <w:widowControl w:val="0"/>
              <w:tabs>
                <w:tab w:val="left" w:pos="9354"/>
              </w:tabs>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确定成交供应商</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42671F2A">
            <w:pPr>
              <w:widowControl w:val="0"/>
              <w:tabs>
                <w:tab w:val="left" w:pos="9354"/>
              </w:tabs>
              <w:adjustRightInd w:val="0"/>
              <w:snapToGrid w:val="0"/>
              <w:spacing w:line="360" w:lineRule="auto"/>
              <w:ind w:firstLine="480" w:firstLineChars="200"/>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本项目已授权评标委员会直接确定成交供应商。评标委员会按照磋商文件规定的方式提出3名成交候选人，并确定排名第一的成交候选人为成交供应商。</w:t>
            </w:r>
          </w:p>
        </w:tc>
      </w:tr>
      <w:tr w14:paraId="42B0B9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1FD8F572">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1792" w:type="dxa"/>
            <w:tcBorders>
              <w:top w:val="single" w:color="000000" w:sz="8" w:space="0"/>
              <w:left w:val="single" w:color="auto" w:sz="4" w:space="0"/>
              <w:bottom w:val="single" w:color="000000" w:sz="8" w:space="0"/>
              <w:right w:val="single" w:color="000000" w:sz="8" w:space="0"/>
            </w:tcBorders>
            <w:noWrap/>
            <w:vAlign w:val="center"/>
          </w:tcPr>
          <w:p w14:paraId="66953674">
            <w:pPr>
              <w:pStyle w:val="77"/>
              <w:widowControl w:val="0"/>
              <w:adjustRightInd w:val="0"/>
              <w:snapToGrid w:val="0"/>
              <w:spacing w:before="0" w:beforeAutospacing="0" w:after="0" w:afterAutospacing="0" w:line="360" w:lineRule="auto"/>
              <w:textAlignment w:val="auto"/>
              <w:rPr>
                <w:rFonts w:asciiTheme="minorEastAsia" w:hAnsiTheme="minorEastAsia" w:eastAsiaTheme="minorEastAsia" w:cstheme="minorEastAsia"/>
                <w:b w:val="0"/>
                <w:i/>
                <w:color w:val="auto"/>
                <w:sz w:val="24"/>
                <w:szCs w:val="24"/>
              </w:rPr>
            </w:pPr>
            <w:r>
              <w:rPr>
                <w:rFonts w:hint="eastAsia" w:asciiTheme="minorEastAsia" w:hAnsiTheme="minorEastAsia" w:eastAsiaTheme="minorEastAsia" w:cstheme="minorEastAsia"/>
                <w:b w:val="0"/>
                <w:color w:val="auto"/>
                <w:sz w:val="24"/>
                <w:szCs w:val="24"/>
              </w:rPr>
              <w:t>价格评审优惠</w:t>
            </w:r>
            <w:r>
              <w:rPr>
                <w:rFonts w:hint="eastAsia" w:asciiTheme="minorEastAsia" w:hAnsiTheme="minorEastAsia" w:eastAsiaTheme="minorEastAsia" w:cstheme="minorEastAsia"/>
                <w:b w:val="0"/>
                <w:i/>
                <w:color w:val="auto"/>
                <w:sz w:val="24"/>
                <w:szCs w:val="24"/>
              </w:rPr>
              <w:t>（</w:t>
            </w:r>
            <w:r>
              <w:rPr>
                <w:rFonts w:hint="eastAsia" w:asciiTheme="minorEastAsia" w:hAnsiTheme="minorEastAsia" w:eastAsiaTheme="minorEastAsia" w:cstheme="minorEastAsia"/>
                <w:b w:val="0"/>
                <w:iCs/>
                <w:color w:val="auto"/>
                <w:sz w:val="24"/>
                <w:szCs w:val="24"/>
              </w:rPr>
              <w:t>非专门面向中小企业采购项目适用）如有</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3ABDE030">
            <w:pPr>
              <w:widowControl w:val="0"/>
              <w:tabs>
                <w:tab w:val="left" w:pos="9354"/>
              </w:tabs>
              <w:adjustRightInd w:val="0"/>
              <w:snapToGrid w:val="0"/>
              <w:spacing w:line="360" w:lineRule="auto"/>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（1）小型和微型企业价格扣除：</w:t>
            </w:r>
            <w:r>
              <w:rPr>
                <w:rFonts w:hint="eastAsia" w:asciiTheme="minorEastAsia" w:hAnsiTheme="minorEastAsia" w:eastAsiaTheme="minorEastAsia" w:cstheme="minorEastAsia"/>
                <w:bCs/>
                <w:color w:val="auto"/>
                <w:sz w:val="24"/>
                <w:szCs w:val="24"/>
                <w:u w:val="single"/>
              </w:rPr>
              <w:t>20%</w:t>
            </w:r>
            <w:r>
              <w:rPr>
                <w:rFonts w:hint="eastAsia" w:asciiTheme="minorEastAsia" w:hAnsiTheme="minorEastAsia" w:eastAsiaTheme="minorEastAsia" w:cstheme="minorEastAsia"/>
                <w:bCs/>
                <w:color w:val="auto"/>
                <w:sz w:val="24"/>
                <w:szCs w:val="24"/>
              </w:rPr>
              <w:t>。</w:t>
            </w:r>
          </w:p>
          <w:p w14:paraId="4FC6B246">
            <w:pPr>
              <w:widowControl w:val="0"/>
              <w:tabs>
                <w:tab w:val="left" w:pos="9354"/>
              </w:tabs>
              <w:adjustRightInd w:val="0"/>
              <w:snapToGrid w:val="0"/>
              <w:spacing w:line="360" w:lineRule="auto"/>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（2）监狱企业价格扣除：</w:t>
            </w:r>
            <w:r>
              <w:rPr>
                <w:rFonts w:hint="eastAsia" w:asciiTheme="minorEastAsia" w:hAnsiTheme="minorEastAsia" w:eastAsiaTheme="minorEastAsia" w:cstheme="minorEastAsia"/>
                <w:bCs/>
                <w:color w:val="auto"/>
                <w:sz w:val="24"/>
                <w:szCs w:val="24"/>
                <w:u w:val="single"/>
              </w:rPr>
              <w:t>同小型和微型企业</w:t>
            </w:r>
            <w:r>
              <w:rPr>
                <w:rFonts w:hint="eastAsia" w:asciiTheme="minorEastAsia" w:hAnsiTheme="minorEastAsia" w:eastAsiaTheme="minorEastAsia" w:cstheme="minorEastAsia"/>
                <w:bCs/>
                <w:color w:val="auto"/>
                <w:sz w:val="24"/>
                <w:szCs w:val="24"/>
              </w:rPr>
              <w:t>。</w:t>
            </w:r>
          </w:p>
          <w:p w14:paraId="44BEF26D">
            <w:pPr>
              <w:widowControl w:val="0"/>
              <w:tabs>
                <w:tab w:val="left" w:pos="9354"/>
              </w:tabs>
              <w:adjustRightInd w:val="0"/>
              <w:snapToGrid w:val="0"/>
              <w:spacing w:line="360" w:lineRule="auto"/>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（3）残疾人福利性单位价格扣除：</w:t>
            </w:r>
            <w:r>
              <w:rPr>
                <w:rFonts w:hint="eastAsia" w:asciiTheme="minorEastAsia" w:hAnsiTheme="minorEastAsia" w:eastAsiaTheme="minorEastAsia" w:cstheme="minorEastAsia"/>
                <w:bCs/>
                <w:color w:val="auto"/>
                <w:sz w:val="24"/>
                <w:szCs w:val="24"/>
                <w:u w:val="single"/>
              </w:rPr>
              <w:t>同小型和微型企业</w:t>
            </w:r>
            <w:r>
              <w:rPr>
                <w:rFonts w:hint="eastAsia" w:asciiTheme="minorEastAsia" w:hAnsiTheme="minorEastAsia" w:eastAsiaTheme="minorEastAsia" w:cstheme="minorEastAsia"/>
                <w:bCs/>
                <w:color w:val="auto"/>
                <w:sz w:val="24"/>
                <w:szCs w:val="24"/>
              </w:rPr>
              <w:t>。</w:t>
            </w:r>
          </w:p>
          <w:p w14:paraId="5000C86F">
            <w:pPr>
              <w:pStyle w:val="77"/>
              <w:widowControl w:val="0"/>
              <w:adjustRightInd w:val="0"/>
              <w:snapToGrid w:val="0"/>
              <w:spacing w:before="0" w:beforeAutospacing="0" w:after="0" w:afterAutospacing="0" w:line="360" w:lineRule="auto"/>
              <w:jc w:val="both"/>
              <w:textAlignment w:val="auto"/>
              <w:rPr>
                <w:rFonts w:asciiTheme="minorEastAsia" w:hAnsiTheme="minorEastAsia" w:eastAsiaTheme="minorEastAsia" w:cstheme="minorEastAsia"/>
                <w:b w:val="0"/>
                <w:color w:val="auto"/>
                <w:sz w:val="24"/>
                <w:szCs w:val="24"/>
              </w:rPr>
            </w:pPr>
            <w:r>
              <w:rPr>
                <w:rFonts w:hint="eastAsia" w:asciiTheme="minorEastAsia" w:hAnsiTheme="minorEastAsia" w:eastAsiaTheme="minorEastAsia" w:cstheme="minorEastAsia"/>
                <w:b w:val="0"/>
                <w:color w:val="auto"/>
                <w:sz w:val="24"/>
                <w:szCs w:val="24"/>
              </w:rPr>
              <w:t>（4）大中型企业与小微企业组成联合体或者大中型企业向小微企业分包的，价格扣除：</w:t>
            </w:r>
            <w:r>
              <w:rPr>
                <w:rFonts w:hint="eastAsia" w:asciiTheme="minorEastAsia" w:hAnsiTheme="minorEastAsia" w:eastAsiaTheme="minorEastAsia" w:cstheme="minorEastAsia"/>
                <w:b w:val="0"/>
                <w:color w:val="auto"/>
                <w:sz w:val="24"/>
                <w:szCs w:val="24"/>
                <w:u w:val="single"/>
              </w:rPr>
              <w:t>6%</w:t>
            </w:r>
            <w:r>
              <w:rPr>
                <w:rFonts w:hint="eastAsia" w:asciiTheme="minorEastAsia" w:hAnsiTheme="minorEastAsia" w:eastAsiaTheme="minorEastAsia" w:cstheme="minorEastAsia"/>
                <w:b w:val="0"/>
                <w:color w:val="auto"/>
                <w:sz w:val="24"/>
                <w:szCs w:val="24"/>
              </w:rPr>
              <w:t>。</w:t>
            </w:r>
          </w:p>
        </w:tc>
      </w:tr>
      <w:tr w14:paraId="309D7F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2AEC6768">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12</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334B76D0">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响应有效期</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13BE1AC6">
            <w:pPr>
              <w:widowControl w:val="0"/>
              <w:adjustRightInd w:val="0"/>
              <w:snapToGrid w:val="0"/>
              <w:spacing w:line="360" w:lineRule="auto"/>
              <w:ind w:firstLine="480" w:firstLineChars="200"/>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自提交响应文件的截止之日起，响应有效期为90日。</w:t>
            </w:r>
          </w:p>
        </w:tc>
      </w:tr>
      <w:tr w14:paraId="5F005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982" w:hRule="atLeast"/>
          <w:tblHeader/>
        </w:trPr>
        <w:tc>
          <w:tcPr>
            <w:tcW w:w="852" w:type="dxa"/>
            <w:tcBorders>
              <w:top w:val="single" w:color="auto" w:sz="4" w:space="0"/>
              <w:left w:val="single" w:color="000000" w:sz="8" w:space="0"/>
              <w:right w:val="single" w:color="000000" w:sz="2" w:space="0"/>
            </w:tcBorders>
            <w:noWrap/>
            <w:vAlign w:val="center"/>
          </w:tcPr>
          <w:p w14:paraId="70C892A7">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c>
          <w:tcPr>
            <w:tcW w:w="1792" w:type="dxa"/>
            <w:tcBorders>
              <w:top w:val="single" w:color="000000" w:sz="8" w:space="0"/>
              <w:left w:val="single" w:color="000000" w:sz="2" w:space="0"/>
              <w:right w:val="single" w:color="000000" w:sz="8" w:space="0"/>
            </w:tcBorders>
            <w:noWrap/>
            <w:vAlign w:val="center"/>
          </w:tcPr>
          <w:p w14:paraId="3F8DE832">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中小企业信用融资</w:t>
            </w:r>
          </w:p>
        </w:tc>
        <w:tc>
          <w:tcPr>
            <w:tcW w:w="7316" w:type="dxa"/>
            <w:tcBorders>
              <w:top w:val="single" w:color="000000" w:sz="8" w:space="0"/>
              <w:left w:val="single" w:color="000000" w:sz="2" w:space="0"/>
              <w:right w:val="single" w:color="000000" w:sz="8" w:space="0"/>
            </w:tcBorders>
            <w:noWrap/>
            <w:vAlign w:val="center"/>
          </w:tcPr>
          <w:p w14:paraId="7618EBD9">
            <w:pPr>
              <w:widowControl w:val="0"/>
              <w:adjustRightInd w:val="0"/>
              <w:snapToGrid w:val="0"/>
              <w:spacing w:line="360" w:lineRule="auto"/>
              <w:ind w:firstLine="480" w:firstLineChars="200"/>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根据豫财购〔2017〕10号和安财购〔2017〕7号文件要求，参加政府采购项目的中小微企业供应商，持中标通知书可向金融机构申请合同融资。详情请登录安阳市政府采购网，进入网站飘窗或业务指南窗口了解金融机构提供的融资服务内容。</w:t>
            </w:r>
          </w:p>
        </w:tc>
      </w:tr>
      <w:tr w14:paraId="22902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91"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3BBB67ED">
            <w:pPr>
              <w:widowControl w:val="0"/>
              <w:adjustRightInd w:val="0"/>
              <w:snapToGrid w:val="0"/>
              <w:spacing w:line="360" w:lineRule="auto"/>
              <w:jc w:val="center"/>
              <w:textAlignment w:val="auto"/>
              <w:rPr>
                <w:rFonts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sz w:val="24"/>
                <w:szCs w:val="24"/>
              </w:rPr>
              <w:t>14</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6D786D01">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代理服务费</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5BB706B2">
            <w:pPr>
              <w:widowControl w:val="0"/>
              <w:adjustRightInd w:val="0"/>
              <w:snapToGrid w:val="0"/>
              <w:spacing w:line="360" w:lineRule="auto"/>
              <w:ind w:firstLine="480" w:firstLineChars="200"/>
              <w:textAlignment w:val="auto"/>
              <w:rPr>
                <w:rFonts w:asciiTheme="minorEastAsia" w:hAnsiTheme="minorEastAsia" w:eastAsiaTheme="minorEastAsia" w:cstheme="minorEastAsia"/>
                <w:bCs/>
                <w:color w:val="auto"/>
                <w:sz w:val="24"/>
                <w:szCs w:val="24"/>
              </w:rPr>
            </w:pPr>
            <w:r>
              <w:rPr>
                <w:rFonts w:hint="eastAsia" w:ascii="宋体" w:hAnsi="宋体" w:cs="宋体"/>
                <w:bCs/>
                <w:color w:val="auto"/>
                <w:sz w:val="24"/>
                <w:szCs w:val="24"/>
              </w:rPr>
              <w:t>参照《河南省招标代理服务收费指导意见》（豫招协[2023]002 号） 中招标代理服务收费标准向成交供应商收取代理服务费，由成交供应商在领取成交通知书前向采购代理机构缴纳，供应商综合考虑到报价中，不再单独列项。</w:t>
            </w:r>
          </w:p>
        </w:tc>
      </w:tr>
      <w:tr w14:paraId="3EF759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91"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684D79C2">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6266E72B">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响应文件数量及要求</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6694F8A0">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（1）数量：正本份数：1份，副本份数：2份，电子响应文件份数：1份。</w:t>
            </w:r>
          </w:p>
          <w:p w14:paraId="12693E0D">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（2）装订要求：纸质响应文件的正本、副本应分别装订成册，正本、副本具有连续页码，要求采用胶粘方式装订，装订应牢固、不易拆散和换页，不得采用活页夹等可随时拆换的方式装订。</w:t>
            </w:r>
          </w:p>
          <w:p w14:paraId="34FC956F">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（3）密封要求;按竞争性磋商文件要求密封。</w:t>
            </w:r>
          </w:p>
        </w:tc>
      </w:tr>
      <w:tr w14:paraId="3F38D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91"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254023B5">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56CFF642">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密封袋封套信息</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33971083">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响应文件（正副本/电子响应文件）</w:t>
            </w:r>
          </w:p>
          <w:p w14:paraId="7EF08281">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（项目名称）响应文件</w:t>
            </w:r>
          </w:p>
          <w:p w14:paraId="0CED6036">
            <w:pPr>
              <w:widowControl w:val="0"/>
              <w:adjustRightInd w:val="0"/>
              <w:snapToGrid w:val="0"/>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项目编号：</w:t>
            </w:r>
          </w:p>
          <w:p w14:paraId="027438D9">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供应商名称：</w:t>
            </w:r>
          </w:p>
          <w:p w14:paraId="06C67141">
            <w:pPr>
              <w:widowControl w:val="0"/>
              <w:adjustRightInd w:val="0"/>
              <w:snapToGrid w:val="0"/>
              <w:spacing w:line="360" w:lineRule="auto"/>
              <w:ind w:firstLine="480"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供应商地址：</w:t>
            </w:r>
          </w:p>
          <w:p w14:paraId="1B0F8767">
            <w:pPr>
              <w:widowControl w:val="0"/>
              <w:adjustRightInd w:val="0"/>
              <w:snapToGrid w:val="0"/>
              <w:spacing w:line="360" w:lineRule="auto"/>
              <w:ind w:firstLine="480" w:firstLineChars="200"/>
              <w:textAlignment w:val="auto"/>
              <w:rPr>
                <w:color w:val="auto"/>
              </w:rPr>
            </w:pPr>
            <w:r>
              <w:rPr>
                <w:rFonts w:hint="eastAsia" w:ascii="宋体" w:hAnsi="宋体" w:cs="宋体"/>
                <w:bCs/>
                <w:color w:val="auto"/>
                <w:sz w:val="24"/>
                <w:szCs w:val="24"/>
              </w:rPr>
              <w:t>在年月日时分前不得开启</w:t>
            </w:r>
          </w:p>
        </w:tc>
      </w:tr>
      <w:tr w14:paraId="362BC2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91"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07051BD4">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654AC006">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竞争性磋商小组组成情况</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3ADB7658">
            <w:pPr>
              <w:widowControl w:val="0"/>
              <w:adjustRightInd w:val="0"/>
              <w:snapToGrid w:val="0"/>
              <w:spacing w:line="360" w:lineRule="auto"/>
              <w:textAlignment w:val="auto"/>
              <w:rPr>
                <w:rFonts w:ascii="宋体" w:hAnsi="宋体" w:cs="宋体"/>
                <w:bCs/>
                <w:color w:val="auto"/>
                <w:sz w:val="24"/>
                <w:szCs w:val="24"/>
              </w:rPr>
            </w:pPr>
            <w:r>
              <w:rPr>
                <w:rFonts w:hint="eastAsia" w:ascii="宋体" w:hAnsi="宋体" w:cs="宋体"/>
                <w:bCs/>
                <w:color w:val="auto"/>
                <w:sz w:val="24"/>
                <w:szCs w:val="24"/>
              </w:rPr>
              <w:t>本次磋商小组成员由相关经济、技术等方面的专家3人组成, 由采购人从相关部门组建的专家库中随机抽取。</w:t>
            </w:r>
          </w:p>
        </w:tc>
      </w:tr>
      <w:tr w14:paraId="567EE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91" w:hRule="atLeast"/>
          <w:tblHeader/>
        </w:trPr>
        <w:tc>
          <w:tcPr>
            <w:tcW w:w="852" w:type="dxa"/>
            <w:tcBorders>
              <w:top w:val="single" w:color="auto" w:sz="4" w:space="0"/>
              <w:left w:val="single" w:color="000000" w:sz="8" w:space="0"/>
              <w:bottom w:val="single" w:color="auto" w:sz="4" w:space="0"/>
              <w:right w:val="single" w:color="000000" w:sz="2" w:space="0"/>
            </w:tcBorders>
            <w:noWrap/>
            <w:vAlign w:val="center"/>
          </w:tcPr>
          <w:p w14:paraId="3EA6B8B0">
            <w:pPr>
              <w:widowControl w:val="0"/>
              <w:adjustRightInd w:val="0"/>
              <w:snapToGrid w:val="0"/>
              <w:spacing w:line="360" w:lineRule="auto"/>
              <w:jc w:val="center"/>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18</w:t>
            </w:r>
          </w:p>
        </w:tc>
        <w:tc>
          <w:tcPr>
            <w:tcW w:w="1792" w:type="dxa"/>
            <w:tcBorders>
              <w:top w:val="single" w:color="000000" w:sz="8" w:space="0"/>
              <w:left w:val="single" w:color="000000" w:sz="2" w:space="0"/>
              <w:bottom w:val="single" w:color="000000" w:sz="8" w:space="0"/>
              <w:right w:val="single" w:color="000000" w:sz="8" w:space="0"/>
            </w:tcBorders>
            <w:noWrap/>
            <w:vAlign w:val="center"/>
          </w:tcPr>
          <w:p w14:paraId="38C8D088">
            <w:pPr>
              <w:widowControl w:val="0"/>
              <w:adjustRightInd w:val="0"/>
              <w:snapToGrid w:val="0"/>
              <w:spacing w:line="360" w:lineRule="auto"/>
              <w:jc w:val="center"/>
              <w:textAlignment w:val="auto"/>
              <w:rPr>
                <w:rFonts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付款方式</w:t>
            </w:r>
          </w:p>
        </w:tc>
        <w:tc>
          <w:tcPr>
            <w:tcW w:w="7316" w:type="dxa"/>
            <w:tcBorders>
              <w:top w:val="single" w:color="000000" w:sz="8" w:space="0"/>
              <w:left w:val="single" w:color="000000" w:sz="2" w:space="0"/>
              <w:bottom w:val="single" w:color="000000" w:sz="8" w:space="0"/>
              <w:right w:val="single" w:color="000000" w:sz="8" w:space="0"/>
            </w:tcBorders>
            <w:noWrap/>
            <w:vAlign w:val="center"/>
          </w:tcPr>
          <w:p w14:paraId="70E0C5A0">
            <w:pPr>
              <w:widowControl w:val="0"/>
              <w:adjustRightInd w:val="0"/>
              <w:snapToGrid w:val="0"/>
              <w:spacing w:line="360" w:lineRule="auto"/>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签订合同后，乙方提交全部设计文件后15日内，甲方支付合同设计费的80%，剩余20%在工程竣工验收后15日内一次性付清。</w:t>
            </w:r>
          </w:p>
        </w:tc>
      </w:tr>
    </w:tbl>
    <w:p w14:paraId="13810560">
      <w:pPr>
        <w:snapToGrid w:val="0"/>
        <w:spacing w:beforeLines="50" w:afterLines="50" w:line="560" w:lineRule="atLeast"/>
        <w:textAlignment w:val="top"/>
        <w:rPr>
          <w:rFonts w:asciiTheme="minorEastAsia" w:hAnsiTheme="minorEastAsia" w:eastAsiaTheme="minorEastAsia"/>
          <w:b/>
          <w:color w:val="auto"/>
          <w:sz w:val="24"/>
          <w:szCs w:val="24"/>
        </w:rPr>
      </w:pPr>
      <w:bookmarkStart w:id="19" w:name="_Toc437031618"/>
      <w:bookmarkStart w:id="20" w:name="_Toc192581425"/>
      <w:r>
        <w:rPr>
          <w:rFonts w:hint="eastAsia" w:asciiTheme="minorEastAsia" w:hAnsiTheme="minorEastAsia" w:eastAsiaTheme="minorEastAsia"/>
          <w:b/>
          <w:color w:val="auto"/>
          <w:sz w:val="24"/>
          <w:szCs w:val="24"/>
        </w:rPr>
        <w:t>一、总则</w:t>
      </w:r>
    </w:p>
    <w:p w14:paraId="3D85BC5C">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1.适用范围</w:t>
      </w:r>
    </w:p>
    <w:p w14:paraId="1540B94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1.1本采购文件仅适用于本次采购所述的货物、工程或服务。</w:t>
      </w:r>
    </w:p>
    <w:p w14:paraId="56715E2E">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1.2 采购文件的修改性文件、补充文件、澄清文件或说明具有同等法律效力。</w:t>
      </w:r>
    </w:p>
    <w:p w14:paraId="10FFA20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1.3本采购文件适用于并执行《中华人民共和国政府采购法》及相关的法律、法规。</w:t>
      </w:r>
    </w:p>
    <w:p w14:paraId="6AFDF9F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1.4 本采购文件的解释权属采购人及代理机构。</w:t>
      </w:r>
    </w:p>
    <w:p w14:paraId="5225BA28">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2.采购人、采购代理机构、供应商、联合体</w:t>
      </w:r>
    </w:p>
    <w:p w14:paraId="07C83A14">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2.1 采购人、采购代理机构：指依法进行政府采购的国家机关、事业单位、团体组织，及其委托的采购代理机构。本项目采购人、采购代理机构见第一部分采购邀请。</w:t>
      </w:r>
    </w:p>
    <w:p w14:paraId="612A220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2.2 供应商：指向采购人提供货物、工程或服务的法人、其他组织或者自然人。</w:t>
      </w:r>
    </w:p>
    <w:p w14:paraId="290C86FD">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2.3 联合体：指两个以上的自然人、法人或者其他组织组成一个联合体，以一个供应商的身份共同参加政府采购。</w:t>
      </w:r>
    </w:p>
    <w:p w14:paraId="700D7C06">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3.合格的供应商</w:t>
      </w:r>
    </w:p>
    <w:p w14:paraId="7B1FF20F">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3.1符合本采购文件第一部分供应商资格要求规定，有能力提供采购的货物、工程或服务，承认本采购文件所有内容的国内生产商或经销商。</w:t>
      </w:r>
    </w:p>
    <w:p w14:paraId="5A232221">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4.合格的货物和服务</w:t>
      </w:r>
    </w:p>
    <w:p w14:paraId="68F60B08">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4.1合格的货物是指由供应商为满足采购文件要求而提供的产品、工具、备件、图纸或其它材料。供应商应保证其所提供的所有货物必须是全新的、未曾使用过的货物，所涉及的技术、设计、技术培训和技术服务应来自于中华人民共和国或与中华人民共和国的正常贸易往来的国家或地区。</w:t>
      </w:r>
    </w:p>
    <w:p w14:paraId="40D99D6A">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4.2合格的服务是指供应商提供的实施方案设计、产品设计、联络、培训、验收、保障服务、技术支持及与产品有关的运输和保险以及其他伴随服务。</w:t>
      </w:r>
    </w:p>
    <w:p w14:paraId="2392970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4.3国产的货物及其有关服务必须符合中华人民共和国的设计和制造生产的国家相关标准、行业标准、地方标准或者其他标准、规范。</w:t>
      </w:r>
    </w:p>
    <w:p w14:paraId="6452E7C4">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4.4进口的货物及其有关服务必须符合原产地和/或中华人民共和国的设计和制造生产的国家相关标准、行业标准、地方标准或者其他标准、规范。进口的货物须有合法的进口手续和途径。</w:t>
      </w:r>
    </w:p>
    <w:p w14:paraId="2891B8D3">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5.投标费用</w:t>
      </w:r>
    </w:p>
    <w:p w14:paraId="393F51D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5.1无论参与本项目过程中的作法和结果如何,供应商应自行承担其参加本项目有关的全部费用。</w:t>
      </w:r>
    </w:p>
    <w:p w14:paraId="182AF99E">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6.知识产权</w:t>
      </w:r>
    </w:p>
    <w:p w14:paraId="2B30189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6.1供应商须保证采购人在中华人民共和国境内使用所供货物、资料、技术、服务或其任何一部分时，享有不受限制的无偿使用权，不会产生因第三方提出侵犯其专利权、商标权或其它知识产权而引起的法律或经济纠纷。如供应商不拥有响应的知识产权，则在报价中必须包括合法获取该知识产权的一切相关费用。如因此导致采购人损失的，供应商须承担全部赔偿责任。</w:t>
      </w:r>
    </w:p>
    <w:p w14:paraId="39C3797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6.2供应商如欲在项目实施过程中采用自有知识成果，须在响应文件中声明，并提供相关知识产权证明文件。使用该知识成果后，供应商须提供开发接口和开发手册等技术文档。</w:t>
      </w:r>
    </w:p>
    <w:p w14:paraId="57D94377">
      <w:pPr>
        <w:pStyle w:val="78"/>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rPr>
        <w:t>6.3 供应商应当贯彻落实知识产权保护相关法律法规，提供正版软件。</w:t>
      </w:r>
    </w:p>
    <w:p w14:paraId="1E206D87">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7.联合体投标</w:t>
      </w:r>
    </w:p>
    <w:p w14:paraId="3EA83500">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7.1除非本项目明确要求不接受联合体形式投标外，两个或两个以上的自然人、法人或者其他组织可以组成一个联合体，以一个供应商的身份投标。</w:t>
      </w:r>
    </w:p>
    <w:p w14:paraId="15581AB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7.2以联合体形式参加投标的，联合体各方均应当符合《政府采购法》第二十二条第一款规定的条件。</w:t>
      </w:r>
    </w:p>
    <w:p w14:paraId="1C8C9C6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7.3 联合体各方之间应当签订联合体协议，明确约定联合体各方应当承担的工作和相应的责任，并将联合体协议附入响应文件。联合体各方应当共同与采购人签订采购合同，就采购合同约定的事项对采购人承担连带责任。</w:t>
      </w:r>
    </w:p>
    <w:p w14:paraId="3B06C92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7.4联合体中有同类资质的供应商按照联合体分工承担相同工作的，应当按照资质等级较低的供应商确定资质等级。</w:t>
      </w:r>
    </w:p>
    <w:p w14:paraId="7662909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7.5以联合体形式参加政府采购活动的，联合体各方不得再单独参加或者与其他供应商另外组成联合体参加同一合同项下的政府采购活动。</w:t>
      </w:r>
    </w:p>
    <w:p w14:paraId="22F554A1">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8.信用信息</w:t>
      </w:r>
    </w:p>
    <w:p w14:paraId="64BC451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8.1依据《财政部关于在政府采购活动中查询及使用信用记录有关问题的通知》（财办库〔2016〕125号）和《河南省财政厅关于转发财政部关于在政府采购活动中查询及使用信用记录有关问题的通知的通知》（豫财购〔2016〕15号）文件的要求，将对参加本项目的供应商进行信用信息查询。</w:t>
      </w:r>
    </w:p>
    <w:p w14:paraId="244A17C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8.2信用信息查询渠道和内容为：</w:t>
      </w:r>
    </w:p>
    <w:p w14:paraId="22430F44">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（1）在“信用中国”网站（www.creditchina.gov.cn）查询“失信被执行人”和“重大税收违法失信主体”。</w:t>
      </w:r>
    </w:p>
    <w:p w14:paraId="1204380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（2）在中国政府采购网（www.ccgp.gov.cn）查询“政府采购严重违法失信行为记录名单”。</w:t>
      </w:r>
    </w:p>
    <w:p w14:paraId="718F1D5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8.3供应商信用信息的截止时点为本项目提交响应文件截止时间，采购代理机构将在启封响应文件之前对参加本项目的供应商进行信用信息查询。</w:t>
      </w:r>
    </w:p>
    <w:p w14:paraId="03D8707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8.4采购人、采购代理机构会将查询的供应商信用信息进行截图打印，作为证据留存。对列入失信被执行人、重大税收违法失信主体、政府采购严重违法失信行为记录名单及其他不符合《中华人民共和国政府采购法》第二十二条规定条件的供应商，采购人、采购代理机构拒绝其参加该项目的政府采购活动。</w:t>
      </w:r>
    </w:p>
    <w:p w14:paraId="522F6A63">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8.5两个或两个以上的自然人、法人或者其他组织组成一个联合体，以一个供应商的身份共同参加政府采购活动的，联合体成员存在不良信用记录的，视同联合体存在不良信用记录。</w:t>
      </w:r>
    </w:p>
    <w:p w14:paraId="5681B167">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w:t>
      </w:r>
      <w:r>
        <w:rPr>
          <w:rFonts w:hint="eastAsia" w:cs="黑体" w:asciiTheme="minorEastAsia" w:hAnsiTheme="minorEastAsia" w:eastAsiaTheme="minorEastAsia"/>
          <w:color w:val="auto"/>
          <w:sz w:val="24"/>
          <w:szCs w:val="24"/>
        </w:rPr>
        <w:t>9.询问与质疑</w:t>
      </w:r>
    </w:p>
    <w:p w14:paraId="1BF9E14B">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9.1 供应商对政府采购活动事项有疑问的，可以提出询问。采购人或采购代理机构将依法及时作出答复，但答复的内容不得涉及商业秘密或者依法应当保密的内容。</w:t>
      </w:r>
    </w:p>
    <w:p w14:paraId="4C7F7B2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9.2 供应商认为招标文件、招标过程或中标结果使自已的合法权益受到损害的，可以在知道或者应知其权益受到损害之日起七个工作日内，以书面形式向采购人或采购代理机构提出质疑。采购人或采购代理机构根据双方签署的政府采购委托代理协议中涉及的相关事项依法作出答复。</w:t>
      </w:r>
    </w:p>
    <w:p w14:paraId="0B2E64DB">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9.3 供应商应在法定质疑期内一次性提出针对同一采购程序环节的质疑。</w:t>
      </w:r>
    </w:p>
    <w:p w14:paraId="1E4CA1E1">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9.4 提出质疑的供应商应当是参与本项目采购活动的供应商。潜在供应商已依法获取其可质疑的采购文件的，可以对该文件提出质疑。</w:t>
      </w:r>
    </w:p>
    <w:p w14:paraId="495D9FB8">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9.5 以联合体形式参加政府采购活动的，其质疑应当由组成联合体的所有供应商共同提出。</w:t>
      </w:r>
    </w:p>
    <w:p w14:paraId="29FA3351">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9.6 供应商提出质疑应当提交质疑函和必要的证明材料。质疑函应当包括下列内容：</w:t>
      </w:r>
    </w:p>
    <w:p w14:paraId="201B1F30">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rPr>
        <w:t>（1）供应商的姓名或者名称、</w:t>
      </w:r>
      <w:r>
        <w:rPr>
          <w:rFonts w:hint="eastAsia" w:asciiTheme="minorEastAsia" w:hAnsiTheme="minorEastAsia" w:eastAsiaTheme="minorEastAsia"/>
          <w:color w:val="auto"/>
          <w:sz w:val="24"/>
          <w:szCs w:val="24"/>
          <w:lang w:val="zh-CN"/>
        </w:rPr>
        <w:t>地址、邮编、联系人及联系电话；</w:t>
      </w:r>
    </w:p>
    <w:p w14:paraId="029F88E7">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w:t>
      </w:r>
      <w:r>
        <w:rPr>
          <w:rFonts w:hint="eastAsia" w:asciiTheme="minorEastAsia" w:hAnsiTheme="minorEastAsia" w:eastAsiaTheme="minorEastAsia"/>
          <w:color w:val="auto"/>
          <w:sz w:val="24"/>
          <w:szCs w:val="24"/>
        </w:rPr>
        <w:t>2</w:t>
      </w:r>
      <w:r>
        <w:rPr>
          <w:rFonts w:hint="eastAsia" w:asciiTheme="minorEastAsia" w:hAnsiTheme="minorEastAsia" w:eastAsiaTheme="minorEastAsia"/>
          <w:color w:val="auto"/>
          <w:sz w:val="24"/>
          <w:szCs w:val="24"/>
          <w:lang w:val="zh-CN"/>
        </w:rPr>
        <w:t>）质疑项目的名称、编号；</w:t>
      </w:r>
    </w:p>
    <w:p w14:paraId="2AEE6E6E">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w:t>
      </w:r>
      <w:r>
        <w:rPr>
          <w:rFonts w:hint="eastAsia" w:asciiTheme="minorEastAsia" w:hAnsiTheme="minorEastAsia" w:eastAsiaTheme="minorEastAsia"/>
          <w:color w:val="auto"/>
          <w:sz w:val="24"/>
          <w:szCs w:val="24"/>
        </w:rPr>
        <w:t>3</w:t>
      </w:r>
      <w:r>
        <w:rPr>
          <w:rFonts w:hint="eastAsia" w:asciiTheme="minorEastAsia" w:hAnsiTheme="minorEastAsia" w:eastAsiaTheme="minorEastAsia"/>
          <w:color w:val="auto"/>
          <w:sz w:val="24"/>
          <w:szCs w:val="24"/>
          <w:lang w:val="zh-CN"/>
        </w:rPr>
        <w:t>）具体、明确的质疑事项和与质疑事项相关的请求；</w:t>
      </w:r>
    </w:p>
    <w:p w14:paraId="40390BA4">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w:t>
      </w:r>
      <w:r>
        <w:rPr>
          <w:rFonts w:hint="eastAsia" w:asciiTheme="minorEastAsia" w:hAnsiTheme="minorEastAsia" w:eastAsiaTheme="minorEastAsia"/>
          <w:color w:val="auto"/>
          <w:sz w:val="24"/>
          <w:szCs w:val="24"/>
        </w:rPr>
        <w:t>4</w:t>
      </w:r>
      <w:r>
        <w:rPr>
          <w:rFonts w:hint="eastAsia" w:asciiTheme="minorEastAsia" w:hAnsiTheme="minorEastAsia" w:eastAsiaTheme="minorEastAsia"/>
          <w:color w:val="auto"/>
          <w:sz w:val="24"/>
          <w:szCs w:val="24"/>
          <w:lang w:val="zh-CN"/>
        </w:rPr>
        <w:t>）事实依据；</w:t>
      </w:r>
    </w:p>
    <w:p w14:paraId="241A0D95">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w:t>
      </w:r>
      <w:r>
        <w:rPr>
          <w:rFonts w:hint="eastAsia" w:asciiTheme="minorEastAsia" w:hAnsiTheme="minorEastAsia" w:eastAsiaTheme="minorEastAsia"/>
          <w:color w:val="auto"/>
          <w:sz w:val="24"/>
          <w:szCs w:val="24"/>
        </w:rPr>
        <w:t>5</w:t>
      </w:r>
      <w:r>
        <w:rPr>
          <w:rFonts w:hint="eastAsia" w:asciiTheme="minorEastAsia" w:hAnsiTheme="minorEastAsia" w:eastAsiaTheme="minorEastAsia"/>
          <w:color w:val="auto"/>
          <w:sz w:val="24"/>
          <w:szCs w:val="24"/>
          <w:lang w:val="zh-CN"/>
        </w:rPr>
        <w:t>）必要的法律依据；</w:t>
      </w:r>
    </w:p>
    <w:p w14:paraId="19EA0725">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w:t>
      </w:r>
      <w:r>
        <w:rPr>
          <w:rFonts w:hint="eastAsia" w:asciiTheme="minorEastAsia" w:hAnsiTheme="minorEastAsia" w:eastAsiaTheme="minorEastAsia"/>
          <w:color w:val="auto"/>
          <w:sz w:val="24"/>
          <w:szCs w:val="24"/>
        </w:rPr>
        <w:t>6</w:t>
      </w:r>
      <w:r>
        <w:rPr>
          <w:rFonts w:hint="eastAsia" w:asciiTheme="minorEastAsia" w:hAnsiTheme="minorEastAsia" w:eastAsiaTheme="minorEastAsia"/>
          <w:color w:val="auto"/>
          <w:sz w:val="24"/>
          <w:szCs w:val="24"/>
          <w:lang w:val="zh-CN"/>
        </w:rPr>
        <w:t>）提出质疑的日期。</w:t>
      </w:r>
    </w:p>
    <w:p w14:paraId="261B3BB3">
      <w:pPr>
        <w:tabs>
          <w:tab w:val="left" w:pos="9354"/>
        </w:tabs>
        <w:snapToGrid w:val="0"/>
        <w:spacing w:line="520" w:lineRule="atLeast"/>
        <w:ind w:firstLine="480" w:firstLineChars="200"/>
        <w:rPr>
          <w:rFonts w:asciiTheme="minorEastAsia" w:hAnsiTheme="minorEastAsia" w:eastAsiaTheme="minorEastAsia"/>
          <w:color w:val="auto"/>
          <w:sz w:val="24"/>
          <w:szCs w:val="24"/>
          <w:lang w:val="zh-CN"/>
        </w:rPr>
      </w:pPr>
      <w:r>
        <w:rPr>
          <w:rFonts w:hint="eastAsia" w:asciiTheme="minorEastAsia" w:hAnsiTheme="minorEastAsia" w:eastAsiaTheme="minorEastAsia"/>
          <w:color w:val="auto"/>
          <w:sz w:val="24"/>
          <w:szCs w:val="24"/>
          <w:lang w:val="zh-CN"/>
        </w:rPr>
        <w:t>供应商为自然人的，应当由本人签字；供应商为法人或者其他组织的，应当由法定代表人、主要负责人及其授权代表签字或者盖章，并加盖供应商公章。</w:t>
      </w:r>
    </w:p>
    <w:p w14:paraId="4352D322">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9.7 供应商不得进行虚假、恶意的质疑，不得扰乱政府采购正常的工作秩序。</w:t>
      </w:r>
    </w:p>
    <w:p w14:paraId="360FE97A">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9.8 供应商如果捏造、提供虚假材料或者以非法手段取得证明材料进行质疑的，或在质疑过程中采取不正当手段诋毁、排挤其他供应商的，将报请有关部门查处。</w:t>
      </w:r>
    </w:p>
    <w:p w14:paraId="5E492FDC">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9.9如对采购人或采购代理机构的答复不满意，可向安阳市财政局政府采购监督管理科进行书面投诉。(具体程序按《中华人民共和国政府采购法实施条例》、《政府采购质疑和投诉办法》等文件执行。)</w:t>
      </w:r>
    </w:p>
    <w:p w14:paraId="64915935">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10.踏勘现场</w:t>
      </w:r>
    </w:p>
    <w:p w14:paraId="796D02F3">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10.1 如采购人组织踏勘现场的，所有供应商应按《供应商须知》前附表规定的时间、地点前往参加踏勘现场活动。供应商如不参加，其风险由供应商自行承担，采购人不承担任何责任。</w:t>
      </w:r>
    </w:p>
    <w:p w14:paraId="20686CF1">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10.2 供应商现场考察发生的费用由其自理。</w:t>
      </w:r>
    </w:p>
    <w:p w14:paraId="10109206">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10.3 采购人在现场介绍情况时，应当公平、公正、客观，不带任何倾向性或误导性。</w:t>
      </w:r>
    </w:p>
    <w:p w14:paraId="55C14A24">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10.4 采购人在</w:t>
      </w:r>
      <w:r>
        <w:rPr>
          <w:rFonts w:hint="eastAsia" w:cs="仿宋_GB2312" w:asciiTheme="minorEastAsia" w:hAnsiTheme="minorEastAsia" w:eastAsiaTheme="minorEastAsia"/>
          <w:color w:val="auto"/>
          <w:sz w:val="24"/>
          <w:szCs w:val="24"/>
        </w:rPr>
        <w:t>踏勘现场</w:t>
      </w:r>
      <w:r>
        <w:rPr>
          <w:rFonts w:hint="eastAsia" w:asciiTheme="minorEastAsia" w:hAnsiTheme="minorEastAsia" w:eastAsiaTheme="minorEastAsia"/>
          <w:color w:val="auto"/>
          <w:sz w:val="24"/>
          <w:szCs w:val="24"/>
        </w:rPr>
        <w:t>中口头介绍的情况，除采购人事后形成书面记录、并以澄清或修改公告的形式发布、构成招标文件的组成部分以外，其他内容仅供投供应商在编制投标文件时参考，采购人不对供应商据此作出的判断和决策负责。</w:t>
      </w:r>
    </w:p>
    <w:p w14:paraId="666EB6DE">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 xml:space="preserve">11. 政府采购政策（包括但不限于下列具体政策要求） </w:t>
      </w:r>
    </w:p>
    <w:p w14:paraId="0745A6E3">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11.1.促进中小企业发展扶持政策</w:t>
      </w:r>
    </w:p>
    <w:p w14:paraId="777109E0">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11.1.1中小企业是指，在中华人民共和国境内依法设立，依据国务院批准的中小企业划分标准确定的中型、小型和微型企业，但与大企业的负责人为同一人，或者与大企业存在直接控股、管理关系的除外。符合中小企业划分标准的个体工商户，在政府采购活动中视同中小企业。</w:t>
      </w:r>
    </w:p>
    <w:p w14:paraId="2F3DF23D">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11.1.2本次政府采购活动中，供应商提供的货物、工程或者服务符合下列情形的，享受中小企业扶持政策：</w:t>
      </w:r>
    </w:p>
    <w:p w14:paraId="07DCE52D">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（1）在货物采购项目中，货物由中小企业制造，即货物由中小企业生产且使用该中小企业商号或者注册商标，但供应商提供的货物既有中小企业制造货物，也有大型企业制造货物的，不享受中小企业扶持政策；</w:t>
      </w:r>
    </w:p>
    <w:p w14:paraId="25AB1291">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（2）在工程采购项目中，工程由中小企业承建，即工程施工单位为中小企业；</w:t>
      </w:r>
    </w:p>
    <w:p w14:paraId="5B3403AA">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（3）在服务采购项目中，服务由中小企业承接，即提供服务的人员为中小企业依照《中华人民共和国劳动合同法》订立劳动合同的从业人员；</w:t>
      </w:r>
    </w:p>
    <w:p w14:paraId="697294F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（4）以联合体形式参加政府采购活动，联合体各方均为中小企业的，联合体视同中小企业。其中，联合体各方均为小微企业的，联合体视同小微企业。</w:t>
      </w:r>
    </w:p>
    <w:p w14:paraId="11B00F48">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11.1.3若本项目或采购包是专门预留采购份额面向中小企业采购的，则供应商必须提供相关证明材料予以证明，参加本项目或采购包的供应商不再享受价格扣除政策。</w:t>
      </w:r>
    </w:p>
    <w:p w14:paraId="6E5B04B3">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11.1.4若本项目或采购包是非专门预留采购份额面向中小企业采购的，则对小微企业的价格给予20%的扣除，用扣除后的价格参加评审。若本次政府采购活动允许大中型企业与小微企业组成联合体或者允许大中型企业向一家或者多家小微企业分包的，对于联合协议或者分包意向协议约定小微企业的合同份额占到合同总金额30%以上的，给予联合体或者大中型企业6%的价格扣除，用扣除后的价格参加评审。</w:t>
      </w:r>
      <w:r>
        <w:rPr>
          <w:rFonts w:hint="eastAsia" w:asciiTheme="minorEastAsia" w:hAnsiTheme="minorEastAsia" w:eastAsiaTheme="minorEastAsia"/>
          <w:b/>
          <w:bCs/>
          <w:color w:val="auto"/>
          <w:sz w:val="24"/>
          <w:szCs w:val="24"/>
        </w:rPr>
        <w:t>（本条不适用）</w:t>
      </w:r>
    </w:p>
    <w:p w14:paraId="323A940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5享受小微企业价格扣除的界定依据（未按要求提供相关资料的，不享受价格扣除扶持政策）：</w:t>
      </w:r>
    </w:p>
    <w:p w14:paraId="168425B9">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(1)参加本次政府采购活动的小微企业应按附件格式提供《中小企业声明函》；</w:t>
      </w:r>
    </w:p>
    <w:p w14:paraId="327BCACB">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(2)供应商对申报的小微企业产品的价格扣除事项在附件《小微企业产品价格扣除明细表》和电子交易系统中如实认真填列。</w:t>
      </w:r>
    </w:p>
    <w:p w14:paraId="588D40B0">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6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p>
    <w:p w14:paraId="7B179CA2">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11.1.7评标委员会对供应商申报的小微企业产品的价格扣除事项（投标文件中相关明细表等）进行评审：</w:t>
      </w:r>
    </w:p>
    <w:p w14:paraId="30B759B8">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(1)评标委员会对供应商申报的小微企业产品的价格扣除事项的评审结论，分为合格与不合格；</w:t>
      </w:r>
    </w:p>
    <w:p w14:paraId="728ECA90">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经评审、申报的价格扣除事项如有计算错误（明细金额或总金额有元以上计算错误）、多报产品、错报产品、明细报价不合理对价格扣除产生重要影响、缺失声明函等任一不符合政策要求及不准确的事项，评标委员会将评审为不合格，该供应商申报的价格扣除事项不予接受；</w:t>
      </w:r>
    </w:p>
    <w:p w14:paraId="0AC4171E">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(3)评审合格的，接受其申报的小微企业产品的价格扣除总金额，用扣除后的价格参与评审。</w:t>
      </w:r>
    </w:p>
    <w:p w14:paraId="3F5AA045">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11.1.8享受扶持政策获得政府采购合同的小微企业不得将合同分包给大中型企业，中型企业不得将合同分包给大型企业。</w:t>
      </w:r>
    </w:p>
    <w:p w14:paraId="3DFC9DD7">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11.2.促进残疾人就业政策</w:t>
      </w:r>
    </w:p>
    <w:p w14:paraId="65C71EB1">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11.2.1享受政府采购支持政策的残疾人福利性单位应当同时满足以下条件：</w:t>
      </w:r>
    </w:p>
    <w:p w14:paraId="475266AE">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(1)安置的残疾人占本单位在职职工人数的比例不低于25%（含25%），并且安置的残疾人人数不少于10人（含10人）；</w:t>
      </w:r>
    </w:p>
    <w:p w14:paraId="76E19730">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(2)依法与安置的每位残疾人签订了一年以上（含一年）的劳动合同或服务协议；</w:t>
      </w:r>
    </w:p>
    <w:p w14:paraId="466762E7">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(3)为安置的每位残疾人按月足额缴纳了基本养老保险、基本医疗保险、失业保险、工伤保险和生育保险等社会保险费；</w:t>
      </w:r>
    </w:p>
    <w:p w14:paraId="575C13CD">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(4)通过银行等金融机构向安置的每位残疾人，按月支付了不低于单位所在区县适用的经省级人民政府批准的月最低工资标准的工资；</w:t>
      </w:r>
    </w:p>
    <w:p w14:paraId="07271027">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(5)提供本单位制造的货物、承担的工程或者服务（以下简称产品），或者提供其他残疾人福利性单位制造的货物（不包括使用非残疾人福利性单位注册商标的货物）。</w:t>
      </w:r>
    </w:p>
    <w:p w14:paraId="7E570480">
      <w:pPr>
        <w:tabs>
          <w:tab w:val="left" w:pos="9354"/>
        </w:tabs>
        <w:snapToGrid w:val="0"/>
        <w:spacing w:line="520" w:lineRule="atLeas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5B68B72">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11.2.2符合条件的残疾人福利性单位在参加政府采购活动时，应当提供《残疾人福利性单位声明函》，并对声明的真实性负责。在本次活动中，残疾人福利性单位视同小型、微型企业，享受预留份额、评审中价格扣除等促进中小企业发展的政府采购政策。残疾人福利性单位属于小型、微型企业的，不重复享受政策。</w:t>
      </w:r>
    </w:p>
    <w:p w14:paraId="594D6599">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11.3政府采购节能产品、环境标志产品</w:t>
      </w:r>
    </w:p>
    <w:p w14:paraId="5B77A51D">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AD4E13">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11.3.2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CEB6DAA">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11.3.3如本项目采购产品属于实施政府强制采购品目清单范围的节能产品，则供应商所报产品必须获得国家确定的认证机构出具的、处于有效期之内的节能产品认证证书，否则投标无效；</w:t>
      </w:r>
    </w:p>
    <w:p w14:paraId="1903C13A">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11.3.4非政府强制采购的节能产品或环境标志产品，依据品目清单和认证证书实施政府优先采购。优先采购的具体规定见第四部分《评审标准和评审办法》（如涉及）。</w:t>
      </w:r>
    </w:p>
    <w:p w14:paraId="0A7A0EC0">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11.4.贫困地区农副产品政策</w:t>
      </w:r>
    </w:p>
    <w:p w14:paraId="0D0B8688">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11.4.1同等条件下，优先采购贫困地区农副产品。</w:t>
      </w:r>
    </w:p>
    <w:p w14:paraId="3A7A4144">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11.4.2贫困地区农副产品是指国家级贫困县域内注册的企业、农民专业合作社、家庭农场等出产的农副产品。</w:t>
      </w:r>
    </w:p>
    <w:p w14:paraId="5EB5D0C5">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11.5.优先采购聘用建档立卡贫困人员物业公司</w:t>
      </w:r>
    </w:p>
    <w:p w14:paraId="54754C23">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11.5.1同等条件下，对注册地在国家级贫困县域内，且聘用建档立卡贫困人员达到公司员工（含服务外包用工）30%以上的物业公司优先采购。同等条件是指，采用综合评分法的项目，供应商综合得分一致、价格得分一致；采用最低评标价法的项目，供应商最终报价一致。</w:t>
      </w:r>
    </w:p>
    <w:p w14:paraId="2EA2D7C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11.5.2如供应商满足此项要求，应在符合性响应文件中提供物业公司注册所在县扶贫部门出具的聘用建档立卡贫困人员具体数量的证明。</w:t>
      </w:r>
    </w:p>
    <w:p w14:paraId="6760FA0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11.6.推广使用低挥发性有机化合物（VOCs）政策</w:t>
      </w:r>
    </w:p>
    <w:p w14:paraId="1A9B4B61">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11.6.1为全面推进本市挥发性有机物（VOCs）治理，贯彻落实挥发性有机物污染治理专项行动有关要求。如本项目中涉及涂料、胶黏剂、油墨、清洗剂等挥发性有机物产品的，供应商应执行符合本市和国家的VOCs 含量限制标准。同等条件下，享受使用低挥发性有机化合物（VOCs）含量涂料、原辅材料优先采购政策。同等条件是指，采用综合评分法的项目，供应商综合得分一致、价格得分一致；采用最低评标价法的项目，供应商最终报价一致。</w:t>
      </w:r>
    </w:p>
    <w:p w14:paraId="7C53D75F">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11.7.信息安全产品须通过国家信息安全认证中心认证，计算机产品须预装正版操作系统软件。</w:t>
      </w:r>
    </w:p>
    <w:p w14:paraId="1BE95F84">
      <w:pPr>
        <w:tabs>
          <w:tab w:val="left" w:pos="9354"/>
        </w:tabs>
        <w:snapToGrid w:val="0"/>
        <w:spacing w:line="520" w:lineRule="atLeast"/>
        <w:ind w:firstLine="480" w:firstLineChars="200"/>
        <w:rPr>
          <w:rFonts w:ascii="黑体" w:hAnsi="黑体" w:eastAsia="黑体" w:cs="楷体_GB2312"/>
          <w:b/>
          <w:bCs/>
          <w:color w:val="auto"/>
          <w:sz w:val="28"/>
          <w:szCs w:val="28"/>
          <w:lang w:val="zh-CN"/>
        </w:rPr>
      </w:pPr>
      <w:r>
        <w:rPr>
          <w:rFonts w:hint="eastAsia" w:asciiTheme="minorEastAsia" w:hAnsiTheme="minorEastAsia" w:eastAsiaTheme="minorEastAsia"/>
          <w:color w:val="auto"/>
          <w:sz w:val="24"/>
          <w:szCs w:val="24"/>
        </w:rPr>
        <w:t>11.8.如所供产品有环保要求，应符合相关环保法律政策要求。</w:t>
      </w:r>
    </w:p>
    <w:p w14:paraId="091BEFAA">
      <w:pPr>
        <w:snapToGrid w:val="0"/>
        <w:spacing w:beforeLines="50" w:afterLines="50" w:line="560" w:lineRule="atLeast"/>
        <w:ind w:firstLine="556"/>
        <w:jc w:val="center"/>
        <w:textAlignment w:val="top"/>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二、采购文件</w:t>
      </w:r>
    </w:p>
    <w:p w14:paraId="48B7ACC1">
      <w:pPr>
        <w:snapToGrid w:val="0"/>
        <w:spacing w:line="360" w:lineRule="auto"/>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12.采购文件的构成</w:t>
      </w:r>
    </w:p>
    <w:p w14:paraId="2B617A6B">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12.1采购文件用以阐明采购人所需货物、工程或服务、磋商采购程序和合同条款。采购文件由下述部分组成：</w:t>
      </w:r>
    </w:p>
    <w:p w14:paraId="33EE875F">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 采购邀请</w:t>
      </w:r>
      <w:r>
        <w:rPr>
          <w:rFonts w:hint="eastAsia" w:ascii="宋体" w:hAnsi="宋体" w:cs="宋体"/>
          <w:color w:val="auto"/>
          <w:spacing w:val="-9"/>
          <w:sz w:val="24"/>
          <w:szCs w:val="24"/>
        </w:rPr>
        <w:t>（竞争性磋商公告）</w:t>
      </w:r>
    </w:p>
    <w:p w14:paraId="2BF98347">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 供应商须知</w:t>
      </w:r>
    </w:p>
    <w:p w14:paraId="3A28C953">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 采购人需求</w:t>
      </w:r>
    </w:p>
    <w:p w14:paraId="5642BA27">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 评审标准和评审办法</w:t>
      </w:r>
    </w:p>
    <w:p w14:paraId="0E0475F5">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 合同（格式）</w:t>
      </w:r>
    </w:p>
    <w:p w14:paraId="347F4F3C">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 附件——响应文件格式</w:t>
      </w:r>
    </w:p>
    <w:p w14:paraId="5CE80785">
      <w:pPr>
        <w:snapToGrid w:val="0"/>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12.2供应商获取采购文件后，应仔细阅读采购文件，按采购文件的要求提供响应文件，并保证所提供的全部资料的真实性，以使其响应对采购文件做出满足，否则，将承担其磋商被拒绝或终止的风险。</w:t>
      </w:r>
    </w:p>
    <w:p w14:paraId="6D6D9353">
      <w:pPr>
        <w:snapToGrid w:val="0"/>
        <w:spacing w:line="360" w:lineRule="auto"/>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13.采购文件的澄清与修改</w:t>
      </w:r>
    </w:p>
    <w:p w14:paraId="76E8C5A1">
      <w:pPr>
        <w:autoSpaceDE w:val="0"/>
        <w:autoSpaceDN w:val="0"/>
        <w:adjustRightInd w:val="0"/>
        <w:snapToGrid w:val="0"/>
        <w:spacing w:beforeLines="50" w:line="360" w:lineRule="auto"/>
        <w:ind w:firstLine="480" w:firstLineChars="200"/>
        <w:rPr>
          <w:rFonts w:ascii="宋体" w:cs="楷体_GB2312"/>
          <w:color w:val="auto"/>
          <w:sz w:val="24"/>
          <w:lang w:val="zh-CN"/>
        </w:rPr>
      </w:pPr>
      <w:r>
        <w:rPr>
          <w:rFonts w:hint="eastAsia" w:ascii="宋体" w:hAnsi="宋体" w:cs="楷体_GB2312"/>
          <w:color w:val="auto"/>
          <w:sz w:val="24"/>
          <w:lang w:val="zh-CN"/>
        </w:rPr>
        <w:t>13.1 合规获取《磋商文件》的所有潜在供应商对《磋商文件》如有需澄清的疑问，应在供应商须知前附表规定的时间内按竞争性磋商公告中载明的地址以书面形式（包括信函、电报或传真，下同）通知到采购代理机构。在规定的时间内未提出疑问的，将视为对《磋商文件》的完全认可。</w:t>
      </w:r>
    </w:p>
    <w:p w14:paraId="0DDB60C4">
      <w:pPr>
        <w:autoSpaceDE w:val="0"/>
        <w:autoSpaceDN w:val="0"/>
        <w:adjustRightInd w:val="0"/>
        <w:snapToGrid w:val="0"/>
        <w:spacing w:beforeLines="50" w:line="360" w:lineRule="auto"/>
        <w:ind w:firstLine="480" w:firstLineChars="200"/>
        <w:rPr>
          <w:rFonts w:ascii="宋体" w:cs="楷体_GB2312"/>
          <w:color w:val="auto"/>
          <w:sz w:val="24"/>
          <w:lang w:val="zh-CN"/>
        </w:rPr>
      </w:pPr>
      <w:r>
        <w:rPr>
          <w:rFonts w:hint="eastAsia" w:ascii="宋体" w:hAnsi="宋体" w:cs="楷体_GB2312"/>
          <w:color w:val="auto"/>
          <w:sz w:val="24"/>
          <w:lang w:val="zh-CN"/>
        </w:rPr>
        <w:t>13.2采购代理机构对潜在供应商在规定的时间内提出的疑问，将视情况以书面形式予以答复，并在其认为必要时，将不标明查询来源的书面答复，在“竞争性磋商公告”所述媒体通告所有潜在供应商。</w:t>
      </w:r>
    </w:p>
    <w:p w14:paraId="0502D660">
      <w:pPr>
        <w:autoSpaceDE w:val="0"/>
        <w:autoSpaceDN w:val="0"/>
        <w:adjustRightInd w:val="0"/>
        <w:snapToGrid w:val="0"/>
        <w:spacing w:beforeLines="50" w:line="360" w:lineRule="auto"/>
        <w:ind w:firstLine="480" w:firstLineChars="200"/>
        <w:rPr>
          <w:rFonts w:ascii="宋体" w:cs="楷体_GB2312"/>
          <w:color w:val="auto"/>
          <w:sz w:val="24"/>
          <w:lang w:val="zh-CN"/>
        </w:rPr>
      </w:pPr>
      <w:r>
        <w:rPr>
          <w:rFonts w:hint="eastAsia" w:ascii="宋体" w:hAnsi="宋体" w:cs="楷体_GB2312"/>
          <w:color w:val="auto"/>
          <w:sz w:val="24"/>
          <w:lang w:val="zh-CN"/>
        </w:rPr>
        <w:t>13.3 《磋商文件》中如有不符合国家有关强制性规定、不符合国家标准及行业标准的，供应商应在投标阶段或成交实施阶段予以纠正或尽提醒义务。如作为有经验的供应商（成交供应商）应当知道而未尽提醒义务的，执行指令而造成的损失及风险由供应商（成交供应商）承担。</w:t>
      </w:r>
    </w:p>
    <w:p w14:paraId="0E0D74CB">
      <w:pPr>
        <w:adjustRightInd w:val="0"/>
        <w:snapToGrid w:val="0"/>
        <w:spacing w:beforeLines="50" w:line="360" w:lineRule="auto"/>
        <w:ind w:firstLine="480" w:firstLineChars="200"/>
        <w:jc w:val="left"/>
        <w:rPr>
          <w:rFonts w:asciiTheme="minorEastAsia" w:hAnsiTheme="minorEastAsia" w:eastAsiaTheme="minorEastAsia"/>
          <w:b/>
          <w:color w:val="auto"/>
          <w:sz w:val="24"/>
          <w:szCs w:val="24"/>
        </w:rPr>
      </w:pPr>
      <w:r>
        <w:rPr>
          <w:rFonts w:hint="eastAsia" w:ascii="宋体" w:hAnsi="宋体" w:cs="楷体_GB2312"/>
          <w:color w:val="auto"/>
          <w:sz w:val="24"/>
          <w:lang w:val="zh-CN"/>
        </w:rPr>
        <w:t>13.4采购代理机构可视情况在投标截止前答疑。</w:t>
      </w:r>
    </w:p>
    <w:p w14:paraId="2EC4D0FB">
      <w:pPr>
        <w:snapToGrid w:val="0"/>
        <w:spacing w:beforeLines="50" w:afterLines="50" w:line="560" w:lineRule="atLeast"/>
        <w:ind w:firstLine="556"/>
        <w:jc w:val="center"/>
        <w:textAlignment w:val="top"/>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三、响应文件的编写</w:t>
      </w:r>
    </w:p>
    <w:p w14:paraId="24A0336C">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14.</w:t>
      </w:r>
      <w:bookmarkStart w:id="21" w:name="_Toc382049102"/>
      <w:bookmarkStart w:id="22" w:name="_Toc303084255"/>
      <w:bookmarkStart w:id="23" w:name="_Toc410723287"/>
      <w:r>
        <w:rPr>
          <w:rFonts w:hint="eastAsia" w:cs="黑体" w:asciiTheme="minorEastAsia" w:hAnsiTheme="minorEastAsia" w:eastAsiaTheme="minorEastAsia"/>
          <w:color w:val="auto"/>
          <w:sz w:val="24"/>
          <w:szCs w:val="24"/>
        </w:rPr>
        <w:t>响应文件的语言及度量衡单位</w:t>
      </w:r>
      <w:bookmarkEnd w:id="21"/>
      <w:bookmarkEnd w:id="22"/>
      <w:bookmarkEnd w:id="23"/>
    </w:p>
    <w:p w14:paraId="73B0C7ED">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14.1响应文件以及供应商所有与采购人及采购代理机构就本项目来往的函电均使用中文。供应商提供的外文资料应附有相应的中文译本，并以中文译本为准。</w:t>
      </w:r>
    </w:p>
    <w:p w14:paraId="582C95B4">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14.2除在采购文件的基本技术要求中另有规定外，计量单位均使用公制计量单位。</w:t>
      </w:r>
    </w:p>
    <w:p w14:paraId="61DB1EAB">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15.响应文件的组成</w:t>
      </w:r>
    </w:p>
    <w:p w14:paraId="0808BF6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15.1响应文件应按照采购文件“第六部分附件——响应文件格式”进行编写。混乱的编写导致投标文件被误读或评标委员会查找不到有效文件是供应商的风险。</w:t>
      </w:r>
    </w:p>
    <w:p w14:paraId="4CC97BBF">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15.2如供应商不满足促进中小企业发展扶持政策的要求，可不附“中小企业声明函”、“残疾人福利性单位声明函”和“中小企业产品价格扣除明细表”。</w:t>
      </w:r>
    </w:p>
    <w:p w14:paraId="51D4B139">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16.响应文件格式</w:t>
      </w:r>
    </w:p>
    <w:p w14:paraId="6D5831D0">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16.1供应商应按采购文件“第六部分附件——响应文件格式”中所要求的内容及顺序编制响应文件，并编制目录及页码，如未列明格式的，由供应商自行设计。</w:t>
      </w:r>
    </w:p>
    <w:p w14:paraId="49E6941F">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17.磋商报价</w:t>
      </w:r>
    </w:p>
    <w:p w14:paraId="23F9DC5A">
      <w:pPr>
        <w:widowControl w:val="0"/>
        <w:snapToGrid w:val="0"/>
        <w:spacing w:line="560" w:lineRule="atLeast"/>
        <w:ind w:firstLine="480" w:firstLineChars="200"/>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17.1供应商的磋商报价应为达到服务要求下的服务总承包价，包括人员费、设备费、技术服务费、材料费、交通住宿费、成果印刷费、知识产权（如有）、保险（如需）、所涉货物包装、相关税费等与采购项目（标段</w:t>
      </w:r>
      <w:r>
        <w:rPr>
          <w:rFonts w:asciiTheme="minorEastAsia" w:hAnsiTheme="minorEastAsia" w:eastAsiaTheme="minorEastAsia"/>
          <w:color w:val="auto"/>
          <w:sz w:val="24"/>
          <w:szCs w:val="24"/>
        </w:rPr>
        <w:t>&lt;</w:t>
      </w:r>
      <w:r>
        <w:rPr>
          <w:rFonts w:hint="eastAsia" w:asciiTheme="minorEastAsia" w:hAnsiTheme="minorEastAsia" w:eastAsiaTheme="minorEastAsia"/>
          <w:color w:val="auto"/>
          <w:sz w:val="24"/>
          <w:szCs w:val="24"/>
        </w:rPr>
        <w:t>包</w:t>
      </w:r>
      <w:r>
        <w:rPr>
          <w:rFonts w:asciiTheme="minorEastAsia" w:hAnsiTheme="minorEastAsia" w:eastAsiaTheme="minorEastAsia"/>
          <w:color w:val="auto"/>
          <w:sz w:val="24"/>
          <w:szCs w:val="24"/>
        </w:rPr>
        <w:t>&gt;</w:t>
      </w:r>
      <w:r>
        <w:rPr>
          <w:rFonts w:hint="eastAsia" w:asciiTheme="minorEastAsia" w:hAnsiTheme="minorEastAsia" w:eastAsiaTheme="minorEastAsia"/>
          <w:color w:val="auto"/>
          <w:sz w:val="24"/>
          <w:szCs w:val="24"/>
        </w:rPr>
        <w:t>）相关的、必须的款项及费用（包括未列明而完成交验所必须的所有费用、材料、工具、设施）。成交价格在成交合同范围内固定不变。</w:t>
      </w:r>
    </w:p>
    <w:p w14:paraId="208BA503">
      <w:pPr>
        <w:widowControl w:val="0"/>
        <w:snapToGrid w:val="0"/>
        <w:spacing w:line="560" w:lineRule="atLeast"/>
        <w:ind w:firstLine="480" w:firstLineChars="200"/>
        <w:jc w:val="left"/>
        <w:rPr>
          <w:rFonts w:asciiTheme="minorEastAsia" w:hAnsiTheme="minorEastAsia" w:eastAsiaTheme="minorEastAsia"/>
          <w:b w:val="0"/>
          <w:bCs w:val="0"/>
          <w:color w:val="auto"/>
          <w:sz w:val="24"/>
          <w:szCs w:val="24"/>
          <w:highlight w:val="none"/>
        </w:rPr>
      </w:pPr>
      <w:r>
        <w:rPr>
          <w:rFonts w:hint="eastAsia" w:asciiTheme="minorEastAsia" w:hAnsiTheme="minorEastAsia" w:eastAsiaTheme="minorEastAsia"/>
          <w:color w:val="auto"/>
          <w:sz w:val="24"/>
          <w:szCs w:val="24"/>
        </w:rPr>
        <w:t>17.2本次竞争性磋商共二次报价（含《响应文件》中的“第一次报价一览表”报价共二次价格磋商）。磋商小组未对《磋商文件》作优化变更增加的，磋商中的报价均不应超过前次报价，供应商擅自调高报价的，</w:t>
      </w:r>
      <w:r>
        <w:rPr>
          <w:rFonts w:hint="eastAsia" w:asciiTheme="minorEastAsia" w:hAnsiTheme="minorEastAsia" w:eastAsiaTheme="minorEastAsia"/>
          <w:b w:val="0"/>
          <w:bCs w:val="0"/>
          <w:color w:val="auto"/>
          <w:sz w:val="24"/>
          <w:szCs w:val="24"/>
          <w:highlight w:val="none"/>
        </w:rPr>
        <w:t>磋商小组将按二次报价中的最低报价作为有效报价。</w:t>
      </w:r>
    </w:p>
    <w:p w14:paraId="34387EC8">
      <w:pPr>
        <w:widowControl w:val="0"/>
        <w:snapToGrid w:val="0"/>
        <w:spacing w:line="560" w:lineRule="atLeast"/>
        <w:ind w:firstLine="480" w:firstLineChars="200"/>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17</w:t>
      </w:r>
      <w:r>
        <w:rPr>
          <w:rFonts w:asciiTheme="minorEastAsia" w:hAnsiTheme="minorEastAsia" w:eastAsiaTheme="minorEastAsia"/>
          <w:color w:val="auto"/>
          <w:sz w:val="24"/>
          <w:szCs w:val="24"/>
        </w:rPr>
        <w:t xml:space="preserve">.3 </w:t>
      </w:r>
      <w:r>
        <w:rPr>
          <w:rFonts w:hint="eastAsia" w:asciiTheme="minorEastAsia" w:hAnsiTheme="minorEastAsia" w:eastAsiaTheme="minorEastAsia"/>
          <w:color w:val="auto"/>
          <w:sz w:val="24"/>
          <w:szCs w:val="24"/>
        </w:rPr>
        <w:t>如磋商报价未超过</w:t>
      </w:r>
      <w:r>
        <w:rPr>
          <w:rFonts w:hint="eastAsia" w:cs="楷体_GB2312" w:asciiTheme="minorEastAsia" w:hAnsiTheme="minorEastAsia" w:eastAsiaTheme="minorEastAsia"/>
          <w:bCs/>
          <w:color w:val="auto"/>
          <w:sz w:val="24"/>
          <w:lang w:val="zh-CN"/>
        </w:rPr>
        <w:t>预算金额</w:t>
      </w:r>
      <w:r>
        <w:rPr>
          <w:rFonts w:hint="eastAsia" w:asciiTheme="minorEastAsia" w:hAnsiTheme="minorEastAsia" w:eastAsiaTheme="minorEastAsia"/>
          <w:color w:val="auto"/>
          <w:sz w:val="24"/>
          <w:szCs w:val="24"/>
        </w:rPr>
        <w:t>（见竞争性磋商公告</w:t>
      </w:r>
      <w:r>
        <w:rPr>
          <w:rFonts w:asciiTheme="minorEastAsia" w:hAnsiTheme="minorEastAsia" w:eastAsiaTheme="minorEastAsia"/>
          <w:color w:val="auto"/>
          <w:sz w:val="24"/>
          <w:szCs w:val="24"/>
        </w:rPr>
        <w:t>1.4</w:t>
      </w:r>
      <w:r>
        <w:rPr>
          <w:rFonts w:hint="eastAsia" w:asciiTheme="minorEastAsia" w:hAnsiTheme="minorEastAsia" w:eastAsiaTheme="minorEastAsia"/>
          <w:color w:val="auto"/>
          <w:sz w:val="24"/>
          <w:szCs w:val="24"/>
        </w:rPr>
        <w:t>）的供应商不足三家的，该标段（包）做终止处理。</w:t>
      </w:r>
    </w:p>
    <w:p w14:paraId="05225E73">
      <w:pPr>
        <w:widowControl w:val="0"/>
        <w:snapToGrid w:val="0"/>
        <w:spacing w:line="560" w:lineRule="atLeast"/>
        <w:ind w:firstLine="480" w:firstLineChars="200"/>
        <w:jc w:val="left"/>
        <w:rPr>
          <w:rFonts w:cs="黑体" w:asciiTheme="minorEastAsia" w:hAnsiTheme="minorEastAsia" w:eastAsiaTheme="minorEastAsia"/>
          <w:b/>
          <w:color w:val="auto"/>
          <w:sz w:val="24"/>
          <w:szCs w:val="24"/>
        </w:rPr>
      </w:pPr>
      <w:r>
        <w:rPr>
          <w:rFonts w:hint="eastAsia" w:asciiTheme="minorEastAsia" w:hAnsiTheme="minorEastAsia" w:eastAsiaTheme="minorEastAsia"/>
          <w:color w:val="auto"/>
          <w:sz w:val="24"/>
          <w:szCs w:val="24"/>
        </w:rPr>
        <w:t>17</w:t>
      </w:r>
      <w:r>
        <w:rPr>
          <w:rFonts w:asciiTheme="minorEastAsia" w:hAnsiTheme="minorEastAsia" w:eastAsiaTheme="minorEastAsia"/>
          <w:color w:val="auto"/>
          <w:sz w:val="24"/>
          <w:szCs w:val="24"/>
        </w:rPr>
        <w:t>.4</w:t>
      </w:r>
      <w:r>
        <w:rPr>
          <w:rFonts w:hint="eastAsia" w:asciiTheme="minorEastAsia" w:hAnsiTheme="minorEastAsia" w:eastAsiaTheme="minorEastAsia"/>
          <w:color w:val="auto"/>
          <w:sz w:val="24"/>
          <w:szCs w:val="24"/>
        </w:rPr>
        <w:t>遵循第三章供应商须知</w:t>
      </w:r>
      <w:r>
        <w:rPr>
          <w:rFonts w:asciiTheme="minorEastAsia" w:hAnsiTheme="minorEastAsia" w:eastAsiaTheme="minorEastAsia"/>
          <w:color w:val="auto"/>
          <w:sz w:val="24"/>
          <w:szCs w:val="24"/>
        </w:rPr>
        <w:t>3.7.4</w:t>
      </w:r>
      <w:r>
        <w:rPr>
          <w:rFonts w:hint="eastAsia" w:asciiTheme="minorEastAsia" w:hAnsiTheme="minorEastAsia" w:eastAsiaTheme="minorEastAsia"/>
          <w:color w:val="auto"/>
          <w:sz w:val="24"/>
          <w:szCs w:val="24"/>
        </w:rPr>
        <w:t>项规定。</w:t>
      </w:r>
    </w:p>
    <w:p w14:paraId="17C5EF3F">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18.投标承诺函（替代投标保证金）</w:t>
      </w:r>
    </w:p>
    <w:p w14:paraId="6821E3FF">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18.1依据河南省财政厅《关于优化政府采购营商环境有关问题的通知》（豫财购〔2019〕4号）文件要求，本项目以投标承诺函的形式替代投标保证金，供应商按附件格式进行投标承诺，违背承诺的将承担相应的法律责任及违约责任。</w:t>
      </w:r>
    </w:p>
    <w:p w14:paraId="7BBA56D6">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19.响应有效期</w:t>
      </w:r>
    </w:p>
    <w:p w14:paraId="0956D4F3">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19.1响应文件从提交响应文件的截止之日起，投标有效期为90日。</w:t>
      </w:r>
    </w:p>
    <w:p w14:paraId="594E6AB1">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20.响应文件的签署及规定</w:t>
      </w:r>
    </w:p>
    <w:p w14:paraId="3D3BDC0F">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20.1</w:t>
      </w:r>
      <w:r>
        <w:rPr>
          <w:rFonts w:hint="eastAsia" w:ascii="宋体" w:hAnsi="宋体" w:cs="楷体_GB2312"/>
          <w:color w:val="auto"/>
          <w:sz w:val="24"/>
          <w:lang w:val="zh-CN"/>
        </w:rPr>
        <w:t>《响应文件》应按《磋商文件》相关要求（含格式上标注的要求）由供应商法定代表人或其授权代表人签字、加盖公章。</w:t>
      </w:r>
    </w:p>
    <w:p w14:paraId="28B0FC17">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20.2</w:t>
      </w:r>
      <w:r>
        <w:rPr>
          <w:rFonts w:hint="eastAsia" w:ascii="宋体" w:hAnsi="宋体" w:cs="楷体_GB2312"/>
          <w:color w:val="auto"/>
          <w:sz w:val="24"/>
          <w:lang w:val="zh-CN"/>
        </w:rPr>
        <w:t>《响应文件》正本一份, 副本</w:t>
      </w:r>
      <w:r>
        <w:rPr>
          <w:rFonts w:hint="eastAsia" w:ascii="宋体" w:hAnsi="宋体" w:cs="楷体_GB2312"/>
          <w:color w:val="auto"/>
          <w:sz w:val="24"/>
          <w:lang w:val="en-US" w:eastAsia="zh-CN"/>
        </w:rPr>
        <w:t>贰</w:t>
      </w:r>
      <w:r>
        <w:rPr>
          <w:rFonts w:hint="eastAsia" w:ascii="宋体" w:hAnsi="宋体" w:cs="楷体_GB2312"/>
          <w:color w:val="auto"/>
          <w:sz w:val="24"/>
          <w:lang w:val="zh-CN"/>
        </w:rPr>
        <w:t>份。正本和副本的封面上应清楚地标记“正本”或“副本”字样，正本必须用永久性字迹填写或打印，副本可为正本完整的复印件；副本应与正本内容一致，正本和副本若有差异，以正本为准。</w:t>
      </w:r>
      <w:r>
        <w:rPr>
          <w:rFonts w:hint="eastAsia" w:asciiTheme="minorEastAsia" w:hAnsiTheme="minorEastAsia" w:eastAsiaTheme="minorEastAsia"/>
          <w:color w:val="auto"/>
          <w:sz w:val="24"/>
          <w:szCs w:val="24"/>
        </w:rPr>
        <w:t>。</w:t>
      </w:r>
    </w:p>
    <w:p w14:paraId="1858CCF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20.3电报、电话、传真、电子邮件形式的递交概不接受。</w:t>
      </w:r>
    </w:p>
    <w:p w14:paraId="115D579B">
      <w:pPr>
        <w:snapToGrid w:val="0"/>
        <w:spacing w:line="56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21.响应文件的密封和标记</w:t>
      </w:r>
    </w:p>
    <w:p w14:paraId="314D8CED">
      <w:pPr>
        <w:autoSpaceDE w:val="0"/>
        <w:autoSpaceDN w:val="0"/>
        <w:adjustRightInd w:val="0"/>
        <w:snapToGrid w:val="0"/>
        <w:spacing w:beforeLines="50" w:line="560" w:lineRule="atLeast"/>
        <w:ind w:firstLine="539"/>
        <w:rPr>
          <w:rFonts w:ascii="宋体" w:hAnsi="宋体" w:cs="楷体_GB2312"/>
          <w:color w:val="auto"/>
          <w:sz w:val="24"/>
          <w:lang w:val="zh-CN"/>
        </w:rPr>
      </w:pPr>
      <w:r>
        <w:rPr>
          <w:rFonts w:hint="eastAsia" w:asciiTheme="minorEastAsia" w:hAnsiTheme="minorEastAsia" w:eastAsiaTheme="minorEastAsia"/>
          <w:color w:val="auto"/>
          <w:sz w:val="24"/>
          <w:szCs w:val="24"/>
        </w:rPr>
        <w:t>21.1</w:t>
      </w:r>
      <w:r>
        <w:rPr>
          <w:rFonts w:hint="eastAsia" w:ascii="宋体" w:hAnsi="宋体" w:cs="楷体_GB2312"/>
          <w:color w:val="auto"/>
          <w:sz w:val="24"/>
          <w:lang w:val="zh-CN"/>
        </w:rPr>
        <w:t>供应商应将《响应文件》的正本、副本、电子</w:t>
      </w:r>
      <w:r>
        <w:rPr>
          <w:rFonts w:hint="eastAsia" w:ascii="宋体" w:hAnsi="宋体" w:cs="楷体_GB2312"/>
          <w:color w:val="auto"/>
          <w:sz w:val="24"/>
          <w:lang w:val="en-US" w:eastAsia="zh-CN"/>
        </w:rPr>
        <w:t>响应文件</w:t>
      </w:r>
      <w:r>
        <w:rPr>
          <w:rFonts w:hint="eastAsia" w:ascii="宋体" w:hAnsi="宋体" w:cs="楷体_GB2312"/>
          <w:color w:val="auto"/>
          <w:sz w:val="24"/>
          <w:lang w:val="zh-CN"/>
        </w:rPr>
        <w:t>（光盘、U盘）密封包装，将《响应文件》正本、副本、电子</w:t>
      </w:r>
      <w:r>
        <w:rPr>
          <w:rFonts w:hint="eastAsia" w:ascii="宋体" w:hAnsi="宋体" w:cs="楷体_GB2312"/>
          <w:color w:val="auto"/>
          <w:sz w:val="24"/>
          <w:lang w:val="en-US" w:eastAsia="zh-CN"/>
        </w:rPr>
        <w:t>响应文件</w:t>
      </w:r>
      <w:r>
        <w:rPr>
          <w:rFonts w:hint="eastAsia" w:ascii="宋体" w:hAnsi="宋体" w:cs="楷体_GB2312"/>
          <w:color w:val="auto"/>
          <w:sz w:val="24"/>
          <w:lang w:val="zh-CN"/>
        </w:rPr>
        <w:t>（光盘、U盘）分别用非透明文件袋&lt;箱&gt;密封，在每个密封文件袋&lt;箱&gt;上标明“供应商名称”、“响应项目名称”、“项目编号”、“正本”或“副本”或“电子版”字样，《响应文件》副本的密封文件袋&lt;箱&gt;上应同时注明该密封文件袋&lt;箱&gt;内的《响应文件》副本的份数。每个密封文件&lt;箱&gt;袋上的封口处应加贴封条并注明“</w:t>
      </w:r>
      <w:r>
        <w:rPr>
          <w:rFonts w:hint="eastAsia" w:ascii="宋体" w:hAnsi="宋体" w:cs="楷体_GB2312"/>
          <w:color w:val="auto"/>
          <w:sz w:val="24"/>
          <w:u w:val="single"/>
          <w:lang w:val="zh-CN"/>
        </w:rPr>
        <w:t>《响应文件》</w:t>
      </w:r>
      <w:r>
        <w:rPr>
          <w:rFonts w:hint="eastAsia" w:ascii="宋体" w:hAnsi="宋体" w:cs="楷体_GB2312"/>
          <w:color w:val="auto"/>
          <w:sz w:val="24"/>
          <w:u w:val="single"/>
          <w:lang w:val="en-US" w:eastAsia="zh-CN"/>
        </w:rPr>
        <w:t>在</w:t>
      </w:r>
      <w:r>
        <w:rPr>
          <w:rFonts w:hint="eastAsia" w:ascii="宋体" w:hAnsi="宋体" w:cs="楷体_GB2312"/>
          <w:color w:val="auto"/>
          <w:sz w:val="24"/>
          <w:u w:val="single"/>
          <w:lang w:val="zh-CN"/>
        </w:rPr>
        <w:t>年月日</w:t>
      </w:r>
      <w:r>
        <w:rPr>
          <w:rFonts w:hint="eastAsia" w:ascii="宋体" w:hAnsi="宋体" w:cs="楷体_GB2312"/>
          <w:color w:val="auto"/>
          <w:sz w:val="24"/>
          <w:u w:val="single"/>
          <w:lang w:val="en-US" w:eastAsia="zh-CN"/>
        </w:rPr>
        <w:t>时分</w:t>
      </w:r>
      <w:r>
        <w:rPr>
          <w:rFonts w:hint="eastAsia" w:ascii="宋体" w:hAnsi="宋体" w:cs="楷体_GB2312"/>
          <w:color w:val="auto"/>
          <w:sz w:val="24"/>
          <w:lang w:val="zh-CN"/>
        </w:rPr>
        <w:t>前不准</w:t>
      </w:r>
      <w:r>
        <w:rPr>
          <w:rFonts w:hint="eastAsia" w:ascii="宋体" w:hAnsi="宋体" w:cs="楷体_GB2312"/>
          <w:color w:val="auto"/>
          <w:sz w:val="24"/>
          <w:lang w:val="en-US" w:eastAsia="zh-CN"/>
        </w:rPr>
        <w:t>开启</w:t>
      </w:r>
      <w:r>
        <w:rPr>
          <w:rFonts w:hint="eastAsia" w:ascii="宋体" w:hAnsi="宋体" w:cs="楷体_GB2312"/>
          <w:color w:val="auto"/>
          <w:sz w:val="24"/>
          <w:lang w:val="zh-CN"/>
        </w:rPr>
        <w:t>”的字样，并在封签处加盖公章。</w:t>
      </w:r>
    </w:p>
    <w:p w14:paraId="6DDEB9B0">
      <w:pPr>
        <w:autoSpaceDE w:val="0"/>
        <w:autoSpaceDN w:val="0"/>
        <w:adjustRightInd w:val="0"/>
        <w:snapToGrid w:val="0"/>
        <w:spacing w:beforeLines="50" w:line="560" w:lineRule="atLeast"/>
        <w:ind w:firstLine="539"/>
        <w:rPr>
          <w:rFonts w:ascii="宋体" w:hAnsi="宋体" w:cs="楷体_GB2312"/>
          <w:color w:val="auto"/>
          <w:sz w:val="24"/>
          <w:lang w:val="zh-CN"/>
        </w:rPr>
      </w:pPr>
      <w:r>
        <w:rPr>
          <w:rFonts w:hint="eastAsia" w:ascii="宋体" w:hAnsi="宋体" w:cs="楷体_GB2312"/>
          <w:color w:val="auto"/>
          <w:sz w:val="24"/>
          <w:lang w:val="zh-CN"/>
        </w:rPr>
        <w:t>21.2为保证《响应文件》在《响应文件》开启前无启封泄密情况及《响应文件》开启工作的正常有序进行，没有按照上述要求进行密封和标记、并有可能导致误投或提前启封的，购代理机构有权视情况拒收其《响应文件》，供应商应自负该项风险，采购代理机构对误投或提前启封概不负责。</w:t>
      </w:r>
    </w:p>
    <w:p w14:paraId="1FACCB7F">
      <w:pPr>
        <w:snapToGrid w:val="0"/>
        <w:spacing w:beforeLines="50" w:afterLines="50" w:line="560" w:lineRule="atLeast"/>
        <w:ind w:firstLine="556"/>
        <w:jc w:val="center"/>
        <w:textAlignment w:val="top"/>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四、响应文件的递交</w:t>
      </w:r>
    </w:p>
    <w:p w14:paraId="29DD8770">
      <w:pPr>
        <w:snapToGrid w:val="0"/>
        <w:spacing w:line="432" w:lineRule="auto"/>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22.响应文件的递交</w:t>
      </w:r>
    </w:p>
    <w:p w14:paraId="456E7F23">
      <w:pPr>
        <w:snapToGrid w:val="0"/>
        <w:spacing w:line="432"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22.1</w:t>
      </w:r>
      <w:r>
        <w:rPr>
          <w:rFonts w:hint="eastAsia" w:ascii="宋体" w:hAnsi="宋体" w:cs="楷体_GB2312"/>
          <w:color w:val="auto"/>
          <w:sz w:val="24"/>
          <w:lang w:val="zh-CN"/>
        </w:rPr>
        <w:t>供应商须在《磋商文件》规定的投标截止时间前，将《响应文件》派专人送交至采购代理机构。</w:t>
      </w:r>
    </w:p>
    <w:p w14:paraId="57B1881C">
      <w:pPr>
        <w:tabs>
          <w:tab w:val="left" w:pos="9354"/>
        </w:tabs>
        <w:snapToGrid w:val="0"/>
        <w:spacing w:line="432"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22.2</w:t>
      </w:r>
      <w:r>
        <w:rPr>
          <w:rFonts w:hint="eastAsia" w:ascii="宋体" w:hAnsi="宋体" w:cs="楷体_GB2312"/>
          <w:color w:val="auto"/>
          <w:sz w:val="24"/>
          <w:lang w:val="zh-CN"/>
        </w:rPr>
        <w:t>《响应文件》递交地点：见供应商须知前附表</w:t>
      </w:r>
      <w:r>
        <w:rPr>
          <w:rFonts w:hint="eastAsia" w:asciiTheme="minorEastAsia" w:hAnsiTheme="minorEastAsia" w:eastAsiaTheme="minorEastAsia"/>
          <w:color w:val="auto"/>
          <w:sz w:val="24"/>
          <w:szCs w:val="24"/>
        </w:rPr>
        <w:t>。</w:t>
      </w:r>
    </w:p>
    <w:p w14:paraId="15F76CD9">
      <w:pPr>
        <w:autoSpaceDE w:val="0"/>
        <w:autoSpaceDN w:val="0"/>
        <w:adjustRightInd w:val="0"/>
        <w:snapToGrid w:val="0"/>
        <w:spacing w:beforeLines="50" w:line="432" w:lineRule="auto"/>
        <w:ind w:firstLine="539"/>
        <w:rPr>
          <w:rFonts w:ascii="宋体" w:cs="楷体_GB2312"/>
          <w:color w:val="auto"/>
          <w:sz w:val="24"/>
          <w:lang w:val="zh-CN"/>
        </w:rPr>
      </w:pPr>
      <w:r>
        <w:rPr>
          <w:rFonts w:hint="eastAsia" w:ascii="宋体" w:hAnsi="宋体" w:cs="楷体_GB2312"/>
          <w:color w:val="auto"/>
          <w:sz w:val="24"/>
          <w:lang w:val="zh-CN"/>
        </w:rPr>
        <w:t>22.3由于不可抗拒的原因，代理机构对《响应文件》的遗失和损坏不负任何责任。</w:t>
      </w:r>
    </w:p>
    <w:p w14:paraId="0999002F">
      <w:pPr>
        <w:autoSpaceDE w:val="0"/>
        <w:autoSpaceDN w:val="0"/>
        <w:adjustRightInd w:val="0"/>
        <w:snapToGrid w:val="0"/>
        <w:spacing w:beforeLines="50" w:line="432" w:lineRule="auto"/>
        <w:ind w:firstLine="539"/>
        <w:rPr>
          <w:rFonts w:ascii="宋体" w:cs="楷体_GB2312"/>
          <w:color w:val="auto"/>
          <w:sz w:val="24"/>
          <w:lang w:val="zh-CN"/>
        </w:rPr>
      </w:pPr>
      <w:r>
        <w:rPr>
          <w:rFonts w:hint="eastAsia" w:ascii="宋体" w:hAnsi="宋体" w:cs="楷体_GB2312"/>
          <w:color w:val="auto"/>
          <w:sz w:val="24"/>
          <w:lang w:val="zh-CN"/>
        </w:rPr>
        <w:t>22.4除供应商须知前附表另有规定外，供应商所递交的《响应文件》不予退还。</w:t>
      </w:r>
    </w:p>
    <w:p w14:paraId="0DA5FFE0">
      <w:pPr>
        <w:snapToGrid w:val="0"/>
        <w:spacing w:line="432"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23.迟交的响应文件</w:t>
      </w:r>
    </w:p>
    <w:p w14:paraId="7DD6F256">
      <w:pPr>
        <w:autoSpaceDE w:val="0"/>
        <w:autoSpaceDN w:val="0"/>
        <w:adjustRightInd w:val="0"/>
        <w:snapToGrid w:val="0"/>
        <w:spacing w:beforeLines="50" w:line="432" w:lineRule="auto"/>
        <w:ind w:firstLine="480" w:firstLineChars="200"/>
        <w:rPr>
          <w:rFonts w:ascii="宋体" w:cs="楷体_GB2312"/>
          <w:color w:val="auto"/>
          <w:sz w:val="24"/>
          <w:lang w:val="zh-CN"/>
        </w:rPr>
      </w:pPr>
      <w:r>
        <w:rPr>
          <w:rFonts w:hint="eastAsia" w:ascii="宋体" w:hAnsi="宋体" w:cs="楷体_GB2312"/>
          <w:color w:val="auto"/>
          <w:sz w:val="24"/>
          <w:lang w:val="zh-CN"/>
        </w:rPr>
        <w:t>23.1代理机构有权</w:t>
      </w:r>
      <w:r>
        <w:rPr>
          <w:rFonts w:hint="eastAsia" w:ascii="宋体" w:hAnsi="宋体" w:cs="楷体_GB2312"/>
          <w:b/>
          <w:color w:val="auto"/>
          <w:sz w:val="24"/>
          <w:lang w:val="zh-CN"/>
        </w:rPr>
        <w:t>拒绝</w:t>
      </w:r>
      <w:r>
        <w:rPr>
          <w:rFonts w:hint="eastAsia" w:ascii="宋体" w:hAnsi="宋体" w:cs="楷体_GB2312"/>
          <w:color w:val="auto"/>
          <w:sz w:val="24"/>
          <w:lang w:val="zh-CN"/>
        </w:rPr>
        <w:t>投标截止时间以后送达的《响应文件》。</w:t>
      </w:r>
    </w:p>
    <w:p w14:paraId="705E9532">
      <w:pPr>
        <w:snapToGrid w:val="0"/>
        <w:spacing w:line="432"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24.响应文件的修改和撤回</w:t>
      </w:r>
    </w:p>
    <w:p w14:paraId="70F043E6">
      <w:pPr>
        <w:autoSpaceDE w:val="0"/>
        <w:autoSpaceDN w:val="0"/>
        <w:adjustRightInd w:val="0"/>
        <w:snapToGrid w:val="0"/>
        <w:spacing w:beforeLines="50" w:line="432" w:lineRule="auto"/>
        <w:ind w:firstLine="539"/>
        <w:rPr>
          <w:rFonts w:ascii="宋体" w:cs="楷体_GB2312"/>
          <w:color w:val="auto"/>
          <w:sz w:val="24"/>
          <w:lang w:val="zh-CN"/>
        </w:rPr>
      </w:pPr>
      <w:r>
        <w:rPr>
          <w:rFonts w:hint="eastAsia" w:ascii="宋体" w:hAnsi="宋体" w:cs="楷体_GB2312"/>
          <w:color w:val="auto"/>
          <w:sz w:val="24"/>
          <w:lang w:val="zh-CN"/>
        </w:rPr>
        <w:t>24.1 供应商于投标截止时间前可以补充、修改或撤回《响应文件》，并书面通知采购代理机构。补充、修改的内容作为《响应文件》的组成部分。补充、修改的内容与《响应文件》不一致的，以补充、修改的内容为准。</w:t>
      </w:r>
    </w:p>
    <w:p w14:paraId="2953D6ED">
      <w:pPr>
        <w:autoSpaceDE w:val="0"/>
        <w:autoSpaceDN w:val="0"/>
        <w:adjustRightInd w:val="0"/>
        <w:snapToGrid w:val="0"/>
        <w:spacing w:beforeLines="50" w:line="432" w:lineRule="auto"/>
        <w:ind w:firstLine="539"/>
        <w:rPr>
          <w:rFonts w:ascii="宋体" w:cs="楷体_GB2312"/>
          <w:color w:val="auto"/>
          <w:sz w:val="24"/>
          <w:lang w:val="zh-CN"/>
        </w:rPr>
      </w:pPr>
      <w:r>
        <w:rPr>
          <w:rFonts w:hint="eastAsia" w:ascii="宋体" w:hAnsi="宋体" w:cs="楷体_GB2312"/>
          <w:color w:val="auto"/>
          <w:sz w:val="24"/>
          <w:lang w:val="zh-CN"/>
        </w:rPr>
        <w:t>24.2 供应商修改、补充的文件须由法定代表人或授权代表的签字并加盖单位公章，并作为《响应文件》的组成，份数及密封要求同《响应文件》。</w:t>
      </w:r>
    </w:p>
    <w:p w14:paraId="6733C5CE">
      <w:pPr>
        <w:tabs>
          <w:tab w:val="left" w:pos="9354"/>
        </w:tabs>
        <w:snapToGrid w:val="0"/>
        <w:spacing w:line="432" w:lineRule="auto"/>
        <w:ind w:firstLine="480" w:firstLineChars="200"/>
        <w:rPr>
          <w:rFonts w:asciiTheme="minorEastAsia" w:hAnsiTheme="minorEastAsia" w:eastAsiaTheme="minorEastAsia"/>
          <w:color w:val="auto"/>
          <w:sz w:val="24"/>
          <w:szCs w:val="24"/>
        </w:rPr>
      </w:pPr>
      <w:r>
        <w:rPr>
          <w:rFonts w:hint="eastAsia" w:ascii="宋体" w:hAnsi="宋体" w:cs="楷体_GB2312"/>
          <w:color w:val="auto"/>
          <w:sz w:val="24"/>
          <w:lang w:val="zh-CN"/>
        </w:rPr>
        <w:t>24.3 供应商在投标截止时间后不得修改或撤回其投标，否则</w:t>
      </w:r>
      <w:r>
        <w:rPr>
          <w:rFonts w:hint="eastAsia" w:ascii="宋体" w:hAnsi="宋体"/>
          <w:color w:val="auto"/>
          <w:sz w:val="24"/>
          <w:szCs w:val="24"/>
        </w:rPr>
        <w:t>依据磋商文件“第三章</w:t>
      </w:r>
      <w:r>
        <w:rPr>
          <w:rFonts w:hint="eastAsia" w:ascii="宋体" w:hAnsi="宋体" w:cs="楷体_GB2312"/>
          <w:color w:val="auto"/>
          <w:sz w:val="24"/>
          <w:szCs w:val="22"/>
        </w:rPr>
        <w:t>3.5.5 违背承诺的责任追究措施</w:t>
      </w:r>
      <w:r>
        <w:rPr>
          <w:rFonts w:hint="eastAsia" w:ascii="宋体" w:hAnsi="宋体"/>
          <w:color w:val="auto"/>
          <w:sz w:val="24"/>
          <w:szCs w:val="24"/>
        </w:rPr>
        <w:t>”，供应商</w:t>
      </w:r>
      <w:r>
        <w:rPr>
          <w:rFonts w:hint="eastAsia" w:ascii="宋体" w:hAnsi="宋体" w:cs="楷体_GB2312"/>
          <w:color w:val="auto"/>
          <w:sz w:val="24"/>
          <w:szCs w:val="22"/>
        </w:rPr>
        <w:t>承担相应法律责任及违约责任。</w:t>
      </w:r>
      <w:r>
        <w:rPr>
          <w:rFonts w:hint="eastAsia" w:asciiTheme="minorEastAsia" w:hAnsiTheme="minorEastAsia" w:eastAsiaTheme="minorEastAsia"/>
          <w:color w:val="auto"/>
          <w:sz w:val="24"/>
          <w:szCs w:val="24"/>
        </w:rPr>
        <w:t>。</w:t>
      </w:r>
    </w:p>
    <w:p w14:paraId="57C60820">
      <w:pPr>
        <w:snapToGrid w:val="0"/>
        <w:spacing w:beforeLines="50" w:afterLines="50" w:line="560" w:lineRule="atLeast"/>
        <w:ind w:firstLine="1687" w:firstLineChars="700"/>
        <w:textAlignment w:val="top"/>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五、开标、评标</w:t>
      </w:r>
    </w:p>
    <w:p w14:paraId="2B562604">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25.开标</w:t>
      </w:r>
    </w:p>
    <w:p w14:paraId="7A7CE7B6">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25.1</w:t>
      </w:r>
      <w:r>
        <w:rPr>
          <w:rFonts w:hint="eastAsia" w:ascii="宋体" w:hAnsi="宋体" w:cs="楷体_GB2312"/>
          <w:color w:val="auto"/>
          <w:sz w:val="24"/>
          <w:lang w:val="zh-CN"/>
        </w:rPr>
        <w:t>采购代理机构按竞争性磋商公告规定的时间和地点公开《响应文件》开启</w:t>
      </w:r>
      <w:r>
        <w:rPr>
          <w:rFonts w:hint="eastAsia" w:asciiTheme="minorEastAsia" w:hAnsiTheme="minorEastAsia" w:eastAsiaTheme="minorEastAsia"/>
          <w:color w:val="auto"/>
          <w:sz w:val="24"/>
          <w:szCs w:val="24"/>
        </w:rPr>
        <w:t>。</w:t>
      </w:r>
    </w:p>
    <w:p w14:paraId="344485C8">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25.2</w:t>
      </w:r>
      <w:r>
        <w:rPr>
          <w:rFonts w:hint="eastAsia" w:ascii="宋体" w:hAnsi="宋体" w:cs="楷体_GB2312"/>
          <w:color w:val="auto"/>
          <w:sz w:val="24"/>
          <w:lang w:val="zh-CN"/>
        </w:rPr>
        <w:t>供应商须派代表参加《响应文件》开启会，并签名报到，以证明其出席《响应文件》开启会；每个供应商参加《响应文件》开启会的人数不应超过2人。供应商未派代表参加的，该投标将被视为</w:t>
      </w:r>
      <w:r>
        <w:rPr>
          <w:rFonts w:hint="eastAsia" w:ascii="宋体" w:hAnsi="宋体" w:cs="楷体_GB2312"/>
          <w:b/>
          <w:color w:val="auto"/>
          <w:sz w:val="24"/>
          <w:lang w:val="zh-CN"/>
        </w:rPr>
        <w:t>无效响应</w:t>
      </w:r>
      <w:r>
        <w:rPr>
          <w:rFonts w:hint="eastAsia" w:asciiTheme="minorEastAsia" w:hAnsiTheme="minorEastAsia" w:eastAsiaTheme="minorEastAsia"/>
          <w:color w:val="auto"/>
          <w:sz w:val="24"/>
          <w:szCs w:val="24"/>
        </w:rPr>
        <w:t>。</w:t>
      </w:r>
    </w:p>
    <w:p w14:paraId="4C9B7215">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25.3开标前，供应商对本单位电子响应文件密封情况进行检查确认。</w:t>
      </w:r>
    </w:p>
    <w:p w14:paraId="50C2691A">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25.4</w:t>
      </w:r>
      <w:r>
        <w:rPr>
          <w:rFonts w:hint="eastAsia" w:ascii="宋体" w:hAnsi="宋体" w:cs="楷体_GB2312"/>
          <w:color w:val="auto"/>
          <w:sz w:val="24"/>
          <w:lang w:val="zh-CN"/>
        </w:rPr>
        <w:t>《响应文件》开启前由采购人代表及各供应商代表检查《响应文件》密封情况，确认是否启封、有无泄密情况，并由主持人现场征询各供应商意见。无误后拆封唱标，唱标“第一次报价一览表”有关内容以及采购代理机构认为必要的其他内容并记录</w:t>
      </w:r>
      <w:r>
        <w:rPr>
          <w:rFonts w:hint="eastAsia" w:asciiTheme="minorEastAsia" w:hAnsiTheme="minorEastAsia" w:eastAsiaTheme="minorEastAsia"/>
          <w:color w:val="auto"/>
          <w:sz w:val="24"/>
          <w:szCs w:val="24"/>
        </w:rPr>
        <w:t>。</w:t>
      </w:r>
    </w:p>
    <w:p w14:paraId="6F510EE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25.4</w:t>
      </w:r>
      <w:r>
        <w:rPr>
          <w:rFonts w:hint="eastAsia" w:ascii="宋体" w:hAnsi="宋体" w:cs="楷体_GB2312"/>
          <w:color w:val="auto"/>
          <w:sz w:val="24"/>
          <w:lang w:val="zh-CN"/>
        </w:rPr>
        <w:t>供应商对《响应文件》开启有异议的，应当在《响应文件》开启现场提出，否则，视为对《响应文件》开启无异议</w:t>
      </w:r>
      <w:r>
        <w:rPr>
          <w:rFonts w:hint="eastAsia" w:asciiTheme="minorEastAsia" w:hAnsiTheme="minorEastAsia" w:eastAsiaTheme="minorEastAsia"/>
          <w:color w:val="auto"/>
          <w:sz w:val="24"/>
          <w:szCs w:val="24"/>
        </w:rPr>
        <w:t>。</w:t>
      </w:r>
    </w:p>
    <w:p w14:paraId="7390D663">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25.5</w:t>
      </w:r>
      <w:r>
        <w:rPr>
          <w:rFonts w:hint="eastAsia" w:ascii="宋体" w:hAnsi="宋体" w:cs="楷体_GB2312"/>
          <w:color w:val="auto"/>
          <w:sz w:val="24"/>
          <w:lang w:val="zh-CN"/>
        </w:rPr>
        <w:t>在《响应文件》开启或评审过程中，有效投标应在三家以上（包括三家）；有效投标不足三家的应予终止</w:t>
      </w:r>
      <w:r>
        <w:rPr>
          <w:rFonts w:hint="eastAsia" w:asciiTheme="minorEastAsia" w:hAnsiTheme="minorEastAsia" w:eastAsiaTheme="minorEastAsia"/>
          <w:color w:val="auto"/>
          <w:sz w:val="24"/>
          <w:szCs w:val="24"/>
        </w:rPr>
        <w:t>。</w:t>
      </w:r>
    </w:p>
    <w:p w14:paraId="05AB02E1">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26.资格审查</w:t>
      </w:r>
    </w:p>
    <w:p w14:paraId="1E096FED">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26.1 开标结束后，采购人将依法对供应商的资格进行审查。</w:t>
      </w:r>
    </w:p>
    <w:p w14:paraId="2F6CDBB0">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26.2 供应商未按照招标文要求提供与资格条件相应的有效资格证明材料的，视为供应商不具备招标文件中规定的资格要求，投标无效。</w:t>
      </w:r>
    </w:p>
    <w:p w14:paraId="549F52E4">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26.3 对未通过资格审查的供应商，将告知其未通过的原因。</w:t>
      </w:r>
    </w:p>
    <w:p w14:paraId="7E3477B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26.4 资格性审查合格供应商不足3家的，将不再评标。</w:t>
      </w:r>
    </w:p>
    <w:p w14:paraId="4A3F5F05">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27.磋商小组</w:t>
      </w:r>
    </w:p>
    <w:p w14:paraId="01519C20">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27.1依据《中华人民共和国政府采购法》及有关法规组建磋商小组，磋商小组由专家组成。</w:t>
      </w:r>
    </w:p>
    <w:p w14:paraId="41FC82E8">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28.评审原则</w:t>
      </w:r>
    </w:p>
    <w:p w14:paraId="10FC33D3">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28.1坚持客观、公正、审慎地原则对待所有供应商。</w:t>
      </w:r>
    </w:p>
    <w:p w14:paraId="60EB16BB">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28.2 按照同一评审程序及方法审查所有供应商的响应文件。</w:t>
      </w:r>
    </w:p>
    <w:p w14:paraId="49799A80">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29.评审办法</w:t>
      </w:r>
    </w:p>
    <w:p w14:paraId="3C1EFB15">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29.1 见第四部分《评审标准和评审办法》</w:t>
      </w:r>
    </w:p>
    <w:p w14:paraId="6179EAB7">
      <w:pPr>
        <w:snapToGrid w:val="0"/>
        <w:spacing w:beforeLines="50" w:afterLines="50" w:line="560" w:lineRule="atLeast"/>
        <w:jc w:val="center"/>
        <w:textAlignment w:val="top"/>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六、确定成交</w:t>
      </w:r>
    </w:p>
    <w:p w14:paraId="2D63CE22">
      <w:pPr>
        <w:snapToGrid w:val="0"/>
        <w:spacing w:line="560" w:lineRule="atLeast"/>
        <w:ind w:firstLine="482" w:firstLineChars="200"/>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30.确定成交供应商</w:t>
      </w:r>
    </w:p>
    <w:p w14:paraId="54063A7D">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30.1 采购人或磋商小组按照采购文件第四部分《评审标准和评审办法》规定的方式确定成交供应商。采购人是否委托磋商小组直接确定成交供应商，见《供应商须知前附表》。</w:t>
      </w:r>
    </w:p>
    <w:p w14:paraId="1E35F21E">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31.编写磋商报告</w:t>
      </w:r>
    </w:p>
    <w:p w14:paraId="4C3DAB7D">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31.1磋商小组根据全体成员签字的原始评标记录和评标结果编写磋商报告。磋商小组成员对需要共同认定的事项存在争议的，应当按照少数服从多数的原则作出结论。持不同意见的磋商小组成员应当在磋商报告上签署不同意见及理由，否则视为同意磋商报告。</w:t>
      </w:r>
    </w:p>
    <w:p w14:paraId="71ABD831">
      <w:pPr>
        <w:tabs>
          <w:tab w:val="left" w:pos="9354"/>
        </w:tabs>
        <w:snapToGrid w:val="0"/>
        <w:spacing w:line="520" w:lineRule="atLeast"/>
        <w:ind w:firstLine="480" w:firstLineChars="200"/>
        <w:rPr>
          <w:rFonts w:cs="黑体" w:asciiTheme="minorEastAsia" w:hAnsiTheme="minorEastAsia" w:eastAsiaTheme="minorEastAsia"/>
          <w:color w:val="auto"/>
          <w:sz w:val="24"/>
          <w:szCs w:val="24"/>
        </w:rPr>
      </w:pPr>
      <w:r>
        <w:rPr>
          <w:rFonts w:hint="eastAsia" w:cs="黑体" w:asciiTheme="minorEastAsia" w:hAnsiTheme="minorEastAsia" w:eastAsiaTheme="minorEastAsia"/>
          <w:color w:val="auto"/>
          <w:sz w:val="24"/>
          <w:szCs w:val="24"/>
        </w:rPr>
        <w:t>32.成交结果的发布</w:t>
      </w:r>
    </w:p>
    <w:p w14:paraId="4B521C4E">
      <w:pPr>
        <w:tabs>
          <w:tab w:val="left" w:pos="9354"/>
        </w:tabs>
        <w:snapToGrid w:val="0"/>
        <w:spacing w:line="52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32.1 磋商结束后，采购代理机构将依据磋商小组确定的成交供应商在“河南省政府采购网”、“安阳市政府采购网”公告成交结果，并向成交供应商发出《成交通知书》。</w:t>
      </w:r>
    </w:p>
    <w:p w14:paraId="25B4D99D">
      <w:pPr>
        <w:tabs>
          <w:tab w:val="left" w:pos="9354"/>
        </w:tabs>
        <w:snapToGrid w:val="0"/>
        <w:spacing w:line="520" w:lineRule="atLeast"/>
        <w:ind w:firstLine="480" w:firstLineChars="200"/>
        <w:rPr>
          <w:rFonts w:asciiTheme="minorEastAsia" w:hAnsiTheme="minorEastAsia" w:eastAsiaTheme="minorEastAsia"/>
          <w:b/>
          <w:color w:val="auto"/>
          <w:sz w:val="24"/>
          <w:szCs w:val="24"/>
        </w:rPr>
      </w:pPr>
      <w:r>
        <w:rPr>
          <w:rFonts w:hint="eastAsia" w:asciiTheme="minorEastAsia" w:hAnsiTheme="minorEastAsia" w:eastAsiaTheme="minorEastAsia"/>
          <w:color w:val="auto"/>
          <w:sz w:val="24"/>
          <w:szCs w:val="24"/>
        </w:rPr>
        <w:t>32.2 供应商若对评标结果有疑问，可以在知道或者应知其权益受到损害之日起七个工作日内，向采购人或采购代理机构提出询问或质疑。</w:t>
      </w:r>
    </w:p>
    <w:p w14:paraId="6E41E8AF">
      <w:pPr>
        <w:snapToGrid w:val="0"/>
        <w:spacing w:beforeLines="50" w:afterLines="50" w:line="560" w:lineRule="atLeast"/>
        <w:jc w:val="center"/>
        <w:textAlignment w:val="top"/>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七、授予合同</w:t>
      </w:r>
    </w:p>
    <w:p w14:paraId="5DEC5D9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33.</w:t>
      </w:r>
      <w:r>
        <w:rPr>
          <w:rFonts w:hint="eastAsia" w:cs="黑体" w:asciiTheme="minorEastAsia" w:hAnsiTheme="minorEastAsia" w:eastAsiaTheme="minorEastAsia"/>
          <w:color w:val="auto"/>
          <w:sz w:val="24"/>
          <w:szCs w:val="24"/>
        </w:rPr>
        <w:t>签订合同</w:t>
      </w:r>
    </w:p>
    <w:p w14:paraId="0C0EB04E">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33.1根据政府采购法及相关规定，采购人和成交供应商必须在成交通知书发出之日起2个工作日内，按照采购文件确定的事项签订政府采购合同。</w:t>
      </w:r>
    </w:p>
    <w:p w14:paraId="685AC084">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33.2《成交通知书》、采购文件、成交供应商的响应文件及其澄清文件等，均为签订合同的依据。采购人不得向成交供应商提出超出采购文件以外的任何要求作为签订合同的条件，不得与成交供应商订立背离采购文件确定的合同文本以及采购标的、规格型号、采购金额、采购数量、技术和服务要求等实质性内容的协议。合同起草后，双方签字盖章生效。</w:t>
      </w:r>
    </w:p>
    <w:p w14:paraId="2387B83C">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33.3根据政府采购法及相关规定，据“河南省电子化政府采购系统”合同备案后系统同时合同公告的实际情况，采购人必须在合同签订后1个工作日内进行合同公告及备案，鼓励合同签订当日进行公告及备案。</w:t>
      </w:r>
    </w:p>
    <w:p w14:paraId="714ED16F">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34.合同变更</w:t>
      </w:r>
    </w:p>
    <w:p w14:paraId="55F55C57">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34.1政府采购合同履行中，采购人需追加与合同标的相同的货物、工程和服务的（即增加原合同标的数量），在不改变合同条款（包括原合同单价）的前提下，双方可以协商签订补充合同，但所有补充合同总金额不得超过原合同采购金额的10%，不得调增原合同单价，不得超出项目预算。超过原合同采购金额的10%，应重新组织采购活动。</w:t>
      </w:r>
    </w:p>
    <w:p w14:paraId="111D2972">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34.2按照有关规定，合同变更应报经安阳市财政局政府采购监督管理科备案。</w:t>
      </w:r>
    </w:p>
    <w:p w14:paraId="192005DE">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34.3如采购人、成交供应商拒签合同或采购人、成交供应商之间擅自私下协商、变更成交标的、价格及采购文件、响应文件实质性内容的，将按《中华人民共和国政府采购法》及相关法规的规定处理。</w:t>
      </w:r>
    </w:p>
    <w:p w14:paraId="72D686D7">
      <w:pPr>
        <w:snapToGrid w:val="0"/>
        <w:spacing w:beforeLines="50" w:afterLines="50" w:line="560" w:lineRule="atLeast"/>
        <w:ind w:firstLine="556"/>
        <w:jc w:val="center"/>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八、验收</w:t>
      </w:r>
    </w:p>
    <w:p w14:paraId="3A44E0E7">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35.验收程序和要求</w:t>
      </w:r>
    </w:p>
    <w:p w14:paraId="1467BACE">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35.1供应商履约完毕应及时提出验收申请，采购人应在五个工作日或在采购合同约定的期限内组织验收。</w:t>
      </w:r>
    </w:p>
    <w:p w14:paraId="08BCFA61">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35.2合同履约验收工作应成立验收工作组专门负责，直接参与该项目政府采购活动的主要责任人不得作为验收工作的主要责任人。</w:t>
      </w:r>
    </w:p>
    <w:p w14:paraId="7528B137">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35.3政府采购合同金额10万元以下的项目，以及品牌小汽车、办公家具、空调、办公自动化设备等4类通用商品的验收，原则上可以不邀请评审专家参加，组织方成立验收小组自行验收。政府采购合同金额50万元以下的（含50万元）的项目，验收工作组应不少于三人；政府采购合同金额50万元以上的项目，验收工作组应由采购人领导牵头，财务、审计、监察、资产管理、技术等部门人员参与，成员不少于五人。验收工作应当邀请采购项目评审专家参加验收；大型、复杂或者技术性很强的政府采购项目，应当邀请国家认可的质量检测机构参加验收工作；国家规定强制性检测的采购项目，采购人必须委托国家认可专业检测机构进行验收；向社会公众提供的公共服务采购项目，采购人组织验收时应当邀请服务对象参与并出具意见。</w:t>
      </w:r>
    </w:p>
    <w:p w14:paraId="4D53EBB6">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35.4验收时需要进行破坏性试验的，成交供应商应进行充分的配合并提供备品备件。</w:t>
      </w:r>
    </w:p>
    <w:p w14:paraId="310DCCE7">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35.5验收后，由验收工作组等出具检测验收报告，国家规定强制性检测的采购项目应附国家认可的专业检测机构出具的验收报告。</w:t>
      </w:r>
    </w:p>
    <w:p w14:paraId="09747F8A">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35.6验收中发现成交供应商未按合同约定的时间、地点或方式履约，提供的货物或工程的数量、质量、性能、功能达不到合同约定的，或者提供假冒伪劣产品等违反合同约定的，验收人员应在验收报告中注明违约情形和事项，并应及时通知同级人民政府财政部门。属假冒伪劣产品的，同时向工商管理、质量监督等行政执法部门举报。</w:t>
      </w:r>
    </w:p>
    <w:p w14:paraId="37A4AAA0">
      <w:pPr>
        <w:snapToGrid w:val="0"/>
        <w:spacing w:line="560" w:lineRule="atLeast"/>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35.7采购人要在政府采购项目验收完成后1个工作日内登陆安阳市政府采购网进行验收公告。</w:t>
      </w:r>
    </w:p>
    <w:bookmarkEnd w:id="19"/>
    <w:bookmarkEnd w:id="20"/>
    <w:p w14:paraId="04CC4407">
      <w:pPr>
        <w:widowControl w:val="0"/>
        <w:snapToGrid w:val="0"/>
        <w:spacing w:line="360" w:lineRule="auto"/>
        <w:outlineLvl w:val="0"/>
        <w:rPr>
          <w:rFonts w:eastAsia="黑体"/>
          <w:b/>
          <w:color w:val="auto"/>
          <w:sz w:val="44"/>
        </w:rPr>
      </w:pPr>
      <w:bookmarkStart w:id="24" w:name="_Toc423723402"/>
    </w:p>
    <w:p w14:paraId="6E109142">
      <w:pPr>
        <w:widowControl w:val="0"/>
        <w:snapToGrid w:val="0"/>
        <w:spacing w:line="360" w:lineRule="auto"/>
        <w:outlineLvl w:val="0"/>
        <w:rPr>
          <w:rFonts w:eastAsia="黑体"/>
          <w:b/>
          <w:color w:val="auto"/>
          <w:sz w:val="44"/>
        </w:rPr>
      </w:pPr>
    </w:p>
    <w:p w14:paraId="3783E337">
      <w:pPr>
        <w:widowControl w:val="0"/>
        <w:snapToGrid w:val="0"/>
        <w:spacing w:line="360" w:lineRule="auto"/>
        <w:outlineLvl w:val="0"/>
        <w:rPr>
          <w:rFonts w:eastAsia="黑体"/>
          <w:b/>
          <w:color w:val="auto"/>
          <w:sz w:val="44"/>
        </w:rPr>
      </w:pPr>
    </w:p>
    <w:p w14:paraId="43DACAEC">
      <w:pPr>
        <w:widowControl w:val="0"/>
        <w:snapToGrid w:val="0"/>
        <w:spacing w:line="360" w:lineRule="auto"/>
        <w:outlineLvl w:val="0"/>
        <w:rPr>
          <w:rFonts w:eastAsia="黑体"/>
          <w:b/>
          <w:color w:val="auto"/>
          <w:sz w:val="44"/>
        </w:rPr>
      </w:pPr>
    </w:p>
    <w:p w14:paraId="067EDB28">
      <w:pPr>
        <w:widowControl w:val="0"/>
        <w:snapToGrid w:val="0"/>
        <w:spacing w:line="360" w:lineRule="auto"/>
        <w:outlineLvl w:val="0"/>
        <w:rPr>
          <w:rFonts w:eastAsia="黑体"/>
          <w:b/>
          <w:color w:val="auto"/>
          <w:sz w:val="44"/>
        </w:rPr>
      </w:pPr>
    </w:p>
    <w:p w14:paraId="0D0E3905">
      <w:pPr>
        <w:widowControl w:val="0"/>
        <w:snapToGrid w:val="0"/>
        <w:spacing w:line="360" w:lineRule="auto"/>
        <w:ind w:firstLine="723" w:firstLineChars="200"/>
        <w:jc w:val="center"/>
        <w:outlineLvl w:val="0"/>
        <w:rPr>
          <w:rFonts w:ascii="黑体" w:hAnsi="黑体" w:eastAsia="黑体"/>
          <w:b/>
          <w:color w:val="auto"/>
          <w:sz w:val="36"/>
          <w:szCs w:val="36"/>
          <w:lang w:val="zh-CN"/>
        </w:rPr>
      </w:pPr>
      <w:bookmarkStart w:id="25" w:name="_Toc11570"/>
      <w:r>
        <w:rPr>
          <w:rFonts w:hint="eastAsia" w:ascii="宋体" w:hAnsi="宋体" w:cs="宋体"/>
          <w:b/>
          <w:color w:val="auto"/>
          <w:sz w:val="36"/>
          <w:szCs w:val="36"/>
        </w:rPr>
        <w:t>第三部分 采购人需求</w:t>
      </w:r>
      <w:bookmarkEnd w:id="25"/>
      <w:bookmarkStart w:id="26" w:name="_Toc192581436"/>
    </w:p>
    <w:p w14:paraId="50919690">
      <w:pPr>
        <w:widowControl w:val="0"/>
        <w:snapToGrid w:val="0"/>
        <w:spacing w:line="360" w:lineRule="auto"/>
        <w:ind w:firstLine="482" w:firstLineChars="200"/>
        <w:jc w:val="center"/>
        <w:rPr>
          <w:b/>
          <w:bCs/>
          <w:color w:val="auto"/>
          <w:sz w:val="24"/>
          <w:szCs w:val="24"/>
        </w:rPr>
      </w:pPr>
      <w:r>
        <w:rPr>
          <w:rFonts w:hint="eastAsia"/>
          <w:b/>
          <w:bCs/>
          <w:color w:val="auto"/>
          <w:sz w:val="24"/>
          <w:szCs w:val="24"/>
        </w:rPr>
        <w:t>一、技术服务要求</w:t>
      </w:r>
    </w:p>
    <w:p w14:paraId="51C3E8EF">
      <w:pPr>
        <w:spacing w:before="33" w:line="480" w:lineRule="auto"/>
        <w:ind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1.项目名称：</w:t>
      </w:r>
      <w:r>
        <w:rPr>
          <w:rFonts w:hint="eastAsia" w:ascii="宋体" w:hAnsi="宋体" w:eastAsia="宋体" w:cs="宋体"/>
          <w:i w:val="0"/>
          <w:iCs w:val="0"/>
          <w:caps w:val="0"/>
          <w:color w:val="444444"/>
          <w:spacing w:val="0"/>
          <w:sz w:val="24"/>
          <w:szCs w:val="24"/>
          <w:shd w:val="clear" w:fill="F9F9F9"/>
        </w:rPr>
        <w:t>安阳高新技术产业开发区智慧城市运营中心长江大道东段（东风路—光明路）雨水管网改造施工图设计项目</w:t>
      </w:r>
      <w:r>
        <w:rPr>
          <w:rFonts w:hint="eastAsia" w:ascii="宋体" w:hAnsi="宋体" w:eastAsia="宋体" w:cs="宋体"/>
          <w:color w:val="auto"/>
          <w:sz w:val="24"/>
          <w:szCs w:val="24"/>
          <w:lang w:eastAsia="zh-CN"/>
        </w:rPr>
        <w:t>。</w:t>
      </w:r>
    </w:p>
    <w:p w14:paraId="18D669EB">
      <w:pPr>
        <w:pStyle w:val="8"/>
        <w:spacing w:before="191" w:line="480" w:lineRule="auto"/>
        <w:ind w:firstLine="480" w:firstLineChars="200"/>
        <w:rPr>
          <w:rFonts w:hint="eastAsia" w:asciiTheme="minorEastAsia" w:hAnsiTheme="minorEastAsia" w:eastAsiaTheme="minorEastAsia"/>
          <w:color w:val="auto"/>
          <w:sz w:val="24"/>
          <w:szCs w:val="24"/>
          <w:lang w:val="en-US" w:eastAsia="zh-CN"/>
        </w:rPr>
      </w:pPr>
      <w:r>
        <w:rPr>
          <w:rFonts w:hint="eastAsia" w:asciiTheme="minorEastAsia" w:hAnsiTheme="minorEastAsia" w:eastAsiaTheme="minorEastAsia" w:cstheme="minorEastAsia"/>
          <w:color w:val="auto"/>
          <w:sz w:val="24"/>
          <w:szCs w:val="24"/>
        </w:rPr>
        <w:t>2.建设地点：</w:t>
      </w:r>
      <w:r>
        <w:rPr>
          <w:rFonts w:asciiTheme="minorEastAsia" w:hAnsiTheme="minorEastAsia" w:eastAsiaTheme="minorEastAsia"/>
          <w:color w:val="auto"/>
          <w:spacing w:val="3"/>
          <w:sz w:val="24"/>
          <w:szCs w:val="24"/>
        </w:rPr>
        <w:t>该项目位于安阳高新技术产业</w:t>
      </w:r>
      <w:r>
        <w:rPr>
          <w:rFonts w:asciiTheme="minorEastAsia" w:hAnsiTheme="minorEastAsia" w:eastAsiaTheme="minorEastAsia"/>
          <w:color w:val="auto"/>
          <w:spacing w:val="2"/>
          <w:sz w:val="24"/>
          <w:szCs w:val="24"/>
        </w:rPr>
        <w:t>开发区</w:t>
      </w:r>
      <w:r>
        <w:rPr>
          <w:rFonts w:hint="eastAsia" w:asciiTheme="minorEastAsia" w:hAnsiTheme="minorEastAsia" w:eastAsiaTheme="minorEastAsia"/>
          <w:color w:val="auto"/>
          <w:spacing w:val="2"/>
          <w:sz w:val="24"/>
          <w:szCs w:val="24"/>
          <w:lang w:val="en-US" w:eastAsia="zh-CN"/>
        </w:rPr>
        <w:t>长江大道东段。</w:t>
      </w:r>
    </w:p>
    <w:p w14:paraId="68B563DB">
      <w:pPr>
        <w:widowControl w:val="0"/>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3.采购需求：</w:t>
      </w:r>
      <w:r>
        <w:rPr>
          <w:rFonts w:hint="eastAsia" w:asciiTheme="minorEastAsia" w:hAnsiTheme="minorEastAsia" w:eastAsiaTheme="minorEastAsia"/>
          <w:color w:val="auto"/>
          <w:spacing w:val="2"/>
          <w:sz w:val="24"/>
          <w:szCs w:val="24"/>
        </w:rPr>
        <w:t>本项目施工图设计及预算编制</w:t>
      </w:r>
      <w:r>
        <w:rPr>
          <w:rFonts w:hint="eastAsia" w:asciiTheme="minorEastAsia" w:hAnsiTheme="minorEastAsia" w:eastAsiaTheme="minorEastAsia" w:cstheme="minorEastAsia"/>
          <w:color w:val="auto"/>
          <w:sz w:val="24"/>
          <w:szCs w:val="24"/>
        </w:rPr>
        <w:t>。</w:t>
      </w:r>
    </w:p>
    <w:p w14:paraId="06AC71E6">
      <w:pPr>
        <w:widowControl w:val="0"/>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.合同履行期限(服务期)：</w:t>
      </w:r>
      <w:r>
        <w:rPr>
          <w:rFonts w:hint="eastAsia" w:asciiTheme="minorEastAsia" w:hAnsiTheme="minorEastAsia" w:eastAsiaTheme="minorEastAsia"/>
          <w:color w:val="auto"/>
          <w:spacing w:val="2"/>
          <w:sz w:val="24"/>
          <w:szCs w:val="24"/>
        </w:rPr>
        <w:t>合同签订后7日历天</w:t>
      </w:r>
      <w:r>
        <w:rPr>
          <w:rFonts w:hint="eastAsia" w:asciiTheme="minorEastAsia" w:hAnsiTheme="minorEastAsia" w:eastAsiaTheme="minorEastAsia" w:cstheme="minorEastAsia"/>
          <w:color w:val="auto"/>
          <w:sz w:val="24"/>
          <w:szCs w:val="24"/>
        </w:rPr>
        <w:t>。</w:t>
      </w:r>
    </w:p>
    <w:p w14:paraId="5491B861">
      <w:pPr>
        <w:spacing w:line="540" w:lineRule="exact"/>
        <w:ind w:firstLine="480" w:firstLineChars="200"/>
        <w:rPr>
          <w:rFonts w:hint="eastAsia" w:ascii="Times New Roman" w:hAnsi="Times New Roman"/>
          <w:sz w:val="28"/>
          <w:szCs w:val="22"/>
          <w:lang w:val="en-US" w:eastAsia="zh-CN"/>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.工程概况</w:t>
      </w:r>
      <w:r>
        <w:rPr>
          <w:rFonts w:hint="eastAsia" w:asciiTheme="minorEastAsia" w:hAnsiTheme="minorEastAsia" w:eastAsiaTheme="minorEastAsia" w:cstheme="minorEastAsia"/>
          <w:color w:val="auto"/>
          <w:sz w:val="24"/>
          <w:szCs w:val="24"/>
          <w:lang w:eastAsia="zh-CN"/>
        </w:rPr>
        <w:t>：</w:t>
      </w:r>
      <w:r>
        <w:rPr>
          <w:rFonts w:hint="eastAsia" w:ascii="宋体" w:hAnsi="宋体" w:eastAsia="宋体" w:cs="宋体"/>
          <w:sz w:val="24"/>
          <w:szCs w:val="24"/>
          <w:lang w:val="en-US" w:eastAsia="zh-CN"/>
        </w:rPr>
        <w:t>安阳国家高新区长江大道东段雨水管网改造项目位于安阳市南部。主要包括长江大道（东风路-光明路）雨水管网改造，工程西起东风路，东至光明路。改造DN300-DN600钢筋砼承插管雨水支管，DN800钢筋砼承插管雨水主干管网，双箅雨水口（铸铁井箅D400级），砖砌雨水检查井（D400级可调式防沉降球墨铸铁井盖、座）</w:t>
      </w:r>
      <w:r>
        <w:rPr>
          <w:rFonts w:hint="eastAsia" w:ascii="Times New Roman" w:hAnsi="Times New Roman"/>
          <w:sz w:val="28"/>
          <w:szCs w:val="22"/>
          <w:lang w:val="en-US" w:eastAsia="zh-CN"/>
        </w:rPr>
        <w:t>。</w:t>
      </w:r>
    </w:p>
    <w:p w14:paraId="134B30CA">
      <w:pPr>
        <w:widowControl w:val="0"/>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.设计要求</w:t>
      </w:r>
    </w:p>
    <w:p w14:paraId="088BC50B">
      <w:pPr>
        <w:widowControl w:val="0"/>
        <w:snapToGrid w:val="0"/>
        <w:spacing w:line="480" w:lineRule="auto"/>
        <w:ind w:firstLine="480" w:firstLineChars="200"/>
        <w:jc w:val="left"/>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相关设计要求应符合国家相关规范和技术标准要求</w:t>
      </w:r>
    </w:p>
    <w:p w14:paraId="6BEFD382">
      <w:pPr>
        <w:widowControl w:val="0"/>
        <w:snapToGrid w:val="0"/>
        <w:spacing w:line="360" w:lineRule="auto"/>
        <w:jc w:val="center"/>
        <w:rPr>
          <w:b/>
          <w:bCs/>
          <w:color w:val="auto"/>
          <w:sz w:val="24"/>
          <w:szCs w:val="24"/>
        </w:rPr>
      </w:pPr>
      <w:r>
        <w:rPr>
          <w:rFonts w:hint="eastAsia"/>
          <w:b/>
          <w:bCs/>
          <w:color w:val="auto"/>
          <w:sz w:val="24"/>
          <w:szCs w:val="24"/>
        </w:rPr>
        <w:t>二、商务要求</w:t>
      </w:r>
    </w:p>
    <w:p w14:paraId="49977A34">
      <w:pPr>
        <w:widowControl w:val="0"/>
        <w:snapToGrid w:val="0"/>
        <w:spacing w:line="360" w:lineRule="auto"/>
        <w:ind w:firstLine="480" w:firstLineChars="200"/>
        <w:jc w:val="left"/>
        <w:rPr>
          <w:color w:val="auto"/>
          <w:sz w:val="24"/>
          <w:szCs w:val="24"/>
        </w:rPr>
      </w:pPr>
      <w:r>
        <w:rPr>
          <w:rFonts w:hint="eastAsia"/>
          <w:color w:val="auto"/>
          <w:sz w:val="24"/>
          <w:szCs w:val="24"/>
        </w:rPr>
        <w:t>1.服务期限：详见采购文件第一部分。</w:t>
      </w:r>
    </w:p>
    <w:p w14:paraId="70CCEF62">
      <w:pPr>
        <w:widowControl w:val="0"/>
        <w:snapToGrid w:val="0"/>
        <w:spacing w:line="360" w:lineRule="auto"/>
        <w:ind w:firstLine="480" w:firstLineChars="200"/>
        <w:jc w:val="left"/>
        <w:rPr>
          <w:color w:val="auto"/>
          <w:sz w:val="24"/>
          <w:szCs w:val="24"/>
        </w:rPr>
      </w:pPr>
      <w:r>
        <w:rPr>
          <w:rFonts w:hint="eastAsia"/>
          <w:color w:val="auto"/>
          <w:sz w:val="24"/>
          <w:szCs w:val="24"/>
        </w:rPr>
        <w:t>2.服务地点：详见采购文件第一部分。</w:t>
      </w:r>
    </w:p>
    <w:p w14:paraId="67C91E45">
      <w:pPr>
        <w:widowControl w:val="0"/>
        <w:snapToGrid w:val="0"/>
        <w:spacing w:line="360" w:lineRule="auto"/>
        <w:ind w:firstLine="480" w:firstLineChars="200"/>
        <w:jc w:val="left"/>
        <w:rPr>
          <w:rFonts w:ascii="宋体" w:hAnsi="宋体" w:cs="宋体"/>
          <w:color w:val="auto"/>
          <w:sz w:val="24"/>
          <w:szCs w:val="24"/>
          <w:highlight w:val="yellow"/>
        </w:rPr>
      </w:pPr>
      <w:r>
        <w:rPr>
          <w:rFonts w:hint="eastAsia"/>
          <w:color w:val="auto"/>
          <w:sz w:val="24"/>
          <w:szCs w:val="24"/>
        </w:rPr>
        <w:t>3.付款方式：</w:t>
      </w:r>
      <w:r>
        <w:rPr>
          <w:rFonts w:hint="eastAsia" w:ascii="宋体" w:hAnsi="宋体" w:cs="宋体"/>
          <w:bCs/>
          <w:color w:val="auto"/>
          <w:sz w:val="24"/>
          <w:szCs w:val="24"/>
        </w:rPr>
        <w:t>签订合同后，乙方提交全部设计文件后15日内，甲方支付合同设计费的80%，剩余20%在工程竣工验收后15日内一次性付清。</w:t>
      </w:r>
      <w:r>
        <w:rPr>
          <w:rFonts w:hint="eastAsia" w:ascii="宋体" w:hAnsi="宋体" w:cs="宋体"/>
          <w:color w:val="auto"/>
          <w:sz w:val="24"/>
          <w:szCs w:val="24"/>
        </w:rPr>
        <w:t>。</w:t>
      </w:r>
    </w:p>
    <w:p w14:paraId="402D68C6">
      <w:pPr>
        <w:widowControl w:val="0"/>
        <w:snapToGrid w:val="0"/>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4.磋商报价（价格构成）</w:t>
      </w:r>
    </w:p>
    <w:p w14:paraId="57916520">
      <w:pPr>
        <w:widowControl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供应商应按标段（包）进行投标，各标段（包）的磋商报价均应为达到服务要求下的目的地交验价，包括设计费、相关税款、人工费、交通费、知识产权（如有）、保险（如需）、所涉货物包装（如需）、技术服务费等与采购项目（标段（包））相关的、必须的款项及费用（包括未列明而完成交验所必须的所有费用）。成交价格在成交合同范围内固定不变。</w:t>
      </w:r>
    </w:p>
    <w:p w14:paraId="6D275EBD">
      <w:pPr>
        <w:widowControl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本次竞争性磋商共二次报价（含系统中开标一览表报价共二次价格磋商）。磋商小组未对《采购文件》作优化变更增加的，磋商中的报价均不应超过前次报价，供应商擅自调高报价的，磋商小组将按二次报价中的最低报价作为有效报价。供应商拒绝接受上述意见的，磋商小组将视为变相在提交《响应文件》截止时间后撤回《响应文件》，并评定其为无效投标，依据采购文件“违背承诺的责任追究措施”，供应商承担相应法律责任及违约责任。</w:t>
      </w:r>
    </w:p>
    <w:p w14:paraId="5BBD841F">
      <w:pPr>
        <w:widowControl w:val="0"/>
        <w:snapToGrid w:val="0"/>
        <w:spacing w:line="360" w:lineRule="auto"/>
        <w:ind w:firstLine="480" w:firstLineChars="200"/>
        <w:jc w:val="left"/>
        <w:rPr>
          <w:color w:val="auto"/>
          <w:sz w:val="24"/>
          <w:szCs w:val="24"/>
        </w:rPr>
      </w:pPr>
    </w:p>
    <w:p w14:paraId="6518C3DB">
      <w:pPr>
        <w:widowControl w:val="0"/>
        <w:snapToGrid w:val="0"/>
        <w:spacing w:line="360" w:lineRule="auto"/>
        <w:ind w:firstLine="482" w:firstLineChars="200"/>
        <w:jc w:val="center"/>
        <w:rPr>
          <w:b/>
          <w:bCs/>
          <w:color w:val="auto"/>
          <w:sz w:val="24"/>
          <w:szCs w:val="24"/>
        </w:rPr>
      </w:pPr>
      <w:r>
        <w:rPr>
          <w:rFonts w:hint="eastAsia"/>
          <w:b/>
          <w:bCs/>
          <w:color w:val="auto"/>
          <w:sz w:val="24"/>
          <w:szCs w:val="24"/>
        </w:rPr>
        <w:t>三、其他要求</w:t>
      </w:r>
    </w:p>
    <w:p w14:paraId="2D80F6B4">
      <w:pPr>
        <w:widowControl w:val="0"/>
        <w:snapToGrid w:val="0"/>
        <w:spacing w:line="360" w:lineRule="auto"/>
        <w:ind w:firstLine="480" w:firstLineChars="200"/>
        <w:jc w:val="left"/>
        <w:rPr>
          <w:color w:val="auto"/>
          <w:sz w:val="24"/>
          <w:szCs w:val="24"/>
        </w:rPr>
      </w:pPr>
      <w:r>
        <w:rPr>
          <w:rFonts w:hint="eastAsia"/>
          <w:color w:val="auto"/>
          <w:sz w:val="24"/>
          <w:szCs w:val="24"/>
        </w:rPr>
        <w:t>1.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p>
    <w:p w14:paraId="5C764DBE">
      <w:pPr>
        <w:widowControl w:val="0"/>
        <w:snapToGrid w:val="0"/>
        <w:spacing w:line="360" w:lineRule="auto"/>
        <w:ind w:firstLine="480" w:firstLineChars="200"/>
        <w:jc w:val="left"/>
        <w:rPr>
          <w:color w:val="auto"/>
          <w:sz w:val="24"/>
          <w:szCs w:val="24"/>
        </w:rPr>
      </w:pPr>
      <w:r>
        <w:rPr>
          <w:rFonts w:hint="eastAsia"/>
          <w:color w:val="auto"/>
          <w:sz w:val="24"/>
          <w:szCs w:val="24"/>
        </w:rPr>
        <w:t>2.项目负责人应为中标人在职人员，具有类似本项目的服务管理经验，项目组人员的数量应足够满足本项目服务需要，具有良好的职业道德和严谨的工作作风。</w:t>
      </w:r>
    </w:p>
    <w:p w14:paraId="66244B29">
      <w:pPr>
        <w:widowControl w:val="0"/>
        <w:snapToGrid w:val="0"/>
        <w:spacing w:line="360" w:lineRule="auto"/>
        <w:ind w:firstLine="480" w:firstLineChars="200"/>
        <w:jc w:val="left"/>
        <w:rPr>
          <w:color w:val="auto"/>
          <w:sz w:val="24"/>
          <w:szCs w:val="24"/>
        </w:rPr>
      </w:pPr>
      <w:r>
        <w:rPr>
          <w:rFonts w:hint="eastAsia"/>
          <w:color w:val="auto"/>
          <w:sz w:val="24"/>
          <w:szCs w:val="24"/>
        </w:rPr>
        <w:t>3.中标人在组织项目服务实施期间，应按采购人实际服务需求落实所对应提供的服务工作，中标人在项目服务实施期间应做好相关管理记录，保证满足采购人服务需求。</w:t>
      </w:r>
    </w:p>
    <w:p w14:paraId="5BDBD691">
      <w:pPr>
        <w:widowControl w:val="0"/>
        <w:snapToGrid w:val="0"/>
        <w:spacing w:line="360" w:lineRule="auto"/>
        <w:ind w:firstLine="480" w:firstLineChars="200"/>
        <w:jc w:val="left"/>
        <w:rPr>
          <w:color w:val="auto"/>
          <w:sz w:val="24"/>
          <w:szCs w:val="24"/>
        </w:rPr>
      </w:pPr>
      <w:r>
        <w:rPr>
          <w:rFonts w:hint="eastAsia"/>
          <w:color w:val="auto"/>
          <w:sz w:val="24"/>
          <w:szCs w:val="24"/>
        </w:rPr>
        <w:t>4.经采购人确认的项目负责人和项目组人员及数量，未经采购人书面批准不得随意调换或撤离，若自行更换或撤离，按照合同违约处理。</w:t>
      </w:r>
    </w:p>
    <w:p w14:paraId="6B517D09">
      <w:pPr>
        <w:widowControl w:val="0"/>
        <w:snapToGrid w:val="0"/>
        <w:spacing w:line="360" w:lineRule="auto"/>
        <w:ind w:firstLine="567"/>
        <w:jc w:val="center"/>
        <w:outlineLvl w:val="0"/>
        <w:rPr>
          <w:rFonts w:eastAsia="黑体"/>
          <w:b/>
          <w:color w:val="auto"/>
          <w:sz w:val="44"/>
        </w:rPr>
      </w:pPr>
      <w:r>
        <w:rPr>
          <w:rFonts w:hint="eastAsia"/>
          <w:color w:val="auto"/>
          <w:sz w:val="24"/>
          <w:szCs w:val="24"/>
        </w:rPr>
        <w:t>5.如本项目涉及商品包装和快递包装的，除采购需求另有要求外，中标人所提供的货物包装应当参照财政部办公厅、生态环境部办公厅以及国家邮政局办公室联合发布的《商品包装政府采购需求标准（试行）》《快递包装政府采购需求标准（试行）》执行。</w:t>
      </w:r>
    </w:p>
    <w:p w14:paraId="5724594C">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177F6C24">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72C45E87">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47EE9485">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455ACF9A">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1DFAC156">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36A7836E">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054E24AB">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2D2FCC56">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2F07F6B2">
      <w:pPr>
        <w:widowControl w:val="0"/>
        <w:snapToGrid w:val="0"/>
        <w:spacing w:line="360" w:lineRule="auto"/>
        <w:ind w:firstLine="567"/>
        <w:jc w:val="center"/>
        <w:outlineLvl w:val="0"/>
        <w:rPr>
          <w:rFonts w:hint="eastAsia" w:ascii="黑体" w:hAnsi="黑体" w:eastAsia="黑体"/>
          <w:b/>
          <w:color w:val="auto"/>
          <w:sz w:val="36"/>
          <w:szCs w:val="36"/>
          <w:lang w:val="zh-CN"/>
        </w:rPr>
      </w:pPr>
    </w:p>
    <w:p w14:paraId="26617E80">
      <w:pPr>
        <w:widowControl w:val="0"/>
        <w:snapToGrid w:val="0"/>
        <w:spacing w:line="360" w:lineRule="auto"/>
        <w:ind w:firstLine="567"/>
        <w:jc w:val="center"/>
        <w:outlineLvl w:val="0"/>
        <w:rPr>
          <w:rFonts w:ascii="黑体" w:hAnsi="黑体" w:eastAsia="黑体"/>
          <w:b/>
          <w:color w:val="auto"/>
          <w:sz w:val="36"/>
          <w:szCs w:val="36"/>
          <w:lang w:val="zh-CN"/>
        </w:rPr>
      </w:pPr>
      <w:r>
        <w:rPr>
          <w:rFonts w:hint="eastAsia" w:ascii="黑体" w:hAnsi="黑体" w:eastAsia="黑体"/>
          <w:b/>
          <w:color w:val="auto"/>
          <w:sz w:val="36"/>
          <w:szCs w:val="36"/>
          <w:lang w:val="zh-CN"/>
        </w:rPr>
        <w:t>第四</w:t>
      </w:r>
      <w:r>
        <w:rPr>
          <w:rFonts w:hint="eastAsia" w:ascii="黑体" w:hAnsi="黑体" w:eastAsia="黑体"/>
          <w:b/>
          <w:color w:val="auto"/>
          <w:sz w:val="36"/>
          <w:szCs w:val="36"/>
          <w:lang w:val="en-US" w:eastAsia="zh-CN"/>
        </w:rPr>
        <w:t xml:space="preserve">部分 </w:t>
      </w:r>
      <w:r>
        <w:rPr>
          <w:rFonts w:hint="eastAsia" w:ascii="黑体" w:hAnsi="黑体" w:eastAsia="黑体"/>
          <w:b/>
          <w:color w:val="auto"/>
          <w:sz w:val="36"/>
          <w:szCs w:val="36"/>
          <w:lang w:val="zh-CN"/>
        </w:rPr>
        <w:t>评审办法</w:t>
      </w:r>
      <w:bookmarkEnd w:id="24"/>
      <w:bookmarkEnd w:id="26"/>
    </w:p>
    <w:p w14:paraId="56B9787B">
      <w:pPr>
        <w:widowControl w:val="0"/>
        <w:snapToGrid w:val="0"/>
        <w:spacing w:line="360" w:lineRule="auto"/>
        <w:ind w:firstLine="567"/>
        <w:jc w:val="center"/>
        <w:outlineLvl w:val="0"/>
        <w:rPr>
          <w:b/>
          <w:color w:val="auto"/>
          <w:sz w:val="24"/>
          <w:szCs w:val="24"/>
        </w:rPr>
      </w:pPr>
    </w:p>
    <w:p w14:paraId="385368D9">
      <w:pPr>
        <w:spacing w:line="500" w:lineRule="exact"/>
        <w:jc w:val="left"/>
        <w:outlineLvl w:val="1"/>
        <w:rPr>
          <w:rFonts w:ascii="黑体" w:hAnsi="黑体" w:eastAsia="黑体"/>
          <w:b/>
          <w:color w:val="auto"/>
          <w:sz w:val="28"/>
          <w:szCs w:val="28"/>
          <w:lang w:val="zh-CN"/>
        </w:rPr>
      </w:pPr>
      <w:bookmarkStart w:id="27" w:name="_Toc192581437"/>
      <w:r>
        <w:rPr>
          <w:rFonts w:hint="eastAsia" w:ascii="黑体" w:hAnsi="黑体" w:eastAsia="黑体"/>
          <w:b/>
          <w:color w:val="auto"/>
          <w:sz w:val="28"/>
          <w:szCs w:val="28"/>
        </w:rPr>
        <w:t>评审办法前附表</w:t>
      </w:r>
      <w:bookmarkEnd w:id="27"/>
    </w:p>
    <w:tbl>
      <w:tblPr>
        <w:tblStyle w:val="19"/>
        <w:tblW w:w="10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560"/>
        <w:gridCol w:w="960"/>
        <w:gridCol w:w="2217"/>
        <w:gridCol w:w="5736"/>
      </w:tblGrid>
      <w:tr w14:paraId="7644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24" w:type="dxa"/>
            <w:gridSpan w:val="2"/>
            <w:vAlign w:val="center"/>
          </w:tcPr>
          <w:p w14:paraId="1BD44CDD">
            <w:pPr>
              <w:pStyle w:val="53"/>
              <w:jc w:val="center"/>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条款号</w:t>
            </w:r>
          </w:p>
        </w:tc>
        <w:tc>
          <w:tcPr>
            <w:tcW w:w="3177" w:type="dxa"/>
            <w:gridSpan w:val="2"/>
            <w:vAlign w:val="center"/>
          </w:tcPr>
          <w:p w14:paraId="7533F406">
            <w:pPr>
              <w:pStyle w:val="53"/>
              <w:jc w:val="center"/>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评审因素</w:t>
            </w:r>
          </w:p>
        </w:tc>
        <w:tc>
          <w:tcPr>
            <w:tcW w:w="5736" w:type="dxa"/>
            <w:vAlign w:val="center"/>
          </w:tcPr>
          <w:p w14:paraId="6B99159C">
            <w:pPr>
              <w:pStyle w:val="53"/>
              <w:jc w:val="center"/>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评审标准</w:t>
            </w:r>
          </w:p>
        </w:tc>
      </w:tr>
      <w:tr w14:paraId="0D48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jc w:val="center"/>
        </w:trPr>
        <w:tc>
          <w:tcPr>
            <w:tcW w:w="564" w:type="dxa"/>
            <w:vMerge w:val="restart"/>
            <w:vAlign w:val="center"/>
          </w:tcPr>
          <w:p w14:paraId="635E81F1">
            <w:pPr>
              <w:pStyle w:val="53"/>
              <w:spacing w:line="360" w:lineRule="auto"/>
              <w:ind w:right="-101" w:rightChars="-48"/>
              <w:jc w:val="center"/>
              <w:rPr>
                <w:rFonts w:asciiTheme="minorEastAsia" w:hAnsiTheme="minorEastAsia" w:eastAsiaTheme="minorEastAsia"/>
                <w:color w:val="auto"/>
                <w:szCs w:val="24"/>
              </w:rPr>
            </w:pPr>
            <w:r>
              <w:rPr>
                <w:rFonts w:asciiTheme="minorEastAsia" w:hAnsiTheme="minorEastAsia" w:eastAsiaTheme="minorEastAsia"/>
                <w:color w:val="auto"/>
                <w:szCs w:val="24"/>
              </w:rPr>
              <w:t>2.1.1</w:t>
            </w:r>
          </w:p>
        </w:tc>
        <w:tc>
          <w:tcPr>
            <w:tcW w:w="560" w:type="dxa"/>
            <w:vMerge w:val="restart"/>
            <w:vAlign w:val="center"/>
          </w:tcPr>
          <w:p w14:paraId="22E6572E">
            <w:pPr>
              <w:pStyle w:val="53"/>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资</w:t>
            </w:r>
          </w:p>
          <w:p w14:paraId="54533F66">
            <w:pPr>
              <w:pStyle w:val="53"/>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格</w:t>
            </w:r>
          </w:p>
          <w:p w14:paraId="13B40269">
            <w:pPr>
              <w:pStyle w:val="53"/>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性</w:t>
            </w:r>
          </w:p>
          <w:p w14:paraId="5CCB5D88">
            <w:pPr>
              <w:pStyle w:val="53"/>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审</w:t>
            </w:r>
          </w:p>
          <w:p w14:paraId="736347E8">
            <w:pPr>
              <w:pStyle w:val="53"/>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查</w:t>
            </w:r>
          </w:p>
        </w:tc>
        <w:tc>
          <w:tcPr>
            <w:tcW w:w="3177" w:type="dxa"/>
            <w:gridSpan w:val="2"/>
            <w:vAlign w:val="center"/>
          </w:tcPr>
          <w:p w14:paraId="4A652C11">
            <w:pPr>
              <w:widowControl w:val="0"/>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第一</w:t>
            </w:r>
            <w:r>
              <w:rPr>
                <w:rFonts w:hint="eastAsia" w:asciiTheme="minorEastAsia" w:hAnsiTheme="minorEastAsia" w:eastAsiaTheme="minorEastAsia"/>
                <w:color w:val="auto"/>
                <w:sz w:val="24"/>
                <w:szCs w:val="24"/>
                <w:lang w:val="en-US" w:eastAsia="zh-CN"/>
              </w:rPr>
              <w:t>部分</w:t>
            </w:r>
            <w:r>
              <w:rPr>
                <w:rFonts w:hint="eastAsia" w:asciiTheme="minorEastAsia" w:hAnsiTheme="minorEastAsia" w:eastAsiaTheme="minorEastAsia"/>
                <w:color w:val="auto"/>
                <w:sz w:val="24"/>
                <w:szCs w:val="24"/>
              </w:rPr>
              <w:t>“竞争性磋商公告”第</w:t>
            </w:r>
            <w:r>
              <w:rPr>
                <w:rFonts w:asciiTheme="minorEastAsia" w:hAnsiTheme="minorEastAsia" w:eastAsiaTheme="minorEastAsia"/>
                <w:color w:val="auto"/>
                <w:sz w:val="24"/>
                <w:szCs w:val="24"/>
              </w:rPr>
              <w:t>2</w:t>
            </w:r>
            <w:r>
              <w:rPr>
                <w:rFonts w:hint="eastAsia" w:asciiTheme="minorEastAsia" w:hAnsiTheme="minorEastAsia" w:eastAsiaTheme="minorEastAsia"/>
                <w:color w:val="auto"/>
                <w:sz w:val="24"/>
                <w:szCs w:val="24"/>
              </w:rPr>
              <w:t>条各项资格要求</w:t>
            </w:r>
          </w:p>
        </w:tc>
        <w:tc>
          <w:tcPr>
            <w:tcW w:w="5736" w:type="dxa"/>
            <w:vAlign w:val="center"/>
          </w:tcPr>
          <w:p w14:paraId="73BCA075">
            <w:pPr>
              <w:widowControl w:val="0"/>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符合第一</w:t>
            </w:r>
            <w:r>
              <w:rPr>
                <w:rFonts w:hint="eastAsia" w:asciiTheme="minorEastAsia" w:hAnsiTheme="minorEastAsia" w:eastAsiaTheme="minorEastAsia"/>
                <w:color w:val="auto"/>
                <w:sz w:val="24"/>
                <w:szCs w:val="24"/>
                <w:lang w:val="en-US" w:eastAsia="zh-CN"/>
              </w:rPr>
              <w:t>部分</w:t>
            </w:r>
            <w:r>
              <w:rPr>
                <w:rFonts w:hint="eastAsia" w:asciiTheme="minorEastAsia" w:hAnsiTheme="minorEastAsia" w:eastAsiaTheme="minorEastAsia"/>
                <w:color w:val="auto"/>
                <w:sz w:val="24"/>
                <w:szCs w:val="24"/>
              </w:rPr>
              <w:t>“竞争性磋商公告”第</w:t>
            </w:r>
            <w:r>
              <w:rPr>
                <w:rFonts w:asciiTheme="minorEastAsia" w:hAnsiTheme="minorEastAsia" w:eastAsiaTheme="minorEastAsia"/>
                <w:color w:val="auto"/>
                <w:sz w:val="24"/>
                <w:szCs w:val="24"/>
              </w:rPr>
              <w:t>2</w:t>
            </w:r>
            <w:r>
              <w:rPr>
                <w:rFonts w:hint="eastAsia" w:asciiTheme="minorEastAsia" w:hAnsiTheme="minorEastAsia" w:eastAsiaTheme="minorEastAsia"/>
                <w:color w:val="auto"/>
                <w:sz w:val="24"/>
                <w:szCs w:val="24"/>
              </w:rPr>
              <w:t>条各项资格要求所需证件材料及证明材料</w:t>
            </w:r>
          </w:p>
        </w:tc>
      </w:tr>
      <w:tr w14:paraId="4E47A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564" w:type="dxa"/>
            <w:vMerge w:val="continue"/>
            <w:vAlign w:val="center"/>
          </w:tcPr>
          <w:p w14:paraId="56F4BDC1">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18EB9151">
            <w:pPr>
              <w:pStyle w:val="53"/>
              <w:spacing w:line="360" w:lineRule="auto"/>
              <w:jc w:val="center"/>
              <w:rPr>
                <w:rFonts w:asciiTheme="minorEastAsia" w:hAnsiTheme="minorEastAsia" w:eastAsiaTheme="minorEastAsia"/>
                <w:color w:val="auto"/>
                <w:szCs w:val="24"/>
              </w:rPr>
            </w:pPr>
          </w:p>
        </w:tc>
        <w:tc>
          <w:tcPr>
            <w:tcW w:w="3177" w:type="dxa"/>
            <w:gridSpan w:val="2"/>
            <w:vAlign w:val="center"/>
          </w:tcPr>
          <w:p w14:paraId="478D6A38">
            <w:pPr>
              <w:widowControl w:val="0"/>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投标承诺函（替代投标保证金）</w:t>
            </w:r>
          </w:p>
        </w:tc>
        <w:tc>
          <w:tcPr>
            <w:tcW w:w="5736" w:type="dxa"/>
            <w:vAlign w:val="center"/>
          </w:tcPr>
          <w:p w14:paraId="6C64701B">
            <w:pPr>
              <w:widowControl w:val="0"/>
              <w:snapToGrid w:val="0"/>
              <w:spacing w:line="360" w:lineRule="auto"/>
              <w:rPr>
                <w:rFonts w:asciiTheme="minorEastAsia" w:hAnsiTheme="minorEastAsia" w:eastAsiaTheme="minorEastAsia"/>
                <w:color w:val="auto"/>
                <w:kern w:val="2"/>
                <w:sz w:val="24"/>
                <w:szCs w:val="24"/>
              </w:rPr>
            </w:pPr>
            <w:r>
              <w:rPr>
                <w:rFonts w:hint="eastAsia" w:asciiTheme="minorEastAsia" w:hAnsiTheme="minorEastAsia" w:eastAsiaTheme="minorEastAsia"/>
                <w:color w:val="auto"/>
                <w:kern w:val="2"/>
                <w:sz w:val="24"/>
                <w:szCs w:val="24"/>
              </w:rPr>
              <w:t>符合“采购文件 ”相关规定</w:t>
            </w:r>
          </w:p>
        </w:tc>
      </w:tr>
      <w:tr w14:paraId="72B2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564" w:type="dxa"/>
            <w:vMerge w:val="continue"/>
            <w:vAlign w:val="center"/>
          </w:tcPr>
          <w:p w14:paraId="1D9F27A7">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7712060C">
            <w:pPr>
              <w:pStyle w:val="53"/>
              <w:spacing w:line="360" w:lineRule="auto"/>
              <w:jc w:val="center"/>
              <w:rPr>
                <w:rFonts w:asciiTheme="minorEastAsia" w:hAnsiTheme="minorEastAsia" w:eastAsiaTheme="minorEastAsia"/>
                <w:color w:val="auto"/>
                <w:szCs w:val="24"/>
              </w:rPr>
            </w:pPr>
          </w:p>
        </w:tc>
        <w:tc>
          <w:tcPr>
            <w:tcW w:w="3177" w:type="dxa"/>
            <w:gridSpan w:val="2"/>
            <w:vAlign w:val="center"/>
          </w:tcPr>
          <w:p w14:paraId="6A267BE0">
            <w:pPr>
              <w:widowControl w:val="0"/>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联合体（如有）</w:t>
            </w:r>
          </w:p>
        </w:tc>
        <w:tc>
          <w:tcPr>
            <w:tcW w:w="5736" w:type="dxa"/>
            <w:vAlign w:val="center"/>
          </w:tcPr>
          <w:p w14:paraId="6A29C4DF">
            <w:pPr>
              <w:widowControl w:val="0"/>
              <w:snapToGrid w:val="0"/>
              <w:spacing w:line="360" w:lineRule="auto"/>
              <w:rPr>
                <w:rFonts w:asciiTheme="minorEastAsia" w:hAnsiTheme="minorEastAsia" w:eastAsiaTheme="minorEastAsia"/>
                <w:color w:val="auto"/>
                <w:kern w:val="2"/>
                <w:sz w:val="24"/>
                <w:szCs w:val="24"/>
              </w:rPr>
            </w:pPr>
            <w:r>
              <w:rPr>
                <w:rFonts w:hint="eastAsia" w:asciiTheme="minorEastAsia" w:hAnsiTheme="minorEastAsia" w:eastAsiaTheme="minorEastAsia"/>
                <w:color w:val="auto"/>
                <w:kern w:val="2"/>
                <w:sz w:val="24"/>
                <w:szCs w:val="24"/>
              </w:rPr>
              <w:t>符合“供应商须知”相关规定</w:t>
            </w:r>
          </w:p>
        </w:tc>
      </w:tr>
      <w:tr w14:paraId="6256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jc w:val="center"/>
        </w:trPr>
        <w:tc>
          <w:tcPr>
            <w:tcW w:w="564" w:type="dxa"/>
            <w:vMerge w:val="restart"/>
            <w:vAlign w:val="center"/>
          </w:tcPr>
          <w:p w14:paraId="3672FE70">
            <w:pPr>
              <w:pStyle w:val="53"/>
              <w:spacing w:line="360" w:lineRule="auto"/>
              <w:ind w:right="-160" w:rightChars="-76"/>
              <w:jc w:val="center"/>
              <w:rPr>
                <w:rFonts w:asciiTheme="minorEastAsia" w:hAnsiTheme="minorEastAsia" w:eastAsiaTheme="minorEastAsia"/>
                <w:color w:val="auto"/>
                <w:szCs w:val="24"/>
              </w:rPr>
            </w:pPr>
            <w:r>
              <w:rPr>
                <w:rFonts w:asciiTheme="minorEastAsia" w:hAnsiTheme="minorEastAsia" w:eastAsiaTheme="minorEastAsia"/>
                <w:color w:val="auto"/>
                <w:szCs w:val="24"/>
              </w:rPr>
              <w:t>2.1.2</w:t>
            </w:r>
          </w:p>
        </w:tc>
        <w:tc>
          <w:tcPr>
            <w:tcW w:w="560" w:type="dxa"/>
            <w:vMerge w:val="restart"/>
            <w:vAlign w:val="center"/>
          </w:tcPr>
          <w:p w14:paraId="46AD5ABB">
            <w:pPr>
              <w:pStyle w:val="53"/>
              <w:spacing w:line="360" w:lineRule="auto"/>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符</w:t>
            </w:r>
          </w:p>
          <w:p w14:paraId="3FAE8CB4">
            <w:pPr>
              <w:pStyle w:val="53"/>
              <w:spacing w:line="360" w:lineRule="auto"/>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合</w:t>
            </w:r>
          </w:p>
          <w:p w14:paraId="7984C6E8">
            <w:pPr>
              <w:pStyle w:val="53"/>
              <w:spacing w:line="360" w:lineRule="auto"/>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性</w:t>
            </w:r>
          </w:p>
          <w:p w14:paraId="20EF3C5B">
            <w:pPr>
              <w:pStyle w:val="53"/>
              <w:spacing w:line="360" w:lineRule="auto"/>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审</w:t>
            </w:r>
          </w:p>
          <w:p w14:paraId="1E1210C8">
            <w:pPr>
              <w:pStyle w:val="53"/>
              <w:spacing w:line="360" w:lineRule="auto"/>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查</w:t>
            </w:r>
          </w:p>
        </w:tc>
        <w:tc>
          <w:tcPr>
            <w:tcW w:w="960" w:type="dxa"/>
            <w:vMerge w:val="restart"/>
            <w:vAlign w:val="center"/>
          </w:tcPr>
          <w:p w14:paraId="0746EF37">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有效性</w:t>
            </w:r>
          </w:p>
        </w:tc>
        <w:tc>
          <w:tcPr>
            <w:tcW w:w="2217" w:type="dxa"/>
            <w:vAlign w:val="center"/>
          </w:tcPr>
          <w:p w14:paraId="78B82537">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供应商名称</w:t>
            </w:r>
          </w:p>
        </w:tc>
        <w:tc>
          <w:tcPr>
            <w:tcW w:w="5736" w:type="dxa"/>
            <w:vAlign w:val="center"/>
          </w:tcPr>
          <w:p w14:paraId="41F71F16">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与营业执照证等证照及签章一致</w:t>
            </w:r>
          </w:p>
        </w:tc>
      </w:tr>
      <w:tr w14:paraId="6891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jc w:val="center"/>
        </w:trPr>
        <w:tc>
          <w:tcPr>
            <w:tcW w:w="564" w:type="dxa"/>
            <w:vMerge w:val="continue"/>
            <w:vAlign w:val="center"/>
          </w:tcPr>
          <w:p w14:paraId="1DE7281F">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06D4C9DD">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502D7B21">
            <w:pPr>
              <w:pStyle w:val="53"/>
              <w:adjustRightInd/>
              <w:snapToGrid w:val="0"/>
              <w:jc w:val="center"/>
              <w:rPr>
                <w:rFonts w:asciiTheme="minorEastAsia" w:hAnsiTheme="minorEastAsia" w:eastAsiaTheme="minorEastAsia"/>
                <w:color w:val="auto"/>
                <w:szCs w:val="24"/>
              </w:rPr>
            </w:pPr>
          </w:p>
        </w:tc>
        <w:tc>
          <w:tcPr>
            <w:tcW w:w="2217" w:type="dxa"/>
            <w:vAlign w:val="center"/>
          </w:tcPr>
          <w:p w14:paraId="053A9B85">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签字或盖章</w:t>
            </w:r>
          </w:p>
        </w:tc>
        <w:tc>
          <w:tcPr>
            <w:tcW w:w="5736" w:type="dxa"/>
            <w:vAlign w:val="center"/>
          </w:tcPr>
          <w:p w14:paraId="6BCD30CF">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符合“供应商须知”相关规定</w:t>
            </w:r>
          </w:p>
        </w:tc>
      </w:tr>
      <w:tr w14:paraId="320A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64" w:type="dxa"/>
            <w:vMerge w:val="continue"/>
            <w:vAlign w:val="center"/>
          </w:tcPr>
          <w:p w14:paraId="5D120D0E">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19503359">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7FE17688">
            <w:pPr>
              <w:pStyle w:val="53"/>
              <w:adjustRightInd/>
              <w:snapToGrid w:val="0"/>
              <w:jc w:val="center"/>
              <w:rPr>
                <w:rFonts w:asciiTheme="minorEastAsia" w:hAnsiTheme="minorEastAsia" w:eastAsiaTheme="minorEastAsia"/>
                <w:color w:val="auto"/>
                <w:szCs w:val="24"/>
              </w:rPr>
            </w:pPr>
          </w:p>
        </w:tc>
        <w:tc>
          <w:tcPr>
            <w:tcW w:w="2217" w:type="dxa"/>
            <w:vAlign w:val="center"/>
          </w:tcPr>
          <w:p w14:paraId="47AAF462">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供应商代表人</w:t>
            </w:r>
          </w:p>
        </w:tc>
        <w:tc>
          <w:tcPr>
            <w:tcW w:w="5736" w:type="dxa"/>
            <w:vAlign w:val="center"/>
          </w:tcPr>
          <w:p w14:paraId="26DA1BCF">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有法定代表人身份证或授权委托书及本人身份证原件</w:t>
            </w:r>
          </w:p>
        </w:tc>
      </w:tr>
      <w:tr w14:paraId="4A52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564" w:type="dxa"/>
            <w:vMerge w:val="continue"/>
            <w:vAlign w:val="center"/>
          </w:tcPr>
          <w:p w14:paraId="6A66ED5E">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5EAEFFD0">
            <w:pPr>
              <w:pStyle w:val="53"/>
              <w:spacing w:line="360" w:lineRule="auto"/>
              <w:jc w:val="center"/>
              <w:rPr>
                <w:rFonts w:asciiTheme="minorEastAsia" w:hAnsiTheme="minorEastAsia" w:eastAsiaTheme="minorEastAsia"/>
                <w:color w:val="auto"/>
                <w:szCs w:val="24"/>
              </w:rPr>
            </w:pPr>
          </w:p>
        </w:tc>
        <w:tc>
          <w:tcPr>
            <w:tcW w:w="960" w:type="dxa"/>
            <w:vAlign w:val="center"/>
          </w:tcPr>
          <w:p w14:paraId="4FBF53AF">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完整性</w:t>
            </w:r>
          </w:p>
        </w:tc>
        <w:tc>
          <w:tcPr>
            <w:tcW w:w="2217" w:type="dxa"/>
            <w:vAlign w:val="center"/>
          </w:tcPr>
          <w:p w14:paraId="70127C24">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《响应文件》组成</w:t>
            </w:r>
          </w:p>
        </w:tc>
        <w:tc>
          <w:tcPr>
            <w:tcW w:w="5736" w:type="dxa"/>
            <w:vAlign w:val="center"/>
          </w:tcPr>
          <w:p w14:paraId="747FE6CE">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符合“供应商须知”相关规定</w:t>
            </w:r>
          </w:p>
        </w:tc>
      </w:tr>
      <w:tr w14:paraId="3B60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564" w:type="dxa"/>
            <w:vMerge w:val="continue"/>
            <w:vAlign w:val="center"/>
          </w:tcPr>
          <w:p w14:paraId="70FB6E2F">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3A732AC1">
            <w:pPr>
              <w:pStyle w:val="53"/>
              <w:spacing w:line="360" w:lineRule="auto"/>
              <w:jc w:val="center"/>
              <w:rPr>
                <w:rFonts w:asciiTheme="minorEastAsia" w:hAnsiTheme="minorEastAsia" w:eastAsiaTheme="minorEastAsia"/>
                <w:color w:val="auto"/>
                <w:szCs w:val="24"/>
              </w:rPr>
            </w:pPr>
          </w:p>
        </w:tc>
        <w:tc>
          <w:tcPr>
            <w:tcW w:w="960" w:type="dxa"/>
            <w:vMerge w:val="restart"/>
            <w:vAlign w:val="center"/>
          </w:tcPr>
          <w:p w14:paraId="774FF458">
            <w:pPr>
              <w:pStyle w:val="53"/>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响应程度</w:t>
            </w:r>
          </w:p>
        </w:tc>
        <w:tc>
          <w:tcPr>
            <w:tcW w:w="2217" w:type="dxa"/>
            <w:vAlign w:val="center"/>
          </w:tcPr>
          <w:p w14:paraId="22D58E49">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磋商报价</w:t>
            </w:r>
          </w:p>
        </w:tc>
        <w:tc>
          <w:tcPr>
            <w:tcW w:w="5736" w:type="dxa"/>
            <w:vAlign w:val="center"/>
          </w:tcPr>
          <w:p w14:paraId="14392A74">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符合“供应商须知”相关规定</w:t>
            </w:r>
          </w:p>
        </w:tc>
      </w:tr>
      <w:tr w14:paraId="7276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564" w:type="dxa"/>
            <w:vMerge w:val="continue"/>
            <w:vAlign w:val="center"/>
          </w:tcPr>
          <w:p w14:paraId="29C8CF39">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57CC59E8">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5E383B8E">
            <w:pPr>
              <w:pStyle w:val="53"/>
              <w:snapToGrid w:val="0"/>
              <w:jc w:val="center"/>
              <w:rPr>
                <w:rFonts w:asciiTheme="minorEastAsia" w:hAnsiTheme="minorEastAsia" w:eastAsiaTheme="minorEastAsia"/>
                <w:color w:val="auto"/>
                <w:szCs w:val="24"/>
              </w:rPr>
            </w:pPr>
          </w:p>
        </w:tc>
        <w:tc>
          <w:tcPr>
            <w:tcW w:w="2217" w:type="dxa"/>
            <w:vAlign w:val="center"/>
          </w:tcPr>
          <w:p w14:paraId="1216EA40">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响应内容（范围）、服务要求</w:t>
            </w:r>
          </w:p>
        </w:tc>
        <w:tc>
          <w:tcPr>
            <w:tcW w:w="5736" w:type="dxa"/>
            <w:vAlign w:val="center"/>
          </w:tcPr>
          <w:p w14:paraId="3AEAB6AE">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符合第三部分“采购人需求”相关规定</w:t>
            </w:r>
          </w:p>
        </w:tc>
      </w:tr>
      <w:tr w14:paraId="0498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564" w:type="dxa"/>
            <w:vMerge w:val="continue"/>
            <w:vAlign w:val="center"/>
          </w:tcPr>
          <w:p w14:paraId="62D675FF">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6E26C861">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6783CF02">
            <w:pPr>
              <w:pStyle w:val="53"/>
              <w:snapToGrid w:val="0"/>
              <w:jc w:val="center"/>
              <w:rPr>
                <w:rFonts w:asciiTheme="minorEastAsia" w:hAnsiTheme="minorEastAsia" w:eastAsiaTheme="minorEastAsia"/>
                <w:color w:val="auto"/>
                <w:szCs w:val="24"/>
              </w:rPr>
            </w:pPr>
          </w:p>
        </w:tc>
        <w:tc>
          <w:tcPr>
            <w:tcW w:w="2217" w:type="dxa"/>
            <w:vAlign w:val="center"/>
          </w:tcPr>
          <w:p w14:paraId="48137F0E">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服务期</w:t>
            </w:r>
          </w:p>
        </w:tc>
        <w:tc>
          <w:tcPr>
            <w:tcW w:w="5736" w:type="dxa"/>
            <w:vAlign w:val="center"/>
          </w:tcPr>
          <w:p w14:paraId="17986B89">
            <w:pPr>
              <w:pStyle w:val="53"/>
              <w:adjustRightInd/>
              <w:snapToGrid w:val="0"/>
              <w:jc w:val="both"/>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符合第</w:t>
            </w:r>
            <w:r>
              <w:rPr>
                <w:rFonts w:hint="eastAsia" w:asciiTheme="minorEastAsia" w:hAnsiTheme="minorEastAsia" w:eastAsiaTheme="minorEastAsia"/>
                <w:color w:val="auto"/>
                <w:szCs w:val="24"/>
                <w:lang w:val="en-US" w:eastAsia="zh-CN"/>
              </w:rPr>
              <w:t>三部分</w:t>
            </w:r>
            <w:r>
              <w:rPr>
                <w:rFonts w:hint="eastAsia" w:asciiTheme="minorEastAsia" w:hAnsiTheme="minorEastAsia" w:eastAsiaTheme="minorEastAsia"/>
                <w:color w:val="auto"/>
                <w:szCs w:val="24"/>
              </w:rPr>
              <w:t>“采购人需求”相关规定</w:t>
            </w:r>
          </w:p>
        </w:tc>
      </w:tr>
      <w:tr w14:paraId="04C2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jc w:val="center"/>
        </w:trPr>
        <w:tc>
          <w:tcPr>
            <w:tcW w:w="564" w:type="dxa"/>
            <w:vMerge w:val="continue"/>
            <w:vAlign w:val="center"/>
          </w:tcPr>
          <w:p w14:paraId="1EC573E0">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3A50FD4F">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24DAA028">
            <w:pPr>
              <w:pStyle w:val="53"/>
              <w:adjustRightInd/>
              <w:snapToGrid w:val="0"/>
              <w:jc w:val="center"/>
              <w:rPr>
                <w:rFonts w:asciiTheme="minorEastAsia" w:hAnsiTheme="minorEastAsia" w:eastAsiaTheme="minorEastAsia"/>
                <w:color w:val="auto"/>
                <w:szCs w:val="24"/>
              </w:rPr>
            </w:pPr>
          </w:p>
        </w:tc>
        <w:tc>
          <w:tcPr>
            <w:tcW w:w="2217" w:type="dxa"/>
            <w:vAlign w:val="center"/>
          </w:tcPr>
          <w:p w14:paraId="77884CF4">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响应有效期</w:t>
            </w:r>
          </w:p>
        </w:tc>
        <w:tc>
          <w:tcPr>
            <w:tcW w:w="5736" w:type="dxa"/>
            <w:vAlign w:val="center"/>
          </w:tcPr>
          <w:p w14:paraId="7FBFF3F9">
            <w:pPr>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符合“供应商须知”相关规定</w:t>
            </w:r>
          </w:p>
        </w:tc>
      </w:tr>
      <w:tr w14:paraId="76F4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564" w:type="dxa"/>
            <w:vMerge w:val="continue"/>
            <w:vAlign w:val="center"/>
          </w:tcPr>
          <w:p w14:paraId="15A55D40">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6CD4FD52">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0CC4A485">
            <w:pPr>
              <w:pStyle w:val="53"/>
              <w:adjustRightInd/>
              <w:snapToGrid w:val="0"/>
              <w:jc w:val="center"/>
              <w:rPr>
                <w:rFonts w:asciiTheme="minorEastAsia" w:hAnsiTheme="minorEastAsia" w:eastAsiaTheme="minorEastAsia"/>
                <w:color w:val="auto"/>
                <w:szCs w:val="24"/>
              </w:rPr>
            </w:pPr>
          </w:p>
        </w:tc>
        <w:tc>
          <w:tcPr>
            <w:tcW w:w="2217" w:type="dxa"/>
            <w:vAlign w:val="center"/>
          </w:tcPr>
          <w:p w14:paraId="41F2093C">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《响应文件》格式</w:t>
            </w:r>
          </w:p>
        </w:tc>
        <w:tc>
          <w:tcPr>
            <w:tcW w:w="5736" w:type="dxa"/>
            <w:vAlign w:val="center"/>
          </w:tcPr>
          <w:p w14:paraId="4D265884">
            <w:pPr>
              <w:pStyle w:val="53"/>
              <w:adjustRightInd/>
              <w:snapToGrid w:val="0"/>
              <w:rPr>
                <w:rFonts w:asciiTheme="minorEastAsia" w:hAnsiTheme="minorEastAsia" w:eastAsiaTheme="minorEastAsia"/>
                <w:color w:val="auto"/>
                <w:szCs w:val="24"/>
              </w:rPr>
            </w:pPr>
            <w:r>
              <w:rPr>
                <w:rFonts w:hint="eastAsia" w:asciiTheme="minorEastAsia" w:hAnsiTheme="minorEastAsia" w:eastAsiaTheme="minorEastAsia"/>
                <w:color w:val="auto"/>
                <w:szCs w:val="24"/>
              </w:rPr>
              <w:t>符合第六</w:t>
            </w:r>
            <w:r>
              <w:rPr>
                <w:rFonts w:hint="eastAsia" w:asciiTheme="minorEastAsia" w:hAnsiTheme="minorEastAsia" w:eastAsiaTheme="minorEastAsia"/>
                <w:color w:val="auto"/>
                <w:szCs w:val="24"/>
                <w:lang w:val="en-US" w:eastAsia="zh-CN"/>
              </w:rPr>
              <w:t>部分</w:t>
            </w:r>
            <w:r>
              <w:rPr>
                <w:rFonts w:hint="eastAsia" w:asciiTheme="minorEastAsia" w:hAnsiTheme="minorEastAsia" w:eastAsiaTheme="minorEastAsia"/>
                <w:color w:val="auto"/>
                <w:szCs w:val="24"/>
              </w:rPr>
              <w:t>“《响应文件》格式”规定</w:t>
            </w:r>
          </w:p>
        </w:tc>
      </w:tr>
      <w:tr w14:paraId="0515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564" w:type="dxa"/>
            <w:vMerge w:val="continue"/>
            <w:vAlign w:val="center"/>
          </w:tcPr>
          <w:p w14:paraId="0EB402EC">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7D585FBA">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36341300">
            <w:pPr>
              <w:pStyle w:val="53"/>
              <w:adjustRightInd/>
              <w:snapToGrid w:val="0"/>
              <w:jc w:val="center"/>
              <w:rPr>
                <w:rFonts w:asciiTheme="minorEastAsia" w:hAnsiTheme="minorEastAsia" w:eastAsiaTheme="minorEastAsia"/>
                <w:color w:val="auto"/>
                <w:szCs w:val="24"/>
              </w:rPr>
            </w:pPr>
          </w:p>
        </w:tc>
        <w:tc>
          <w:tcPr>
            <w:tcW w:w="2217" w:type="dxa"/>
            <w:vAlign w:val="center"/>
          </w:tcPr>
          <w:p w14:paraId="3447206D">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付款</w:t>
            </w:r>
          </w:p>
        </w:tc>
        <w:tc>
          <w:tcPr>
            <w:tcW w:w="5736" w:type="dxa"/>
          </w:tcPr>
          <w:p w14:paraId="239E7114">
            <w:pP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符合“供应商须知”相关规定</w:t>
            </w:r>
          </w:p>
        </w:tc>
      </w:tr>
      <w:tr w14:paraId="2000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564" w:type="dxa"/>
            <w:vMerge w:val="continue"/>
            <w:vAlign w:val="center"/>
          </w:tcPr>
          <w:p w14:paraId="06DDFA7D">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69188CDE">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4D33B27B">
            <w:pPr>
              <w:pStyle w:val="53"/>
              <w:adjustRightInd/>
              <w:snapToGrid w:val="0"/>
              <w:jc w:val="center"/>
              <w:rPr>
                <w:rFonts w:asciiTheme="minorEastAsia" w:hAnsiTheme="minorEastAsia" w:eastAsiaTheme="minorEastAsia"/>
                <w:color w:val="auto"/>
                <w:szCs w:val="24"/>
              </w:rPr>
            </w:pPr>
          </w:p>
        </w:tc>
        <w:tc>
          <w:tcPr>
            <w:tcW w:w="2217" w:type="dxa"/>
            <w:vAlign w:val="center"/>
          </w:tcPr>
          <w:p w14:paraId="3EDAE756">
            <w:pPr>
              <w:pStyle w:val="53"/>
              <w:adjustRightInd/>
              <w:snapToGrid w:val="0"/>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偏差描述</w:t>
            </w:r>
          </w:p>
        </w:tc>
        <w:tc>
          <w:tcPr>
            <w:tcW w:w="5736" w:type="dxa"/>
          </w:tcPr>
          <w:p w14:paraId="07802089">
            <w:pP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符合“供应商须知”相关规定</w:t>
            </w:r>
          </w:p>
        </w:tc>
      </w:tr>
      <w:tr w14:paraId="7892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 w:hRule="atLeast"/>
          <w:jc w:val="center"/>
        </w:trPr>
        <w:tc>
          <w:tcPr>
            <w:tcW w:w="564" w:type="dxa"/>
            <w:vMerge w:val="continue"/>
            <w:vAlign w:val="center"/>
          </w:tcPr>
          <w:p w14:paraId="78EE2FFE">
            <w:pPr>
              <w:pStyle w:val="53"/>
              <w:spacing w:line="360" w:lineRule="auto"/>
              <w:jc w:val="center"/>
              <w:rPr>
                <w:rFonts w:asciiTheme="minorEastAsia" w:hAnsiTheme="minorEastAsia" w:eastAsiaTheme="minorEastAsia"/>
                <w:color w:val="auto"/>
                <w:szCs w:val="24"/>
              </w:rPr>
            </w:pPr>
          </w:p>
        </w:tc>
        <w:tc>
          <w:tcPr>
            <w:tcW w:w="560" w:type="dxa"/>
            <w:vMerge w:val="continue"/>
            <w:vAlign w:val="center"/>
          </w:tcPr>
          <w:p w14:paraId="060A6917">
            <w:pPr>
              <w:pStyle w:val="53"/>
              <w:spacing w:line="360" w:lineRule="auto"/>
              <w:jc w:val="center"/>
              <w:rPr>
                <w:rFonts w:asciiTheme="minorEastAsia" w:hAnsiTheme="minorEastAsia" w:eastAsiaTheme="minorEastAsia"/>
                <w:color w:val="auto"/>
                <w:szCs w:val="24"/>
              </w:rPr>
            </w:pPr>
          </w:p>
        </w:tc>
        <w:tc>
          <w:tcPr>
            <w:tcW w:w="960" w:type="dxa"/>
            <w:vMerge w:val="continue"/>
            <w:vAlign w:val="center"/>
          </w:tcPr>
          <w:p w14:paraId="66AB7419">
            <w:pPr>
              <w:snapToGrid w:val="0"/>
              <w:spacing w:line="240" w:lineRule="auto"/>
              <w:jc w:val="center"/>
              <w:rPr>
                <w:rFonts w:asciiTheme="minorEastAsia" w:hAnsiTheme="minorEastAsia" w:eastAsiaTheme="minorEastAsia"/>
                <w:color w:val="auto"/>
                <w:sz w:val="24"/>
                <w:szCs w:val="24"/>
              </w:rPr>
            </w:pPr>
          </w:p>
        </w:tc>
        <w:tc>
          <w:tcPr>
            <w:tcW w:w="2217" w:type="dxa"/>
            <w:vAlign w:val="center"/>
          </w:tcPr>
          <w:p w14:paraId="11145058">
            <w:pPr>
              <w:snapToGrid w:val="0"/>
              <w:spacing w:line="240"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《磋商文件》总体响应</w:t>
            </w:r>
          </w:p>
        </w:tc>
        <w:tc>
          <w:tcPr>
            <w:tcW w:w="5736" w:type="dxa"/>
            <w:vAlign w:val="center"/>
          </w:tcPr>
          <w:p w14:paraId="391E4453">
            <w:pPr>
              <w:autoSpaceDE w:val="0"/>
              <w:autoSpaceDN w:val="0"/>
              <w:snapToGrid w:val="0"/>
              <w:spacing w:line="24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符合采购文件规定</w:t>
            </w:r>
          </w:p>
        </w:tc>
      </w:tr>
    </w:tbl>
    <w:p w14:paraId="2DB98519">
      <w:pPr>
        <w:autoSpaceDE w:val="0"/>
        <w:autoSpaceDN w:val="0"/>
        <w:adjustRightInd w:val="0"/>
        <w:spacing w:line="360" w:lineRule="auto"/>
        <w:jc w:val="left"/>
        <w:rPr>
          <w:rFonts w:ascii="黑体" w:hAnsi="黑体" w:eastAsia="黑体" w:cs="楷体_GB2312"/>
          <w:b/>
          <w:bCs/>
          <w:color w:val="auto"/>
          <w:sz w:val="28"/>
          <w:szCs w:val="28"/>
          <w:lang w:val="zh-CN"/>
        </w:rPr>
      </w:pPr>
    </w:p>
    <w:p w14:paraId="6D53678E">
      <w:pPr>
        <w:spacing w:line="500" w:lineRule="exact"/>
        <w:ind w:firstLine="419"/>
        <w:jc w:val="left"/>
        <w:rPr>
          <w:rFonts w:ascii="黑体" w:hAnsi="黑体" w:eastAsia="黑体"/>
          <w:b/>
          <w:color w:val="auto"/>
          <w:sz w:val="28"/>
          <w:szCs w:val="28"/>
        </w:rPr>
      </w:pPr>
      <w:r>
        <w:rPr>
          <w:rFonts w:ascii="黑体" w:hAnsi="黑体" w:eastAsia="黑体" w:cs="楷体_GB2312"/>
          <w:b/>
          <w:bCs/>
          <w:color w:val="auto"/>
          <w:sz w:val="28"/>
          <w:szCs w:val="28"/>
          <w:lang w:val="zh-CN"/>
        </w:rPr>
        <w:br w:type="page"/>
      </w:r>
      <w:r>
        <w:rPr>
          <w:rFonts w:hint="eastAsia" w:ascii="黑体" w:hAnsi="黑体" w:eastAsia="黑体"/>
          <w:b/>
          <w:color w:val="auto"/>
          <w:sz w:val="28"/>
          <w:szCs w:val="28"/>
        </w:rPr>
        <w:t>评审办法前附表</w:t>
      </w:r>
      <w:r>
        <w:rPr>
          <w:rFonts w:ascii="黑体" w:hAnsi="黑体" w:eastAsia="黑体"/>
          <w:b/>
          <w:color w:val="auto"/>
          <w:sz w:val="28"/>
          <w:szCs w:val="28"/>
        </w:rPr>
        <w:t>-----</w:t>
      </w:r>
      <w:r>
        <w:rPr>
          <w:rFonts w:hint="eastAsia" w:ascii="黑体" w:hAnsi="黑体" w:eastAsia="黑体"/>
          <w:b/>
          <w:color w:val="auto"/>
          <w:sz w:val="28"/>
          <w:szCs w:val="28"/>
        </w:rPr>
        <w:t>分值构成与评分标准</w:t>
      </w:r>
    </w:p>
    <w:tbl>
      <w:tblPr>
        <w:tblStyle w:val="19"/>
        <w:tblW w:w="10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185"/>
        <w:gridCol w:w="1560"/>
        <w:gridCol w:w="6444"/>
      </w:tblGrid>
      <w:tr w14:paraId="14C6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41" w:type="dxa"/>
            <w:vAlign w:val="center"/>
          </w:tcPr>
          <w:p w14:paraId="3DCC60F7">
            <w:pPr>
              <w:widowControl w:val="0"/>
              <w:autoSpaceDE w:val="0"/>
              <w:autoSpaceDN w:val="0"/>
              <w:adjustRightInd w:val="0"/>
              <w:spacing w:line="276" w:lineRule="auto"/>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条款号</w:t>
            </w:r>
          </w:p>
        </w:tc>
        <w:tc>
          <w:tcPr>
            <w:tcW w:w="1185" w:type="dxa"/>
            <w:vAlign w:val="center"/>
          </w:tcPr>
          <w:p w14:paraId="7952CEEA">
            <w:pPr>
              <w:spacing w:line="276"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条款内容</w:t>
            </w:r>
          </w:p>
        </w:tc>
        <w:tc>
          <w:tcPr>
            <w:tcW w:w="8004" w:type="dxa"/>
            <w:gridSpan w:val="2"/>
            <w:vAlign w:val="center"/>
          </w:tcPr>
          <w:p w14:paraId="7507ED9F">
            <w:pPr>
              <w:spacing w:line="276"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编列内容</w:t>
            </w:r>
          </w:p>
        </w:tc>
      </w:tr>
      <w:tr w14:paraId="274E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41" w:type="dxa"/>
            <w:vAlign w:val="center"/>
          </w:tcPr>
          <w:p w14:paraId="513E7F22">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2.2.1</w:t>
            </w:r>
          </w:p>
        </w:tc>
        <w:tc>
          <w:tcPr>
            <w:tcW w:w="1185" w:type="dxa"/>
            <w:vAlign w:val="center"/>
          </w:tcPr>
          <w:p w14:paraId="2D899D71">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分值构成</w:t>
            </w:r>
          </w:p>
          <w:p w14:paraId="154C7A07">
            <w:pPr>
              <w:widowControl w:val="0"/>
              <w:snapToGrid w:val="0"/>
              <w:spacing w:line="276" w:lineRule="auto"/>
              <w:jc w:val="center"/>
              <w:rPr>
                <w:rFonts w:asciiTheme="minorEastAsia" w:hAnsiTheme="minorEastAsia" w:eastAsiaTheme="minorEastAsia"/>
                <w:color w:val="auto"/>
                <w:sz w:val="24"/>
                <w:szCs w:val="24"/>
              </w:rPr>
            </w:pPr>
            <w:r>
              <w:rPr>
                <w:rFonts w:hint="eastAsia" w:cs="TimesNewRomanPSMT" w:asciiTheme="minorEastAsia" w:hAnsiTheme="minorEastAsia" w:eastAsiaTheme="minorEastAsia"/>
                <w:color w:val="auto"/>
                <w:sz w:val="24"/>
                <w:szCs w:val="24"/>
              </w:rPr>
              <w:t>（</w:t>
            </w:r>
            <w:r>
              <w:rPr>
                <w:rFonts w:hint="eastAsia" w:cs="宋体" w:asciiTheme="minorEastAsia" w:hAnsiTheme="minorEastAsia" w:eastAsiaTheme="minorEastAsia"/>
                <w:color w:val="auto"/>
                <w:sz w:val="24"/>
                <w:szCs w:val="24"/>
              </w:rPr>
              <w:t>总分</w:t>
            </w:r>
            <w:r>
              <w:rPr>
                <w:rFonts w:cs="TimesNewRomanPSMT" w:asciiTheme="minorEastAsia" w:hAnsiTheme="minorEastAsia" w:eastAsiaTheme="minorEastAsia"/>
                <w:color w:val="auto"/>
                <w:sz w:val="24"/>
                <w:szCs w:val="24"/>
              </w:rPr>
              <w:t xml:space="preserve">100 </w:t>
            </w:r>
            <w:r>
              <w:rPr>
                <w:rFonts w:hint="eastAsia" w:cs="宋体" w:asciiTheme="minorEastAsia" w:hAnsiTheme="minorEastAsia" w:eastAsiaTheme="minorEastAsia"/>
                <w:color w:val="auto"/>
                <w:sz w:val="24"/>
                <w:szCs w:val="24"/>
              </w:rPr>
              <w:t>分）</w:t>
            </w:r>
          </w:p>
        </w:tc>
        <w:tc>
          <w:tcPr>
            <w:tcW w:w="8004" w:type="dxa"/>
            <w:gridSpan w:val="2"/>
            <w:vAlign w:val="center"/>
          </w:tcPr>
          <w:p w14:paraId="556F3D66">
            <w:pPr>
              <w:widowControl w:val="0"/>
              <w:snapToGrid w:val="0"/>
              <w:spacing w:line="276"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价格：</w:t>
            </w:r>
            <w:r>
              <w:rPr>
                <w:rFonts w:hint="eastAsia" w:cs="宋体" w:asciiTheme="minorEastAsia" w:hAnsiTheme="minorEastAsia" w:eastAsiaTheme="minorEastAsia"/>
                <w:color w:val="auto"/>
                <w:sz w:val="24"/>
                <w:szCs w:val="24"/>
                <w:u w:val="single"/>
              </w:rPr>
              <w:t>30</w:t>
            </w:r>
            <w:r>
              <w:rPr>
                <w:rFonts w:hint="eastAsia" w:cs="宋体" w:asciiTheme="minorEastAsia" w:hAnsiTheme="minorEastAsia" w:eastAsiaTheme="minorEastAsia"/>
                <w:color w:val="auto"/>
                <w:sz w:val="24"/>
                <w:szCs w:val="24"/>
              </w:rPr>
              <w:t>分</w:t>
            </w:r>
          </w:p>
          <w:p w14:paraId="4926248E">
            <w:pPr>
              <w:widowControl w:val="0"/>
              <w:snapToGrid w:val="0"/>
              <w:spacing w:line="276"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技术：</w:t>
            </w:r>
            <w:r>
              <w:rPr>
                <w:rFonts w:hint="eastAsia" w:cs="宋体" w:asciiTheme="minorEastAsia" w:hAnsiTheme="minorEastAsia" w:eastAsiaTheme="minorEastAsia"/>
                <w:color w:val="auto"/>
                <w:sz w:val="24"/>
                <w:szCs w:val="24"/>
                <w:u w:val="single"/>
              </w:rPr>
              <w:t xml:space="preserve">  15  </w:t>
            </w:r>
            <w:r>
              <w:rPr>
                <w:rFonts w:hint="eastAsia" w:cs="宋体" w:asciiTheme="minorEastAsia" w:hAnsiTheme="minorEastAsia" w:eastAsiaTheme="minorEastAsia"/>
                <w:color w:val="auto"/>
                <w:sz w:val="24"/>
                <w:szCs w:val="24"/>
              </w:rPr>
              <w:t>分</w:t>
            </w:r>
          </w:p>
          <w:p w14:paraId="22052418">
            <w:pPr>
              <w:widowControl w:val="0"/>
              <w:snapToGrid w:val="0"/>
              <w:spacing w:line="276"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履约能力：</w:t>
            </w:r>
            <w:r>
              <w:rPr>
                <w:rFonts w:hint="eastAsia" w:cs="宋体" w:asciiTheme="minorEastAsia" w:hAnsiTheme="minorEastAsia" w:eastAsiaTheme="minorEastAsia"/>
                <w:color w:val="auto"/>
                <w:sz w:val="24"/>
                <w:szCs w:val="24"/>
                <w:u w:val="single"/>
              </w:rPr>
              <w:t>55</w:t>
            </w:r>
            <w:r>
              <w:rPr>
                <w:rFonts w:hint="eastAsia" w:cs="宋体" w:asciiTheme="minorEastAsia" w:hAnsiTheme="minorEastAsia" w:eastAsiaTheme="minorEastAsia"/>
                <w:color w:val="auto"/>
                <w:sz w:val="24"/>
                <w:szCs w:val="24"/>
              </w:rPr>
              <w:t>分</w:t>
            </w:r>
          </w:p>
        </w:tc>
      </w:tr>
      <w:tr w14:paraId="7F77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41" w:type="dxa"/>
            <w:vAlign w:val="center"/>
          </w:tcPr>
          <w:p w14:paraId="73D9D47B">
            <w:pPr>
              <w:widowControl w:val="0"/>
              <w:autoSpaceDE w:val="0"/>
              <w:autoSpaceDN w:val="0"/>
              <w:adjustRightInd w:val="0"/>
              <w:spacing w:line="276" w:lineRule="auto"/>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条款号</w:t>
            </w:r>
          </w:p>
        </w:tc>
        <w:tc>
          <w:tcPr>
            <w:tcW w:w="1185" w:type="dxa"/>
            <w:vAlign w:val="center"/>
          </w:tcPr>
          <w:p w14:paraId="37A3EF95">
            <w:pPr>
              <w:widowControl w:val="0"/>
              <w:snapToGrid w:val="0"/>
              <w:spacing w:line="276" w:lineRule="auto"/>
              <w:ind w:hanging="13"/>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评分因素</w:t>
            </w:r>
          </w:p>
        </w:tc>
        <w:tc>
          <w:tcPr>
            <w:tcW w:w="8004" w:type="dxa"/>
            <w:gridSpan w:val="2"/>
            <w:vAlign w:val="center"/>
          </w:tcPr>
          <w:p w14:paraId="66CA587E">
            <w:pPr>
              <w:widowControl w:val="0"/>
              <w:snapToGrid w:val="0"/>
              <w:spacing w:line="276"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评分标准</w:t>
            </w:r>
          </w:p>
        </w:tc>
      </w:tr>
      <w:tr w14:paraId="0261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41" w:type="dxa"/>
            <w:vAlign w:val="center"/>
          </w:tcPr>
          <w:p w14:paraId="6B3EED02">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2.2.2.1</w:t>
            </w:r>
          </w:p>
        </w:tc>
        <w:tc>
          <w:tcPr>
            <w:tcW w:w="1185" w:type="dxa"/>
            <w:vAlign w:val="center"/>
          </w:tcPr>
          <w:p w14:paraId="26FEA77A">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价格</w:t>
            </w:r>
          </w:p>
        </w:tc>
        <w:tc>
          <w:tcPr>
            <w:tcW w:w="8004" w:type="dxa"/>
            <w:gridSpan w:val="2"/>
            <w:vAlign w:val="center"/>
          </w:tcPr>
          <w:p w14:paraId="3DEFBAA1">
            <w:pPr>
              <w:widowControl w:val="0"/>
              <w:snapToGrid w:val="0"/>
              <w:spacing w:line="276" w:lineRule="auto"/>
              <w:ind w:firstLine="555"/>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价格因素评分</w:t>
            </w:r>
          </w:p>
          <w:p w14:paraId="19E0906F">
            <w:pPr>
              <w:widowControl w:val="0"/>
              <w:snapToGrid w:val="0"/>
              <w:spacing w:line="276" w:lineRule="auto"/>
              <w:ind w:firstLine="555"/>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所有有效供应商的磋商报价中，价格最低的磋商报价为磋商基准价。</w:t>
            </w:r>
          </w:p>
          <w:p w14:paraId="7745E869">
            <w:pPr>
              <w:widowControl w:val="0"/>
              <w:snapToGrid w:val="0"/>
              <w:spacing w:line="276" w:lineRule="auto"/>
              <w:ind w:firstLine="555"/>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有效磋商报价等于磋商基准价的得30分。</w:t>
            </w:r>
          </w:p>
          <w:p w14:paraId="640904B4">
            <w:pPr>
              <w:widowControl w:val="0"/>
              <w:snapToGrid w:val="0"/>
              <w:spacing w:line="276" w:lineRule="auto"/>
              <w:ind w:firstLine="555"/>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其他供应商磋商报价得分=（磋商基准价/最后磋商报价）×0.3×100。</w:t>
            </w:r>
          </w:p>
        </w:tc>
      </w:tr>
      <w:tr w14:paraId="0671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841" w:type="dxa"/>
            <w:vMerge w:val="restart"/>
            <w:vAlign w:val="center"/>
          </w:tcPr>
          <w:p w14:paraId="71D8ABF7">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2.2.2.2</w:t>
            </w:r>
          </w:p>
        </w:tc>
        <w:tc>
          <w:tcPr>
            <w:tcW w:w="1185" w:type="dxa"/>
            <w:vMerge w:val="restart"/>
            <w:vAlign w:val="center"/>
          </w:tcPr>
          <w:p w14:paraId="5880C85B">
            <w:pPr>
              <w:widowControl w:val="0"/>
              <w:autoSpaceDE w:val="0"/>
              <w:autoSpaceDN w:val="0"/>
              <w:adjustRightInd w:val="0"/>
              <w:snapToGrid w:val="0"/>
              <w:spacing w:line="276" w:lineRule="auto"/>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技术</w:t>
            </w:r>
          </w:p>
        </w:tc>
        <w:tc>
          <w:tcPr>
            <w:tcW w:w="1560" w:type="dxa"/>
            <w:vAlign w:val="center"/>
          </w:tcPr>
          <w:p w14:paraId="6E069662">
            <w:pPr>
              <w:pStyle w:val="74"/>
              <w:spacing w:line="276" w:lineRule="auto"/>
              <w:jc w:val="center"/>
              <w:rPr>
                <w:rFonts w:cs="宋体"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设计综合说明书</w:t>
            </w:r>
            <w:r>
              <w:rPr>
                <w:rFonts w:hint="eastAsia" w:asciiTheme="minorEastAsia" w:hAnsiTheme="minorEastAsia" w:eastAsiaTheme="minorEastAsia"/>
                <w:color w:val="auto"/>
                <w:spacing w:val="-5"/>
                <w:sz w:val="24"/>
                <w:szCs w:val="24"/>
              </w:rPr>
              <w:t>（4</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pacing w:val="-10"/>
                <w:sz w:val="24"/>
                <w:szCs w:val="24"/>
              </w:rPr>
              <w:t>）</w:t>
            </w:r>
          </w:p>
        </w:tc>
        <w:tc>
          <w:tcPr>
            <w:tcW w:w="6444" w:type="dxa"/>
          </w:tcPr>
          <w:p w14:paraId="78F313A8">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sz w:val="24"/>
                <w:szCs w:val="24"/>
              </w:rPr>
              <w:t>对项目所在区域交通网络中的地位、作用认识充分。了解本项目的工程环境、建设条件及规划建设意图。</w:t>
            </w:r>
            <w:r>
              <w:rPr>
                <w:rFonts w:hint="eastAsia" w:asciiTheme="minorEastAsia" w:hAnsiTheme="minorEastAsia" w:eastAsiaTheme="minorEastAsia"/>
                <w:color w:val="auto"/>
                <w:kern w:val="0"/>
                <w:sz w:val="24"/>
                <w:szCs w:val="24"/>
              </w:rPr>
              <w:t>设计综合说明书能依据项目实际情况及自身经验向采购人提出的合理化建议。</w:t>
            </w:r>
          </w:p>
          <w:p w14:paraId="16C1EDB1">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a. 综合说明书的建议全面性、合理性、可行性、方案实施要点、设计理念明确</w:t>
            </w:r>
            <w:bookmarkStart w:id="28" w:name="OLE_LINK20"/>
            <w:bookmarkStart w:id="29" w:name="OLE_LINK15"/>
            <w:r>
              <w:rPr>
                <w:rFonts w:hint="eastAsia" w:asciiTheme="minorEastAsia" w:hAnsiTheme="minorEastAsia" w:eastAsiaTheme="minorEastAsia"/>
                <w:color w:val="auto"/>
                <w:kern w:val="0"/>
                <w:sz w:val="24"/>
                <w:szCs w:val="24"/>
              </w:rPr>
              <w:t>得4分；</w:t>
            </w:r>
          </w:p>
          <w:p w14:paraId="6330359A">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b.符合磋商文件要求得2分；</w:t>
            </w:r>
          </w:p>
          <w:p w14:paraId="01C1CBE0">
            <w:pPr>
              <w:pStyle w:val="74"/>
              <w:spacing w:line="276" w:lineRule="auto"/>
              <w:rPr>
                <w:rFonts w:cs="宋体"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c.未提供的得0分。</w:t>
            </w:r>
            <w:bookmarkEnd w:id="28"/>
            <w:bookmarkEnd w:id="29"/>
          </w:p>
        </w:tc>
      </w:tr>
      <w:tr w14:paraId="7309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841" w:type="dxa"/>
            <w:vMerge w:val="continue"/>
            <w:vAlign w:val="center"/>
          </w:tcPr>
          <w:p w14:paraId="06A52B3E">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p>
        </w:tc>
        <w:tc>
          <w:tcPr>
            <w:tcW w:w="1185" w:type="dxa"/>
            <w:vMerge w:val="continue"/>
            <w:vAlign w:val="center"/>
          </w:tcPr>
          <w:p w14:paraId="3DA3593B">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p>
        </w:tc>
        <w:tc>
          <w:tcPr>
            <w:tcW w:w="1560" w:type="dxa"/>
            <w:vAlign w:val="center"/>
          </w:tcPr>
          <w:p w14:paraId="43D6E4AE">
            <w:pPr>
              <w:pStyle w:val="74"/>
              <w:spacing w:line="276" w:lineRule="auto"/>
              <w:jc w:val="center"/>
              <w:rPr>
                <w:rFonts w:cs="宋体" w:asciiTheme="minorEastAsia" w:hAnsiTheme="minorEastAsia" w:eastAsiaTheme="minorEastAsia"/>
                <w:color w:val="auto"/>
                <w:spacing w:val="7"/>
                <w:kern w:val="0"/>
                <w:sz w:val="24"/>
                <w:szCs w:val="24"/>
              </w:rPr>
            </w:pPr>
            <w:r>
              <w:rPr>
                <w:rFonts w:hint="eastAsia" w:asciiTheme="minorEastAsia" w:hAnsiTheme="minorEastAsia" w:eastAsiaTheme="minorEastAsia"/>
                <w:color w:val="auto"/>
                <w:kern w:val="0"/>
                <w:sz w:val="24"/>
                <w:szCs w:val="24"/>
              </w:rPr>
              <w:t>对本工程调研情况及设计展望</w:t>
            </w:r>
            <w:r>
              <w:rPr>
                <w:rFonts w:hint="eastAsia" w:asciiTheme="minorEastAsia" w:hAnsiTheme="minorEastAsia" w:eastAsiaTheme="minorEastAsia"/>
                <w:color w:val="auto"/>
                <w:spacing w:val="-2"/>
                <w:sz w:val="24"/>
                <w:szCs w:val="24"/>
              </w:rPr>
              <w:t>（4</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pacing w:val="-10"/>
                <w:sz w:val="24"/>
                <w:szCs w:val="24"/>
              </w:rPr>
              <w:t>）</w:t>
            </w:r>
          </w:p>
        </w:tc>
        <w:tc>
          <w:tcPr>
            <w:tcW w:w="6444" w:type="dxa"/>
          </w:tcPr>
          <w:p w14:paraId="0134DEEE">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工程调研情况充分考虑近期发展和远期发展，新增规划和原有规划充分结合，资源有效共享，避免重复建设，合理的，在保证质量的前提下，合理降低工程造价的措施，工程具有前瞻性。</w:t>
            </w:r>
          </w:p>
          <w:p w14:paraId="6C2D8CBE">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a.调研情况科学、全面、合理得4分；</w:t>
            </w:r>
          </w:p>
          <w:p w14:paraId="4D17B92A">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b.符合磋商文件要求得2分；</w:t>
            </w:r>
          </w:p>
          <w:p w14:paraId="6BF45260">
            <w:pPr>
              <w:pStyle w:val="74"/>
              <w:spacing w:line="276" w:lineRule="auto"/>
              <w:rPr>
                <w:rFonts w:cs="宋体" w:asciiTheme="minorEastAsia" w:hAnsiTheme="minorEastAsia" w:eastAsiaTheme="minorEastAsia"/>
                <w:color w:val="auto"/>
                <w:spacing w:val="7"/>
                <w:kern w:val="0"/>
                <w:sz w:val="24"/>
                <w:szCs w:val="24"/>
              </w:rPr>
            </w:pPr>
            <w:r>
              <w:rPr>
                <w:rFonts w:hint="eastAsia" w:asciiTheme="minorEastAsia" w:hAnsiTheme="minorEastAsia" w:eastAsiaTheme="minorEastAsia"/>
                <w:color w:val="auto"/>
                <w:kern w:val="0"/>
                <w:sz w:val="24"/>
                <w:szCs w:val="24"/>
              </w:rPr>
              <w:t>c.未提供的得0分。</w:t>
            </w:r>
          </w:p>
        </w:tc>
      </w:tr>
      <w:tr w14:paraId="2B41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41" w:type="dxa"/>
            <w:vMerge w:val="continue"/>
            <w:vAlign w:val="center"/>
          </w:tcPr>
          <w:p w14:paraId="23C987B3">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p>
        </w:tc>
        <w:tc>
          <w:tcPr>
            <w:tcW w:w="1185" w:type="dxa"/>
            <w:vMerge w:val="continue"/>
            <w:vAlign w:val="center"/>
          </w:tcPr>
          <w:p w14:paraId="7C93FF15">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p>
        </w:tc>
        <w:tc>
          <w:tcPr>
            <w:tcW w:w="1560" w:type="dxa"/>
            <w:vAlign w:val="center"/>
          </w:tcPr>
          <w:p w14:paraId="259BA0DC">
            <w:pPr>
              <w:spacing w:line="276"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基础分析</w:t>
            </w:r>
          </w:p>
          <w:p w14:paraId="6FA9023B">
            <w:pPr>
              <w:spacing w:line="276"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3分）</w:t>
            </w:r>
          </w:p>
        </w:tc>
        <w:tc>
          <w:tcPr>
            <w:tcW w:w="6444" w:type="dxa"/>
          </w:tcPr>
          <w:p w14:paraId="05E97002">
            <w:pPr>
              <w:spacing w:line="276"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针对供应商的基础分析内容的完整性、准确性、合理性进行打分，包括项目所在地降雨情况分析，项目上位目标分析，项目场地竖向分析等内容。</w:t>
            </w:r>
          </w:p>
          <w:p w14:paraId="0E08E7AF">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a.基础分析完整、准确、合理得3分；</w:t>
            </w:r>
          </w:p>
          <w:p w14:paraId="35CD6458">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b.符合磋商文件要求得1分；</w:t>
            </w:r>
          </w:p>
          <w:p w14:paraId="77C14DE6">
            <w:pPr>
              <w:spacing w:line="276" w:lineRule="auto"/>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c.未提供的得0分。</w:t>
            </w:r>
          </w:p>
        </w:tc>
      </w:tr>
      <w:tr w14:paraId="48D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41" w:type="dxa"/>
            <w:vMerge w:val="continue"/>
            <w:vAlign w:val="center"/>
          </w:tcPr>
          <w:p w14:paraId="6755453B">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p>
        </w:tc>
        <w:tc>
          <w:tcPr>
            <w:tcW w:w="1185" w:type="dxa"/>
            <w:vMerge w:val="continue"/>
            <w:vAlign w:val="center"/>
          </w:tcPr>
          <w:p w14:paraId="7FFC58D3">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p>
        </w:tc>
        <w:tc>
          <w:tcPr>
            <w:tcW w:w="1560" w:type="dxa"/>
            <w:vAlign w:val="center"/>
          </w:tcPr>
          <w:p w14:paraId="6E346EAD">
            <w:pPr>
              <w:spacing w:before="122" w:line="276" w:lineRule="auto"/>
              <w:ind w:left="111" w:right="151" w:hanging="1"/>
              <w:jc w:val="center"/>
              <w:rPr>
                <w:rFonts w:cs="宋体" w:asciiTheme="minorEastAsia" w:hAnsiTheme="minorEastAsia" w:eastAsiaTheme="minorEastAsia"/>
                <w:color w:val="auto"/>
                <w:sz w:val="24"/>
                <w:szCs w:val="24"/>
              </w:rPr>
            </w:pPr>
            <w:r>
              <w:rPr>
                <w:rFonts w:hint="eastAsia" w:asciiTheme="minorEastAsia" w:hAnsiTheme="minorEastAsia" w:eastAsiaTheme="minorEastAsia"/>
                <w:color w:val="auto"/>
                <w:spacing w:val="-4"/>
                <w:sz w:val="24"/>
                <w:szCs w:val="24"/>
              </w:rPr>
              <w:t>项目实施中设计进度保证措</w:t>
            </w:r>
            <w:r>
              <w:rPr>
                <w:rFonts w:hint="eastAsia" w:asciiTheme="minorEastAsia" w:hAnsiTheme="minorEastAsia" w:eastAsiaTheme="minorEastAsia"/>
                <w:color w:val="auto"/>
                <w:spacing w:val="-2"/>
                <w:sz w:val="24"/>
                <w:szCs w:val="24"/>
              </w:rPr>
              <w:t>施（2</w:t>
            </w:r>
            <w:r>
              <w:rPr>
                <w:rFonts w:hint="eastAsia" w:asciiTheme="minorEastAsia" w:hAnsiTheme="minorEastAsia" w:eastAsiaTheme="minorEastAsia"/>
                <w:color w:val="auto"/>
                <w:spacing w:val="-31"/>
                <w:sz w:val="24"/>
                <w:szCs w:val="24"/>
              </w:rPr>
              <w:t>分</w:t>
            </w:r>
            <w:r>
              <w:rPr>
                <w:rFonts w:asciiTheme="minorEastAsia" w:hAnsiTheme="minorEastAsia" w:eastAsiaTheme="minorEastAsia"/>
                <w:color w:val="auto"/>
                <w:spacing w:val="-31"/>
                <w:sz w:val="24"/>
                <w:szCs w:val="24"/>
              </w:rPr>
              <w:t>）</w:t>
            </w:r>
          </w:p>
        </w:tc>
        <w:tc>
          <w:tcPr>
            <w:tcW w:w="6444" w:type="dxa"/>
          </w:tcPr>
          <w:p w14:paraId="73128912">
            <w:pPr>
              <w:pStyle w:val="74"/>
              <w:spacing w:line="276" w:lineRule="auto"/>
              <w:rPr>
                <w:rFonts w:cs="宋体" w:asciiTheme="minorEastAsia" w:hAnsiTheme="minorEastAsia" w:eastAsiaTheme="minorEastAsia"/>
                <w:color w:val="auto"/>
                <w:sz w:val="24"/>
                <w:szCs w:val="24"/>
              </w:rPr>
            </w:pPr>
            <w:bookmarkStart w:id="30" w:name="OLE_LINK26"/>
            <w:bookmarkStart w:id="31" w:name="OLE_LINK25"/>
            <w:r>
              <w:rPr>
                <w:rFonts w:hint="eastAsia" w:cs="宋体" w:asciiTheme="minorEastAsia" w:hAnsiTheme="minorEastAsia" w:eastAsiaTheme="minorEastAsia"/>
                <w:color w:val="auto"/>
                <w:sz w:val="24"/>
                <w:szCs w:val="24"/>
              </w:rPr>
              <w:t>设计进度保证措施合理且有针对性和可操作性。</w:t>
            </w:r>
          </w:p>
          <w:p w14:paraId="2F14B586">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a.保证措施合理、针对性强、</w:t>
            </w:r>
            <w:r>
              <w:rPr>
                <w:rFonts w:hint="eastAsia" w:cs="宋体" w:asciiTheme="minorEastAsia" w:hAnsiTheme="minorEastAsia" w:eastAsiaTheme="minorEastAsia"/>
                <w:color w:val="auto"/>
                <w:sz w:val="24"/>
                <w:szCs w:val="24"/>
              </w:rPr>
              <w:t>可操作强</w:t>
            </w:r>
            <w:r>
              <w:rPr>
                <w:rFonts w:hint="eastAsia" w:asciiTheme="minorEastAsia" w:hAnsiTheme="minorEastAsia" w:eastAsiaTheme="minorEastAsia"/>
                <w:color w:val="auto"/>
                <w:kern w:val="0"/>
                <w:sz w:val="24"/>
                <w:szCs w:val="24"/>
              </w:rPr>
              <w:t>得2分；</w:t>
            </w:r>
          </w:p>
          <w:p w14:paraId="688C7058">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b.符合磋商文件要求得1分；</w:t>
            </w:r>
          </w:p>
          <w:p w14:paraId="79766E57">
            <w:pPr>
              <w:spacing w:line="276" w:lineRule="auto"/>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c.未提供的得0分。</w:t>
            </w:r>
            <w:bookmarkEnd w:id="30"/>
            <w:bookmarkEnd w:id="31"/>
          </w:p>
        </w:tc>
      </w:tr>
      <w:tr w14:paraId="1182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1" w:type="dxa"/>
            <w:vMerge w:val="continue"/>
            <w:vAlign w:val="center"/>
          </w:tcPr>
          <w:p w14:paraId="3C615621">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p>
        </w:tc>
        <w:tc>
          <w:tcPr>
            <w:tcW w:w="1185" w:type="dxa"/>
            <w:vMerge w:val="continue"/>
            <w:vAlign w:val="center"/>
          </w:tcPr>
          <w:p w14:paraId="69D8C0C3">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p>
        </w:tc>
        <w:tc>
          <w:tcPr>
            <w:tcW w:w="1560" w:type="dxa"/>
            <w:vAlign w:val="center"/>
          </w:tcPr>
          <w:p w14:paraId="6C5AA76D">
            <w:pPr>
              <w:spacing w:before="122" w:line="276" w:lineRule="auto"/>
              <w:ind w:left="111" w:right="151" w:hanging="1"/>
              <w:jc w:val="center"/>
              <w:rPr>
                <w:rFonts w:cs="宋体" w:asciiTheme="minorEastAsia" w:hAnsiTheme="minorEastAsia" w:eastAsiaTheme="minorEastAsia"/>
                <w:color w:val="auto"/>
                <w:sz w:val="24"/>
                <w:szCs w:val="24"/>
              </w:rPr>
            </w:pPr>
            <w:r>
              <w:rPr>
                <w:rFonts w:hint="eastAsia" w:asciiTheme="minorEastAsia" w:hAnsiTheme="minorEastAsia" w:eastAsiaTheme="minorEastAsia"/>
                <w:color w:val="auto"/>
                <w:spacing w:val="-4"/>
                <w:sz w:val="24"/>
                <w:szCs w:val="24"/>
              </w:rPr>
              <w:t>项目建设的合理化</w:t>
            </w:r>
            <w:r>
              <w:rPr>
                <w:rFonts w:hint="eastAsia" w:asciiTheme="minorEastAsia" w:hAnsiTheme="minorEastAsia" w:eastAsiaTheme="minorEastAsia"/>
                <w:color w:val="auto"/>
                <w:spacing w:val="-2"/>
                <w:sz w:val="24"/>
                <w:szCs w:val="24"/>
              </w:rPr>
              <w:t>建议（2</w:t>
            </w:r>
            <w:r>
              <w:rPr>
                <w:rFonts w:hint="eastAsia" w:asciiTheme="minorEastAsia" w:hAnsiTheme="minorEastAsia" w:eastAsiaTheme="minorEastAsia"/>
                <w:color w:val="auto"/>
                <w:spacing w:val="-6"/>
                <w:sz w:val="24"/>
                <w:szCs w:val="24"/>
              </w:rPr>
              <w:t>分）</w:t>
            </w:r>
          </w:p>
        </w:tc>
        <w:tc>
          <w:tcPr>
            <w:tcW w:w="6444" w:type="dxa"/>
          </w:tcPr>
          <w:p w14:paraId="2ECCB3EB">
            <w:pPr>
              <w:spacing w:line="276" w:lineRule="auto"/>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a.具有合理化建议</w:t>
            </w:r>
            <w:r>
              <w:rPr>
                <w:rFonts w:hint="eastAsia" w:cs="宋体" w:asciiTheme="minorEastAsia" w:hAnsiTheme="minorEastAsia" w:eastAsiaTheme="minorEastAsia"/>
                <w:color w:val="auto"/>
                <w:sz w:val="24"/>
                <w:szCs w:val="24"/>
              </w:rPr>
              <w:t>且有针对性和可操作性得2分；</w:t>
            </w:r>
          </w:p>
          <w:p w14:paraId="6B25F253">
            <w:pPr>
              <w:pStyle w:val="74"/>
              <w:spacing w:line="276" w:lineRule="auto"/>
              <w:rPr>
                <w:rFonts w:asciiTheme="minorEastAsia" w:hAnsiTheme="minorEastAsia" w:eastAsiaTheme="minorEastAsia"/>
                <w:color w:val="auto"/>
                <w:kern w:val="0"/>
                <w:sz w:val="24"/>
                <w:szCs w:val="24"/>
              </w:rPr>
            </w:pPr>
            <w:r>
              <w:rPr>
                <w:rFonts w:hint="eastAsia" w:asciiTheme="minorEastAsia" w:hAnsiTheme="minorEastAsia" w:eastAsiaTheme="minorEastAsia"/>
                <w:color w:val="auto"/>
                <w:kern w:val="0"/>
                <w:sz w:val="24"/>
                <w:szCs w:val="24"/>
              </w:rPr>
              <w:t>b.符合磋商文件要求得1分；</w:t>
            </w:r>
          </w:p>
          <w:p w14:paraId="74968BDC">
            <w:pPr>
              <w:spacing w:line="276" w:lineRule="auto"/>
              <w:rPr>
                <w:rFonts w:cs="宋体"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c.未提供的得0分。</w:t>
            </w:r>
          </w:p>
        </w:tc>
      </w:tr>
      <w:tr w14:paraId="6E71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841" w:type="dxa"/>
            <w:vMerge w:val="restart"/>
            <w:vAlign w:val="center"/>
          </w:tcPr>
          <w:p w14:paraId="45F12D8C">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2.2.2.3</w:t>
            </w:r>
          </w:p>
        </w:tc>
        <w:tc>
          <w:tcPr>
            <w:tcW w:w="1185" w:type="dxa"/>
            <w:vMerge w:val="restart"/>
            <w:vAlign w:val="center"/>
          </w:tcPr>
          <w:p w14:paraId="14C4C0B5">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履约能力</w:t>
            </w:r>
          </w:p>
        </w:tc>
        <w:tc>
          <w:tcPr>
            <w:tcW w:w="1560" w:type="dxa"/>
            <w:vAlign w:val="center"/>
          </w:tcPr>
          <w:p w14:paraId="14EC23F9">
            <w:pPr>
              <w:widowControl w:val="0"/>
              <w:snapToGrid w:val="0"/>
              <w:spacing w:line="276"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拟投入团队（32分）</w:t>
            </w:r>
          </w:p>
        </w:tc>
        <w:tc>
          <w:tcPr>
            <w:tcW w:w="6444" w:type="dxa"/>
          </w:tcPr>
          <w:p w14:paraId="544FD9E3">
            <w:pPr>
              <w:autoSpaceDE w:val="0"/>
              <w:autoSpaceDN w:val="0"/>
              <w:adjustRightInd w:val="0"/>
              <w:spacing w:line="276" w:lineRule="auto"/>
              <w:rPr>
                <w:rFonts w:asciiTheme="minorEastAsia" w:hAnsiTheme="minorEastAsia" w:eastAsiaTheme="minorEastAsia"/>
                <w:color w:val="auto"/>
                <w:sz w:val="24"/>
                <w:szCs w:val="24"/>
              </w:rPr>
            </w:pPr>
            <w:bookmarkStart w:id="32" w:name="OLE_LINK57"/>
            <w:bookmarkStart w:id="33" w:name="OLE_LINK58"/>
            <w:r>
              <w:rPr>
                <w:rFonts w:hint="eastAsia" w:asciiTheme="minorEastAsia" w:hAnsiTheme="minorEastAsia" w:eastAsiaTheme="minorEastAsia"/>
                <w:color w:val="auto"/>
                <w:sz w:val="24"/>
                <w:szCs w:val="24"/>
              </w:rPr>
              <w:t>1.项目负责人具有公用设备高级及以上职称证书得2分，具有国家注册公用设备工程师（给水排水）证书得2分；具有国家注册环保工程师证书得2分；此项最高得6分。响应文件中附相关证书复印件并</w:t>
            </w:r>
            <w:bookmarkStart w:id="34" w:name="OLE_LINK9"/>
            <w:bookmarkStart w:id="35" w:name="OLE_LINK8"/>
            <w:bookmarkStart w:id="36" w:name="OLE_LINK7"/>
            <w:r>
              <w:rPr>
                <w:rFonts w:hint="eastAsia" w:asciiTheme="minorEastAsia" w:hAnsiTheme="minorEastAsia" w:eastAsiaTheme="minorEastAsia"/>
                <w:color w:val="auto"/>
                <w:sz w:val="24"/>
                <w:szCs w:val="24"/>
              </w:rPr>
              <w:t>提供社保证明</w:t>
            </w:r>
            <w:bookmarkEnd w:id="34"/>
            <w:r>
              <w:rPr>
                <w:rFonts w:hint="eastAsia" w:asciiTheme="minorEastAsia" w:hAnsiTheme="minorEastAsia" w:eastAsiaTheme="minorEastAsia"/>
                <w:color w:val="auto"/>
                <w:sz w:val="24"/>
                <w:szCs w:val="24"/>
              </w:rPr>
              <w:t>。</w:t>
            </w:r>
          </w:p>
          <w:bookmarkEnd w:id="35"/>
          <w:bookmarkEnd w:id="36"/>
          <w:p w14:paraId="069BF0B2">
            <w:pPr>
              <w:autoSpaceDE w:val="0"/>
              <w:autoSpaceDN w:val="0"/>
              <w:adjustRightInd w:val="0"/>
              <w:spacing w:line="276"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w:t>
            </w:r>
            <w:r>
              <w:rPr>
                <w:rFonts w:hint="eastAsia" w:cs="宋体" w:asciiTheme="minorEastAsia" w:hAnsiTheme="minorEastAsia" w:eastAsiaTheme="minorEastAsia"/>
                <w:color w:val="auto"/>
                <w:sz w:val="24"/>
                <w:szCs w:val="24"/>
              </w:rPr>
              <w:t>项目组成员（项目负责人除外），各专业负责人满足以下要求:</w:t>
            </w:r>
          </w:p>
          <w:p w14:paraId="5C53CB40">
            <w:pPr>
              <w:autoSpaceDE w:val="0"/>
              <w:autoSpaceDN w:val="0"/>
              <w:adjustRightInd w:val="0"/>
              <w:spacing w:line="276"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①给水排水专业负责人（1人）：具有建设设计高级及以上职称证书得2分；</w:t>
            </w:r>
            <w:bookmarkStart w:id="37" w:name="OLE_LINK4"/>
            <w:bookmarkStart w:id="38" w:name="OLE_LINK3"/>
            <w:r>
              <w:rPr>
                <w:rFonts w:hint="eastAsia" w:asciiTheme="minorEastAsia" w:hAnsiTheme="minorEastAsia" w:eastAsiaTheme="minorEastAsia"/>
                <w:color w:val="auto"/>
                <w:sz w:val="24"/>
                <w:szCs w:val="24"/>
              </w:rPr>
              <w:t>具有国家注册公用设备工程师（给水排水）证书得2分</w:t>
            </w:r>
            <w:bookmarkEnd w:id="37"/>
            <w:bookmarkEnd w:id="38"/>
            <w:r>
              <w:rPr>
                <w:rFonts w:hint="eastAsia" w:asciiTheme="minorEastAsia" w:hAnsiTheme="minorEastAsia" w:eastAsiaTheme="minorEastAsia"/>
                <w:color w:val="auto"/>
                <w:sz w:val="24"/>
                <w:szCs w:val="24"/>
              </w:rPr>
              <w:t>；此项最高得4分。响应文件中附相关证书复印件并提供社保证明。</w:t>
            </w:r>
          </w:p>
          <w:p w14:paraId="2BD9DA61">
            <w:pPr>
              <w:autoSpaceDE w:val="0"/>
              <w:autoSpaceDN w:val="0"/>
              <w:adjustRightInd w:val="0"/>
              <w:spacing w:line="276"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②工艺专业负责人（1人）：</w:t>
            </w:r>
            <w:bookmarkStart w:id="39" w:name="OLE_LINK5"/>
            <w:bookmarkStart w:id="40" w:name="OLE_LINK6"/>
            <w:r>
              <w:rPr>
                <w:rFonts w:hint="eastAsia" w:asciiTheme="minorEastAsia" w:hAnsiTheme="minorEastAsia" w:eastAsiaTheme="minorEastAsia"/>
                <w:color w:val="auto"/>
                <w:sz w:val="24"/>
                <w:szCs w:val="24"/>
              </w:rPr>
              <w:t>具有建设设计高级及以上职称证书得2分；具有国家注册公用设备工程师（给水排水）证书得2分；具有国家注册环保工程师证书得2分；此项最高得6分。响应文件中附相关证书复印件并提供社保证明。</w:t>
            </w:r>
          </w:p>
          <w:bookmarkEnd w:id="39"/>
          <w:bookmarkEnd w:id="40"/>
          <w:p w14:paraId="2A036531">
            <w:pPr>
              <w:autoSpaceDE w:val="0"/>
              <w:autoSpaceDN w:val="0"/>
              <w:adjustRightInd w:val="0"/>
              <w:spacing w:line="276"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③结构专业负责人（1人）：</w:t>
            </w:r>
            <w:bookmarkStart w:id="41" w:name="OLE_LINK2"/>
            <w:bookmarkStart w:id="42" w:name="OLE_LINK1"/>
            <w:r>
              <w:rPr>
                <w:rFonts w:hint="eastAsia" w:asciiTheme="minorEastAsia" w:hAnsiTheme="minorEastAsia" w:eastAsiaTheme="minorEastAsia"/>
                <w:color w:val="auto"/>
                <w:sz w:val="24"/>
                <w:szCs w:val="24"/>
              </w:rPr>
              <w:t>具有建设设计高级及以上职称证书得2分；具有国家注册一级注册结构工程师证书得2分；此项最高得4分。项目文件中附相关证书复印件并提供社保证明。</w:t>
            </w:r>
          </w:p>
          <w:bookmarkEnd w:id="41"/>
          <w:bookmarkEnd w:id="42"/>
          <w:p w14:paraId="2DE1D803">
            <w:pPr>
              <w:spacing w:line="276" w:lineRule="auto"/>
              <w:ind w:firstLine="420"/>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④电气专业负责人（1人）：具有电气工程高级及以上职称证书得2分；具有国家注册电气工程师（供配电）证书得2分；此项最高得4分。响应文件中附相关证书复印件并提供社保证明。</w:t>
            </w:r>
          </w:p>
          <w:p w14:paraId="26DB9FFC">
            <w:pPr>
              <w:autoSpaceDE w:val="0"/>
              <w:autoSpaceDN w:val="0"/>
              <w:adjustRightInd w:val="0"/>
              <w:spacing w:line="276"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⑤动力专业负责人（1人）：具有建设设计高级及以上职称证书得2分；具有国家注册公用设备工程师（动力）证书得2分；此项最高得4分。响应文件中附相关证书复印件并提供社保证明。</w:t>
            </w:r>
          </w:p>
          <w:p w14:paraId="66B32A22">
            <w:pPr>
              <w:autoSpaceDE w:val="0"/>
              <w:autoSpaceDN w:val="0"/>
              <w:adjustRightInd w:val="0"/>
              <w:spacing w:line="276"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⑥造价专业负责人（1人）：具有工程造价高级及以上职称证书得2分；具有国家注册一级造价工程师证书得2分；此项最高得4分。响应文件中附相关证书复印件并提供社保证明。</w:t>
            </w:r>
            <w:bookmarkEnd w:id="32"/>
            <w:bookmarkEnd w:id="33"/>
          </w:p>
        </w:tc>
      </w:tr>
      <w:tr w14:paraId="45E3C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841" w:type="dxa"/>
            <w:vMerge w:val="continue"/>
            <w:vAlign w:val="center"/>
          </w:tcPr>
          <w:p w14:paraId="47D7D99F">
            <w:pPr>
              <w:widowControl w:val="0"/>
              <w:autoSpaceDE w:val="0"/>
              <w:autoSpaceDN w:val="0"/>
              <w:adjustRightInd w:val="0"/>
              <w:spacing w:line="276" w:lineRule="auto"/>
              <w:jc w:val="center"/>
              <w:textAlignment w:val="auto"/>
              <w:rPr>
                <w:rFonts w:cs="宋体" w:asciiTheme="minorEastAsia" w:hAnsiTheme="minorEastAsia" w:eastAsiaTheme="minorEastAsia"/>
                <w:color w:val="auto"/>
                <w:sz w:val="24"/>
                <w:szCs w:val="24"/>
              </w:rPr>
            </w:pPr>
          </w:p>
        </w:tc>
        <w:tc>
          <w:tcPr>
            <w:tcW w:w="1185" w:type="dxa"/>
            <w:vMerge w:val="continue"/>
            <w:vAlign w:val="center"/>
          </w:tcPr>
          <w:p w14:paraId="14D8693A">
            <w:pPr>
              <w:widowControl w:val="0"/>
              <w:autoSpaceDE w:val="0"/>
              <w:autoSpaceDN w:val="0"/>
              <w:adjustRightInd w:val="0"/>
              <w:snapToGrid w:val="0"/>
              <w:spacing w:line="276" w:lineRule="auto"/>
              <w:jc w:val="center"/>
              <w:textAlignment w:val="auto"/>
              <w:rPr>
                <w:rFonts w:cs="宋体" w:asciiTheme="minorEastAsia" w:hAnsiTheme="minorEastAsia" w:eastAsiaTheme="minorEastAsia"/>
                <w:color w:val="auto"/>
                <w:sz w:val="24"/>
                <w:szCs w:val="24"/>
              </w:rPr>
            </w:pPr>
          </w:p>
        </w:tc>
        <w:tc>
          <w:tcPr>
            <w:tcW w:w="1560" w:type="dxa"/>
            <w:vAlign w:val="center"/>
          </w:tcPr>
          <w:p w14:paraId="34CCBC6A">
            <w:pPr>
              <w:widowControl w:val="0"/>
              <w:snapToGrid w:val="0"/>
              <w:spacing w:line="276" w:lineRule="auto"/>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信誉（23分）</w:t>
            </w:r>
          </w:p>
        </w:tc>
        <w:tc>
          <w:tcPr>
            <w:tcW w:w="6444" w:type="dxa"/>
          </w:tcPr>
          <w:p w14:paraId="352BE7EB">
            <w:pPr>
              <w:spacing w:line="276"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olor w:val="auto"/>
                <w:sz w:val="24"/>
                <w:szCs w:val="24"/>
              </w:rPr>
              <w:t>1、</w:t>
            </w:r>
            <w:r>
              <w:rPr>
                <w:rFonts w:hint="eastAsia" w:asciiTheme="minorEastAsia" w:hAnsiTheme="minorEastAsia" w:eastAsiaTheme="minorEastAsia" w:cstheme="minorEastAsia"/>
                <w:color w:val="auto"/>
                <w:sz w:val="24"/>
                <w:szCs w:val="24"/>
              </w:rPr>
              <w:t>2023年1月1日以来，供应商获得省级建设工程招标投标行业诚实守信单位的得4分，获得市级建设工程招标投标行业诚实守信单位的得2分，最高得4分，响应文件中附红头文件及获奖证书扫描件。（以证书发证时间为准）。</w:t>
            </w:r>
          </w:p>
          <w:p w14:paraId="2AD42910">
            <w:pPr>
              <w:spacing w:line="276" w:lineRule="auto"/>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4"/>
                <w:szCs w:val="24"/>
              </w:rPr>
              <w:t>2.2023 年1 月1 日以来投标人被授予省级及其以上市政设计行业技术创新先进单位得 4 分，最多得 4 分。响应文件中附红头文件及获奖证书扫描件。（以证书发证时间为准）</w:t>
            </w:r>
          </w:p>
          <w:p w14:paraId="5FBA2ACB">
            <w:pPr>
              <w:widowControl w:val="0"/>
              <w:snapToGrid w:val="0"/>
              <w:spacing w:line="276" w:lineRule="auto"/>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3、2022年1月1日以来，供应商具有</w:t>
            </w:r>
            <w:r>
              <w:rPr>
                <w:rFonts w:hint="eastAsia" w:cs="宋体" w:asciiTheme="minorEastAsia" w:hAnsiTheme="minorEastAsia" w:eastAsiaTheme="minorEastAsia"/>
                <w:b w:val="0"/>
                <w:bCs w:val="0"/>
                <w:color w:val="auto"/>
                <w:sz w:val="24"/>
                <w:szCs w:val="24"/>
              </w:rPr>
              <w:t>市政工程</w:t>
            </w:r>
            <w:r>
              <w:rPr>
                <w:rFonts w:hint="eastAsia" w:cs="宋体" w:asciiTheme="minorEastAsia" w:hAnsiTheme="minorEastAsia" w:eastAsiaTheme="minorEastAsia"/>
                <w:color w:val="auto"/>
                <w:sz w:val="24"/>
                <w:szCs w:val="24"/>
              </w:rPr>
              <w:t>相关类似业绩的，每份业绩得1.5分，最多得15分。响应文件中附中标（成交）通知书或合同协议书（以中标&lt;成交&gt;通知书或签订合同协议书时间为准）</w:t>
            </w:r>
          </w:p>
        </w:tc>
      </w:tr>
    </w:tbl>
    <w:p w14:paraId="77B9734A">
      <w:pPr>
        <w:autoSpaceDE w:val="0"/>
        <w:autoSpaceDN w:val="0"/>
        <w:adjustRightInd w:val="0"/>
        <w:spacing w:line="360" w:lineRule="auto"/>
        <w:ind w:firstLine="419"/>
        <w:jc w:val="left"/>
        <w:rPr>
          <w:rFonts w:ascii="黑体" w:hAnsi="黑体" w:eastAsia="黑体" w:cs="楷体_GB2312"/>
          <w:bCs/>
          <w:color w:val="auto"/>
          <w:sz w:val="28"/>
          <w:szCs w:val="28"/>
          <w:lang w:val="zh-CN"/>
        </w:rPr>
      </w:pPr>
      <w:r>
        <w:rPr>
          <w:rFonts w:hint="eastAsia"/>
          <w:bCs/>
          <w:color w:val="auto"/>
          <w:sz w:val="24"/>
          <w:szCs w:val="24"/>
        </w:rPr>
        <w:t>注：以上涉及证书、合同等相关证明资料、应于响应文件中提供复印件，否则对应项不得分；供应商自行承诺、提供的相关资料等不实的，按提供虚假材料的有关规定给予处罚。</w:t>
      </w:r>
    </w:p>
    <w:p w14:paraId="3BB9722B">
      <w:pPr>
        <w:autoSpaceDE w:val="0"/>
        <w:autoSpaceDN w:val="0"/>
        <w:adjustRightInd w:val="0"/>
        <w:snapToGrid w:val="0"/>
        <w:spacing w:beforeLines="50" w:line="300" w:lineRule="auto"/>
        <w:ind w:firstLine="562" w:firstLineChars="200"/>
        <w:jc w:val="left"/>
        <w:outlineLvl w:val="1"/>
        <w:rPr>
          <w:rFonts w:ascii="黑体" w:hAnsi="黑体" w:eastAsia="黑体" w:cs="楷体_GB2312"/>
          <w:b/>
          <w:bCs/>
          <w:color w:val="auto"/>
          <w:sz w:val="28"/>
          <w:szCs w:val="28"/>
          <w:lang w:val="zh-CN"/>
        </w:rPr>
      </w:pPr>
      <w:bookmarkStart w:id="43" w:name="_Toc437031630"/>
      <w:bookmarkStart w:id="44" w:name="_Toc192581438"/>
      <w:r>
        <w:rPr>
          <w:rFonts w:ascii="黑体" w:hAnsi="黑体" w:eastAsia="黑体" w:cs="楷体_GB2312"/>
          <w:b/>
          <w:bCs/>
          <w:color w:val="auto"/>
          <w:sz w:val="28"/>
          <w:szCs w:val="28"/>
          <w:lang w:val="zh-CN"/>
        </w:rPr>
        <w:t xml:space="preserve">1. </w:t>
      </w:r>
      <w:r>
        <w:rPr>
          <w:rFonts w:hint="eastAsia" w:ascii="黑体" w:hAnsi="黑体" w:eastAsia="黑体" w:cs="楷体_GB2312"/>
          <w:b/>
          <w:bCs/>
          <w:color w:val="auto"/>
          <w:sz w:val="28"/>
          <w:szCs w:val="28"/>
          <w:lang w:val="zh-CN"/>
        </w:rPr>
        <w:t>评审方法（评定成交的标准）</w:t>
      </w:r>
      <w:bookmarkEnd w:id="43"/>
      <w:bookmarkEnd w:id="44"/>
    </w:p>
    <w:p w14:paraId="0F35A2CF">
      <w:pPr>
        <w:autoSpaceDE w:val="0"/>
        <w:autoSpaceDN w:val="0"/>
        <w:adjustRightInd w:val="0"/>
        <w:snapToGrid w:val="0"/>
        <w:spacing w:beforeLines="50" w:line="300" w:lineRule="auto"/>
        <w:ind w:firstLine="619" w:firstLineChars="257"/>
        <w:jc w:val="left"/>
        <w:rPr>
          <w:rFonts w:ascii="黑体" w:hAnsi="黑体" w:eastAsia="黑体" w:cs="楷体_GB2312"/>
          <w:b/>
          <w:bCs/>
          <w:color w:val="auto"/>
          <w:sz w:val="28"/>
          <w:szCs w:val="28"/>
          <w:u w:color="000000"/>
          <w:lang w:val="zh-CN"/>
        </w:rPr>
      </w:pPr>
      <w:r>
        <w:rPr>
          <w:rFonts w:hint="eastAsia"/>
          <w:b/>
          <w:color w:val="auto"/>
          <w:sz w:val="24"/>
          <w:szCs w:val="24"/>
        </w:rPr>
        <w:t>本次政府采购项目（标段&lt;包&gt;）的评审方法采用《政府采购竞争性磋商采购方式管理暂行办法》中的“综合评分法”，由磋商小组采用综合评分法对提交最后报价的供应商的响应文件和最后报价进行综合评分，响应文件满足磋商文件全部实质性要求且按评审因素的量化指标评审得分最高的供应商为该项目（标段&lt;包&gt;）成交候选供应商。</w:t>
      </w:r>
      <w:bookmarkStart w:id="45" w:name="_Toc423723403"/>
    </w:p>
    <w:p w14:paraId="56EE07B3">
      <w:pPr>
        <w:pStyle w:val="53"/>
        <w:snapToGrid w:val="0"/>
        <w:spacing w:beforeLines="50" w:line="300" w:lineRule="auto"/>
        <w:ind w:firstLine="422" w:firstLineChars="150"/>
        <w:jc w:val="both"/>
        <w:outlineLvl w:val="1"/>
        <w:rPr>
          <w:rFonts w:ascii="黑体" w:hAnsi="黑体" w:eastAsia="黑体" w:cs="楷体_GB2312"/>
          <w:b/>
          <w:bCs/>
          <w:color w:val="auto"/>
          <w:sz w:val="28"/>
          <w:szCs w:val="28"/>
          <w:u w:color="000000"/>
          <w:lang w:val="zh-CN"/>
        </w:rPr>
      </w:pPr>
      <w:bookmarkStart w:id="46" w:name="_Toc437031631"/>
      <w:bookmarkStart w:id="47" w:name="_Toc192581439"/>
      <w:r>
        <w:rPr>
          <w:rFonts w:ascii="黑体" w:hAnsi="黑体" w:eastAsia="黑体" w:cs="楷体_GB2312"/>
          <w:b/>
          <w:bCs/>
          <w:color w:val="auto"/>
          <w:sz w:val="28"/>
          <w:szCs w:val="28"/>
          <w:u w:color="000000"/>
          <w:lang w:val="zh-CN"/>
        </w:rPr>
        <w:t xml:space="preserve">2. </w:t>
      </w:r>
      <w:r>
        <w:rPr>
          <w:rFonts w:hint="eastAsia" w:ascii="黑体" w:hAnsi="黑体" w:eastAsia="黑体" w:cs="楷体_GB2312"/>
          <w:b/>
          <w:bCs/>
          <w:color w:val="auto"/>
          <w:sz w:val="28"/>
          <w:szCs w:val="28"/>
          <w:u w:color="000000"/>
          <w:lang w:val="zh-CN"/>
        </w:rPr>
        <w:t>评审标准</w:t>
      </w:r>
      <w:bookmarkEnd w:id="45"/>
      <w:bookmarkEnd w:id="46"/>
      <w:bookmarkEnd w:id="47"/>
    </w:p>
    <w:p w14:paraId="7B556A13">
      <w:pPr>
        <w:autoSpaceDE w:val="0"/>
        <w:autoSpaceDN w:val="0"/>
        <w:adjustRightInd w:val="0"/>
        <w:snapToGrid w:val="0"/>
        <w:spacing w:before="50" w:line="300" w:lineRule="auto"/>
        <w:ind w:firstLine="482" w:firstLineChars="200"/>
        <w:jc w:val="left"/>
        <w:rPr>
          <w:rFonts w:ascii="黑体" w:hAnsi="黑体" w:eastAsia="黑体"/>
          <w:b/>
          <w:color w:val="auto"/>
          <w:sz w:val="24"/>
        </w:rPr>
      </w:pPr>
      <w:r>
        <w:rPr>
          <w:rFonts w:ascii="黑体" w:hAnsi="黑体" w:eastAsia="黑体"/>
          <w:b/>
          <w:color w:val="auto"/>
          <w:sz w:val="24"/>
        </w:rPr>
        <w:t xml:space="preserve">2.1 </w:t>
      </w:r>
      <w:r>
        <w:rPr>
          <w:rFonts w:hint="eastAsia" w:ascii="黑体" w:hAnsi="黑体" w:eastAsia="黑体"/>
          <w:b/>
          <w:color w:val="auto"/>
          <w:sz w:val="24"/>
        </w:rPr>
        <w:t>初步评审标准</w:t>
      </w:r>
    </w:p>
    <w:p w14:paraId="730E9469">
      <w:pPr>
        <w:autoSpaceDE w:val="0"/>
        <w:autoSpaceDN w:val="0"/>
        <w:adjustRightInd w:val="0"/>
        <w:snapToGrid w:val="0"/>
        <w:spacing w:before="50" w:line="300" w:lineRule="auto"/>
        <w:ind w:firstLine="480" w:firstLineChars="200"/>
        <w:jc w:val="left"/>
        <w:rPr>
          <w:rFonts w:ascii="宋体"/>
          <w:color w:val="auto"/>
          <w:sz w:val="24"/>
        </w:rPr>
      </w:pPr>
      <w:r>
        <w:rPr>
          <w:rFonts w:ascii="宋体" w:hAnsi="宋体"/>
          <w:color w:val="auto"/>
          <w:sz w:val="24"/>
        </w:rPr>
        <w:t xml:space="preserve">2.1.1 </w:t>
      </w:r>
      <w:r>
        <w:rPr>
          <w:rFonts w:hint="eastAsia" w:ascii="宋体" w:hAnsi="宋体"/>
          <w:color w:val="auto"/>
          <w:sz w:val="24"/>
        </w:rPr>
        <w:t>资格性审查标准：见评审办法前附表。</w:t>
      </w:r>
    </w:p>
    <w:p w14:paraId="55993F1C">
      <w:pPr>
        <w:autoSpaceDE w:val="0"/>
        <w:autoSpaceDN w:val="0"/>
        <w:adjustRightInd w:val="0"/>
        <w:snapToGrid w:val="0"/>
        <w:spacing w:before="50" w:line="300" w:lineRule="auto"/>
        <w:ind w:firstLine="480" w:firstLineChars="200"/>
        <w:jc w:val="left"/>
        <w:rPr>
          <w:rFonts w:ascii="宋体"/>
          <w:color w:val="auto"/>
          <w:sz w:val="24"/>
        </w:rPr>
      </w:pPr>
      <w:r>
        <w:rPr>
          <w:rFonts w:ascii="宋体" w:hAnsi="宋体"/>
          <w:color w:val="auto"/>
          <w:sz w:val="24"/>
        </w:rPr>
        <w:t xml:space="preserve">2.1.2 </w:t>
      </w:r>
      <w:r>
        <w:rPr>
          <w:rFonts w:hint="eastAsia" w:ascii="宋体" w:hAnsi="宋体"/>
          <w:color w:val="auto"/>
          <w:sz w:val="24"/>
        </w:rPr>
        <w:t>符合性审查标准：见评审办法前附表。</w:t>
      </w:r>
    </w:p>
    <w:p w14:paraId="5387A3D6">
      <w:pPr>
        <w:autoSpaceDE w:val="0"/>
        <w:autoSpaceDN w:val="0"/>
        <w:adjustRightInd w:val="0"/>
        <w:snapToGrid w:val="0"/>
        <w:spacing w:before="50" w:line="300" w:lineRule="auto"/>
        <w:ind w:firstLine="482" w:firstLineChars="200"/>
        <w:jc w:val="left"/>
        <w:rPr>
          <w:rFonts w:ascii="黑体" w:hAnsi="黑体" w:eastAsia="黑体"/>
          <w:b/>
          <w:color w:val="auto"/>
          <w:sz w:val="24"/>
        </w:rPr>
      </w:pPr>
      <w:r>
        <w:rPr>
          <w:rFonts w:ascii="黑体" w:hAnsi="黑体" w:eastAsia="黑体"/>
          <w:b/>
          <w:color w:val="auto"/>
          <w:sz w:val="24"/>
        </w:rPr>
        <w:t xml:space="preserve">2.2 </w:t>
      </w:r>
      <w:r>
        <w:rPr>
          <w:rFonts w:hint="eastAsia" w:ascii="黑体" w:hAnsi="黑体" w:eastAsia="黑体"/>
          <w:b/>
          <w:color w:val="auto"/>
          <w:sz w:val="24"/>
        </w:rPr>
        <w:t>详细评审标准</w:t>
      </w:r>
    </w:p>
    <w:p w14:paraId="43FC7B75">
      <w:pPr>
        <w:autoSpaceDE w:val="0"/>
        <w:autoSpaceDN w:val="0"/>
        <w:adjustRightInd w:val="0"/>
        <w:snapToGrid w:val="0"/>
        <w:spacing w:before="50" w:line="300" w:lineRule="auto"/>
        <w:ind w:firstLine="480" w:firstLineChars="200"/>
        <w:jc w:val="left"/>
        <w:rPr>
          <w:rFonts w:ascii="宋体"/>
          <w:color w:val="auto"/>
          <w:sz w:val="24"/>
        </w:rPr>
      </w:pPr>
      <w:r>
        <w:rPr>
          <w:rFonts w:ascii="宋体" w:hAnsi="宋体"/>
          <w:color w:val="auto"/>
          <w:sz w:val="24"/>
        </w:rPr>
        <w:t xml:space="preserve">2.2.1 </w:t>
      </w:r>
      <w:r>
        <w:rPr>
          <w:rFonts w:hint="eastAsia" w:ascii="宋体" w:hAnsi="宋体"/>
          <w:color w:val="auto"/>
          <w:sz w:val="24"/>
        </w:rPr>
        <w:t>分值构成：见评审办法前附表</w:t>
      </w:r>
    </w:p>
    <w:p w14:paraId="0284E813">
      <w:pPr>
        <w:autoSpaceDE w:val="0"/>
        <w:autoSpaceDN w:val="0"/>
        <w:adjustRightInd w:val="0"/>
        <w:snapToGrid w:val="0"/>
        <w:spacing w:before="50" w:line="300" w:lineRule="auto"/>
        <w:ind w:firstLine="480" w:firstLineChars="200"/>
        <w:jc w:val="left"/>
        <w:rPr>
          <w:rFonts w:ascii="宋体"/>
          <w:color w:val="auto"/>
          <w:sz w:val="24"/>
        </w:rPr>
      </w:pPr>
      <w:r>
        <w:rPr>
          <w:rFonts w:ascii="宋体" w:hAnsi="宋体"/>
          <w:color w:val="auto"/>
          <w:sz w:val="24"/>
        </w:rPr>
        <w:t xml:space="preserve">2.2.2 </w:t>
      </w:r>
      <w:r>
        <w:rPr>
          <w:rFonts w:hint="eastAsia" w:ascii="宋体" w:hAnsi="宋体"/>
          <w:color w:val="auto"/>
          <w:sz w:val="24"/>
        </w:rPr>
        <w:t>评分标准：见评审办法前附表</w:t>
      </w:r>
    </w:p>
    <w:p w14:paraId="6BE2A27C">
      <w:pPr>
        <w:autoSpaceDE w:val="0"/>
        <w:autoSpaceDN w:val="0"/>
        <w:adjustRightInd w:val="0"/>
        <w:snapToGrid w:val="0"/>
        <w:spacing w:beforeLines="50" w:line="300" w:lineRule="auto"/>
        <w:ind w:left="540" w:leftChars="257"/>
        <w:jc w:val="left"/>
        <w:rPr>
          <w:rFonts w:ascii="宋体"/>
          <w:color w:val="auto"/>
          <w:sz w:val="24"/>
        </w:rPr>
      </w:pPr>
    </w:p>
    <w:p w14:paraId="34D3CC10">
      <w:pPr>
        <w:pStyle w:val="53"/>
        <w:snapToGrid w:val="0"/>
        <w:spacing w:beforeLines="50" w:line="300" w:lineRule="auto"/>
        <w:ind w:firstLine="562" w:firstLineChars="200"/>
        <w:jc w:val="both"/>
        <w:outlineLvl w:val="1"/>
        <w:rPr>
          <w:rFonts w:ascii="黑体" w:hAnsi="黑体" w:eastAsia="黑体" w:cs="楷体_GB2312"/>
          <w:b/>
          <w:bCs/>
          <w:color w:val="auto"/>
          <w:sz w:val="28"/>
          <w:szCs w:val="28"/>
          <w:u w:color="000000"/>
          <w:lang w:val="zh-CN"/>
        </w:rPr>
      </w:pPr>
      <w:bookmarkStart w:id="48" w:name="_Toc192581440"/>
      <w:bookmarkStart w:id="49" w:name="_Toc437031632"/>
      <w:bookmarkStart w:id="50" w:name="_Toc423723405"/>
      <w:r>
        <w:rPr>
          <w:rFonts w:ascii="黑体" w:hAnsi="黑体" w:eastAsia="黑体" w:cs="楷体_GB2312"/>
          <w:b/>
          <w:bCs/>
          <w:color w:val="auto"/>
          <w:sz w:val="28"/>
          <w:szCs w:val="28"/>
          <w:u w:color="000000"/>
          <w:lang w:val="zh-CN"/>
        </w:rPr>
        <w:t xml:space="preserve">3. </w:t>
      </w:r>
      <w:r>
        <w:rPr>
          <w:rFonts w:hint="eastAsia" w:ascii="黑体" w:hAnsi="黑体" w:eastAsia="黑体" w:cs="楷体_GB2312"/>
          <w:b/>
          <w:bCs/>
          <w:color w:val="auto"/>
          <w:sz w:val="28"/>
          <w:szCs w:val="28"/>
          <w:u w:color="000000"/>
          <w:lang w:val="zh-CN"/>
        </w:rPr>
        <w:t>评审程序</w:t>
      </w:r>
      <w:bookmarkEnd w:id="48"/>
      <w:bookmarkEnd w:id="49"/>
      <w:bookmarkEnd w:id="50"/>
    </w:p>
    <w:p w14:paraId="7D07873F">
      <w:pPr>
        <w:autoSpaceDE w:val="0"/>
        <w:autoSpaceDN w:val="0"/>
        <w:adjustRightInd w:val="0"/>
        <w:snapToGrid w:val="0"/>
        <w:spacing w:beforeLines="50" w:line="300" w:lineRule="auto"/>
        <w:ind w:firstLine="482" w:firstLineChars="200"/>
        <w:jc w:val="left"/>
        <w:rPr>
          <w:rFonts w:ascii="黑体" w:hAnsi="黑体" w:eastAsia="黑体"/>
          <w:b/>
          <w:color w:val="auto"/>
          <w:sz w:val="24"/>
          <w:szCs w:val="24"/>
        </w:rPr>
      </w:pPr>
      <w:r>
        <w:rPr>
          <w:rFonts w:hint="eastAsia" w:ascii="黑体" w:hAnsi="黑体" w:eastAsia="黑体"/>
          <w:b/>
          <w:color w:val="auto"/>
          <w:sz w:val="24"/>
          <w:szCs w:val="24"/>
        </w:rPr>
        <w:t>磋商小组按标段（包）进行评审</w:t>
      </w:r>
    </w:p>
    <w:p w14:paraId="0F8BB9D6">
      <w:pPr>
        <w:autoSpaceDE w:val="0"/>
        <w:autoSpaceDN w:val="0"/>
        <w:adjustRightInd w:val="0"/>
        <w:snapToGrid w:val="0"/>
        <w:spacing w:beforeLines="50" w:line="300" w:lineRule="auto"/>
        <w:ind w:firstLine="482" w:firstLineChars="200"/>
        <w:jc w:val="left"/>
        <w:rPr>
          <w:rFonts w:ascii="黑体" w:hAnsi="黑体" w:eastAsia="黑体"/>
          <w:b/>
          <w:color w:val="auto"/>
          <w:sz w:val="24"/>
        </w:rPr>
      </w:pPr>
      <w:r>
        <w:rPr>
          <w:rFonts w:ascii="黑体" w:hAnsi="黑体" w:eastAsia="黑体"/>
          <w:b/>
          <w:color w:val="auto"/>
          <w:sz w:val="24"/>
        </w:rPr>
        <w:t xml:space="preserve">3.1 </w:t>
      </w:r>
      <w:r>
        <w:rPr>
          <w:rFonts w:hint="eastAsia" w:ascii="黑体" w:hAnsi="黑体" w:eastAsia="黑体"/>
          <w:b/>
          <w:color w:val="auto"/>
          <w:sz w:val="24"/>
        </w:rPr>
        <w:t>确认《磋商文件》</w:t>
      </w:r>
    </w:p>
    <w:p w14:paraId="6BD8BF26">
      <w:pPr>
        <w:pStyle w:val="53"/>
        <w:snapToGrid w:val="0"/>
        <w:spacing w:beforeLines="50" w:line="300" w:lineRule="auto"/>
        <w:ind w:firstLine="480" w:firstLineChars="200"/>
        <w:jc w:val="both"/>
        <w:rPr>
          <w:rFonts w:hAnsi="宋体"/>
          <w:color w:val="auto"/>
        </w:rPr>
      </w:pPr>
      <w:r>
        <w:rPr>
          <w:rFonts w:hAnsi="宋体"/>
          <w:color w:val="auto"/>
        </w:rPr>
        <w:t xml:space="preserve">3.1.1 </w:t>
      </w:r>
      <w:r>
        <w:rPr>
          <w:rFonts w:hint="eastAsia" w:hAnsi="宋体"/>
          <w:color w:val="auto"/>
        </w:rPr>
        <w:t>磋商小组确认《磋商文件》，《磋商文件》内容违反国家有关强制性规定的，磋商小组应当停止评审并向采购人或者采购代理机构书面说明情况。</w:t>
      </w:r>
    </w:p>
    <w:p w14:paraId="43082668">
      <w:pPr>
        <w:pStyle w:val="53"/>
        <w:snapToGrid w:val="0"/>
        <w:spacing w:beforeLines="50" w:line="300" w:lineRule="auto"/>
        <w:ind w:firstLine="480" w:firstLineChars="200"/>
        <w:jc w:val="both"/>
        <w:rPr>
          <w:rFonts w:hAnsi="宋体"/>
          <w:color w:val="auto"/>
        </w:rPr>
      </w:pPr>
      <w:r>
        <w:rPr>
          <w:rFonts w:hAnsi="宋体"/>
          <w:color w:val="auto"/>
        </w:rPr>
        <w:t xml:space="preserve">3.1.2  </w:t>
      </w:r>
      <w:r>
        <w:rPr>
          <w:rFonts w:hint="eastAsia" w:hAnsi="宋体"/>
          <w:color w:val="auto"/>
        </w:rPr>
        <w:t>磋商小组</w:t>
      </w:r>
      <w:r>
        <w:rPr>
          <w:rFonts w:hint="eastAsia" w:ascii="??" w:hAnsi="??" w:cs="宋体"/>
          <w:color w:val="auto"/>
          <w:szCs w:val="21"/>
        </w:rPr>
        <w:t>要求解释</w:t>
      </w:r>
      <w:r>
        <w:rPr>
          <w:rFonts w:hint="eastAsia" w:hAnsi="宋体"/>
          <w:color w:val="auto"/>
        </w:rPr>
        <w:t>《磋商文件》的，书面提出需解释的相关《磋商文件》的具体内容后、由采购代理机构或者采购人进行书面解释。</w:t>
      </w:r>
    </w:p>
    <w:p w14:paraId="55D82F4B">
      <w:pPr>
        <w:autoSpaceDE w:val="0"/>
        <w:autoSpaceDN w:val="0"/>
        <w:adjustRightInd w:val="0"/>
        <w:snapToGrid w:val="0"/>
        <w:spacing w:beforeLines="50" w:line="300" w:lineRule="auto"/>
        <w:ind w:firstLine="482" w:firstLineChars="200"/>
        <w:jc w:val="left"/>
        <w:rPr>
          <w:rFonts w:ascii="黑体" w:hAnsi="黑体" w:eastAsia="黑体"/>
          <w:b/>
          <w:color w:val="auto"/>
          <w:sz w:val="24"/>
        </w:rPr>
      </w:pPr>
      <w:bookmarkStart w:id="51" w:name="_Toc423723406"/>
      <w:r>
        <w:rPr>
          <w:rFonts w:ascii="黑体" w:hAnsi="黑体" w:eastAsia="黑体"/>
          <w:b/>
          <w:color w:val="auto"/>
          <w:sz w:val="24"/>
        </w:rPr>
        <w:t>3.2</w:t>
      </w:r>
      <w:bookmarkEnd w:id="51"/>
      <w:r>
        <w:rPr>
          <w:rFonts w:hint="eastAsia" w:ascii="黑体" w:hAnsi="黑体" w:eastAsia="黑体"/>
          <w:b/>
          <w:color w:val="auto"/>
          <w:sz w:val="24"/>
        </w:rPr>
        <w:t>初步评审</w:t>
      </w:r>
    </w:p>
    <w:p w14:paraId="4AA69171">
      <w:pPr>
        <w:autoSpaceDE w:val="0"/>
        <w:autoSpaceDN w:val="0"/>
        <w:adjustRightInd w:val="0"/>
        <w:snapToGrid w:val="0"/>
        <w:spacing w:beforeLines="50" w:line="300" w:lineRule="auto"/>
        <w:ind w:firstLine="616" w:firstLineChars="257"/>
        <w:jc w:val="left"/>
        <w:rPr>
          <w:rFonts w:ascii="宋体"/>
          <w:color w:val="auto"/>
          <w:sz w:val="24"/>
        </w:rPr>
      </w:pPr>
      <w:r>
        <w:rPr>
          <w:rFonts w:ascii="宋体" w:hAnsi="宋体"/>
          <w:color w:val="auto"/>
          <w:sz w:val="24"/>
        </w:rPr>
        <w:t>3.2.1</w:t>
      </w:r>
      <w:r>
        <w:rPr>
          <w:rFonts w:hint="eastAsia" w:ascii="宋体" w:hAnsi="宋体"/>
          <w:color w:val="auto"/>
          <w:sz w:val="24"/>
        </w:rPr>
        <w:t>磋商小组依据本章第2.</w:t>
      </w:r>
      <w:r>
        <w:rPr>
          <w:rFonts w:ascii="宋体" w:hAnsi="宋体"/>
          <w:color w:val="auto"/>
          <w:sz w:val="24"/>
        </w:rPr>
        <w:t>1.1</w:t>
      </w:r>
      <w:r>
        <w:rPr>
          <w:rFonts w:hint="eastAsia" w:ascii="宋体" w:hAnsi="宋体"/>
          <w:color w:val="auto"/>
          <w:sz w:val="24"/>
        </w:rPr>
        <w:t>、2.</w:t>
      </w:r>
      <w:r>
        <w:rPr>
          <w:rFonts w:ascii="宋体" w:hAnsi="宋体"/>
          <w:color w:val="auto"/>
          <w:sz w:val="24"/>
        </w:rPr>
        <w:t xml:space="preserve">1.2 </w:t>
      </w:r>
      <w:r>
        <w:rPr>
          <w:rFonts w:hint="eastAsia" w:ascii="宋体" w:hAnsi="宋体"/>
          <w:color w:val="auto"/>
          <w:sz w:val="24"/>
        </w:rPr>
        <w:t>款规定的标准对《响应文件》进行资格性、符合性评审。有一项不符合评审标准的，作无效响应处理。</w:t>
      </w:r>
    </w:p>
    <w:p w14:paraId="0828F387">
      <w:pPr>
        <w:autoSpaceDE w:val="0"/>
        <w:autoSpaceDN w:val="0"/>
        <w:adjustRightInd w:val="0"/>
        <w:snapToGrid w:val="0"/>
        <w:spacing w:beforeLines="50" w:line="300" w:lineRule="auto"/>
        <w:ind w:firstLine="616" w:firstLineChars="257"/>
        <w:jc w:val="left"/>
        <w:rPr>
          <w:rFonts w:ascii="宋体"/>
          <w:color w:val="auto"/>
          <w:sz w:val="24"/>
        </w:rPr>
      </w:pPr>
      <w:r>
        <w:rPr>
          <w:rFonts w:ascii="宋体" w:hAnsi="宋体"/>
          <w:color w:val="auto"/>
          <w:sz w:val="24"/>
        </w:rPr>
        <w:t xml:space="preserve">3.2.2 </w:t>
      </w:r>
      <w:r>
        <w:rPr>
          <w:rFonts w:hint="eastAsia" w:ascii="宋体" w:hAnsi="宋体"/>
          <w:color w:val="auto"/>
          <w:sz w:val="24"/>
        </w:rPr>
        <w:t>供应商有以下情形之一的，其投标作无效响应处理：</w:t>
      </w:r>
    </w:p>
    <w:p w14:paraId="57210D3D">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）供应商不符合国家或者《磋商文件》规定的资格条件；</w:t>
      </w:r>
    </w:p>
    <w:p w14:paraId="47E4DF44">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）供应商没有按照《磋商文件》要求提供投标承诺函；</w:t>
      </w:r>
    </w:p>
    <w:p w14:paraId="521C0B66">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）投标联合体不符合《磋商文件》规定；</w:t>
      </w:r>
    </w:p>
    <w:p w14:paraId="01510E6D">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）《响应文件》的签字盖章不符合《磋商文件》规定；</w:t>
      </w:r>
    </w:p>
    <w:p w14:paraId="4B0F6E0E">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5</w:t>
      </w:r>
      <w:r>
        <w:rPr>
          <w:rFonts w:hint="eastAsia" w:ascii="宋体" w:hAnsi="宋体"/>
          <w:color w:val="auto"/>
          <w:sz w:val="24"/>
        </w:rPr>
        <w:t>）磋商报价高于竞争性磋商公告公布的预算金额；</w:t>
      </w:r>
    </w:p>
    <w:p w14:paraId="206B624F">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6</w:t>
      </w:r>
      <w:r>
        <w:rPr>
          <w:rFonts w:hint="eastAsia" w:ascii="宋体" w:hAnsi="宋体"/>
          <w:color w:val="auto"/>
          <w:sz w:val="24"/>
        </w:rPr>
        <w:t>）同一供应商提交两个以上不同的《响应文件》或者磋商报价，《响应文件》的每种报价有两个报价或其他选择性报价的；</w:t>
      </w:r>
    </w:p>
    <w:p w14:paraId="592EC2B4">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7</w:t>
      </w:r>
      <w:r>
        <w:rPr>
          <w:rFonts w:hint="eastAsia" w:ascii="宋体" w:hAnsi="宋体"/>
          <w:color w:val="auto"/>
          <w:sz w:val="24"/>
        </w:rPr>
        <w:t>）《响应文件》没有对《磋商文件》的实质性要求和条件作出实质性响应，或不符合《磋商文件》的实质性要求和条件；</w:t>
      </w:r>
    </w:p>
    <w:p w14:paraId="2AC24FF7">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8</w:t>
      </w:r>
      <w:r>
        <w:rPr>
          <w:rFonts w:hint="eastAsia" w:ascii="宋体" w:hAnsi="宋体"/>
          <w:color w:val="auto"/>
          <w:sz w:val="24"/>
        </w:rPr>
        <w:t>）《响应文件》附有采购项目不能接受的条件或不符合国家强制性规定的；</w:t>
      </w:r>
    </w:p>
    <w:p w14:paraId="5A5FD93B">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9</w:t>
      </w:r>
      <w:r>
        <w:rPr>
          <w:rFonts w:hint="eastAsia" w:ascii="宋体" w:hAnsi="宋体"/>
          <w:color w:val="auto"/>
          <w:sz w:val="24"/>
        </w:rPr>
        <w:t>）单位负责人为同一人或者存在控股、管理关系的不同单位，参加同一项目（标段&lt;包&gt;）投标的；</w:t>
      </w:r>
    </w:p>
    <w:p w14:paraId="525A3A2E">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w:t>
      </w:r>
      <w:r>
        <w:rPr>
          <w:rFonts w:ascii="宋体" w:hAnsi="宋体"/>
          <w:color w:val="auto"/>
          <w:sz w:val="24"/>
        </w:rPr>
        <w:t>10</w:t>
      </w:r>
      <w:r>
        <w:rPr>
          <w:rFonts w:hint="eastAsia" w:ascii="宋体" w:hAnsi="宋体"/>
          <w:color w:val="auto"/>
          <w:sz w:val="24"/>
        </w:rPr>
        <w:t>）为采购项目提供整体设计、规范编制或者项目管理、监理、检测等服务的供应商，不得再参加该采购项目的其他采购活动；</w:t>
      </w:r>
    </w:p>
    <w:p w14:paraId="76996ACB">
      <w:pPr>
        <w:autoSpaceDE w:val="0"/>
        <w:autoSpaceDN w:val="0"/>
        <w:adjustRightInd w:val="0"/>
        <w:snapToGrid w:val="0"/>
        <w:spacing w:beforeLines="50" w:line="300" w:lineRule="auto"/>
        <w:ind w:firstLine="566" w:firstLineChars="236"/>
        <w:jc w:val="left"/>
        <w:rPr>
          <w:rFonts w:ascii="宋体" w:hAnsi="宋体"/>
          <w:color w:val="auto"/>
          <w:sz w:val="24"/>
        </w:rPr>
      </w:pPr>
      <w:r>
        <w:rPr>
          <w:rFonts w:hint="eastAsia" w:ascii="宋体" w:hAnsi="宋体"/>
          <w:color w:val="auto"/>
          <w:sz w:val="24"/>
        </w:rPr>
        <w:t>（11）组成联合体或者接受分包的小微企业与联合体内其他企业、分包企业之间存在直接控股、管理关系的；</w:t>
      </w:r>
    </w:p>
    <w:p w14:paraId="38DD4320">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2）提供虚假材料谋取成交的；</w:t>
      </w:r>
    </w:p>
    <w:p w14:paraId="1765662A">
      <w:pPr>
        <w:autoSpaceDE w:val="0"/>
        <w:autoSpaceDN w:val="0"/>
        <w:adjustRightInd w:val="0"/>
        <w:snapToGrid w:val="0"/>
        <w:spacing w:line="300" w:lineRule="auto"/>
        <w:ind w:firstLine="616" w:firstLineChars="257"/>
        <w:jc w:val="left"/>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3）供应商有串通投标、行贿等违法行为。其中，有下列情形之一的，视为供应商相互串通投标：</w:t>
      </w:r>
    </w:p>
    <w:p w14:paraId="0E95A2F6">
      <w:pPr>
        <w:autoSpaceDE w:val="0"/>
        <w:autoSpaceDN w:val="0"/>
        <w:adjustRightInd w:val="0"/>
        <w:snapToGrid w:val="0"/>
        <w:spacing w:line="300" w:lineRule="auto"/>
        <w:ind w:firstLine="616" w:firstLineChars="257"/>
        <w:jc w:val="left"/>
        <w:rPr>
          <w:rFonts w:ascii="宋体"/>
          <w:color w:val="auto"/>
          <w:sz w:val="24"/>
        </w:rPr>
      </w:pPr>
      <w:r>
        <w:rPr>
          <w:rFonts w:ascii="宋体"/>
          <w:color w:val="auto"/>
          <w:sz w:val="24"/>
        </w:rPr>
        <w:t>    </w:t>
      </w:r>
      <w:r>
        <w:rPr>
          <w:rFonts w:hint="eastAsia" w:ascii="宋体" w:hAnsi="宋体"/>
          <w:color w:val="auto"/>
          <w:sz w:val="24"/>
        </w:rPr>
        <w:t>◆不同供应商的《响应文件》由同一单位或者个人编制；</w:t>
      </w:r>
    </w:p>
    <w:p w14:paraId="36E8B841">
      <w:pPr>
        <w:autoSpaceDE w:val="0"/>
        <w:autoSpaceDN w:val="0"/>
        <w:adjustRightInd w:val="0"/>
        <w:snapToGrid w:val="0"/>
        <w:spacing w:line="300" w:lineRule="auto"/>
        <w:ind w:firstLine="616" w:firstLineChars="257"/>
        <w:jc w:val="left"/>
        <w:rPr>
          <w:rFonts w:ascii="宋体"/>
          <w:color w:val="auto"/>
          <w:sz w:val="24"/>
        </w:rPr>
      </w:pPr>
      <w:r>
        <w:rPr>
          <w:rFonts w:ascii="宋体"/>
          <w:color w:val="auto"/>
          <w:sz w:val="24"/>
        </w:rPr>
        <w:t>    </w:t>
      </w:r>
      <w:r>
        <w:rPr>
          <w:rFonts w:hint="eastAsia" w:ascii="宋体" w:hAnsi="宋体"/>
          <w:color w:val="auto"/>
          <w:sz w:val="24"/>
        </w:rPr>
        <w:t>◆不同供应商委托同一单位或者个人办理投标事宜；</w:t>
      </w:r>
    </w:p>
    <w:p w14:paraId="00B0AFD9">
      <w:pPr>
        <w:autoSpaceDE w:val="0"/>
        <w:autoSpaceDN w:val="0"/>
        <w:adjustRightInd w:val="0"/>
        <w:snapToGrid w:val="0"/>
        <w:spacing w:line="300" w:lineRule="auto"/>
        <w:ind w:firstLine="616" w:firstLineChars="257"/>
        <w:jc w:val="left"/>
        <w:rPr>
          <w:rFonts w:ascii="宋体"/>
          <w:color w:val="auto"/>
          <w:sz w:val="24"/>
        </w:rPr>
      </w:pPr>
      <w:r>
        <w:rPr>
          <w:rFonts w:ascii="宋体"/>
          <w:color w:val="auto"/>
          <w:sz w:val="24"/>
        </w:rPr>
        <w:t>    </w:t>
      </w:r>
      <w:r>
        <w:rPr>
          <w:rFonts w:hint="eastAsia" w:ascii="宋体" w:hAnsi="宋体"/>
          <w:color w:val="auto"/>
          <w:sz w:val="24"/>
        </w:rPr>
        <w:t>◆不同供应商的《响应文件》载明的项目管理成员为同一人；</w:t>
      </w:r>
    </w:p>
    <w:p w14:paraId="5CE5F4BF">
      <w:pPr>
        <w:autoSpaceDE w:val="0"/>
        <w:autoSpaceDN w:val="0"/>
        <w:adjustRightInd w:val="0"/>
        <w:snapToGrid w:val="0"/>
        <w:spacing w:line="300" w:lineRule="auto"/>
        <w:ind w:firstLine="616" w:firstLineChars="257"/>
        <w:jc w:val="left"/>
        <w:rPr>
          <w:rFonts w:ascii="宋体"/>
          <w:color w:val="auto"/>
          <w:sz w:val="24"/>
        </w:rPr>
      </w:pPr>
      <w:r>
        <w:rPr>
          <w:rFonts w:ascii="宋体"/>
          <w:color w:val="auto"/>
          <w:sz w:val="24"/>
        </w:rPr>
        <w:t>    </w:t>
      </w:r>
      <w:r>
        <w:rPr>
          <w:rFonts w:hint="eastAsia" w:ascii="宋体" w:hAnsi="宋体"/>
          <w:color w:val="auto"/>
          <w:sz w:val="24"/>
        </w:rPr>
        <w:t>◆不同供应商的《响应文件》异常一致或者磋商报价呈规律性差异；</w:t>
      </w:r>
    </w:p>
    <w:p w14:paraId="1E5D0A20">
      <w:pPr>
        <w:autoSpaceDE w:val="0"/>
        <w:autoSpaceDN w:val="0"/>
        <w:adjustRightInd w:val="0"/>
        <w:snapToGrid w:val="0"/>
        <w:spacing w:line="300" w:lineRule="auto"/>
        <w:ind w:firstLine="616" w:firstLineChars="257"/>
        <w:jc w:val="left"/>
        <w:rPr>
          <w:rFonts w:ascii="宋体" w:hAnsi="宋体"/>
          <w:color w:val="auto"/>
          <w:sz w:val="24"/>
        </w:rPr>
      </w:pPr>
      <w:r>
        <w:rPr>
          <w:rFonts w:ascii="宋体"/>
          <w:color w:val="auto"/>
          <w:sz w:val="24"/>
        </w:rPr>
        <w:t>    </w:t>
      </w:r>
      <w:r>
        <w:rPr>
          <w:rFonts w:hint="eastAsia" w:ascii="宋体" w:hAnsi="宋体"/>
          <w:color w:val="auto"/>
          <w:sz w:val="24"/>
        </w:rPr>
        <w:t>◆不同供应商的《响应文件》相互混装。</w:t>
      </w:r>
    </w:p>
    <w:p w14:paraId="1C0C4145">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（14）根据豫财购〔2021〕6号文件，参与同一个标段(包)的供应商存在下列情形之一的，其投标(响应)文件无效:</w:t>
      </w:r>
    </w:p>
    <w:p w14:paraId="6A56F6CA">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◆不同供应商的投标(响应)文件由同一电子设备打印、复印；</w:t>
      </w:r>
    </w:p>
    <w:p w14:paraId="638C8F21">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◆不同供应商的投标(响应)文件由同一人送达或者分发，或者不同供应商联系人为同一人或不同联系人的联系电话一致的；</w:t>
      </w:r>
    </w:p>
    <w:p w14:paraId="6C02AD44">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◆不同供应商的投标(响应)文件的内容存在两处以上细节错误一致；</w:t>
      </w:r>
    </w:p>
    <w:p w14:paraId="1CB9AEF8">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◆不同供应商的法定代表人、委托代理人、项目经理、项目负责人等由同一个单位缴纳社会保险或者领取报酬的；</w:t>
      </w:r>
    </w:p>
    <w:p w14:paraId="73F401AB">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◆不同供应商投标(响应)文件中法定代表人或者负责人签字出自同一人之手；</w:t>
      </w:r>
    </w:p>
    <w:p w14:paraId="17E6056F">
      <w:pPr>
        <w:autoSpaceDE w:val="0"/>
        <w:autoSpaceDN w:val="0"/>
        <w:adjustRightInd w:val="0"/>
        <w:snapToGrid w:val="0"/>
        <w:spacing w:line="300" w:lineRule="auto"/>
        <w:ind w:firstLine="616" w:firstLineChars="257"/>
        <w:jc w:val="left"/>
        <w:rPr>
          <w:rFonts w:ascii="宋体" w:hAnsi="宋体"/>
          <w:color w:val="auto"/>
          <w:sz w:val="24"/>
        </w:rPr>
      </w:pPr>
      <w:r>
        <w:rPr>
          <w:rFonts w:hint="eastAsia" w:ascii="宋体" w:hAnsi="宋体"/>
          <w:color w:val="auto"/>
          <w:sz w:val="24"/>
        </w:rPr>
        <w:t>◆其它涉嫌串通的情形。</w:t>
      </w:r>
    </w:p>
    <w:p w14:paraId="209445DB">
      <w:pPr>
        <w:autoSpaceDE w:val="0"/>
        <w:autoSpaceDN w:val="0"/>
        <w:adjustRightInd w:val="0"/>
        <w:snapToGrid w:val="0"/>
        <w:spacing w:beforeLines="50" w:line="300" w:lineRule="auto"/>
        <w:ind w:firstLine="539"/>
        <w:rPr>
          <w:rFonts w:ascii="宋体" w:hAnsi="宋体"/>
          <w:color w:val="auto"/>
          <w:sz w:val="24"/>
        </w:rPr>
      </w:pPr>
      <w:r>
        <w:rPr>
          <w:rFonts w:hint="eastAsia" w:ascii="宋体" w:hAnsi="宋体"/>
          <w:color w:val="auto"/>
          <w:sz w:val="24"/>
        </w:rPr>
        <w:t>(15)据豫财购〔2021〕6号文件精神，工程领域招标投标行政主管部门对供应商串通投标等予以市场禁入的，在本次政府采购活动中，该供应商投标(响应)文件无效。</w:t>
      </w:r>
    </w:p>
    <w:p w14:paraId="2ADAB871">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3.2.3 </w:t>
      </w:r>
      <w:r>
        <w:rPr>
          <w:rFonts w:hint="eastAsia" w:ascii="宋体" w:hAnsi="宋体"/>
          <w:color w:val="auto"/>
          <w:sz w:val="24"/>
        </w:rPr>
        <w:t>磋商小组评定《响应文件》为无效响应的，磋商小组应当书面告知无效响应供应商评定结果及理由，并由无效响应单位签收；无效响应供应商拒绝签收的、磋商小组应作相应记录；无效响应供应商签收时提出书面异议的，磋商小组应审核后作就该项异议出书面审核意见。</w:t>
      </w:r>
    </w:p>
    <w:p w14:paraId="6C254645">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3.2</w:t>
      </w:r>
      <w:r>
        <w:rPr>
          <w:rFonts w:ascii="宋体"/>
          <w:color w:val="auto"/>
          <w:sz w:val="24"/>
        </w:rPr>
        <w:t>.</w:t>
      </w:r>
      <w:r>
        <w:rPr>
          <w:rFonts w:ascii="宋体" w:hAnsi="宋体"/>
          <w:color w:val="auto"/>
          <w:sz w:val="24"/>
        </w:rPr>
        <w:t xml:space="preserve">4 </w:t>
      </w:r>
      <w:r>
        <w:rPr>
          <w:rFonts w:hint="eastAsia" w:ascii="宋体"/>
          <w:color w:val="auto"/>
          <w:sz w:val="24"/>
        </w:rPr>
        <w:t>“</w:t>
      </w:r>
      <w:r>
        <w:rPr>
          <w:rFonts w:hint="eastAsia" w:ascii="宋体" w:hAnsi="宋体"/>
          <w:color w:val="auto"/>
          <w:sz w:val="24"/>
        </w:rPr>
        <w:t>第一次报价一览表</w:t>
      </w:r>
      <w:r>
        <w:rPr>
          <w:rFonts w:hint="eastAsia" w:ascii="宋体"/>
          <w:color w:val="auto"/>
          <w:sz w:val="24"/>
        </w:rPr>
        <w:t>”</w:t>
      </w:r>
      <w:r>
        <w:rPr>
          <w:rFonts w:hint="eastAsia" w:ascii="宋体" w:hAnsi="宋体"/>
          <w:color w:val="auto"/>
          <w:sz w:val="24"/>
        </w:rPr>
        <w:t>与报价明细表有差别时，以</w:t>
      </w:r>
      <w:r>
        <w:rPr>
          <w:rFonts w:hint="eastAsia" w:ascii="宋体"/>
          <w:color w:val="auto"/>
          <w:sz w:val="24"/>
        </w:rPr>
        <w:t>“</w:t>
      </w:r>
      <w:r>
        <w:rPr>
          <w:rFonts w:hint="eastAsia" w:ascii="宋体" w:hAnsi="宋体"/>
          <w:color w:val="auto"/>
          <w:sz w:val="24"/>
        </w:rPr>
        <w:t>第一次报价一览表</w:t>
      </w:r>
      <w:r>
        <w:rPr>
          <w:rFonts w:hint="eastAsia" w:ascii="宋体"/>
          <w:color w:val="auto"/>
          <w:sz w:val="24"/>
        </w:rPr>
        <w:t>”</w:t>
      </w:r>
      <w:r>
        <w:rPr>
          <w:rFonts w:hint="eastAsia" w:ascii="宋体" w:hAnsi="宋体"/>
          <w:color w:val="auto"/>
          <w:sz w:val="24"/>
        </w:rPr>
        <w:t>为准；大写文字表示的数据与小写数字表示的有差别时，以大写文字表示的数据为准；单价与</w:t>
      </w:r>
      <w:r>
        <w:rPr>
          <w:rFonts w:hint="eastAsia" w:ascii="宋体"/>
          <w:color w:val="auto"/>
          <w:sz w:val="24"/>
        </w:rPr>
        <w:t>“</w:t>
      </w:r>
      <w:r>
        <w:rPr>
          <w:rFonts w:hint="eastAsia" w:ascii="宋体" w:hAnsi="宋体"/>
          <w:color w:val="auto"/>
          <w:sz w:val="24"/>
        </w:rPr>
        <w:t>第一次报价一览表</w:t>
      </w:r>
      <w:r>
        <w:rPr>
          <w:rFonts w:hint="eastAsia" w:ascii="宋体"/>
          <w:color w:val="auto"/>
          <w:sz w:val="24"/>
        </w:rPr>
        <w:t>”</w:t>
      </w:r>
      <w:r>
        <w:rPr>
          <w:rFonts w:hint="eastAsia" w:ascii="宋体" w:hAnsi="宋体"/>
          <w:color w:val="auto"/>
          <w:sz w:val="24"/>
        </w:rPr>
        <w:t>总价不符时，以</w:t>
      </w:r>
      <w:r>
        <w:rPr>
          <w:rFonts w:hint="eastAsia" w:ascii="宋体"/>
          <w:color w:val="auto"/>
          <w:sz w:val="24"/>
        </w:rPr>
        <w:t>“</w:t>
      </w:r>
      <w:r>
        <w:rPr>
          <w:rFonts w:hint="eastAsia" w:ascii="宋体" w:hAnsi="宋体"/>
          <w:color w:val="auto"/>
          <w:sz w:val="24"/>
        </w:rPr>
        <w:t>第一次报价一览表</w:t>
      </w:r>
      <w:r>
        <w:rPr>
          <w:rFonts w:hint="eastAsia" w:ascii="宋体"/>
          <w:color w:val="auto"/>
          <w:sz w:val="24"/>
        </w:rPr>
        <w:t>”</w:t>
      </w:r>
      <w:r>
        <w:rPr>
          <w:rFonts w:hint="eastAsia" w:ascii="宋体" w:hAnsi="宋体"/>
          <w:color w:val="auto"/>
          <w:sz w:val="24"/>
        </w:rPr>
        <w:t>总价为准。如供应商拒绝接受上述意见，其</w:t>
      </w:r>
      <w:r>
        <w:rPr>
          <w:rFonts w:hint="eastAsia" w:ascii="宋体" w:hAnsi="宋体"/>
          <w:b/>
          <w:color w:val="auto"/>
          <w:sz w:val="24"/>
        </w:rPr>
        <w:t>投标将被拒绝。</w:t>
      </w:r>
    </w:p>
    <w:p w14:paraId="084D9BC2">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3.2.5 </w:t>
      </w:r>
      <w:r>
        <w:rPr>
          <w:rFonts w:hint="eastAsia" w:ascii="宋体" w:hAnsi="宋体"/>
          <w:color w:val="auto"/>
          <w:sz w:val="24"/>
        </w:rPr>
        <w:t>磋商小组负责审查确定每一响应项目（标段&lt;包&gt;）是否对《磋商文件》的实质性要求作出了实质性的响应，而没有重大偏离和保留。实质性响应的《响应文件》是指《响应文件》符合《磋商文件》的所有条款、条件和规定且没有重大偏离和保留（重大偏离和保留是指影响到《磋商文件》和供应商的义务的规定，而纠正这些偏离将影响到其他提交实质性响应供应商的公平竞争地位）。</w:t>
      </w:r>
    </w:p>
    <w:p w14:paraId="6953DF71">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3.2.6 </w:t>
      </w:r>
      <w:r>
        <w:rPr>
          <w:rFonts w:hint="eastAsia" w:ascii="宋体" w:hAnsi="宋体"/>
          <w:color w:val="auto"/>
          <w:sz w:val="24"/>
        </w:rPr>
        <w:t>磋商小组判断《响应文件》的响应性仅基于《响应文件》本身而不靠外部证据。</w:t>
      </w:r>
    </w:p>
    <w:p w14:paraId="07742DB5">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3.2.7 </w:t>
      </w:r>
      <w:r>
        <w:rPr>
          <w:rFonts w:hint="eastAsia" w:ascii="宋体" w:hAnsi="宋体"/>
          <w:color w:val="auto"/>
          <w:sz w:val="24"/>
        </w:rPr>
        <w:t>磋商小组拒绝被确定为非实质性响应的供应商，供应商不得通过修正或撤销不符之处而使其《响应文件》成为实质性响应的《响应文件》。</w:t>
      </w:r>
    </w:p>
    <w:p w14:paraId="4B28FB6F">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3.2.8 </w:t>
      </w:r>
      <w:r>
        <w:rPr>
          <w:rFonts w:hint="eastAsia" w:ascii="宋体" w:hAnsi="宋体"/>
          <w:color w:val="auto"/>
          <w:sz w:val="24"/>
        </w:rPr>
        <w:t>允许供应商修改《响应文件》中不构成重大偏离的、微小的、非正规、不一致或不规则的地方。</w:t>
      </w:r>
    </w:p>
    <w:p w14:paraId="72E793ED">
      <w:pPr>
        <w:autoSpaceDE w:val="0"/>
        <w:autoSpaceDN w:val="0"/>
        <w:adjustRightInd w:val="0"/>
        <w:snapToGrid w:val="0"/>
        <w:spacing w:beforeLines="50" w:line="300" w:lineRule="auto"/>
        <w:ind w:firstLine="569" w:firstLineChars="236"/>
        <w:jc w:val="left"/>
        <w:rPr>
          <w:rFonts w:ascii="黑体" w:hAnsi="黑体" w:eastAsia="黑体"/>
          <w:b/>
          <w:color w:val="auto"/>
          <w:sz w:val="24"/>
        </w:rPr>
      </w:pPr>
      <w:r>
        <w:rPr>
          <w:rFonts w:ascii="黑体" w:hAnsi="黑体" w:eastAsia="黑体"/>
          <w:b/>
          <w:color w:val="auto"/>
          <w:sz w:val="24"/>
        </w:rPr>
        <w:t xml:space="preserve">3.3 </w:t>
      </w:r>
      <w:r>
        <w:rPr>
          <w:rFonts w:hint="eastAsia" w:ascii="黑体" w:hAnsi="黑体" w:eastAsia="黑体"/>
          <w:b/>
          <w:color w:val="auto"/>
          <w:sz w:val="24"/>
        </w:rPr>
        <w:t>《响应文件》的澄清</w:t>
      </w:r>
    </w:p>
    <w:p w14:paraId="18AE383E">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3.3.1</w:t>
      </w:r>
      <w:r>
        <w:rPr>
          <w:rFonts w:hint="eastAsia" w:ascii="宋体" w:hAnsi="宋体"/>
          <w:color w:val="auto"/>
          <w:sz w:val="24"/>
        </w:rPr>
        <w:t>　评审期间，供应商法定代表人或其授权代表须在指定地点等候质疑，并随身携带其居民身份证供查验。供应商有责任按照采购代理机构通知的时间、地点进行答疑和澄清。</w:t>
      </w:r>
    </w:p>
    <w:p w14:paraId="37F2CB29">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3.3.2</w:t>
      </w:r>
      <w:r>
        <w:rPr>
          <w:rFonts w:hint="eastAsia" w:ascii="宋体" w:hAnsi="宋体"/>
          <w:color w:val="auto"/>
          <w:sz w:val="24"/>
        </w:rPr>
        <w:t>　为有助于对《响应文件》进行审查、评估和比较，磋商小组有权个别的向供应商提出质疑，请供应商澄清其投标内容。</w:t>
      </w:r>
    </w:p>
    <w:p w14:paraId="52CD3C1F">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3.3.3</w:t>
      </w:r>
      <w:r>
        <w:rPr>
          <w:rFonts w:hint="eastAsia" w:ascii="宋体" w:hAnsi="宋体"/>
          <w:color w:val="auto"/>
          <w:sz w:val="24"/>
        </w:rPr>
        <w:t>　磋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BB88496">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3.3.4</w:t>
      </w:r>
      <w:r>
        <w:rPr>
          <w:rFonts w:hint="eastAsia" w:ascii="宋体" w:hAnsi="宋体"/>
          <w:color w:val="auto"/>
          <w:sz w:val="24"/>
        </w:rPr>
        <w:t>　供应商的澄清、说明或者更正应当由法定代表人或其授权代表签字或者加盖公章。由授权代表签字的，应当附法定代表人授权书。供应商为自然人的，应当由本人签字并附身份证明。</w:t>
      </w:r>
    </w:p>
    <w:p w14:paraId="2B1D7F1A">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3.3.5</w:t>
      </w:r>
      <w:r>
        <w:rPr>
          <w:rFonts w:hint="eastAsia" w:ascii="宋体" w:hAnsi="宋体"/>
          <w:color w:val="auto"/>
          <w:sz w:val="24"/>
        </w:rPr>
        <w:t>　供应商的澄清文件是《响应文件》的组成部分，并取代《响应文件》中被澄清的部分。</w:t>
      </w:r>
    </w:p>
    <w:p w14:paraId="47FDAD4B">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3.3.6</w:t>
      </w:r>
      <w:r>
        <w:rPr>
          <w:rFonts w:hint="eastAsia" w:ascii="宋体" w:hAnsi="宋体"/>
          <w:color w:val="auto"/>
          <w:sz w:val="24"/>
        </w:rPr>
        <w:t>　澄清文件应按磋商小组规定的时间提交。</w:t>
      </w:r>
    </w:p>
    <w:p w14:paraId="3435ACF8">
      <w:pPr>
        <w:autoSpaceDE w:val="0"/>
        <w:autoSpaceDN w:val="0"/>
        <w:adjustRightInd w:val="0"/>
        <w:snapToGrid w:val="0"/>
        <w:spacing w:beforeLines="50" w:line="300" w:lineRule="auto"/>
        <w:ind w:firstLine="569" w:firstLineChars="236"/>
        <w:jc w:val="left"/>
        <w:rPr>
          <w:rFonts w:ascii="黑体" w:hAnsi="黑体" w:eastAsia="黑体"/>
          <w:b/>
          <w:color w:val="auto"/>
          <w:sz w:val="24"/>
        </w:rPr>
      </w:pPr>
      <w:r>
        <w:rPr>
          <w:rFonts w:ascii="黑体" w:hAnsi="黑体" w:eastAsia="黑体"/>
          <w:b/>
          <w:color w:val="auto"/>
          <w:sz w:val="24"/>
        </w:rPr>
        <w:t xml:space="preserve">3.4 </w:t>
      </w:r>
      <w:r>
        <w:rPr>
          <w:rFonts w:hint="eastAsia" w:ascii="黑体" w:hAnsi="黑体" w:eastAsia="黑体"/>
          <w:b/>
          <w:color w:val="auto"/>
          <w:sz w:val="24"/>
        </w:rPr>
        <w:t>磋商规则</w:t>
      </w:r>
    </w:p>
    <w:p w14:paraId="601F5888">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 xml:space="preserve">3.4.1 </w:t>
      </w:r>
      <w:r>
        <w:rPr>
          <w:rFonts w:hint="eastAsia" w:ascii="宋体" w:hAnsi="宋体"/>
          <w:color w:val="auto"/>
          <w:sz w:val="24"/>
        </w:rPr>
        <w:t>本次政府采购采取竞争性磋商方式。《响应文件》开启仪式结束后，磋商小组将据评审情况就所报项目的技术、服务、价格等事项与有关供应商分别进行磋商。磋商的任何一方不得将与磋商有关的技术资料、价格和其他信息透露给其他供应商。</w:t>
      </w:r>
    </w:p>
    <w:p w14:paraId="6923EF52">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2</w:t>
      </w:r>
      <w:r>
        <w:rPr>
          <w:rFonts w:hint="eastAsia" w:ascii="宋体" w:hAnsi="宋体"/>
          <w:color w:val="auto"/>
          <w:sz w:val="24"/>
        </w:rPr>
        <w:t>磋商小组根据《磋商文件》规定的程序、评定成交的标准等事项与实质性响应《磋商文件》实质性要求的供应商进行磋商。</w:t>
      </w:r>
    </w:p>
    <w:p w14:paraId="769A95F4">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3 </w:t>
      </w:r>
      <w:r>
        <w:rPr>
          <w:rFonts w:hint="eastAsia" w:ascii="宋体" w:hAnsi="宋体"/>
          <w:color w:val="auto"/>
          <w:sz w:val="24"/>
        </w:rPr>
        <w:t>磋商小组所有成员集中与单一供应商分别进行磋商，并给予所有参加磋商的供应商平等的磋商机会。</w:t>
      </w:r>
    </w:p>
    <w:p w14:paraId="6A1CE31B">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4 </w:t>
      </w:r>
      <w:r>
        <w:rPr>
          <w:rFonts w:hint="eastAsia" w:ascii="宋体" w:hAnsi="宋体"/>
          <w:color w:val="auto"/>
          <w:sz w:val="24"/>
        </w:rPr>
        <w:t>在磋商过程中，磋商小组可以根据《磋商文件》和磋商情况实质性变动采购需求中的技术、服务要求以及合同草案条款，《磋商文件》中的其他内容将不再变动。实质性变动的内容，经采购人代表确认后，磋商小组以书面形式同时通知所有参加磋商的供应商。</w:t>
      </w:r>
    </w:p>
    <w:p w14:paraId="1598A4AA">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5</w:t>
      </w:r>
      <w:r>
        <w:rPr>
          <w:rFonts w:hint="eastAsia" w:ascii="宋体" w:hAnsi="宋体"/>
          <w:color w:val="auto"/>
          <w:sz w:val="24"/>
        </w:rPr>
        <w:t>对《磋商文件》作出的实质性变动是《磋商文件》的有效组成部分。</w:t>
      </w:r>
    </w:p>
    <w:p w14:paraId="2A212107">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6 </w:t>
      </w:r>
      <w:r>
        <w:rPr>
          <w:rFonts w:hint="eastAsia" w:ascii="宋体" w:hAnsi="宋体"/>
          <w:color w:val="auto"/>
          <w:sz w:val="24"/>
        </w:rPr>
        <w:t>供应商应当按照《磋商文件》的变动情况和磋商小组的要求重新提交《响应文件》或修订《响应文件》相应条款，并由其法定代表人或授权代表签字或者加盖公章。由授权代表签字的，应当附法定代表人授权书。供应商为自然人的，应当由本人签字并附身份证明。</w:t>
      </w:r>
    </w:p>
    <w:p w14:paraId="4370BEAC">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7 </w:t>
      </w:r>
      <w:r>
        <w:rPr>
          <w:rFonts w:hint="eastAsia" w:ascii="宋体" w:hAnsi="宋体"/>
          <w:color w:val="auto"/>
          <w:sz w:val="24"/>
        </w:rPr>
        <w:t>价格磋商</w:t>
      </w:r>
    </w:p>
    <w:p w14:paraId="5DE45EC7">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7.1 </w:t>
      </w:r>
      <w:r>
        <w:rPr>
          <w:rFonts w:hint="eastAsia" w:ascii="宋体" w:hAnsi="宋体"/>
          <w:color w:val="auto"/>
          <w:sz w:val="24"/>
        </w:rPr>
        <w:t>见第二章“采购项目及服务要求”</w:t>
      </w:r>
      <w:r>
        <w:rPr>
          <w:rFonts w:ascii="宋体" w:hAnsi="宋体"/>
          <w:color w:val="auto"/>
          <w:sz w:val="24"/>
        </w:rPr>
        <w:t>1.3.2</w:t>
      </w:r>
      <w:r>
        <w:rPr>
          <w:rFonts w:hint="eastAsia" w:ascii="宋体" w:hAnsi="宋体"/>
          <w:color w:val="auto"/>
          <w:sz w:val="24"/>
        </w:rPr>
        <w:t>项规定</w:t>
      </w:r>
    </w:p>
    <w:p w14:paraId="4FF9BE2D">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 xml:space="preserve">7.2 </w:t>
      </w:r>
      <w:r>
        <w:rPr>
          <w:rFonts w:hint="eastAsia" w:ascii="宋体" w:hAnsi="宋体"/>
          <w:color w:val="auto"/>
          <w:sz w:val="24"/>
        </w:rPr>
        <w:t>磋商小组应当要求所有继续参加磋商的供应商在规定时间内提交最后报价，提交最后报价的供应商不得少于</w:t>
      </w:r>
      <w:r>
        <w:rPr>
          <w:rFonts w:ascii="宋体" w:hAnsi="宋体"/>
          <w:color w:val="auto"/>
          <w:sz w:val="24"/>
        </w:rPr>
        <w:t>3</w:t>
      </w:r>
      <w:r>
        <w:rPr>
          <w:rFonts w:hint="eastAsia" w:ascii="宋体" w:hAnsi="宋体"/>
          <w:color w:val="auto"/>
          <w:sz w:val="24"/>
        </w:rPr>
        <w:t>家。最后报价是《响应文件》的有效组成部分。</w:t>
      </w:r>
    </w:p>
    <w:p w14:paraId="4AA3424F">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3.4</w:t>
      </w:r>
      <w:r>
        <w:rPr>
          <w:rFonts w:ascii="宋体"/>
          <w:color w:val="auto"/>
          <w:sz w:val="24"/>
        </w:rPr>
        <w:t>.</w:t>
      </w:r>
      <w:r>
        <w:rPr>
          <w:rFonts w:ascii="宋体" w:hAnsi="宋体"/>
          <w:color w:val="auto"/>
          <w:sz w:val="24"/>
        </w:rPr>
        <w:t>8</w:t>
      </w:r>
      <w:r>
        <w:rPr>
          <w:rFonts w:hint="eastAsia" w:ascii="宋体" w:hAnsi="宋体"/>
          <w:color w:val="auto"/>
          <w:sz w:val="24"/>
        </w:rPr>
        <w:t>《磋商文件》的实质性变动影响到供应商因此无法继续参加磋商的，供应商可以在提交最后报价之前退出磋商。</w:t>
      </w:r>
    </w:p>
    <w:p w14:paraId="5F86FEBB">
      <w:pPr>
        <w:autoSpaceDE w:val="0"/>
        <w:autoSpaceDN w:val="0"/>
        <w:adjustRightInd w:val="0"/>
        <w:snapToGrid w:val="0"/>
        <w:spacing w:beforeLines="50" w:line="300" w:lineRule="auto"/>
        <w:ind w:firstLine="569" w:firstLineChars="236"/>
        <w:jc w:val="left"/>
        <w:rPr>
          <w:rFonts w:ascii="黑体" w:hAnsi="黑体" w:eastAsia="黑体"/>
          <w:b/>
          <w:color w:val="auto"/>
          <w:sz w:val="24"/>
        </w:rPr>
      </w:pPr>
      <w:r>
        <w:rPr>
          <w:rFonts w:ascii="黑体" w:hAnsi="黑体" w:eastAsia="黑体"/>
          <w:b/>
          <w:color w:val="auto"/>
          <w:sz w:val="24"/>
        </w:rPr>
        <w:t xml:space="preserve">3.5 </w:t>
      </w:r>
      <w:r>
        <w:rPr>
          <w:rFonts w:hint="eastAsia" w:ascii="黑体" w:hAnsi="黑体" w:eastAsia="黑体"/>
          <w:b/>
          <w:color w:val="auto"/>
          <w:sz w:val="24"/>
        </w:rPr>
        <w:t>详细评审</w:t>
      </w:r>
    </w:p>
    <w:p w14:paraId="6F0A1AE3">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3.5.1 </w:t>
      </w:r>
      <w:r>
        <w:rPr>
          <w:rFonts w:hint="eastAsia" w:ascii="宋体"/>
          <w:color w:val="auto"/>
          <w:sz w:val="24"/>
        </w:rPr>
        <w:t>经磋商确定最终采购需求和提交最后报价的供应商后，由磋商小组采用综合评分法对提交最后报价的供应商的响应文件和最后报价进行综合评分。</w:t>
      </w:r>
    </w:p>
    <w:p w14:paraId="19F93BB9">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3.5.2 </w:t>
      </w:r>
      <w:r>
        <w:rPr>
          <w:rFonts w:hint="eastAsia" w:ascii="宋体"/>
          <w:color w:val="auto"/>
          <w:sz w:val="24"/>
        </w:rPr>
        <w:t>按本章第</w:t>
      </w:r>
      <w:r>
        <w:rPr>
          <w:rFonts w:ascii="宋体"/>
          <w:color w:val="auto"/>
          <w:sz w:val="24"/>
        </w:rPr>
        <w:t xml:space="preserve">4 </w:t>
      </w:r>
      <w:r>
        <w:rPr>
          <w:rFonts w:hint="eastAsia" w:ascii="宋体"/>
          <w:color w:val="auto"/>
          <w:sz w:val="24"/>
        </w:rPr>
        <w:t>条规定执行促进中小企业发展扶持政策。</w:t>
      </w:r>
    </w:p>
    <w:p w14:paraId="00A33BD7">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3.5.3 </w:t>
      </w:r>
      <w:r>
        <w:rPr>
          <w:rFonts w:hint="eastAsia" w:ascii="宋体"/>
          <w:color w:val="auto"/>
          <w:sz w:val="24"/>
        </w:rPr>
        <w:t>磋商小组按本章第</w:t>
      </w:r>
      <w:r>
        <w:rPr>
          <w:rFonts w:ascii="宋体"/>
          <w:color w:val="auto"/>
          <w:sz w:val="24"/>
        </w:rPr>
        <w:t xml:space="preserve">2.2 </w:t>
      </w:r>
      <w:r>
        <w:rPr>
          <w:rFonts w:hint="eastAsia" w:ascii="宋体"/>
          <w:color w:val="auto"/>
          <w:sz w:val="24"/>
        </w:rPr>
        <w:t>款规定的量化因素和分值进行打分，并计算出综合评标得分。</w:t>
      </w:r>
    </w:p>
    <w:p w14:paraId="56FA34C1">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3.5.4 .</w:t>
      </w:r>
      <w:r>
        <w:rPr>
          <w:rFonts w:hint="eastAsia" w:ascii="宋体"/>
          <w:color w:val="auto"/>
          <w:sz w:val="24"/>
        </w:rPr>
        <w:t>评分计算保留</w:t>
      </w:r>
      <w:r>
        <w:rPr>
          <w:rFonts w:ascii="宋体"/>
          <w:color w:val="auto"/>
          <w:sz w:val="24"/>
        </w:rPr>
        <w:t>2</w:t>
      </w:r>
      <w:r>
        <w:rPr>
          <w:rFonts w:hint="eastAsia" w:ascii="宋体"/>
          <w:color w:val="auto"/>
          <w:sz w:val="24"/>
        </w:rPr>
        <w:t>位小数，第三位小数四舍五入。评分计算中出现中间值时按插入法计算得分。</w:t>
      </w:r>
    </w:p>
    <w:p w14:paraId="068958B6">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3.5.5</w:t>
      </w:r>
      <w:r>
        <w:rPr>
          <w:rFonts w:hint="eastAsia" w:ascii="宋体"/>
          <w:color w:val="auto"/>
          <w:sz w:val="24"/>
        </w:rPr>
        <w:t xml:space="preserve"> 磋商小组认为供应商的报价明显低于其他通过符合性审查投标人的报价，有可能影响产品质量或者不能诚信履约的，应当要求其在合理的时间内提供书面说明，必要时提交相关证明材料；供应商不能证明其报价合理性的，磋商小组应当将其作为无效投标处理。</w:t>
      </w:r>
    </w:p>
    <w:p w14:paraId="33211B35">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3.5.6</w:t>
      </w:r>
      <w:r>
        <w:rPr>
          <w:rFonts w:hint="eastAsia" w:ascii="宋体"/>
          <w:color w:val="auto"/>
          <w:sz w:val="24"/>
        </w:rPr>
        <w:t>　在评审过程中，凡遇到《磋商文件》中无界定或界定不清，前后不一致，使磋商小组成员意见有分歧且又难于协商一致的问题，均由磋商小组予以表决。</w:t>
      </w:r>
    </w:p>
    <w:p w14:paraId="6904B089">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3.5.7  </w:t>
      </w:r>
      <w:r>
        <w:rPr>
          <w:rFonts w:hint="eastAsia" w:ascii="宋体"/>
          <w:color w:val="auto"/>
          <w:sz w:val="24"/>
        </w:rPr>
        <w:t>为规避无序竞争，评审结束后，无论成交供应商或其他提交最后报价供应商，因提供虚假材料等判定成交无效、取消成交资格的情况，均将不改变磋商小组已作出的评审打分排序。</w:t>
      </w:r>
    </w:p>
    <w:p w14:paraId="3F195ACE">
      <w:pPr>
        <w:autoSpaceDE w:val="0"/>
        <w:autoSpaceDN w:val="0"/>
        <w:adjustRightInd w:val="0"/>
        <w:snapToGrid w:val="0"/>
        <w:spacing w:beforeLines="50" w:line="300" w:lineRule="auto"/>
        <w:ind w:firstLine="569" w:firstLineChars="236"/>
        <w:jc w:val="left"/>
        <w:rPr>
          <w:rFonts w:ascii="宋体"/>
          <w:color w:val="auto"/>
          <w:sz w:val="24"/>
        </w:rPr>
      </w:pPr>
      <w:r>
        <w:rPr>
          <w:rFonts w:ascii="黑体" w:hAnsi="黑体" w:eastAsia="黑体"/>
          <w:b/>
          <w:color w:val="auto"/>
          <w:sz w:val="24"/>
        </w:rPr>
        <w:t xml:space="preserve">3.6 </w:t>
      </w:r>
      <w:r>
        <w:rPr>
          <w:rFonts w:hint="eastAsia" w:ascii="黑体" w:hAnsi="黑体" w:eastAsia="黑体"/>
          <w:b/>
          <w:color w:val="auto"/>
          <w:sz w:val="24"/>
        </w:rPr>
        <w:t>复核</w:t>
      </w:r>
      <w:r>
        <w:rPr>
          <w:rFonts w:hint="eastAsia" w:ascii="宋体"/>
          <w:color w:val="auto"/>
          <w:sz w:val="24"/>
        </w:rPr>
        <w:t>：</w:t>
      </w:r>
    </w:p>
    <w:p w14:paraId="0AC5ABF4">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3.6.1 </w:t>
      </w:r>
      <w:r>
        <w:rPr>
          <w:rFonts w:hint="eastAsia" w:ascii="宋体"/>
          <w:color w:val="auto"/>
          <w:sz w:val="24"/>
        </w:rPr>
        <w:t>磋商小组要对评分汇总情况进行复核，对评审数据进行校对、核对，特别是对排名第一的、报价最低的、被认定为无效的情形进行重点复核。</w:t>
      </w:r>
    </w:p>
    <w:p w14:paraId="2DCD3460">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3.6.2 </w:t>
      </w:r>
      <w:r>
        <w:rPr>
          <w:rFonts w:hint="eastAsia" w:ascii="宋体"/>
          <w:color w:val="auto"/>
          <w:sz w:val="24"/>
        </w:rPr>
        <w:t>磋商小组对供应商的价格分等客观评分项的评分应当一致，对其他需要借助专业知识评判的主观评分项，应当严格按照评分细则公正评分，不得超出评分标准范围，对畸高、畸低的重大差异评分书面说明理由。</w:t>
      </w:r>
    </w:p>
    <w:p w14:paraId="6B66CA76">
      <w:pPr>
        <w:autoSpaceDE w:val="0"/>
        <w:autoSpaceDN w:val="0"/>
        <w:adjustRightInd w:val="0"/>
        <w:snapToGrid w:val="0"/>
        <w:spacing w:beforeLines="50" w:line="300" w:lineRule="auto"/>
        <w:ind w:firstLine="569" w:firstLineChars="236"/>
        <w:jc w:val="left"/>
        <w:rPr>
          <w:rFonts w:ascii="黑体" w:hAnsi="黑体" w:eastAsia="黑体"/>
          <w:b/>
          <w:color w:val="auto"/>
          <w:sz w:val="24"/>
        </w:rPr>
      </w:pPr>
      <w:r>
        <w:rPr>
          <w:rFonts w:ascii="黑体" w:hAnsi="黑体" w:eastAsia="黑体"/>
          <w:b/>
          <w:color w:val="auto"/>
          <w:sz w:val="24"/>
        </w:rPr>
        <w:t xml:space="preserve">3.7 </w:t>
      </w:r>
      <w:r>
        <w:rPr>
          <w:rFonts w:hint="eastAsia" w:ascii="黑体" w:hAnsi="黑体" w:eastAsia="黑体"/>
          <w:b/>
          <w:color w:val="auto"/>
          <w:sz w:val="24"/>
        </w:rPr>
        <w:t>评审结果</w:t>
      </w:r>
    </w:p>
    <w:p w14:paraId="2CA63E9A">
      <w:pPr>
        <w:autoSpaceDE w:val="0"/>
        <w:autoSpaceDN w:val="0"/>
        <w:adjustRightInd w:val="0"/>
        <w:snapToGrid w:val="0"/>
        <w:spacing w:beforeLines="50" w:line="300" w:lineRule="auto"/>
        <w:ind w:firstLine="616" w:firstLineChars="257"/>
        <w:jc w:val="left"/>
        <w:rPr>
          <w:rFonts w:ascii="宋体"/>
          <w:color w:val="auto"/>
          <w:sz w:val="24"/>
        </w:rPr>
      </w:pPr>
      <w:r>
        <w:rPr>
          <w:rFonts w:ascii="宋体"/>
          <w:color w:val="auto"/>
          <w:sz w:val="24"/>
        </w:rPr>
        <w:t>3.7.1</w:t>
      </w:r>
      <w:r>
        <w:rPr>
          <w:rFonts w:hint="eastAsia" w:ascii="宋体"/>
          <w:color w:val="auto"/>
          <w:sz w:val="24"/>
        </w:rPr>
        <w:t>磋商小组应当根据综合评分情况，按照评审得分由高到低顺序推荐</w:t>
      </w:r>
      <w:r>
        <w:rPr>
          <w:rFonts w:ascii="宋体"/>
          <w:color w:val="auto"/>
          <w:sz w:val="24"/>
        </w:rPr>
        <w:t>3</w:t>
      </w:r>
      <w:r>
        <w:rPr>
          <w:rFonts w:hint="eastAsia" w:ascii="宋体"/>
          <w:color w:val="auto"/>
          <w:sz w:val="24"/>
        </w:rPr>
        <w:t>名以上成交候选供应商，并编写评审报告。符合本《政府采购竞争性磋商采购方式管理暂行办法》第二十一条第三款情形的，可以推荐</w:t>
      </w:r>
      <w:r>
        <w:rPr>
          <w:rFonts w:ascii="宋体"/>
          <w:color w:val="auto"/>
          <w:sz w:val="24"/>
        </w:rPr>
        <w:t>2</w:t>
      </w:r>
      <w:r>
        <w:rPr>
          <w:rFonts w:hint="eastAsia" w:ascii="宋体"/>
          <w:color w:val="auto"/>
          <w:sz w:val="24"/>
        </w:rPr>
        <w:t>家成交候选供应商。评审得分相同的，按照最后报价由低到高的顺序推荐。评审得分且最后报价相同的，按照技术指标优劣顺序推荐。</w:t>
      </w:r>
    </w:p>
    <w:p w14:paraId="6CD31B3D">
      <w:pPr>
        <w:autoSpaceDE w:val="0"/>
        <w:autoSpaceDN w:val="0"/>
        <w:adjustRightInd w:val="0"/>
        <w:snapToGrid w:val="0"/>
        <w:spacing w:beforeLines="50" w:line="300" w:lineRule="auto"/>
        <w:ind w:firstLine="566" w:firstLineChars="236"/>
        <w:jc w:val="left"/>
        <w:rPr>
          <w:rFonts w:ascii="宋体"/>
          <w:color w:val="auto"/>
          <w:sz w:val="24"/>
        </w:rPr>
      </w:pPr>
      <w:r>
        <w:rPr>
          <w:rFonts w:ascii="宋体"/>
          <w:color w:val="auto"/>
          <w:sz w:val="24"/>
        </w:rPr>
        <w:t xml:space="preserve">3.7.2 </w:t>
      </w:r>
      <w:r>
        <w:rPr>
          <w:rFonts w:hint="eastAsia" w:ascii="宋体"/>
          <w:color w:val="auto"/>
          <w:sz w:val="24"/>
        </w:rPr>
        <w:t>确定中标单位：按第三章“供应商须知前附表”</w:t>
      </w:r>
      <w:r>
        <w:rPr>
          <w:rFonts w:ascii="宋体"/>
          <w:color w:val="auto"/>
          <w:sz w:val="24"/>
        </w:rPr>
        <w:t>7.1</w:t>
      </w:r>
      <w:r>
        <w:rPr>
          <w:rFonts w:hint="eastAsia" w:ascii="宋体"/>
          <w:color w:val="auto"/>
          <w:sz w:val="24"/>
        </w:rPr>
        <w:t>款规定及本章第</w:t>
      </w:r>
      <w:r>
        <w:rPr>
          <w:rFonts w:ascii="宋体"/>
          <w:color w:val="auto"/>
          <w:sz w:val="24"/>
        </w:rPr>
        <w:t>1</w:t>
      </w:r>
      <w:r>
        <w:rPr>
          <w:rFonts w:hint="eastAsia" w:ascii="宋体"/>
          <w:color w:val="auto"/>
          <w:sz w:val="24"/>
        </w:rPr>
        <w:t>条规定。</w:t>
      </w:r>
    </w:p>
    <w:p w14:paraId="56D16C2E">
      <w:pPr>
        <w:autoSpaceDE w:val="0"/>
        <w:autoSpaceDN w:val="0"/>
        <w:adjustRightInd w:val="0"/>
        <w:snapToGrid w:val="0"/>
        <w:spacing w:beforeLines="50" w:line="300" w:lineRule="auto"/>
        <w:ind w:firstLine="569" w:firstLineChars="236"/>
        <w:jc w:val="left"/>
        <w:rPr>
          <w:rFonts w:ascii="黑体" w:hAnsi="黑体" w:eastAsia="黑体"/>
          <w:b/>
          <w:color w:val="auto"/>
          <w:sz w:val="24"/>
        </w:rPr>
      </w:pPr>
      <w:r>
        <w:rPr>
          <w:rFonts w:ascii="黑体" w:hAnsi="黑体" w:eastAsia="黑体"/>
          <w:b/>
          <w:color w:val="auto"/>
          <w:sz w:val="24"/>
        </w:rPr>
        <w:t xml:space="preserve">3.8 </w:t>
      </w:r>
      <w:r>
        <w:rPr>
          <w:rFonts w:hint="eastAsia" w:ascii="黑体" w:hAnsi="黑体" w:eastAsia="黑体"/>
          <w:b/>
          <w:color w:val="auto"/>
          <w:sz w:val="24"/>
        </w:rPr>
        <w:t>磋商终止</w:t>
      </w:r>
    </w:p>
    <w:p w14:paraId="209CAB67">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w:t>
      </w:r>
      <w:r>
        <w:rPr>
          <w:rFonts w:hint="eastAsia" w:ascii="宋体" w:hAnsi="宋体"/>
          <w:color w:val="auto"/>
          <w:sz w:val="24"/>
        </w:rPr>
        <w:t>8</w:t>
      </w:r>
      <w:r>
        <w:rPr>
          <w:rFonts w:ascii="宋体" w:hAnsi="宋体"/>
          <w:color w:val="auto"/>
          <w:sz w:val="24"/>
        </w:rPr>
        <w:t xml:space="preserve">.1 </w:t>
      </w:r>
      <w:r>
        <w:rPr>
          <w:rFonts w:hint="eastAsia" w:ascii="宋体" w:hAnsi="宋体"/>
          <w:color w:val="auto"/>
          <w:sz w:val="24"/>
        </w:rPr>
        <w:t>出现下列情形之一的，终止竞争性磋商活动：</w:t>
      </w:r>
    </w:p>
    <w:p w14:paraId="4EF115DE">
      <w:pPr>
        <w:autoSpaceDE w:val="0"/>
        <w:autoSpaceDN w:val="0"/>
        <w:adjustRightInd w:val="0"/>
        <w:snapToGrid w:val="0"/>
        <w:spacing w:line="300" w:lineRule="auto"/>
        <w:ind w:firstLine="566" w:firstLineChars="236"/>
        <w:jc w:val="left"/>
        <w:rPr>
          <w:rFonts w:asci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）因情况变化，不再符合规定的竞争性磋商采购方式适用情形的；</w:t>
      </w:r>
    </w:p>
    <w:p w14:paraId="2E4124B2">
      <w:pPr>
        <w:autoSpaceDE w:val="0"/>
        <w:autoSpaceDN w:val="0"/>
        <w:adjustRightInd w:val="0"/>
        <w:snapToGrid w:val="0"/>
        <w:spacing w:line="300" w:lineRule="auto"/>
        <w:ind w:firstLine="566" w:firstLineChars="236"/>
        <w:jc w:val="left"/>
        <w:rPr>
          <w:rFonts w:asci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）出现影响采购公正的违法、违规行为的；</w:t>
      </w:r>
    </w:p>
    <w:p w14:paraId="6CDFAF57">
      <w:pPr>
        <w:autoSpaceDE w:val="0"/>
        <w:autoSpaceDN w:val="0"/>
        <w:adjustRightInd w:val="0"/>
        <w:snapToGrid w:val="0"/>
        <w:spacing w:line="300" w:lineRule="auto"/>
        <w:ind w:firstLine="566" w:firstLineChars="236"/>
        <w:jc w:val="left"/>
        <w:rPr>
          <w:rFonts w:ascii="宋体"/>
          <w:color w:val="auto"/>
          <w:sz w:val="24"/>
        </w:rPr>
      </w:pPr>
      <w:r>
        <w:rPr>
          <w:rFonts w:hint="eastAsia" w:ascii="宋体" w:hAnsi="宋体"/>
          <w:color w:val="auto"/>
          <w:sz w:val="24"/>
        </w:rPr>
        <w:t>（</w:t>
      </w:r>
      <w:r>
        <w:rPr>
          <w:rFonts w:ascii="宋体" w:hAnsi="宋体"/>
          <w:color w:val="auto"/>
          <w:sz w:val="24"/>
        </w:rPr>
        <w:t>3</w:t>
      </w:r>
      <w:r>
        <w:rPr>
          <w:rFonts w:hint="eastAsia" w:ascii="宋体" w:hAnsi="宋体"/>
          <w:color w:val="auto"/>
          <w:sz w:val="24"/>
        </w:rPr>
        <w:t>）除《政府采购竞争性磋商采购方式管理暂行办法》第二十一条第三款规定的情形外，在采购过程中符合竞争要求的供应商或者报价未超过预算金额的供应商不足</w:t>
      </w:r>
      <w:r>
        <w:rPr>
          <w:rFonts w:ascii="宋体" w:hAnsi="宋体"/>
          <w:color w:val="auto"/>
          <w:sz w:val="24"/>
        </w:rPr>
        <w:t>3</w:t>
      </w:r>
      <w:r>
        <w:rPr>
          <w:rFonts w:hint="eastAsia" w:ascii="宋体" w:hAnsi="宋体"/>
          <w:color w:val="auto"/>
          <w:sz w:val="24"/>
        </w:rPr>
        <w:t>家的。</w:t>
      </w:r>
    </w:p>
    <w:p w14:paraId="78D8AD67">
      <w:pPr>
        <w:autoSpaceDE w:val="0"/>
        <w:autoSpaceDN w:val="0"/>
        <w:adjustRightInd w:val="0"/>
        <w:snapToGrid w:val="0"/>
        <w:spacing w:line="300" w:lineRule="auto"/>
        <w:ind w:firstLine="566" w:firstLineChars="236"/>
        <w:jc w:val="left"/>
        <w:rPr>
          <w:rFonts w:ascii="宋体"/>
          <w:color w:val="auto"/>
          <w:sz w:val="24"/>
        </w:rPr>
      </w:pPr>
      <w:r>
        <w:rPr>
          <w:rFonts w:hint="eastAsia" w:ascii="宋体" w:hAnsi="宋体"/>
          <w:color w:val="auto"/>
          <w:sz w:val="24"/>
        </w:rPr>
        <w:t>（</w:t>
      </w:r>
      <w:r>
        <w:rPr>
          <w:rFonts w:ascii="宋体" w:hAnsi="宋体"/>
          <w:color w:val="auto"/>
          <w:sz w:val="24"/>
        </w:rPr>
        <w:t>4</w:t>
      </w:r>
      <w:r>
        <w:rPr>
          <w:rFonts w:hint="eastAsia" w:ascii="宋体" w:hAnsi="宋体"/>
          <w:color w:val="auto"/>
          <w:sz w:val="24"/>
        </w:rPr>
        <w:t>）在采购活动中因重大变故，采购任务取消的。</w:t>
      </w:r>
    </w:p>
    <w:p w14:paraId="2EF7FA81">
      <w:pPr>
        <w:autoSpaceDE w:val="0"/>
        <w:autoSpaceDN w:val="0"/>
        <w:adjustRightInd w:val="0"/>
        <w:snapToGrid w:val="0"/>
        <w:spacing w:beforeLines="50" w:line="300" w:lineRule="auto"/>
        <w:ind w:firstLine="566" w:firstLineChars="236"/>
        <w:jc w:val="left"/>
        <w:rPr>
          <w:rFonts w:ascii="宋体"/>
          <w:color w:val="auto"/>
          <w:sz w:val="24"/>
        </w:rPr>
      </w:pPr>
      <w:r>
        <w:rPr>
          <w:rFonts w:ascii="宋体" w:hAnsi="宋体"/>
          <w:color w:val="auto"/>
          <w:sz w:val="24"/>
        </w:rPr>
        <w:t>3.</w:t>
      </w:r>
      <w:r>
        <w:rPr>
          <w:rFonts w:hint="eastAsia" w:ascii="宋体" w:hAnsi="宋体"/>
          <w:color w:val="auto"/>
          <w:sz w:val="24"/>
        </w:rPr>
        <w:t>8</w:t>
      </w:r>
      <w:r>
        <w:rPr>
          <w:rFonts w:ascii="宋体" w:hAnsi="宋体"/>
          <w:color w:val="auto"/>
          <w:sz w:val="24"/>
        </w:rPr>
        <w:t xml:space="preserve">.2 </w:t>
      </w:r>
      <w:r>
        <w:rPr>
          <w:rFonts w:hint="eastAsia" w:ascii="宋体" w:hAnsi="宋体"/>
          <w:color w:val="auto"/>
          <w:sz w:val="24"/>
        </w:rPr>
        <w:t>磋商小组要在采购项目（标段&lt;包&gt;）磋商失败时，出具《磋商文件》是否存在不合理条款的论证意见，要协助采购人、采购代理机构、财政部门答复质疑或处理投诉事项。　</w:t>
      </w:r>
    </w:p>
    <w:p w14:paraId="08EAC513">
      <w:pPr>
        <w:autoSpaceDE w:val="0"/>
        <w:autoSpaceDN w:val="0"/>
        <w:adjustRightInd w:val="0"/>
        <w:snapToGrid w:val="0"/>
        <w:spacing w:beforeLines="50" w:line="300" w:lineRule="auto"/>
        <w:ind w:firstLine="566" w:firstLineChars="236"/>
        <w:jc w:val="left"/>
        <w:rPr>
          <w:rFonts w:ascii="宋体"/>
          <w:color w:val="auto"/>
          <w:sz w:val="24"/>
        </w:rPr>
      </w:pPr>
    </w:p>
    <w:p w14:paraId="027E3C5D">
      <w:pPr>
        <w:widowControl w:val="0"/>
        <w:adjustRightInd w:val="0"/>
        <w:snapToGrid w:val="0"/>
        <w:spacing w:beforeLines="50" w:line="300" w:lineRule="auto"/>
        <w:ind w:left="23" w:firstLine="556"/>
        <w:jc w:val="left"/>
        <w:outlineLvl w:val="1"/>
        <w:rPr>
          <w:rFonts w:ascii="黑体" w:hAnsi="黑体" w:eastAsia="黑体" w:cs="楷体_GB2312"/>
          <w:b/>
          <w:bCs/>
          <w:color w:val="auto"/>
          <w:sz w:val="28"/>
          <w:szCs w:val="28"/>
          <w:lang w:val="zh-CN"/>
        </w:rPr>
      </w:pPr>
      <w:bookmarkStart w:id="52" w:name="_Toc192581441"/>
      <w:r>
        <w:rPr>
          <w:rFonts w:ascii="黑体" w:hAnsi="黑体" w:eastAsia="黑体" w:cs="楷体_GB2312"/>
          <w:b/>
          <w:bCs/>
          <w:color w:val="auto"/>
          <w:sz w:val="28"/>
          <w:szCs w:val="28"/>
          <w:lang w:val="zh-CN"/>
        </w:rPr>
        <w:t xml:space="preserve">4. </w:t>
      </w:r>
      <w:r>
        <w:rPr>
          <w:rFonts w:hint="eastAsia" w:ascii="黑体" w:hAnsi="黑体" w:eastAsia="黑体" w:cs="楷体_GB2312"/>
          <w:b/>
          <w:bCs/>
          <w:color w:val="auto"/>
          <w:sz w:val="28"/>
          <w:szCs w:val="28"/>
          <w:lang w:val="zh-CN"/>
        </w:rPr>
        <w:t>政府采购促进中小企业发展扶持政策</w:t>
      </w:r>
      <w:bookmarkEnd w:id="52"/>
    </w:p>
    <w:p w14:paraId="35053245">
      <w:pPr>
        <w:autoSpaceDE w:val="0"/>
        <w:autoSpaceDN w:val="0"/>
        <w:adjustRightInd w:val="0"/>
        <w:snapToGrid w:val="0"/>
        <w:spacing w:beforeLines="50" w:line="300" w:lineRule="auto"/>
        <w:ind w:firstLine="566" w:firstLineChars="236"/>
        <w:jc w:val="left"/>
        <w:rPr>
          <w:rFonts w:ascii="宋体" w:hAnsi="宋体"/>
          <w:color w:val="auto"/>
          <w:sz w:val="24"/>
        </w:rPr>
      </w:pPr>
      <w:r>
        <w:rPr>
          <w:rFonts w:hint="eastAsia" w:ascii="宋体" w:hAnsi="宋体"/>
          <w:color w:val="auto"/>
          <w:sz w:val="24"/>
        </w:rPr>
        <w:t>4.1</w:t>
      </w:r>
      <w:r>
        <w:rPr>
          <w:rFonts w:ascii="宋体" w:hAnsi="宋体"/>
          <w:color w:val="auto"/>
          <w:sz w:val="24"/>
        </w:rPr>
        <w:t>在政府采购活动中，供应商提供的货物、工程或者服务符合下列情形的， 享受</w:t>
      </w:r>
      <w:r>
        <w:rPr>
          <w:rFonts w:hint="eastAsia" w:ascii="宋体" w:hAnsi="宋体"/>
          <w:color w:val="auto"/>
          <w:sz w:val="24"/>
        </w:rPr>
        <w:t>《政府采购促进中小企业发展管理办法》</w:t>
      </w:r>
      <w:r>
        <w:rPr>
          <w:rFonts w:ascii="宋体" w:hAnsi="宋体"/>
          <w:color w:val="auto"/>
          <w:sz w:val="24"/>
        </w:rPr>
        <w:t>规定的中小企业扶持政策：</w:t>
      </w:r>
      <w:r>
        <w:rPr>
          <w:rFonts w:ascii="宋体" w:hAnsi="宋体"/>
          <w:color w:val="auto"/>
          <w:sz w:val="24"/>
        </w:rPr>
        <w:br w:type="textWrapping"/>
      </w:r>
      <w:r>
        <w:rPr>
          <w:rFonts w:ascii="宋体" w:hAnsi="宋体"/>
          <w:color w:val="auto"/>
          <w:sz w:val="24"/>
        </w:rPr>
        <w:t>（一） 在货物采购项目中，货物由中小企业制造，即货物由中小企业生产且使用该中小企业商号或者注册商标；</w:t>
      </w:r>
      <w:r>
        <w:rPr>
          <w:rFonts w:ascii="宋体" w:hAnsi="宋体"/>
          <w:color w:val="auto"/>
          <w:sz w:val="24"/>
        </w:rPr>
        <w:br w:type="textWrapping"/>
      </w:r>
      <w:r>
        <w:rPr>
          <w:rFonts w:ascii="宋体" w:hAnsi="宋体"/>
          <w:color w:val="auto"/>
          <w:sz w:val="24"/>
        </w:rPr>
        <w:t>（二） 在工程采购项目中，工程由中小企业承建，即工程施工单位为中小企业；</w:t>
      </w:r>
      <w:r>
        <w:rPr>
          <w:rFonts w:ascii="宋体" w:hAnsi="宋体"/>
          <w:color w:val="auto"/>
          <w:sz w:val="24"/>
        </w:rPr>
        <w:br w:type="textWrapping"/>
      </w:r>
      <w:r>
        <w:rPr>
          <w:rFonts w:ascii="宋体" w:hAnsi="宋体"/>
          <w:color w:val="auto"/>
          <w:sz w:val="24"/>
        </w:rPr>
        <w:t>（三）在服务采购项目中，服务由中小企业承接，即提供服务的人员为中小企业依照《中华人民共和国劳动合同法》订立劳动合同的从业人员</w:t>
      </w:r>
      <w:r>
        <w:rPr>
          <w:rFonts w:hint="eastAsia" w:ascii="宋体" w:hAnsi="宋体"/>
          <w:color w:val="auto"/>
          <w:sz w:val="24"/>
        </w:rPr>
        <w:t>。</w:t>
      </w:r>
    </w:p>
    <w:p w14:paraId="5DCD96BF">
      <w:pPr>
        <w:autoSpaceDE w:val="0"/>
        <w:autoSpaceDN w:val="0"/>
        <w:adjustRightInd w:val="0"/>
        <w:snapToGrid w:val="0"/>
        <w:spacing w:beforeLines="50" w:line="300" w:lineRule="auto"/>
        <w:ind w:firstLine="566" w:firstLineChars="236"/>
        <w:jc w:val="left"/>
        <w:rPr>
          <w:rFonts w:ascii="宋体" w:hAnsi="宋体"/>
          <w:color w:val="auto"/>
          <w:sz w:val="24"/>
        </w:rPr>
      </w:pPr>
      <w:r>
        <w:rPr>
          <w:rFonts w:ascii="宋体" w:hAnsi="宋体"/>
          <w:color w:val="auto"/>
          <w:sz w:val="24"/>
        </w:rPr>
        <w:t>在货物采购项目中，供应商提供的货物既有中小企业制造货物，也有大型企业制造货物的，不享受中小企业扶持政策。</w:t>
      </w:r>
      <w:r>
        <w:rPr>
          <w:rFonts w:ascii="宋体" w:hAnsi="宋体"/>
          <w:color w:val="auto"/>
          <w:sz w:val="24"/>
        </w:rPr>
        <w:br w:type="textWrapping"/>
      </w:r>
      <w:r>
        <w:rPr>
          <w:rFonts w:ascii="宋体" w:hAnsi="宋体"/>
          <w:color w:val="auto"/>
          <w:sz w:val="24"/>
        </w:rPr>
        <w:t>以联合体形式参加政府采购活动，联合体各方均为中小企业的，联合体视同中小企业。其中，联合体各方均为小微企业的，联合体视同小微企业。</w:t>
      </w:r>
    </w:p>
    <w:p w14:paraId="68675967">
      <w:pPr>
        <w:autoSpaceDE w:val="0"/>
        <w:autoSpaceDN w:val="0"/>
        <w:adjustRightInd w:val="0"/>
        <w:snapToGrid w:val="0"/>
        <w:spacing w:beforeLines="50" w:line="300" w:lineRule="auto"/>
        <w:ind w:firstLine="566" w:firstLineChars="236"/>
        <w:jc w:val="left"/>
        <w:rPr>
          <w:rFonts w:ascii="宋体" w:hAnsi="宋体"/>
          <w:color w:val="auto"/>
          <w:sz w:val="24"/>
        </w:rPr>
      </w:pPr>
      <w:r>
        <w:rPr>
          <w:rFonts w:hint="eastAsia" w:ascii="宋体" w:hAnsi="宋体"/>
          <w:color w:val="auto"/>
          <w:sz w:val="24"/>
        </w:rPr>
        <w:t>4.2 符合中小企业划分标准的个体工商户，在政府采购活动中视同中小企业。</w:t>
      </w:r>
    </w:p>
    <w:p w14:paraId="14D871D7">
      <w:pPr>
        <w:adjustRightInd w:val="0"/>
        <w:snapToGrid w:val="0"/>
        <w:spacing w:beforeLines="50" w:line="300" w:lineRule="auto"/>
        <w:ind w:firstLine="555"/>
        <w:rPr>
          <w:rFonts w:ascii="宋体" w:hAnsi="宋体"/>
          <w:color w:val="auto"/>
          <w:sz w:val="24"/>
        </w:rPr>
      </w:pPr>
      <w:r>
        <w:rPr>
          <w:rFonts w:ascii="宋体" w:hAnsi="宋体"/>
          <w:color w:val="auto"/>
          <w:sz w:val="24"/>
        </w:rPr>
        <w:t>4.</w:t>
      </w:r>
      <w:r>
        <w:rPr>
          <w:rFonts w:hint="eastAsia" w:ascii="宋体" w:hAnsi="宋体"/>
          <w:color w:val="auto"/>
          <w:sz w:val="24"/>
        </w:rPr>
        <w:t>3监狱企业、符合法</w:t>
      </w:r>
      <w:r>
        <w:rPr>
          <w:rFonts w:ascii="宋体" w:hAnsi="宋体"/>
          <w:color w:val="auto"/>
          <w:sz w:val="24"/>
        </w:rPr>
        <w:t>定</w:t>
      </w:r>
      <w:r>
        <w:rPr>
          <w:rFonts w:hint="eastAsia" w:ascii="宋体" w:hAnsi="宋体"/>
          <w:color w:val="auto"/>
          <w:sz w:val="24"/>
        </w:rPr>
        <w:t>条件的残疾人福利性单位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符合法定条件的残疾人福利性单位提供财库〔2017〕141号规定的《残疾人福利性单位声明函》，残疾人福利性单位属于小型、微型企业的，不重复享受政策。</w:t>
      </w:r>
    </w:p>
    <w:p w14:paraId="6DB82B1E">
      <w:pPr>
        <w:adjustRightInd w:val="0"/>
        <w:snapToGrid w:val="0"/>
        <w:spacing w:beforeLines="50" w:line="300" w:lineRule="auto"/>
        <w:ind w:firstLine="555"/>
        <w:rPr>
          <w:rFonts w:ascii="宋体" w:hAnsi="宋体"/>
          <w:color w:val="auto"/>
          <w:sz w:val="24"/>
        </w:rPr>
      </w:pPr>
      <w:r>
        <w:rPr>
          <w:rFonts w:ascii="宋体" w:hAnsi="宋体"/>
          <w:color w:val="auto"/>
          <w:sz w:val="24"/>
        </w:rPr>
        <w:t>4.</w:t>
      </w:r>
      <w:r>
        <w:rPr>
          <w:rFonts w:hint="eastAsia" w:ascii="宋体" w:hAnsi="宋体"/>
          <w:color w:val="auto"/>
          <w:sz w:val="24"/>
        </w:rPr>
        <w:t>3</w:t>
      </w:r>
      <w:r>
        <w:rPr>
          <w:rFonts w:ascii="宋体" w:hAnsi="宋体"/>
          <w:color w:val="auto"/>
          <w:sz w:val="24"/>
        </w:rPr>
        <w:t>.1</w:t>
      </w:r>
      <w:r>
        <w:rPr>
          <w:rFonts w:hint="eastAsia" w:ascii="宋体" w:hAnsi="宋体"/>
          <w:color w:val="auto"/>
          <w:sz w:val="24"/>
        </w:rPr>
        <w:t xml:space="preserve"> 享受政府采购支持政策的残疾人福利性单位应当同时满足以下条件：</w:t>
      </w:r>
    </w:p>
    <w:p w14:paraId="23A6134E">
      <w:pPr>
        <w:adjustRightInd w:val="0"/>
        <w:snapToGrid w:val="0"/>
        <w:spacing w:beforeLines="50" w:line="300" w:lineRule="auto"/>
        <w:ind w:firstLine="555"/>
        <w:rPr>
          <w:rFonts w:ascii="宋体" w:hAnsi="宋体"/>
          <w:color w:val="auto"/>
          <w:sz w:val="24"/>
        </w:rPr>
      </w:pPr>
      <w:r>
        <w:rPr>
          <w:rFonts w:hint="eastAsia" w:ascii="宋体" w:hAnsi="宋体"/>
          <w:color w:val="auto"/>
          <w:sz w:val="24"/>
        </w:rPr>
        <w:t>（1）安置的残疾人占本单位在职职工人数的比例不低于25%（含25%），并且安置的残疾人人数不少于10人（含10人）；</w:t>
      </w:r>
    </w:p>
    <w:p w14:paraId="234BC8D5">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（2）依法与安置的每位残疾人签订了一年以上（含一年）的劳动合同或服务协议；</w:t>
      </w:r>
    </w:p>
    <w:p w14:paraId="3433DB64">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（3）为安置的每位残疾人按月足额缴纳了基本养老保险、基本医疗保险、失业保险、工伤保险和生育保险等社会保险费；</w:t>
      </w:r>
    </w:p>
    <w:p w14:paraId="5C0205CB">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（4）通过银行等金融机构向安置的每位残疾人，按月支付了不低于单位所在区县适用的经省级人民政府批准的月最低工资标准的工资；</w:t>
      </w:r>
    </w:p>
    <w:p w14:paraId="0341EA3A">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（5）提供本单位制造的货物、承担的工程或者服务（以下简称产品），或者提供其他残疾人福利性单位制造的货物（不包括使用非残疾人福利性单位注册商标的货物）。</w:t>
      </w:r>
    </w:p>
    <w:p w14:paraId="1074C588">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5CE434">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4.4 参加本次政府采购项目的中小企业应按附件格式提供《中小企业声明函》。如磋商文件接受以联合体形式参加投标的，联合体各方均应按附件格式提供《中小企业声明函》。</w:t>
      </w:r>
    </w:p>
    <w:p w14:paraId="5168F529">
      <w:pPr>
        <w:adjustRightInd w:val="0"/>
        <w:snapToGrid w:val="0"/>
        <w:spacing w:beforeLines="50" w:line="300" w:lineRule="auto"/>
        <w:ind w:firstLine="555"/>
        <w:rPr>
          <w:rFonts w:ascii="宋体" w:hAnsi="宋体" w:cs="宋体"/>
          <w:color w:val="auto"/>
          <w:sz w:val="24"/>
          <w:szCs w:val="24"/>
        </w:rPr>
      </w:pPr>
      <w:r>
        <w:rPr>
          <w:rFonts w:hint="eastAsia" w:ascii="宋体" w:hAnsi="宋体" w:cs="宋体"/>
          <w:color w:val="auto"/>
          <w:sz w:val="24"/>
          <w:szCs w:val="24"/>
        </w:rPr>
        <w:t>供应商按照财库〔2020〕46号规定及磋商文件要求提供声明函内容不实的，属于提供虚假材料谋取中标、成交，依照《中华人民共和国政府采购法》等国家有关规定追究相应责任。</w:t>
      </w:r>
    </w:p>
    <w:p w14:paraId="0BDBDB5F">
      <w:pPr>
        <w:adjustRightInd w:val="0"/>
        <w:snapToGrid w:val="0"/>
        <w:spacing w:beforeLines="50" w:line="360" w:lineRule="auto"/>
        <w:ind w:firstLine="480" w:firstLineChars="200"/>
        <w:rPr>
          <w:color w:val="auto"/>
          <w:sz w:val="24"/>
          <w:szCs w:val="24"/>
        </w:rPr>
      </w:pPr>
      <w:r>
        <w:rPr>
          <w:rFonts w:ascii="宋体" w:hAnsi="宋体"/>
          <w:color w:val="auto"/>
          <w:sz w:val="24"/>
        </w:rPr>
        <w:t>4.</w:t>
      </w:r>
      <w:r>
        <w:rPr>
          <w:rFonts w:hint="eastAsia" w:ascii="宋体" w:hAnsi="宋体"/>
          <w:color w:val="auto"/>
          <w:sz w:val="24"/>
        </w:rPr>
        <w:t>5本次政府采购项目专门面向中小企业，专门面向中小企业的采购项目无价格扣除。</w:t>
      </w:r>
      <w:r>
        <w:rPr>
          <w:rFonts w:hint="eastAsia"/>
          <w:color w:val="auto"/>
          <w:sz w:val="24"/>
          <w:szCs w:val="24"/>
        </w:rPr>
        <w:t>供应商无需申报小微企业价格扣除。</w:t>
      </w:r>
    </w:p>
    <w:p w14:paraId="6D15A8C9">
      <w:pPr>
        <w:adjustRightInd w:val="0"/>
        <w:snapToGrid w:val="0"/>
        <w:spacing w:beforeLines="50" w:line="300" w:lineRule="auto"/>
        <w:ind w:firstLine="555"/>
        <w:rPr>
          <w:rFonts w:ascii="宋体" w:hAnsi="宋体"/>
          <w:color w:val="auto"/>
          <w:sz w:val="24"/>
        </w:rPr>
      </w:pPr>
      <w:r>
        <w:rPr>
          <w:rFonts w:hint="eastAsia" w:ascii="宋体" w:hAnsi="宋体"/>
          <w:color w:val="auto"/>
          <w:sz w:val="24"/>
        </w:rPr>
        <w:t>4.6根据财政部、工业和信息化部有关负责人就印发《政府采购促进中小企业发展管理办法》答记者问，为方便广大中小企业、政府部门和社会公众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14:paraId="67576DD9">
      <w:pPr>
        <w:adjustRightInd w:val="0"/>
        <w:snapToGrid w:val="0"/>
        <w:spacing w:beforeLines="50" w:line="300" w:lineRule="auto"/>
        <w:ind w:firstLine="555"/>
        <w:rPr>
          <w:rFonts w:ascii="宋体" w:hAnsi="宋体"/>
          <w:color w:val="auto"/>
          <w:sz w:val="24"/>
        </w:rPr>
      </w:pPr>
      <w:r>
        <w:rPr>
          <w:rFonts w:hint="eastAsia" w:ascii="宋体" w:hAnsi="宋体"/>
          <w:color w:val="auto"/>
          <w:sz w:val="24"/>
        </w:rPr>
        <w:t>4.7中标、成交供应商享受中小企业扶持政策的，中标、成交供应商的《中小企业声明函》将随中标、成交结果公开。</w:t>
      </w:r>
    </w:p>
    <w:p w14:paraId="0E15F68B">
      <w:pPr>
        <w:adjustRightInd w:val="0"/>
        <w:snapToGrid w:val="0"/>
        <w:spacing w:beforeLines="50" w:line="300" w:lineRule="auto"/>
        <w:ind w:firstLine="555"/>
        <w:rPr>
          <w:rFonts w:ascii="宋体" w:hAnsi="宋体"/>
          <w:color w:val="auto"/>
          <w:sz w:val="24"/>
        </w:rPr>
      </w:pPr>
      <w:r>
        <w:rPr>
          <w:rFonts w:hint="eastAsia" w:ascii="宋体" w:hAnsi="宋体"/>
          <w:color w:val="auto"/>
          <w:sz w:val="24"/>
        </w:rPr>
        <w:t>4.8依法享受扶持政策获得政府采购合同的，小微企业不得将合同分包给大中型企业，中型企业不得将合同分包给大型企业。</w:t>
      </w:r>
    </w:p>
    <w:p w14:paraId="1B071ECA">
      <w:pPr>
        <w:adjustRightInd w:val="0"/>
        <w:snapToGrid w:val="0"/>
        <w:spacing w:beforeLines="50" w:line="300" w:lineRule="auto"/>
        <w:ind w:firstLine="555"/>
        <w:rPr>
          <w:rFonts w:ascii="宋体" w:hAnsi="宋体"/>
          <w:color w:val="auto"/>
          <w:sz w:val="24"/>
        </w:rPr>
      </w:pPr>
      <w:r>
        <w:rPr>
          <w:rFonts w:hint="eastAsia" w:ascii="宋体" w:hAnsi="宋体"/>
          <w:color w:val="auto"/>
          <w:sz w:val="24"/>
        </w:rPr>
        <w:t>4.9政府采购监督检查、投诉处理及政府采购行政处罚中对中小企业的认定，由货物制造商或者工程、服务供应商注册登记所在地的县级以上人民政府中小企业主管部门负责。</w:t>
      </w:r>
    </w:p>
    <w:p w14:paraId="362EAFE9">
      <w:pPr>
        <w:widowControl w:val="0"/>
        <w:adjustRightInd w:val="0"/>
        <w:snapToGrid w:val="0"/>
        <w:spacing w:beforeLines="50" w:line="300" w:lineRule="auto"/>
        <w:ind w:firstLine="555"/>
        <w:rPr>
          <w:color w:val="auto"/>
          <w:sz w:val="24"/>
          <w:szCs w:val="24"/>
        </w:rPr>
      </w:pPr>
      <w:r>
        <w:rPr>
          <w:color w:val="auto"/>
          <w:sz w:val="24"/>
          <w:szCs w:val="24"/>
        </w:rPr>
        <w:br w:type="page"/>
      </w:r>
    </w:p>
    <w:p w14:paraId="37C38F1D">
      <w:pPr>
        <w:widowControl w:val="0"/>
        <w:adjustRightInd w:val="0"/>
        <w:snapToGrid w:val="0"/>
        <w:spacing w:beforeLines="50" w:line="300" w:lineRule="auto"/>
        <w:ind w:firstLine="555"/>
        <w:jc w:val="center"/>
        <w:outlineLvl w:val="0"/>
        <w:rPr>
          <w:rFonts w:ascii="黑体" w:eastAsia="黑体"/>
          <w:b/>
          <w:color w:val="auto"/>
          <w:sz w:val="36"/>
          <w:szCs w:val="36"/>
        </w:rPr>
      </w:pPr>
      <w:r>
        <w:rPr>
          <w:rFonts w:hint="eastAsia" w:ascii="黑体" w:eastAsia="黑体"/>
          <w:b/>
          <w:color w:val="auto"/>
          <w:sz w:val="36"/>
          <w:szCs w:val="36"/>
        </w:rPr>
        <w:t>第五</w:t>
      </w:r>
      <w:r>
        <w:rPr>
          <w:rFonts w:hint="eastAsia" w:ascii="黑体" w:eastAsia="黑体"/>
          <w:b/>
          <w:color w:val="auto"/>
          <w:sz w:val="36"/>
          <w:szCs w:val="36"/>
          <w:lang w:val="en-US" w:eastAsia="zh-CN"/>
        </w:rPr>
        <w:t>部分</w:t>
      </w:r>
      <w:r>
        <w:rPr>
          <w:rFonts w:hint="eastAsia" w:ascii="黑体" w:eastAsia="黑体"/>
          <w:b/>
          <w:color w:val="auto"/>
          <w:sz w:val="36"/>
          <w:szCs w:val="36"/>
        </w:rPr>
        <w:t xml:space="preserve">  合同（格式）</w:t>
      </w:r>
    </w:p>
    <w:p w14:paraId="02405B6A">
      <w:pPr>
        <w:widowControl w:val="0"/>
        <w:snapToGrid w:val="0"/>
        <w:spacing w:line="657" w:lineRule="atLeast"/>
        <w:rPr>
          <w:rFonts w:ascii="黑体" w:eastAsia="黑体"/>
          <w:b/>
          <w:color w:val="auto"/>
          <w:spacing w:val="20"/>
          <w:sz w:val="36"/>
          <w:szCs w:val="36"/>
        </w:rPr>
      </w:pPr>
    </w:p>
    <w:p w14:paraId="6D24A226">
      <w:pPr>
        <w:spacing w:before="130" w:line="218" w:lineRule="auto"/>
        <w:jc w:val="center"/>
        <w:rPr>
          <w:rFonts w:ascii="宋体" w:hAnsi="宋体" w:cs="宋体"/>
          <w:color w:val="auto"/>
          <w:sz w:val="40"/>
          <w:szCs w:val="40"/>
        </w:rPr>
      </w:pPr>
      <w:r>
        <w:rPr>
          <w:rFonts w:hint="eastAsia" w:ascii="宋体" w:hAnsi="宋体" w:cs="宋体"/>
          <w:b/>
          <w:bCs/>
          <w:color w:val="auto"/>
          <w:spacing w:val="-37"/>
          <w:sz w:val="40"/>
          <w:szCs w:val="40"/>
        </w:rPr>
        <w:t>政府采购服务买卖合同</w:t>
      </w:r>
    </w:p>
    <w:p w14:paraId="0842AD10">
      <w:pPr>
        <w:pStyle w:val="8"/>
        <w:spacing w:line="252" w:lineRule="auto"/>
        <w:rPr>
          <w:color w:val="auto"/>
        </w:rPr>
      </w:pPr>
    </w:p>
    <w:p w14:paraId="2548D682">
      <w:pPr>
        <w:pStyle w:val="8"/>
        <w:spacing w:line="252" w:lineRule="auto"/>
        <w:rPr>
          <w:color w:val="auto"/>
        </w:rPr>
      </w:pPr>
    </w:p>
    <w:p w14:paraId="69DAE264">
      <w:pPr>
        <w:pStyle w:val="8"/>
        <w:spacing w:line="252" w:lineRule="auto"/>
        <w:rPr>
          <w:color w:val="auto"/>
        </w:rPr>
      </w:pPr>
    </w:p>
    <w:p w14:paraId="2A5788B1">
      <w:pPr>
        <w:pStyle w:val="8"/>
        <w:spacing w:line="252" w:lineRule="auto"/>
        <w:rPr>
          <w:color w:val="auto"/>
        </w:rPr>
      </w:pPr>
    </w:p>
    <w:p w14:paraId="75B038C1">
      <w:pPr>
        <w:pStyle w:val="8"/>
        <w:spacing w:line="252" w:lineRule="auto"/>
        <w:rPr>
          <w:color w:val="auto"/>
        </w:rPr>
      </w:pPr>
    </w:p>
    <w:p w14:paraId="030E2031">
      <w:pPr>
        <w:pStyle w:val="8"/>
        <w:spacing w:line="252" w:lineRule="auto"/>
        <w:rPr>
          <w:color w:val="auto"/>
        </w:rPr>
      </w:pPr>
    </w:p>
    <w:p w14:paraId="2F6F6BF2">
      <w:pPr>
        <w:pStyle w:val="8"/>
        <w:spacing w:line="252" w:lineRule="auto"/>
        <w:rPr>
          <w:color w:val="auto"/>
        </w:rPr>
      </w:pPr>
    </w:p>
    <w:p w14:paraId="35B0A5CE">
      <w:pPr>
        <w:spacing w:before="91" w:line="220" w:lineRule="auto"/>
        <w:ind w:firstLine="1360" w:firstLineChars="500"/>
        <w:jc w:val="left"/>
        <w:rPr>
          <w:rFonts w:ascii="宋体" w:hAnsi="宋体" w:cs="宋体"/>
          <w:color w:val="auto"/>
          <w:sz w:val="28"/>
          <w:szCs w:val="28"/>
        </w:rPr>
      </w:pPr>
      <w:r>
        <w:rPr>
          <w:rFonts w:hint="eastAsia" w:ascii="宋体" w:hAnsi="宋体" w:cs="宋体"/>
          <w:color w:val="auto"/>
          <w:spacing w:val="-4"/>
          <w:sz w:val="28"/>
          <w:szCs w:val="28"/>
        </w:rPr>
        <w:t>项目名称：</w:t>
      </w:r>
    </w:p>
    <w:p w14:paraId="6E2740CB">
      <w:pPr>
        <w:spacing w:before="234" w:line="218" w:lineRule="auto"/>
        <w:ind w:firstLine="1370" w:firstLineChars="500"/>
        <w:jc w:val="left"/>
        <w:rPr>
          <w:rFonts w:ascii="宋体" w:hAnsi="宋体" w:cs="宋体"/>
          <w:color w:val="auto"/>
          <w:sz w:val="28"/>
          <w:szCs w:val="28"/>
          <w:u w:val="single"/>
        </w:rPr>
      </w:pPr>
      <w:r>
        <w:rPr>
          <w:rFonts w:hint="eastAsia" w:ascii="宋体" w:hAnsi="宋体" w:cs="宋体"/>
          <w:color w:val="auto"/>
          <w:spacing w:val="-3"/>
          <w:sz w:val="28"/>
          <w:szCs w:val="28"/>
        </w:rPr>
        <w:t>合同编号：</w:t>
      </w:r>
    </w:p>
    <w:p w14:paraId="64FC4B5B">
      <w:pPr>
        <w:spacing w:before="234" w:line="218" w:lineRule="auto"/>
        <w:ind w:firstLine="1296" w:firstLineChars="600"/>
        <w:jc w:val="left"/>
        <w:rPr>
          <w:rFonts w:ascii="宋体" w:hAnsi="宋体" w:cs="宋体"/>
          <w:color w:val="auto"/>
          <w:sz w:val="28"/>
          <w:szCs w:val="28"/>
        </w:rPr>
      </w:pPr>
      <w:r>
        <w:rPr>
          <w:rFonts w:hint="eastAsia" w:ascii="宋体" w:hAnsi="宋体" w:cs="宋体"/>
          <w:color w:val="auto"/>
          <w:spacing w:val="-32"/>
          <w:sz w:val="28"/>
          <w:szCs w:val="28"/>
        </w:rPr>
        <w:t>甲方：</w:t>
      </w:r>
    </w:p>
    <w:p w14:paraId="27BEF88C">
      <w:pPr>
        <w:spacing w:before="233" w:line="220" w:lineRule="auto"/>
        <w:ind w:firstLine="1332" w:firstLineChars="600"/>
        <w:jc w:val="left"/>
        <w:rPr>
          <w:rFonts w:ascii="宋体" w:hAnsi="宋体" w:cs="宋体"/>
          <w:color w:val="auto"/>
          <w:sz w:val="28"/>
          <w:szCs w:val="28"/>
          <w:u w:val="single"/>
        </w:rPr>
      </w:pPr>
      <w:r>
        <w:rPr>
          <w:rFonts w:hint="eastAsia" w:ascii="宋体" w:hAnsi="宋体" w:cs="宋体"/>
          <w:color w:val="auto"/>
          <w:spacing w:val="-29"/>
          <w:sz w:val="28"/>
          <w:szCs w:val="28"/>
        </w:rPr>
        <w:t>乙方：</w:t>
      </w:r>
    </w:p>
    <w:p w14:paraId="3C8D12A6">
      <w:pPr>
        <w:spacing w:before="233" w:line="220" w:lineRule="auto"/>
        <w:ind w:firstLine="1370" w:firstLineChars="500"/>
        <w:jc w:val="left"/>
        <w:rPr>
          <w:rFonts w:ascii="宋体" w:hAnsi="宋体" w:cs="宋体"/>
          <w:color w:val="auto"/>
          <w:sz w:val="28"/>
          <w:szCs w:val="28"/>
          <w:u w:val="single"/>
        </w:rPr>
      </w:pPr>
      <w:r>
        <w:rPr>
          <w:rFonts w:hint="eastAsia" w:ascii="宋体" w:hAnsi="宋体" w:cs="宋体"/>
          <w:color w:val="auto"/>
          <w:spacing w:val="-3"/>
          <w:sz w:val="28"/>
          <w:szCs w:val="28"/>
        </w:rPr>
        <w:t>签订时间：</w:t>
      </w:r>
    </w:p>
    <w:p w14:paraId="132D238C">
      <w:pPr>
        <w:spacing w:before="233" w:line="220" w:lineRule="auto"/>
        <w:ind w:firstLine="1400" w:firstLineChars="500"/>
        <w:jc w:val="left"/>
        <w:rPr>
          <w:rFonts w:ascii="宋体" w:hAnsi="宋体" w:cs="宋体"/>
          <w:color w:val="auto"/>
          <w:sz w:val="28"/>
          <w:szCs w:val="28"/>
          <w:u w:val="single"/>
        </w:rPr>
      </w:pPr>
    </w:p>
    <w:p w14:paraId="2EE29BF5">
      <w:pPr>
        <w:spacing w:before="233" w:line="220" w:lineRule="auto"/>
        <w:ind w:firstLine="1400" w:firstLineChars="500"/>
        <w:jc w:val="left"/>
        <w:rPr>
          <w:rFonts w:ascii="宋体" w:hAnsi="宋体" w:cs="宋体"/>
          <w:color w:val="auto"/>
          <w:sz w:val="28"/>
          <w:szCs w:val="28"/>
          <w:u w:val="single"/>
        </w:rPr>
      </w:pPr>
    </w:p>
    <w:p w14:paraId="142FADEB">
      <w:pPr>
        <w:spacing w:before="233" w:line="220" w:lineRule="auto"/>
        <w:ind w:firstLine="1400" w:firstLineChars="500"/>
        <w:jc w:val="left"/>
        <w:rPr>
          <w:rFonts w:ascii="宋体" w:hAnsi="宋体" w:cs="宋体"/>
          <w:color w:val="auto"/>
          <w:sz w:val="28"/>
          <w:szCs w:val="28"/>
          <w:u w:val="single"/>
        </w:rPr>
      </w:pPr>
    </w:p>
    <w:p w14:paraId="0B0AF20F">
      <w:pPr>
        <w:rPr>
          <w:rFonts w:ascii="宋体" w:hAnsi="宋体" w:cs="宋体"/>
          <w:color w:val="auto"/>
          <w:sz w:val="28"/>
          <w:szCs w:val="28"/>
          <w:u w:val="single"/>
        </w:rPr>
      </w:pPr>
      <w:r>
        <w:rPr>
          <w:rFonts w:hint="eastAsia" w:ascii="宋体" w:hAnsi="宋体" w:cs="宋体"/>
          <w:color w:val="auto"/>
          <w:sz w:val="28"/>
          <w:szCs w:val="28"/>
          <w:u w:val="single"/>
        </w:rPr>
        <w:br w:type="page"/>
      </w:r>
    </w:p>
    <w:p w14:paraId="794E6CC4">
      <w:pPr>
        <w:jc w:val="center"/>
        <w:rPr>
          <w:rFonts w:ascii="宋体" w:hAnsi="宋体" w:cs="宋体"/>
          <w:b/>
          <w:bCs/>
          <w:color w:val="auto"/>
          <w:sz w:val="44"/>
          <w:szCs w:val="44"/>
        </w:rPr>
      </w:pPr>
      <w:r>
        <w:rPr>
          <w:rFonts w:hint="eastAsia" w:ascii="宋体" w:hAnsi="宋体" w:cs="宋体"/>
          <w:b/>
          <w:bCs/>
          <w:color w:val="auto"/>
          <w:sz w:val="44"/>
          <w:szCs w:val="44"/>
        </w:rPr>
        <w:t>使用说明</w:t>
      </w:r>
    </w:p>
    <w:p w14:paraId="029C938C">
      <w:pPr>
        <w:ind w:firstLine="640" w:firstLineChars="200"/>
        <w:rPr>
          <w:rFonts w:ascii="仿宋_GB2312" w:hAnsi="仿宋_GB2312" w:eastAsia="仿宋_GB2312" w:cs="仿宋_GB2312"/>
          <w:color w:val="auto"/>
          <w:sz w:val="32"/>
          <w:szCs w:val="32"/>
        </w:rPr>
      </w:pPr>
    </w:p>
    <w:p w14:paraId="400ED83C">
      <w:pPr>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1.本合同标准文本适用于购买现成服务的采购项目。</w:t>
      </w:r>
    </w:p>
    <w:p w14:paraId="78BAF081">
      <w:pPr>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2.本合同标准文本为政府采购服务买卖合同编制提供参考，可以结合采购项目具体情况，对文本作必要的调整修订后使用。</w:t>
      </w:r>
    </w:p>
    <w:p w14:paraId="6C7BCD4A">
      <w:pPr>
        <w:spacing w:line="360" w:lineRule="auto"/>
        <w:ind w:firstLine="560" w:firstLineChars="200"/>
        <w:rPr>
          <w:rFonts w:ascii="宋体" w:hAnsi="宋体" w:cs="宋体"/>
          <w:color w:val="auto"/>
          <w:sz w:val="28"/>
          <w:szCs w:val="28"/>
        </w:rPr>
      </w:pPr>
      <w:r>
        <w:rPr>
          <w:rFonts w:hint="eastAsia" w:ascii="宋体" w:hAnsi="宋体" w:cs="宋体"/>
          <w:color w:val="auto"/>
          <w:sz w:val="28"/>
          <w:szCs w:val="28"/>
        </w:rPr>
        <w:t>3.本合同标准文本各条款中，如涉及填写多家供应商、制造商，多种采购标的、分包主要内容等信息的，可根据采购项目具体情况添加信息项。</w:t>
      </w:r>
    </w:p>
    <w:p w14:paraId="23C413B2">
      <w:pPr>
        <w:rPr>
          <w:rFonts w:ascii="宋体" w:hAnsi="宋体" w:cs="宋体"/>
          <w:color w:val="auto"/>
          <w:sz w:val="28"/>
          <w:szCs w:val="28"/>
          <w:u w:val="single"/>
        </w:rPr>
      </w:pPr>
      <w:r>
        <w:rPr>
          <w:rFonts w:hint="eastAsia" w:ascii="宋体" w:hAnsi="宋体" w:cs="宋体"/>
          <w:color w:val="auto"/>
          <w:sz w:val="28"/>
          <w:szCs w:val="28"/>
          <w:u w:val="single"/>
        </w:rPr>
        <w:br w:type="page"/>
      </w:r>
    </w:p>
    <w:p w14:paraId="5E6FEAE9">
      <w:pPr>
        <w:pStyle w:val="5"/>
        <w:tabs>
          <w:tab w:val="left" w:pos="432"/>
        </w:tabs>
        <w:adjustRightInd w:val="0"/>
        <w:snapToGrid w:val="0"/>
        <w:spacing w:line="400" w:lineRule="exact"/>
        <w:jc w:val="center"/>
        <w:rPr>
          <w:rFonts w:ascii="宋体" w:hAnsi="宋体" w:cs="宋体"/>
          <w:color w:val="auto"/>
          <w:szCs w:val="21"/>
        </w:rPr>
      </w:pPr>
      <w:bookmarkStart w:id="53" w:name="_Toc2700"/>
      <w:r>
        <w:rPr>
          <w:rFonts w:hint="eastAsia" w:ascii="宋体" w:hAnsi="宋体" w:cs="宋体"/>
          <w:color w:val="auto"/>
        </w:rPr>
        <w:t>第一节 政府采购合同协议书</w:t>
      </w:r>
      <w:bookmarkEnd w:id="53"/>
    </w:p>
    <w:p w14:paraId="4DCBD2E9">
      <w:pPr>
        <w:pStyle w:val="5"/>
        <w:tabs>
          <w:tab w:val="left" w:pos="432"/>
        </w:tabs>
        <w:adjustRightInd w:val="0"/>
        <w:snapToGrid w:val="0"/>
        <w:spacing w:line="400" w:lineRule="exact"/>
        <w:jc w:val="center"/>
        <w:rPr>
          <w:rFonts w:asciiTheme="minorEastAsia" w:hAnsiTheme="minorEastAsia" w:eastAsiaTheme="minorEastAsia" w:cstheme="minorEastAsia"/>
          <w:color w:val="auto"/>
          <w:sz w:val="21"/>
          <w:szCs w:val="24"/>
        </w:rPr>
      </w:pPr>
    </w:p>
    <w:p w14:paraId="2BE51935">
      <w:pPr>
        <w:adjustRightInd w:val="0"/>
        <w:snapToGrid w:val="0"/>
        <w:spacing w:line="400" w:lineRule="exact"/>
        <w:rPr>
          <w:rFonts w:ascii="宋体" w:hAnsi="宋体" w:cs="宋体"/>
          <w:color w:val="auto"/>
          <w:sz w:val="24"/>
          <w:szCs w:val="24"/>
        </w:rPr>
      </w:pPr>
      <w:bookmarkStart w:id="54" w:name="OLE_LINK77"/>
      <w:bookmarkStart w:id="55" w:name="OLE_LINK78"/>
      <w:r>
        <w:rPr>
          <w:rFonts w:hint="eastAsia" w:ascii="宋体" w:hAnsi="宋体" w:cs="宋体"/>
          <w:color w:val="auto"/>
          <w:sz w:val="24"/>
          <w:szCs w:val="24"/>
        </w:rPr>
        <w:t>甲方（全称）：（采购人、受采购人委托签订合同的单位或采购文件约定的合同甲方）</w:t>
      </w:r>
    </w:p>
    <w:p w14:paraId="71686844">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乙方1（全称）：（供应商）</w:t>
      </w:r>
    </w:p>
    <w:p w14:paraId="2E1A63ED">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乙方 2（全称）：（联合体成员供应商或其他合同主体）（如有）</w:t>
      </w:r>
    </w:p>
    <w:p w14:paraId="2A6B2158">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乙方 3（全称）：（联合体成员供应商或其他合同主体）（如有）</w:t>
      </w:r>
    </w:p>
    <w:p w14:paraId="60492DA0">
      <w:pPr>
        <w:spacing w:line="400" w:lineRule="exact"/>
        <w:rPr>
          <w:rFonts w:ascii="宋体" w:hAnsi="宋体" w:cs="宋体"/>
          <w:color w:val="auto"/>
          <w:sz w:val="24"/>
          <w:szCs w:val="24"/>
        </w:rPr>
      </w:pPr>
    </w:p>
    <w:p w14:paraId="6753B84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根据《中华人民共和国政府采购法》、《中华人民共和国民法典》及其他有关法律法规之规定，本合同当事人遵循平等、自愿、公平和诚实信用原则，在本项目经过政府采购的基础上，经协商一致，同意按下述条款和条件签署本合同：</w:t>
      </w:r>
    </w:p>
    <w:p w14:paraId="6CBE17B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定义</w:t>
      </w:r>
    </w:p>
    <w:p w14:paraId="78B528B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本合同中的下列词语应按以下内容进行解释：</w:t>
      </w:r>
    </w:p>
    <w:p w14:paraId="73184E4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1.1 “合同”系指采购人和中标（成交）供应商签订的载明双方当事人所达成的协议，并包括所有的附件、附录和构成合同的其他文件。</w:t>
      </w:r>
    </w:p>
    <w:p w14:paraId="2509E72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 “合同金额”系指</w:t>
      </w:r>
      <w:bookmarkStart w:id="56" w:name="PO_合同金额说明12"/>
      <w:r>
        <w:rPr>
          <w:rFonts w:hint="eastAsia" w:ascii="宋体" w:hAnsi="宋体" w:cs="宋体"/>
          <w:color w:val="auto"/>
          <w:sz w:val="24"/>
          <w:szCs w:val="24"/>
        </w:rPr>
        <w:t>[PO_合同金额说明]</w:t>
      </w:r>
      <w:bookmarkEnd w:id="56"/>
    </w:p>
    <w:p w14:paraId="25D30BA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 “服务”系指中标（成交）供应商根据合同约定应向采购人履行的除货物和工程以外的其他政府采购对象，包括采购人自身需要的服务和向社会公众提供的公共服务。</w:t>
      </w:r>
    </w:p>
    <w:p w14:paraId="6D73D45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1.4 “甲方”系指与中标（成交）供应商签署合同的采购人。</w:t>
      </w:r>
    </w:p>
    <w:p w14:paraId="0270790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1.5 “乙方”系指根据合同约定提供服务的中标（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31F6001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二、合同主要要素</w:t>
      </w:r>
    </w:p>
    <w:p w14:paraId="411F2675">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2.1 项目服务内容及范围</w:t>
      </w:r>
    </w:p>
    <w:p w14:paraId="576752CF">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2.2 合同金额：人民币   元整（￥ 元整）。</w:t>
      </w:r>
    </w:p>
    <w:p w14:paraId="2A2776F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2.3 服务期限：</w:t>
      </w:r>
      <w:bookmarkStart w:id="57" w:name="PO_服务期限12"/>
      <w:r>
        <w:rPr>
          <w:rFonts w:hint="eastAsia" w:ascii="宋体" w:hAnsi="宋体" w:cs="宋体"/>
          <w:color w:val="auto"/>
          <w:sz w:val="24"/>
          <w:szCs w:val="24"/>
        </w:rPr>
        <w:t>[PO_服务期限]</w:t>
      </w:r>
      <w:bookmarkEnd w:id="57"/>
    </w:p>
    <w:p w14:paraId="7B8F0BA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2.4 服务地点：</w:t>
      </w:r>
      <w:bookmarkStart w:id="58" w:name="PO_服务地址12"/>
      <w:r>
        <w:rPr>
          <w:rFonts w:hint="eastAsia" w:ascii="宋体" w:hAnsi="宋体" w:cs="宋体"/>
          <w:color w:val="auto"/>
          <w:sz w:val="24"/>
          <w:szCs w:val="24"/>
        </w:rPr>
        <w:t>[PO_服务地址]</w:t>
      </w:r>
      <w:bookmarkEnd w:id="58"/>
    </w:p>
    <w:p w14:paraId="6577C30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2.5 履约保证金：</w:t>
      </w:r>
      <w:bookmarkStart w:id="59" w:name="PO_履约保证金12"/>
      <w:r>
        <w:rPr>
          <w:rFonts w:hint="eastAsia" w:ascii="宋体" w:hAnsi="宋体" w:cs="宋体"/>
          <w:color w:val="auto"/>
          <w:sz w:val="24"/>
          <w:szCs w:val="24"/>
        </w:rPr>
        <w:t>[PO_履约保证金]</w:t>
      </w:r>
      <w:bookmarkEnd w:id="59"/>
    </w:p>
    <w:p w14:paraId="24333EA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2.6 其它：</w:t>
      </w:r>
    </w:p>
    <w:p w14:paraId="2D24A13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三、合同文件的组成和解释顺序如下</w:t>
      </w:r>
    </w:p>
    <w:p w14:paraId="3900AC6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3.1 本合同执行中双方共同签署的补充与修正文件及双方确认的明确双方权利、义务的会谈纪要；</w:t>
      </w:r>
    </w:p>
    <w:p w14:paraId="40449FA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 本合同书；</w:t>
      </w:r>
    </w:p>
    <w:p w14:paraId="78295E36">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3.3 本项目中标或成交通知书；</w:t>
      </w:r>
    </w:p>
    <w:p w14:paraId="7F04B07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3.4 乙方的本项目投标文件或响应文件；</w:t>
      </w:r>
    </w:p>
    <w:p w14:paraId="6D9D58A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3.5 本项目招标文件或采购文件中的合同条款；</w:t>
      </w:r>
    </w:p>
    <w:p w14:paraId="0524486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3.6 本项目招标文件或采购文件中的采购需求；</w:t>
      </w:r>
    </w:p>
    <w:p w14:paraId="3B4A1FE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3.7 其他合同文件（需列明）。</w:t>
      </w:r>
    </w:p>
    <w:p w14:paraId="45029CF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上述文件互相补充和解释，如有不明确或不一致之处，按照上述文件次序在先者为准。同一层次合同文件有矛盾的，以时间较后的为准。</w:t>
      </w:r>
    </w:p>
    <w:p w14:paraId="03E9FD6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四、服务质量、权利瑕疵担保及验收</w:t>
      </w:r>
    </w:p>
    <w:p w14:paraId="33373719">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 服务质量标准和要求</w:t>
      </w:r>
    </w:p>
    <w:p w14:paraId="724B29E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4.1.1招标文件（采购文件）规定的规范及要求明确的，乙方所提供的服务标准及质量要求应当符合招标文件（采购文件）规定的规范及要求，且应不低于国家强制性标准。</w:t>
      </w:r>
    </w:p>
    <w:p w14:paraId="04F0AB7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4.1.2 招标文件（采购文件）规定的规范及要求不明确的，乙方的服务标准及质量要求应按照最新的国家、地方标准或行业标准或企业标准确定，均有标准的以高者（严格者）为准。没有国家、地方标准、行业标准或企业标准的，按照通常标准或者符合合同目的的特定标准确定。</w:t>
      </w:r>
    </w:p>
    <w:p w14:paraId="53A0E4A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4.1.3 乙方所提供的服务还应符合上海市之有关规定。</w:t>
      </w:r>
    </w:p>
    <w:p w14:paraId="097A7BE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4.1.4 乙方应建立和完善履行合同的内部质量保证体系，并依照甲方要求提供其相关内部规章制度，便于甲方的监督检查。</w:t>
      </w:r>
    </w:p>
    <w:p w14:paraId="3839B6F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4.1.5乙方应保证履行合同的人员数量和素质、软件和硬件设备的配置、场地、环境和设施等符合其在投标文件（响应文件）中所作的响应及承诺，并应接受甲方的监督检查。</w:t>
      </w:r>
    </w:p>
    <w:p w14:paraId="0BF52706">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4.1.6如本项目涉及商品包装和快递包装的，除招标文件或采购文件中的采购需求另有要求外，乙方所提供的包装应当参照财政部办公厅、生态环境部办公厅以及国家邮政局办公室联合发布的《商品包装政府采购需求标准（试行）》《快递包装政府采购需求标准（试行）》执行。</w:t>
      </w:r>
    </w:p>
    <w:p w14:paraId="15889BF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4.2 权利瑕疵担保</w:t>
      </w:r>
    </w:p>
    <w:p w14:paraId="1A434E2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4.2.1 乙方保证对其提供的服务享有合法的权利，甲方接受乙方服务不会因此而侵犯任何人的合法权益。</w:t>
      </w:r>
    </w:p>
    <w:p w14:paraId="65C0C535">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4.2.2 乙方保证在提供服务上不存在任何未曾向甲方透露的担保物权，如抵押权、质押权、留置权等。甲方接受乙方服务不会因此而存在合同外义务的负担。</w:t>
      </w:r>
    </w:p>
    <w:p w14:paraId="33D92CD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4.2.3 乙方保证其提供服务没有侵犯任何第三人的物权、知识产权和商业秘密等权利。</w:t>
      </w:r>
    </w:p>
    <w:p w14:paraId="1B3F9E9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4.2.4 如所提供服务构成上述侵权的，则由乙方承担全部责任。</w:t>
      </w:r>
    </w:p>
    <w:p w14:paraId="6476AF7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4.3  验收与检验</w:t>
      </w:r>
    </w:p>
    <w:p w14:paraId="1EF87AF1">
      <w:pPr>
        <w:adjustRightInd w:val="0"/>
        <w:snapToGrid w:val="0"/>
        <w:spacing w:line="400" w:lineRule="exact"/>
        <w:ind w:firstLine="480" w:firstLineChars="200"/>
        <w:rPr>
          <w:rFonts w:ascii="宋体" w:hAnsi="宋体" w:cs="宋体"/>
          <w:color w:val="auto"/>
          <w:sz w:val="24"/>
          <w:szCs w:val="24"/>
        </w:rPr>
      </w:pPr>
      <w:bookmarkStart w:id="60" w:name="_Toc186431854"/>
      <w:r>
        <w:rPr>
          <w:rFonts w:hint="eastAsia" w:ascii="宋体" w:hAnsi="宋体" w:cs="宋体"/>
          <w:color w:val="auto"/>
          <w:sz w:val="24"/>
          <w:szCs w:val="24"/>
        </w:rPr>
        <w:t>4.3.1 甲方有权在其认为必要时，对乙方是否能够按照合同约定提供服务进行履约检查，以确保乙方所提供的服务能够依约满足甲方之项目需求，但不得因履约检查妨碍乙方的正常工作，乙方应予积极配合。</w:t>
      </w:r>
    </w:p>
    <w:p w14:paraId="75443FB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4.3.2 乙方按照合同文件中的约定，定期向甲方提交服务报告，甲方按照合同文件中的相关约定进行定期验收。</w:t>
      </w:r>
    </w:p>
    <w:p w14:paraId="03284CA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4.3.3合同履行期间，甲方有权将履行过程中出现的问题反馈给乙方，双方当事人应以书面形式约定需要完善和改进的内容</w:t>
      </w:r>
      <w:bookmarkEnd w:id="60"/>
      <w:bookmarkStart w:id="61" w:name="_Toc186431855"/>
      <w:r>
        <w:rPr>
          <w:rFonts w:hint="eastAsia" w:ascii="宋体" w:hAnsi="宋体" w:cs="宋体"/>
          <w:color w:val="auto"/>
          <w:sz w:val="24"/>
          <w:szCs w:val="24"/>
        </w:rPr>
        <w:t>。</w:t>
      </w:r>
    </w:p>
    <w:bookmarkEnd w:id="61"/>
    <w:p w14:paraId="34DECDE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4.3.4 合同期满或者履行完毕后，甲方有权（包括依法邀请国家认可的质量检测机构参加）按照合同约定的标准，组织对乙方履约情况的验收；向社会公众提供的公共服务项目，验收时将邀请服务对象参与并出具意见，验收结果将向社会公告。</w:t>
      </w:r>
    </w:p>
    <w:p w14:paraId="0845AA2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五、服务费用的支付</w:t>
      </w:r>
    </w:p>
    <w:p w14:paraId="4D5BBDE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5.1合同金额</w:t>
      </w:r>
    </w:p>
    <w:p w14:paraId="671B7B5A">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本合同项目服务费用金额见本合同主要要素，乙方完成及达到本合同文件规定的要求与标准的与本服务项目有关的所有费用（包括应承担的各项税负）均包含在合同金额中，甲方不再另行支付任何费用。</w:t>
      </w:r>
    </w:p>
    <w:p w14:paraId="2FD5028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5.2 付款方式</w:t>
      </w:r>
    </w:p>
    <w:p w14:paraId="7E62DFD8">
      <w:pPr>
        <w:adjustRightInd w:val="0"/>
        <w:snapToGrid w:val="0"/>
        <w:spacing w:line="400" w:lineRule="exact"/>
        <w:rPr>
          <w:rFonts w:ascii="宋体" w:hAnsi="宋体" w:cs="宋体"/>
          <w:color w:val="auto"/>
          <w:sz w:val="24"/>
          <w:szCs w:val="24"/>
        </w:rPr>
      </w:pPr>
      <w:bookmarkStart w:id="62" w:name="PO_付款方法12"/>
      <w:r>
        <w:rPr>
          <w:rFonts w:hint="eastAsia" w:ascii="宋体" w:hAnsi="宋体" w:cs="宋体"/>
          <w:color w:val="auto"/>
          <w:sz w:val="24"/>
          <w:szCs w:val="24"/>
        </w:rPr>
        <w:t>[PO_付款方法]</w:t>
      </w:r>
      <w:bookmarkEnd w:id="62"/>
    </w:p>
    <w:p w14:paraId="7274EC7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5.3 税费</w:t>
      </w:r>
    </w:p>
    <w:p w14:paraId="10D3BC3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与合同有关的一切税费，均已包含在上述合同金额中。</w:t>
      </w:r>
    </w:p>
    <w:p w14:paraId="31E8E99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六、履约保证金</w:t>
      </w:r>
    </w:p>
    <w:p w14:paraId="53DEF7B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6.1在签署本合同之前，乙方应向甲方提交一笔合同第2.5条规定的履约保证金。履约保证金可以采用支票、汇票、本票或者甲方认可的银行出具的履约保函，前述相应票据及保函的期限应覆盖自出具之日起至完成服务且验收合格之日止的期间，如未覆盖需重新按合同规定提交。乙方提交履约保证金所需的有关费用均由其自行负担。</w:t>
      </w:r>
    </w:p>
    <w:p w14:paraId="4551C40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6.2如乙方未能履行本合同规定的任何义务，则甲方有权从履约保证金中得到补偿。履约保证金不足弥补甲方损失的，乙方仍需承担赔偿责任。</w:t>
      </w:r>
    </w:p>
    <w:p w14:paraId="2C93A4C5">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6.3 履约保证金（全额或扣减后剩余金额部分）在按本合同规定验收合格后15日内退还乙方。上述履约保证金的“退还”是指：履约保证金采用支票、汇票、本票形式出具的，票据已兑付（或贴现或背书转让）的，退还方式为甲方将相应金额的钱款以银行转账方式无息退还至乙方账户，未兑付（或贴现或背书转让）的则将相应票据原件退还乙方；采用银行保函形式出具的，则甲方在前述期间内退还乙方提交的银行保函原件。</w:t>
      </w:r>
    </w:p>
    <w:p w14:paraId="3915F3A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6.4 除合同规定情形外，如果因甲方自身原因未能按照前述规定期间向乙方退还相应履约保证金，甲方应以应退还履约保证金数额按人民银行同期存款基准利率按日向乙方承担利息损失，直至上述履约保证金退还乙方。</w:t>
      </w:r>
    </w:p>
    <w:p w14:paraId="3E1EE0D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七、双方权利义务</w:t>
      </w:r>
    </w:p>
    <w:p w14:paraId="7516B29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7.1 甲方的权利和义务</w:t>
      </w:r>
    </w:p>
    <w:p w14:paraId="4AFC4A3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7.1.1甲方有权向乙方询问工作进展情况及相关的内容, 有权检查和监督乙方的服务工作的质量、管理等情况，有权要求乙方以书面形式就前述内容进行汇报。</w:t>
      </w:r>
      <w:r>
        <w:rPr>
          <w:rFonts w:hint="eastAsia" w:ascii="宋体" w:hAnsi="宋体" w:cs="宋体"/>
          <w:color w:val="auto"/>
          <w:sz w:val="24"/>
          <w:szCs w:val="24"/>
        </w:rPr>
        <w:br w:type="textWrapping"/>
      </w:r>
      <w:r>
        <w:rPr>
          <w:rFonts w:hint="eastAsia" w:ascii="宋体" w:hAnsi="宋体" w:cs="宋体"/>
          <w:color w:val="auto"/>
          <w:sz w:val="24"/>
          <w:szCs w:val="24"/>
        </w:rPr>
        <w:t xml:space="preserve">    7.1.2甲方有权对乙方服务过程中出现的具体问题提出建议和意见，有权通知乙方对违反合同规定的行为及时纠正，并按本合同有关规定给予处理。</w:t>
      </w:r>
    </w:p>
    <w:p w14:paraId="6E24A4C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7.1.3因乙方违反合同规定给甲方或相关方造成损失时，甲方有权要求乙方赔偿经济损失。</w:t>
      </w:r>
      <w:r>
        <w:rPr>
          <w:rFonts w:hint="eastAsia" w:ascii="宋体" w:hAnsi="宋体" w:cs="宋体"/>
          <w:color w:val="auto"/>
          <w:sz w:val="24"/>
          <w:szCs w:val="24"/>
        </w:rPr>
        <w:br w:type="textWrapping"/>
      </w:r>
      <w:r>
        <w:rPr>
          <w:rFonts w:hint="eastAsia" w:ascii="宋体" w:hAnsi="宋体" w:cs="宋体"/>
          <w:color w:val="auto"/>
          <w:sz w:val="24"/>
          <w:szCs w:val="24"/>
        </w:rPr>
        <w:t xml:space="preserve">    7.1.4当甲方认定项目服务专业人员不按项目服务合同履行其职责，或专业能力、管理能力、责任心较差，不能有效与甲方配合并履行其项目服务义务，或与第三人串通给甲方造与经济损失的，甲方有权要求乙方更换项目服务专业人员，如对甲方造成实际损失的，甲方有权终止合同并要求乙方承担相应的赔偿责任。</w:t>
      </w:r>
    </w:p>
    <w:p w14:paraId="38692F5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7.1.5甲方有权同意或不同意乙方因自身工作需要而更换合同约定的主要工作小组成员的要求。</w:t>
      </w:r>
    </w:p>
    <w:p w14:paraId="760D4E5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7.1.6甲方应当在合同履约中，督促、协调与本项目服务有关的第三人（与合同履行有关的相关单位）协同乙方办理有关服务事项。甲方就乙方书面提交并要求做出答复的事宜，在15个工作日内做出书面答复。乙方要求第三人提供有关资料时，甲方可根据自己的能力负责协调、转达及资料转送，但并不成为甲方当然的义务。</w:t>
      </w:r>
      <w:r>
        <w:rPr>
          <w:rFonts w:hint="eastAsia" w:ascii="宋体" w:hAnsi="宋体" w:cs="宋体"/>
          <w:color w:val="auto"/>
          <w:sz w:val="24"/>
          <w:szCs w:val="24"/>
        </w:rPr>
        <w:br w:type="textWrapping"/>
      </w:r>
      <w:r>
        <w:rPr>
          <w:rFonts w:hint="eastAsia" w:ascii="宋体" w:hAnsi="宋体" w:cs="宋体"/>
          <w:color w:val="auto"/>
          <w:sz w:val="24"/>
          <w:szCs w:val="24"/>
        </w:rPr>
        <w:t xml:space="preserve">    7.1.7甲方应当履行本合同约定的义务，如有违反则应当承担违约责任，赔偿给乙方造成的直接经济损失。</w:t>
      </w:r>
    </w:p>
    <w:p w14:paraId="16AAE29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7.2 乙方的权利和义务</w:t>
      </w:r>
    </w:p>
    <w:p w14:paraId="766587B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7.2.1乙方有权在履行合同期间内取得按合同约定应有的报酬。</w:t>
      </w:r>
      <w:r>
        <w:rPr>
          <w:rFonts w:hint="eastAsia" w:ascii="宋体" w:hAnsi="宋体" w:cs="宋体"/>
          <w:color w:val="auto"/>
          <w:sz w:val="24"/>
          <w:szCs w:val="24"/>
        </w:rPr>
        <w:br w:type="textWrapping"/>
      </w:r>
      <w:r>
        <w:rPr>
          <w:rFonts w:hint="eastAsia" w:ascii="宋体" w:hAnsi="宋体" w:cs="宋体"/>
          <w:color w:val="auto"/>
          <w:sz w:val="24"/>
          <w:szCs w:val="24"/>
        </w:rPr>
        <w:t xml:space="preserve">    7.2.2乙方在项目服务过程中，如甲方提供的资料不明确时可向甲方提出书面报告。</w:t>
      </w:r>
      <w:r>
        <w:rPr>
          <w:rFonts w:hint="eastAsia" w:ascii="宋体" w:hAnsi="宋体" w:cs="宋体"/>
          <w:color w:val="auto"/>
          <w:sz w:val="24"/>
          <w:szCs w:val="24"/>
        </w:rPr>
        <w:br w:type="textWrapping"/>
      </w:r>
      <w:r>
        <w:rPr>
          <w:rFonts w:hint="eastAsia" w:ascii="宋体" w:hAnsi="宋体" w:cs="宋体"/>
          <w:color w:val="auto"/>
          <w:sz w:val="24"/>
          <w:szCs w:val="24"/>
        </w:rPr>
        <w:t xml:space="preserve">    7.2.3乙方有权在合同履行期间得到甲方必要的支持，有权拒绝执行甲方任何不符合有关法律、法规规定的要求。</w:t>
      </w:r>
    </w:p>
    <w:p w14:paraId="51AFB0E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7.2.4乙方应严格遵守国家、地方的法律、法规的规定，保证在合法且不侵犯他人利益的原则下进行项目服务活动，并对其所进行的服务活动负责。</w:t>
      </w:r>
    </w:p>
    <w:p w14:paraId="4927D12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7.2.5乙方应按本合同所述的时间、服务范围和内容,尽自己的一切努力,按本合同约定及行业通常接受的技术惯例和专业机构承认的标准，高效地履行自己的义务。在项目执行过程中支持和维护国家和甲方的合法利益。</w:t>
      </w:r>
    </w:p>
    <w:p w14:paraId="2EAF6C3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7.2.6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p>
    <w:p w14:paraId="04C87D60">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7.2.7乙方应对履行本合同所规定的服务以及在履行中因自己违约而给甲方造成的损失承担责任并应当向甲方进行赔偿。但下例情况不视为乙方违约:</w:t>
      </w:r>
    </w:p>
    <w:p w14:paraId="5476CA10">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（1）非乙方的行为、过失、违约或失职造成的损失或伤害；</w:t>
      </w:r>
    </w:p>
    <w:p w14:paraId="68FE643A">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（2）不可抗力造成的损失。</w:t>
      </w:r>
    </w:p>
    <w:p w14:paraId="28341BB0">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7.2.8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p>
    <w:p w14:paraId="3A998151">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7.2.9 乙方应对本项目所提供服务结果的可靠性、准确性、全面性向甲方负责，由于服务结果的可靠性、准确性、全面性不足而导致甲方工作偏差或失误，乙方应承担责任。</w:t>
      </w:r>
      <w:r>
        <w:rPr>
          <w:rFonts w:hint="eastAsia" w:ascii="宋体" w:hAnsi="宋体" w:cs="宋体"/>
          <w:color w:val="auto"/>
          <w:sz w:val="24"/>
          <w:szCs w:val="24"/>
        </w:rPr>
        <w:br w:type="textWrapping"/>
      </w:r>
      <w:r>
        <w:rPr>
          <w:rFonts w:hint="eastAsia" w:ascii="宋体" w:hAnsi="宋体" w:cs="宋体"/>
          <w:color w:val="auto"/>
          <w:sz w:val="24"/>
          <w:szCs w:val="24"/>
        </w:rPr>
        <w:t xml:space="preserve">     7.2.10 乙方在履行合同期间或合同规定期限内，履行本合同所确定的项目负责人及主要专业技术、管理人员等必须是本单位职工和该项目的实际操作者，未经甲方同意，乙方不得调换或撤离上述人员。</w:t>
      </w:r>
    </w:p>
    <w:p w14:paraId="70F7001F">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7.2.11按本合同支付给乙方的报酬应为本合同服务的唯一报酬。</w:t>
      </w:r>
    </w:p>
    <w:p w14:paraId="61B6337A">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7.2.12乙方在本合同履行期间均不能直接或间接从事与本合同中活动相冲突的商业或职业活动，不得以任何理由向甲方任何工作人员行贿或有类似的行为。</w:t>
      </w:r>
    </w:p>
    <w:p w14:paraId="5DAB522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八、保密及廉洁条款</w:t>
      </w:r>
    </w:p>
    <w:p w14:paraId="497C8D7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8.1保密</w:t>
      </w:r>
    </w:p>
    <w:p w14:paraId="7715C6C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8.1.1 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6AE7F1B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8.1.2 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4F3AA87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8.1.3 违反保密义务的，视为严重的根本违约行为，除应按合同约定承担有关违约责任外，还应当承担由此导致的行政乃至刑事法律责任，并应承担损失赔偿责任。</w:t>
      </w:r>
    </w:p>
    <w:p w14:paraId="384839F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8.1.4 保密的内容包括但不限于书面、电子数据等承载保密信息的各种形式。</w:t>
      </w:r>
    </w:p>
    <w:p w14:paraId="4751A52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8.1.5 前述保密义务条款为独立条款，不因本协议的解除、终止而失效。</w:t>
      </w:r>
    </w:p>
    <w:p w14:paraId="44E064A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8.2廉洁</w:t>
      </w:r>
    </w:p>
    <w:p w14:paraId="6BE1287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8.2.1 乙方应当守法诚信，保证服务能力及服务质量，不得与甲方恶意串通操纵政府采购活动。</w:t>
      </w:r>
    </w:p>
    <w:p w14:paraId="70801EC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8.2.2甲方不得接受乙方组织的宴请、旅游、娱乐，不得收受礼品、现金、有价证券等，乙方亦不得向甲方提供或报销前述费用以及其他应当由个人承担的费用。若甲方工作人员要求乙方给予其任何形式的不正当利益，或发现甲方工作人员违反前述原则的行为，乙方应当及时向甲方举报的，并提供相关证据给甲方，甲方经查实后作出处理，并为乙方保密。</w:t>
      </w:r>
    </w:p>
    <w:p w14:paraId="45E0DF2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 xml:space="preserve">8.2.3 乙方承诺并且确认，违背本条款的廉洁及诚信义务，将被视为严重的根本违约行为，应按合同约定承担相应的违约责任，并对造成的损失承担赔偿责任。  </w:t>
      </w:r>
    </w:p>
    <w:p w14:paraId="27FF9AF4">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九、知识产权及所有权归属</w:t>
      </w:r>
    </w:p>
    <w:p w14:paraId="115A3C5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9.1 知识产权</w:t>
      </w:r>
    </w:p>
    <w:p w14:paraId="66E22F8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在项目期间内，乙方根据本合同要求提交的项目文件及服务成果（包括但不限于阶段性、过程性成果等相关资料）的知识产权，归甲方所有并使用，乙方就此不做任何的权利保留。</w:t>
      </w:r>
    </w:p>
    <w:p w14:paraId="6EF79FD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9.2 所有权</w:t>
      </w:r>
    </w:p>
    <w:p w14:paraId="7FC6AF0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在项目期间内，乙方根据本合同要求提交的项目文件及服务成果（包括但不限于阶段性、过程性成果等相关资料）的所有权，归甲方所有，除公安机关、法院、检察院及其他相关政府部门依据相关法律法规查阅外，乙方需要查阅的，应向甲方提出申请，经甲方同意后可以查阅与其有关的材料（应对乙方保密的材料除外）。</w:t>
      </w:r>
    </w:p>
    <w:p w14:paraId="1D625E8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十、违约责任</w:t>
      </w:r>
    </w:p>
    <w:p w14:paraId="75F268B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10.1除合同规定外，如果甲方未能按照合同规定的时间足额支付相应服务费用的，应当按照未付服务费用的千分之一（  1 ‰）按日计收延迟付款滞纳金，直至足额支付服务费用时止，但延迟付款滞纳金的最高限额不超过合同价的百分之五（ 5%）。一旦达到延迟付款滞纳金的最高限额，乙方有权提前终止合同，并有权就由此造成损失向甲方主张赔偿或补偿。</w:t>
      </w:r>
    </w:p>
    <w:p w14:paraId="7615EFC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10.2在履行合同过程中，如果乙方可能遇到妨碍按时提供服务的情况时，应及时以书面形式将拖延的事实，可能拖延的期限和理由通知甲方。甲方在收到乙方通知后，应尽快对情况进行评价，并确定是否同意延期提供服务。除合同规定或甲方确定同意延期提供服务外，如果乙方没有按照合同规定的时间提供服务，甲方应从服务费用中扣除误期赔偿费而不影响合同项下的其他补救方法，赔偿费按每周赔偿延期服务的服务费用的百分之一（1%）计收，直至提供服务为止。但误期赔偿费的最高限额不超过合同价的百分之五（5%）。一周按七天计算，不足七天按一周计算。一旦达到误期赔偿的最高限额，甲方可考虑终止合同。</w:t>
      </w:r>
    </w:p>
    <w:p w14:paraId="0E2D9FC7">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10.3乙方未按合同约定履行服务职责，但未给甲方造成损失的，甲方可要求乙方整改，乙方达到服务质量标准后，甲方应支付相应的服务费用。</w:t>
      </w:r>
    </w:p>
    <w:p w14:paraId="26C2556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10.4乙方未按合同约定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最高为合同金额5%的违约金。</w:t>
      </w:r>
    </w:p>
    <w:p w14:paraId="21A1FF4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10.5因乙方原因导致违反法律、法规和规章规定的行为的，甲方有权单方解除合同，并要求乙方按合同10.4条承担违约金并赔偿相关损失。</w:t>
      </w:r>
    </w:p>
    <w:p w14:paraId="2497DD8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10.6合同履约过程中，未经甲方同意，乙方自行变动在合同中承诺的主要服务人员的、就合同项下的全部或部分义务进行转让或分包的、擅自中止合同履行的、履约过程侵害了包括甲方在内任何人合法权益及其他不适当履行本合同的违约情形，将按照合同10.4条的违约责任处理，情况严重者（如：未按甲方要求限期改正的），甲方有权终止合同。</w:t>
      </w:r>
    </w:p>
    <w:p w14:paraId="5122111D">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十一、不可抗力</w:t>
      </w:r>
    </w:p>
    <w:p w14:paraId="768B3416">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11.1 如果合同各方因不可抗力而导致合同实施延误或不能履行合同义务的话，不应该承担误期赔偿或不能履行合同义务的责任。</w:t>
      </w:r>
    </w:p>
    <w:p w14:paraId="2EB34428">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11.2 本条所述的“不可抗力”系指那些双方不可预见、不可避免、不可克服的事件，但不包括双方的违约或疏忽。这些事件包括但不限于：战争、严重火灾、洪水、台风、地震、国家政策的重大变化（如突发应急事件，政府采取应急措施的），以及其它双方商定的其他事件（如黑客攻击、系统崩溃、互联网灾难等）。</w:t>
      </w:r>
    </w:p>
    <w:p w14:paraId="52DA4CF7">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11.3 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p>
    <w:p w14:paraId="1D1268A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11.4 当不可抗力情形终止或消除后，受影响的一方应尽快以电话或传真通知对方，并以EMS证实。</w:t>
      </w:r>
    </w:p>
    <w:p w14:paraId="2225496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11.5 受不可抗力影响方应尽一切努力减少因不可抗力而产生的损失，否则应对扩大的损失承担责任。</w:t>
      </w:r>
    </w:p>
    <w:p w14:paraId="474C089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11.6 如不可抗力延续超过45日以上（含本数）时，双方应通过友好协商解决本合同的执行问题，并应尽快达成协议。</w:t>
      </w:r>
    </w:p>
    <w:p w14:paraId="00FFC2E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十二、合同终止、中止、变更</w:t>
      </w:r>
    </w:p>
    <w:p w14:paraId="7F3704F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12.1合同终止</w:t>
      </w:r>
    </w:p>
    <w:p w14:paraId="4B9C1C8F">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12.1.1违约终止合同</w:t>
      </w:r>
    </w:p>
    <w:p w14:paraId="48D5800B">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12.1.1.1 在甲方针对乙方违约行为而采取的任何补救措施不受影响的情况下，甲方可在下列情况下向乙方发出书面通知书，提出终止部分或全部合同：</w:t>
      </w:r>
    </w:p>
    <w:p w14:paraId="02456559">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（1）如果乙方未能在合同规定的限期或甲方同意延长的限期内提供服务。</w:t>
      </w:r>
    </w:p>
    <w:p w14:paraId="55023D18">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（2）如果乙方的行为构成根本违约。</w:t>
      </w:r>
    </w:p>
    <w:p w14:paraId="61815960">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（3）如果乙方未能履行合同规定的其它任何义务。</w:t>
      </w:r>
    </w:p>
    <w:p w14:paraId="77DE27F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12.1.1.2 如果甲方根据上述的规定，终止了全部或部分合同，甲方可以依其认为适当的条件和方法另行购买与为提供服务类似的服务，乙方应对甲方另行购买类似服务所超出的那部分费用负责。但是，乙方应继续执行合同中未终止的部分。</w:t>
      </w:r>
    </w:p>
    <w:p w14:paraId="7D065875">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12.1.1.3 如果乙方在履行合同过程中有不正当竞争行为，甲方有权解除合同，并按《中华人民共和国反不正当竞争法》之规定向有关部门举报，追究其法律责任。</w:t>
      </w:r>
    </w:p>
    <w:p w14:paraId="2B655B2F">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 xml:space="preserve">    12.1.2  破产终止合同</w:t>
      </w:r>
    </w:p>
    <w:p w14:paraId="52DE3B3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如果乙方破产、进入解散或清算程序，或丧失清偿能力（包括但不限于被有关部门列入执行黑名单、失信被执行人名录等情形），视为乙方已无法履行本合同项下义务，甲方可在任何时候以书面形式通知乙方终止合同而不给乙方赔偿与补偿。该终止合同将不损害或影响甲方已经采取或将要采取的任何向乙方追究违约责任及追讨损失的行动或补救措施的权利。</w:t>
      </w:r>
    </w:p>
    <w:p w14:paraId="14299AD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12.1.3 不可抗力终止合同</w:t>
      </w:r>
    </w:p>
    <w:p w14:paraId="2C0240D8">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如因发生不可抗力事件导致合同无法履行的，或延迟履行会给一方或双方造成严重利益损害的，双方可协商终止本合同履行，双方互不承担违约及赔偿责任，但仍应就已履行部分进行费用结算。</w:t>
      </w:r>
    </w:p>
    <w:p w14:paraId="0202932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12.2合同中止</w:t>
      </w:r>
    </w:p>
    <w:p w14:paraId="61D4401B">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12.2.1 除合同继续履行将损害国家利益和社会公共利益的情形外，双方当事人不得擅自中止合同。</w:t>
      </w:r>
    </w:p>
    <w:p w14:paraId="6FC6644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12.2.2若发生不可抗力事件，但合同仍有继续履行可能的，双方当事人可协商中止履行本合同全部或部分内容。</w:t>
      </w:r>
    </w:p>
    <w:p w14:paraId="48CBB0D1">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12.3合同变更</w:t>
      </w:r>
    </w:p>
    <w:p w14:paraId="74FC9BE9">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12.3.1 甲方需追加与合同标的相同服务的，在不改变合同其他条款的前提下，可以与乙方协商签订补充合同，但所有补充合同的采购金额不得超过本合同采购金额的百分之十。</w:t>
      </w:r>
    </w:p>
    <w:p w14:paraId="37784A05">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12.3.2除合同规定情形外，双方不得擅自变更合同。合同继续履行将损害国家利益和社会公共利益的，双方应当变更。有过错的一方应当承担赔偿责任，双方都有过错的，各自承担相应的责任。</w:t>
      </w:r>
    </w:p>
    <w:p w14:paraId="0345C5D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十三、合同转让和分包</w:t>
      </w:r>
    </w:p>
    <w:p w14:paraId="1A8A487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13.1 乙方应完全、适当履行本合同项下义务，乙方不得转让或部分转让其应履行的合同义务。</w:t>
      </w:r>
    </w:p>
    <w:p w14:paraId="15E4E6C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13.2 若根据招标文件（采购文件）规定可以采用分包方式履行本合同项下非主要部分合同义务的，乙方在其投标文件（响应文件）中明确说明分包并载明分包承担主体的，可进行分包，除了前述情形外，乙方一律不得进行对外分包。</w:t>
      </w:r>
    </w:p>
    <w:p w14:paraId="4330B8CF">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13.3 可以分包的情形下，则：</w:t>
      </w:r>
    </w:p>
    <w:p w14:paraId="014216E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13.3.1 乙方应书面通知甲方本合同项下所授予的所有分包合同。乙方与分包单位签订分包合同前，应将副本送甲方认可。分包合同签订后，应将副本留存甲方处备案。若分包合同与本合同发生抵触，则以本合同为准。</w:t>
      </w:r>
    </w:p>
    <w:p w14:paraId="607C5CE3">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13.3.2 乙方所选定的分包单位，必须具有相应的专业资质。乙方所签订的分包合同的服务标准不得低于本合同的服务标准，并对分包单位的服务行为向甲方承担连带责任。分包单位不得将分包项目再次转包。</w:t>
      </w:r>
    </w:p>
    <w:p w14:paraId="2C44F9D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13.3.3 分包合同不能解除乙方在本合同中应承担的任何义务和责任。乙方应对分包项目派驻相应监督管理人员，保证合同的履行。分包单位的任何违约或疏忽，均视为乙方的违约或疏忽。</w:t>
      </w:r>
    </w:p>
    <w:p w14:paraId="09EF4B1E">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十四、争议解决及管辖、送达</w:t>
      </w:r>
    </w:p>
    <w:p w14:paraId="3490BD02">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14.1 双方发生争议的，可协商解决，或向有关部门申请调解；也可（请在选择项中打“√”）</w:t>
      </w:r>
    </w:p>
    <w:p w14:paraId="7777C878">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□提请本级仲裁委员会仲裁。</w:t>
      </w:r>
    </w:p>
    <w:p w14:paraId="305A7135">
      <w:pPr>
        <w:adjustRightInd w:val="0"/>
        <w:snapToGrid w:val="0"/>
        <w:spacing w:line="400" w:lineRule="exact"/>
        <w:rPr>
          <w:rFonts w:ascii="宋体" w:hAnsi="宋体" w:cs="宋体"/>
          <w:color w:val="auto"/>
          <w:sz w:val="24"/>
          <w:szCs w:val="24"/>
        </w:rPr>
      </w:pPr>
      <w:r>
        <w:rPr>
          <w:rFonts w:hint="eastAsia" w:ascii="宋体" w:hAnsi="宋体" w:cs="宋体"/>
          <w:color w:val="auto"/>
          <w:sz w:val="24"/>
          <w:szCs w:val="24"/>
        </w:rPr>
        <w:t>□向甲方所在地法院提起诉讼。</w:t>
      </w:r>
    </w:p>
    <w:p w14:paraId="32957F9A">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14.2 在仲裁或诉讼期间，除正在进行仲裁或诉讼的部分外，本合同的其它部分应继续执行。败诉一方应当承担包括但不限于诉讼费用、律师费用、公证费用等。</w:t>
      </w:r>
    </w:p>
    <w:p w14:paraId="34E9372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14.3本合同中双方的地址、传真等联系方式为各自文书、信息送达地址。以专人传送的，受送达人签收即构成送达；以邮件或快递形式送达的，对方签收、拒签、退回之日视为送达；如以传真形式送达，则以传真信息发送确认之日视为送达。前述地址同时也作为双方争议发生时的各自法律文书送达地址（包括原审、二审、再审、执行及仲裁等），变更须提前书面通知对方，原送达地址在收到变更通知之前仍为有效送达地址。</w:t>
      </w:r>
    </w:p>
    <w:p w14:paraId="54175570">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十五、其他</w:t>
      </w:r>
    </w:p>
    <w:p w14:paraId="59B3E488">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15.1本合同于双方签订采购合同或纸质合同经双方签字、盖章，并且甲方收到乙方提供的履约保证金（如有）后生效。</w:t>
      </w:r>
    </w:p>
    <w:p w14:paraId="0D97E10C">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15.2 本合同壹式贰份，甲乙双方各执壹份，并通过市本级财政局政府采购监督管理部门备案。</w:t>
      </w:r>
    </w:p>
    <w:p w14:paraId="6C9E4034">
      <w:pPr>
        <w:adjustRightInd w:val="0"/>
        <w:snapToGrid w:val="0"/>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15.3 本合同附件与合同具有同等效力。</w:t>
      </w:r>
    </w:p>
    <w:p w14:paraId="46A4E91E">
      <w:pPr>
        <w:adjustRightInd w:val="0"/>
        <w:snapToGrid w:val="0"/>
        <w:spacing w:line="400" w:lineRule="exact"/>
        <w:rPr>
          <w:rFonts w:asciiTheme="minorEastAsia" w:hAnsiTheme="minorEastAsia" w:eastAsiaTheme="minorEastAsia" w:cstheme="minorEastAsia"/>
          <w:color w:val="auto"/>
          <w:sz w:val="24"/>
          <w:szCs w:val="24"/>
        </w:rPr>
      </w:pPr>
    </w:p>
    <w:p w14:paraId="04254D54">
      <w:pPr>
        <w:adjustRightInd w:val="0"/>
        <w:snapToGrid w:val="0"/>
        <w:spacing w:line="400" w:lineRule="exact"/>
        <w:rPr>
          <w:rFonts w:asciiTheme="minorEastAsia" w:hAnsiTheme="minorEastAsia" w:eastAsiaTheme="minorEastAsia" w:cstheme="minorEastAsia"/>
          <w:color w:val="auto"/>
          <w:sz w:val="24"/>
          <w:szCs w:val="24"/>
        </w:rPr>
      </w:pPr>
    </w:p>
    <w:p w14:paraId="5F310A6D">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签约各方：</w:t>
      </w:r>
    </w:p>
    <w:p w14:paraId="6FF69309">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甲方：                                   乙方： </w:t>
      </w:r>
    </w:p>
    <w:p w14:paraId="723586D5">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（盖章）                                （盖章）</w:t>
      </w:r>
    </w:p>
    <w:p w14:paraId="3F845FC7">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法定代表人或其授权委托人（签章）         法定代表人或其授权委托人（签章）</w:t>
      </w:r>
    </w:p>
    <w:p w14:paraId="7F8B8C6F">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合同签订地点：                           合同签订地点：</w:t>
      </w:r>
    </w:p>
    <w:p w14:paraId="7403912A">
      <w:pPr>
        <w:adjustRightInd w:val="0"/>
        <w:snapToGrid w:val="0"/>
        <w:spacing w:line="400" w:lineRule="exac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年  月   日                                 年   月   日</w:t>
      </w:r>
    </w:p>
    <w:p w14:paraId="2B0140A2">
      <w:pPr>
        <w:spacing w:line="360" w:lineRule="auto"/>
        <w:jc w:val="center"/>
        <w:rPr>
          <w:rFonts w:ascii="宋体" w:hAnsi="宋体" w:cs="宋体"/>
          <w:b/>
          <w:color w:val="auto"/>
          <w:szCs w:val="21"/>
        </w:rPr>
      </w:pPr>
    </w:p>
    <w:p w14:paraId="0EA9ECA6">
      <w:pPr>
        <w:pStyle w:val="12"/>
        <w:rPr>
          <w:color w:val="auto"/>
          <w:sz w:val="24"/>
          <w:szCs w:val="28"/>
        </w:rPr>
      </w:pPr>
      <w:r>
        <w:rPr>
          <w:rFonts w:hint="eastAsia" w:ascii="宋体" w:hAnsi="宋体" w:cs="宋体"/>
          <w:b/>
          <w:color w:val="auto"/>
          <w:sz w:val="24"/>
          <w:szCs w:val="32"/>
        </w:rPr>
        <w:t>注：本合同仅供参考，最终以双方签订为准。可结合具体招标项目进行更明确的约定</w:t>
      </w:r>
      <w:bookmarkEnd w:id="54"/>
      <w:bookmarkEnd w:id="55"/>
    </w:p>
    <w:p w14:paraId="210AFDA0">
      <w:pPr>
        <w:widowControl w:val="0"/>
        <w:snapToGrid w:val="0"/>
        <w:spacing w:line="360" w:lineRule="auto"/>
        <w:ind w:firstLine="480" w:firstLineChars="200"/>
        <w:rPr>
          <w:color w:val="auto"/>
          <w:sz w:val="24"/>
          <w:szCs w:val="24"/>
          <w:u w:val="single"/>
        </w:rPr>
      </w:pPr>
    </w:p>
    <w:p w14:paraId="2541B853">
      <w:pPr>
        <w:widowControl w:val="0"/>
        <w:snapToGrid w:val="0"/>
        <w:spacing w:line="540" w:lineRule="exact"/>
        <w:ind w:right="476"/>
        <w:rPr>
          <w:color w:val="auto"/>
          <w:sz w:val="24"/>
          <w:szCs w:val="24"/>
        </w:rPr>
      </w:pPr>
    </w:p>
    <w:p w14:paraId="5E0133D7">
      <w:pPr>
        <w:spacing w:line="240" w:lineRule="auto"/>
        <w:jc w:val="left"/>
        <w:textAlignment w:val="auto"/>
        <w:rPr>
          <w:color w:val="auto"/>
        </w:rPr>
      </w:pPr>
    </w:p>
    <w:p w14:paraId="32B825B9">
      <w:pPr>
        <w:widowControl w:val="0"/>
        <w:snapToGrid w:val="0"/>
        <w:spacing w:line="360" w:lineRule="auto"/>
        <w:rPr>
          <w:color w:val="auto"/>
          <w:sz w:val="24"/>
          <w:szCs w:val="24"/>
        </w:rPr>
      </w:pPr>
    </w:p>
    <w:p w14:paraId="6D5680DC">
      <w:pPr>
        <w:spacing w:line="240" w:lineRule="auto"/>
        <w:jc w:val="left"/>
        <w:textAlignment w:val="auto"/>
        <w:rPr>
          <w:rFonts w:ascii="宋体"/>
          <w:b/>
          <w:color w:val="auto"/>
          <w:sz w:val="36"/>
          <w:szCs w:val="36"/>
          <w:lang w:val="zh-CN"/>
        </w:rPr>
      </w:pPr>
      <w:r>
        <w:rPr>
          <w:rFonts w:ascii="宋体"/>
          <w:b/>
          <w:color w:val="auto"/>
          <w:sz w:val="36"/>
          <w:szCs w:val="36"/>
          <w:lang w:val="zh-CN"/>
        </w:rPr>
        <w:br w:type="page"/>
      </w:r>
    </w:p>
    <w:p w14:paraId="350888D3">
      <w:pPr>
        <w:autoSpaceDE w:val="0"/>
        <w:autoSpaceDN w:val="0"/>
        <w:adjustRightInd w:val="0"/>
        <w:spacing w:line="360" w:lineRule="auto"/>
        <w:jc w:val="center"/>
        <w:outlineLvl w:val="0"/>
        <w:rPr>
          <w:rFonts w:ascii="黑体" w:hAnsi="黑体" w:eastAsia="黑体"/>
          <w:b/>
          <w:color w:val="auto"/>
          <w:sz w:val="36"/>
          <w:szCs w:val="36"/>
          <w:lang w:val="zh-CN"/>
        </w:rPr>
      </w:pPr>
    </w:p>
    <w:p w14:paraId="100B2044">
      <w:pPr>
        <w:autoSpaceDE w:val="0"/>
        <w:autoSpaceDN w:val="0"/>
        <w:adjustRightInd w:val="0"/>
        <w:spacing w:line="360" w:lineRule="auto"/>
        <w:jc w:val="center"/>
        <w:outlineLvl w:val="0"/>
        <w:rPr>
          <w:rFonts w:ascii="黑体" w:hAnsi="黑体" w:eastAsia="黑体"/>
          <w:b/>
          <w:color w:val="auto"/>
          <w:sz w:val="36"/>
          <w:szCs w:val="36"/>
          <w:lang w:val="zh-CN"/>
        </w:rPr>
      </w:pPr>
      <w:bookmarkStart w:id="63" w:name="_Toc192581442"/>
      <w:r>
        <w:rPr>
          <w:rFonts w:hint="eastAsia" w:ascii="黑体" w:hAnsi="黑体" w:eastAsia="黑体"/>
          <w:b/>
          <w:color w:val="auto"/>
          <w:sz w:val="36"/>
          <w:szCs w:val="36"/>
          <w:lang w:val="zh-CN"/>
        </w:rPr>
        <w:t>第六</w:t>
      </w:r>
      <w:r>
        <w:rPr>
          <w:rFonts w:hint="eastAsia" w:ascii="黑体" w:hAnsi="黑体" w:eastAsia="黑体"/>
          <w:b/>
          <w:color w:val="auto"/>
          <w:sz w:val="36"/>
          <w:szCs w:val="36"/>
          <w:lang w:val="en-US" w:eastAsia="zh-CN"/>
        </w:rPr>
        <w:t>部分</w:t>
      </w:r>
      <w:r>
        <w:rPr>
          <w:rFonts w:hint="eastAsia" w:ascii="黑体" w:hAnsi="黑体" w:eastAsia="黑体"/>
          <w:b/>
          <w:color w:val="auto"/>
          <w:sz w:val="36"/>
          <w:szCs w:val="36"/>
          <w:lang w:val="zh-CN"/>
        </w:rPr>
        <w:t>《响应文件》格式</w:t>
      </w:r>
      <w:bookmarkEnd w:id="63"/>
    </w:p>
    <w:p w14:paraId="3084A352">
      <w:pPr>
        <w:autoSpaceDE w:val="0"/>
        <w:autoSpaceDN w:val="0"/>
        <w:adjustRightInd w:val="0"/>
        <w:spacing w:line="276" w:lineRule="auto"/>
        <w:ind w:firstLine="514" w:firstLineChars="245"/>
        <w:jc w:val="left"/>
        <w:rPr>
          <w:rFonts w:ascii="宋体"/>
          <w:color w:val="auto"/>
          <w:sz w:val="36"/>
          <w:szCs w:val="36"/>
          <w:lang w:val="zh-CN"/>
        </w:rPr>
      </w:pPr>
      <w:r>
        <w:rPr>
          <w:rFonts w:hint="eastAsia" w:ascii="宋体" w:hAnsi="宋体"/>
          <w:color w:val="auto"/>
          <w:szCs w:val="21"/>
          <w:lang w:val="zh-CN"/>
        </w:rPr>
        <w:t>供应商应按“供应商须知</w:t>
      </w:r>
      <w:r>
        <w:rPr>
          <w:rFonts w:ascii="宋体"/>
          <w:color w:val="auto"/>
          <w:szCs w:val="21"/>
          <w:lang w:val="zh-CN"/>
        </w:rPr>
        <w:t>--</w:t>
      </w:r>
      <w:r>
        <w:rPr>
          <w:rFonts w:hint="eastAsia" w:ascii="宋体" w:hAnsi="宋体"/>
          <w:color w:val="auto"/>
          <w:szCs w:val="21"/>
          <w:lang w:val="zh-CN"/>
        </w:rPr>
        <w:t>《响应文件》的组成”列示内容编制《响应文件》，本章“《响应文件》格式”仅为对《响应文件》部分内容的格式化规范，并非《响应文件》所应具备的全部内容</w:t>
      </w:r>
      <w:r>
        <w:rPr>
          <w:rFonts w:hint="eastAsia" w:ascii="宋体" w:hAnsi="宋体"/>
          <w:color w:val="auto"/>
          <w:sz w:val="36"/>
          <w:szCs w:val="36"/>
          <w:lang w:val="zh-CN"/>
        </w:rPr>
        <w:t>。</w:t>
      </w:r>
    </w:p>
    <w:p w14:paraId="4D51450C">
      <w:pPr>
        <w:autoSpaceDE w:val="0"/>
        <w:autoSpaceDN w:val="0"/>
        <w:adjustRightInd w:val="0"/>
        <w:spacing w:line="276" w:lineRule="auto"/>
        <w:ind w:firstLine="882" w:firstLineChars="245"/>
        <w:jc w:val="left"/>
        <w:rPr>
          <w:rFonts w:ascii="宋体"/>
          <w:color w:val="auto"/>
          <w:sz w:val="36"/>
          <w:szCs w:val="36"/>
          <w:lang w:val="zh-CN"/>
        </w:rPr>
      </w:pPr>
    </w:p>
    <w:p w14:paraId="705D5890">
      <w:pPr>
        <w:autoSpaceDE w:val="0"/>
        <w:autoSpaceDN w:val="0"/>
        <w:adjustRightInd w:val="0"/>
        <w:spacing w:line="360" w:lineRule="auto"/>
        <w:ind w:right="-817"/>
        <w:rPr>
          <w:rFonts w:ascii="宋体"/>
          <w:color w:val="auto"/>
          <w:sz w:val="24"/>
          <w:u w:val="single"/>
        </w:rPr>
      </w:pPr>
      <w:r>
        <w:rPr>
          <w:color w:val="auto"/>
        </w:rPr>
        <w:pict>
          <v:shape id="Text Box 2" o:spid="_x0000_s1026" o:spt="202" type="#_x0000_t202" style="position:absolute;left:0pt;margin-left:378pt;margin-top:-10.4pt;height:38.05pt;width:90pt;z-index:251660288;mso-width-relative:page;mso-height-relative:page;" coordsize="21600,21600" o:gfxdata="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Op2OJ/aAAAACgEAAA8AAAAAAAAAAQAgAAAAIgAAAGRycy9kb3ducmV2&#10;LnhtbFBLAQIUABQAAAAIAIdO4kCiCShaMwIAAIYEAAAOAAAAAAAAAAEAIAAAACkBAABkcnMvZTJv&#10;RG9jLnhtbFBLBQYAAAAABgAGAFkBAADOBQAAAAA=&#10;">
            <v:path/>
            <v:fill focussize="0,0"/>
            <v:stroke miterlimit="2"/>
            <v:imagedata o:title=""/>
            <o:lock v:ext="edit"/>
            <v:textbox>
              <w:txbxContent>
                <w:p w14:paraId="6F952C2A">
                  <w:pPr>
                    <w:spacing w:line="240" w:lineRule="auto"/>
                    <w:rPr>
                      <w:b/>
                      <w:sz w:val="28"/>
                      <w:szCs w:val="28"/>
                    </w:rPr>
                  </w:pPr>
                  <w:r>
                    <w:rPr>
                      <w:rFonts w:hint="eastAsia"/>
                      <w:b/>
                      <w:sz w:val="28"/>
                      <w:szCs w:val="28"/>
                    </w:rPr>
                    <w:t>正本（副本）</w:t>
                  </w:r>
                </w:p>
              </w:txbxContent>
            </v:textbox>
          </v:shape>
        </w:pict>
      </w:r>
    </w:p>
    <w:p w14:paraId="03B92751">
      <w:pPr>
        <w:autoSpaceDE w:val="0"/>
        <w:autoSpaceDN w:val="0"/>
        <w:adjustRightInd w:val="0"/>
        <w:spacing w:line="360" w:lineRule="auto"/>
        <w:ind w:firstLine="480" w:firstLineChars="200"/>
        <w:jc w:val="left"/>
        <w:rPr>
          <w:rFonts w:ascii="宋体"/>
          <w:color w:val="auto"/>
          <w:sz w:val="24"/>
          <w:u w:val="single"/>
        </w:rPr>
      </w:pPr>
    </w:p>
    <w:p w14:paraId="19203EC4">
      <w:pPr>
        <w:autoSpaceDE w:val="0"/>
        <w:autoSpaceDN w:val="0"/>
        <w:adjustRightInd w:val="0"/>
        <w:spacing w:line="360" w:lineRule="auto"/>
        <w:jc w:val="left"/>
        <w:rPr>
          <w:rFonts w:ascii="宋体"/>
          <w:color w:val="auto"/>
          <w:sz w:val="44"/>
          <w:szCs w:val="44"/>
          <w:u w:val="single"/>
        </w:rPr>
      </w:pPr>
      <w:r>
        <w:rPr>
          <w:rFonts w:hint="eastAsia" w:ascii="宋体" w:hAnsi="宋体"/>
          <w:color w:val="auto"/>
          <w:sz w:val="44"/>
          <w:szCs w:val="44"/>
        </w:rPr>
        <w:t>项目名称：</w:t>
      </w:r>
    </w:p>
    <w:p w14:paraId="6F81B9A9">
      <w:pPr>
        <w:autoSpaceDE w:val="0"/>
        <w:autoSpaceDN w:val="0"/>
        <w:adjustRightInd w:val="0"/>
        <w:spacing w:line="360" w:lineRule="auto"/>
        <w:jc w:val="left"/>
        <w:rPr>
          <w:rFonts w:ascii="宋体"/>
          <w:color w:val="auto"/>
          <w:sz w:val="44"/>
          <w:szCs w:val="44"/>
          <w:u w:val="single"/>
        </w:rPr>
      </w:pPr>
      <w:r>
        <w:rPr>
          <w:rFonts w:hint="eastAsia" w:ascii="宋体" w:hAnsi="宋体"/>
          <w:color w:val="auto"/>
          <w:sz w:val="44"/>
          <w:szCs w:val="44"/>
        </w:rPr>
        <w:t>项目编号：</w:t>
      </w:r>
    </w:p>
    <w:p w14:paraId="7C9A6EC8">
      <w:pPr>
        <w:autoSpaceDE w:val="0"/>
        <w:autoSpaceDN w:val="0"/>
        <w:adjustRightInd w:val="0"/>
        <w:spacing w:line="360" w:lineRule="auto"/>
        <w:jc w:val="left"/>
        <w:rPr>
          <w:rFonts w:ascii="宋体"/>
          <w:color w:val="auto"/>
          <w:sz w:val="84"/>
          <w:szCs w:val="84"/>
        </w:rPr>
      </w:pPr>
    </w:p>
    <w:p w14:paraId="144552E5">
      <w:pPr>
        <w:autoSpaceDE w:val="0"/>
        <w:autoSpaceDN w:val="0"/>
        <w:adjustRightInd w:val="0"/>
        <w:spacing w:line="360" w:lineRule="auto"/>
        <w:jc w:val="center"/>
        <w:rPr>
          <w:rFonts w:ascii="黑体" w:hAnsi="黑体" w:eastAsia="黑体"/>
          <w:b/>
          <w:color w:val="auto"/>
          <w:spacing w:val="60"/>
          <w:sz w:val="84"/>
          <w:szCs w:val="84"/>
        </w:rPr>
      </w:pPr>
      <w:r>
        <w:rPr>
          <w:rFonts w:hint="eastAsia" w:ascii="黑体" w:hAnsi="黑体" w:eastAsia="黑体"/>
          <w:b/>
          <w:color w:val="auto"/>
          <w:spacing w:val="60"/>
          <w:sz w:val="84"/>
          <w:szCs w:val="84"/>
        </w:rPr>
        <w:t>响应文件</w:t>
      </w:r>
    </w:p>
    <w:p w14:paraId="6284F63B">
      <w:pPr>
        <w:autoSpaceDE w:val="0"/>
        <w:autoSpaceDN w:val="0"/>
        <w:adjustRightInd w:val="0"/>
        <w:spacing w:line="360" w:lineRule="auto"/>
        <w:jc w:val="center"/>
        <w:rPr>
          <w:rFonts w:ascii="宋体"/>
          <w:color w:val="auto"/>
          <w:sz w:val="24"/>
        </w:rPr>
      </w:pPr>
    </w:p>
    <w:p w14:paraId="25AD9907">
      <w:pPr>
        <w:autoSpaceDE w:val="0"/>
        <w:autoSpaceDN w:val="0"/>
        <w:adjustRightInd w:val="0"/>
        <w:spacing w:line="360" w:lineRule="auto"/>
        <w:jc w:val="center"/>
        <w:rPr>
          <w:rFonts w:ascii="宋体"/>
          <w:color w:val="auto"/>
          <w:sz w:val="24"/>
        </w:rPr>
      </w:pPr>
    </w:p>
    <w:p w14:paraId="4D81618E">
      <w:pPr>
        <w:autoSpaceDE w:val="0"/>
        <w:autoSpaceDN w:val="0"/>
        <w:adjustRightInd w:val="0"/>
        <w:spacing w:line="360" w:lineRule="auto"/>
        <w:jc w:val="center"/>
        <w:rPr>
          <w:rFonts w:ascii="宋体"/>
          <w:color w:val="auto"/>
          <w:sz w:val="24"/>
        </w:rPr>
      </w:pPr>
    </w:p>
    <w:p w14:paraId="4FB4E2AC">
      <w:pPr>
        <w:autoSpaceDE w:val="0"/>
        <w:autoSpaceDN w:val="0"/>
        <w:adjustRightInd w:val="0"/>
        <w:spacing w:line="360" w:lineRule="auto"/>
        <w:jc w:val="center"/>
        <w:rPr>
          <w:rFonts w:ascii="宋体"/>
          <w:color w:val="auto"/>
          <w:sz w:val="24"/>
        </w:rPr>
      </w:pPr>
    </w:p>
    <w:p w14:paraId="0C906668">
      <w:pPr>
        <w:pStyle w:val="53"/>
        <w:spacing w:line="360" w:lineRule="auto"/>
        <w:rPr>
          <w:rFonts w:hAnsi="宋体"/>
          <w:color w:val="auto"/>
          <w:szCs w:val="24"/>
          <w:u w:val="single"/>
        </w:rPr>
      </w:pPr>
    </w:p>
    <w:p w14:paraId="2E34192C">
      <w:pPr>
        <w:pStyle w:val="53"/>
        <w:spacing w:line="360" w:lineRule="auto"/>
        <w:ind w:firstLine="280" w:firstLineChars="100"/>
        <w:jc w:val="both"/>
        <w:rPr>
          <w:rFonts w:hAnsi="宋体"/>
          <w:color w:val="auto"/>
          <w:sz w:val="28"/>
          <w:szCs w:val="28"/>
          <w:u w:val="single"/>
        </w:rPr>
      </w:pPr>
      <w:r>
        <w:rPr>
          <w:rFonts w:hint="eastAsia" w:hAnsi="宋体"/>
          <w:color w:val="auto"/>
          <w:sz w:val="28"/>
          <w:szCs w:val="28"/>
        </w:rPr>
        <w:t>供应商（加盖单位公章）：</w:t>
      </w:r>
    </w:p>
    <w:p w14:paraId="3EC91E33">
      <w:pPr>
        <w:pStyle w:val="53"/>
        <w:spacing w:line="360" w:lineRule="auto"/>
        <w:ind w:firstLine="280" w:firstLineChars="100"/>
        <w:rPr>
          <w:rFonts w:hAnsi="宋体"/>
          <w:color w:val="auto"/>
          <w:sz w:val="28"/>
          <w:szCs w:val="28"/>
        </w:rPr>
      </w:pPr>
    </w:p>
    <w:p w14:paraId="5A86A985">
      <w:pPr>
        <w:pStyle w:val="53"/>
        <w:spacing w:line="360" w:lineRule="auto"/>
        <w:ind w:firstLine="280" w:firstLineChars="100"/>
        <w:rPr>
          <w:rFonts w:hAnsi="宋体"/>
          <w:color w:val="auto"/>
          <w:sz w:val="28"/>
          <w:szCs w:val="28"/>
          <w:u w:val="single"/>
        </w:rPr>
      </w:pPr>
      <w:r>
        <w:rPr>
          <w:rFonts w:hint="eastAsia" w:hAnsi="宋体"/>
          <w:color w:val="auto"/>
          <w:sz w:val="28"/>
          <w:szCs w:val="28"/>
        </w:rPr>
        <w:t>法定代表人或被授权人（签字）：</w:t>
      </w:r>
    </w:p>
    <w:p w14:paraId="15BE84AC">
      <w:pPr>
        <w:pStyle w:val="53"/>
        <w:spacing w:line="360" w:lineRule="auto"/>
        <w:jc w:val="center"/>
        <w:rPr>
          <w:rFonts w:hAnsi="宋体"/>
          <w:color w:val="auto"/>
          <w:sz w:val="28"/>
          <w:szCs w:val="28"/>
        </w:rPr>
      </w:pPr>
    </w:p>
    <w:p w14:paraId="34C31C3B">
      <w:pPr>
        <w:spacing w:beforeLines="150" w:afterLines="150" w:line="360" w:lineRule="auto"/>
        <w:ind w:firstLine="280" w:firstLineChars="100"/>
        <w:rPr>
          <w:rFonts w:ascii="宋体" w:hAnsi="宋体"/>
          <w:color w:val="auto"/>
          <w:sz w:val="28"/>
          <w:szCs w:val="28"/>
        </w:rPr>
      </w:pPr>
      <w:r>
        <w:rPr>
          <w:rFonts w:hint="eastAsia" w:ascii="宋体" w:hAnsi="宋体"/>
          <w:color w:val="auto"/>
          <w:sz w:val="28"/>
          <w:szCs w:val="28"/>
        </w:rPr>
        <w:t>日期：年月日</w:t>
      </w:r>
    </w:p>
    <w:p w14:paraId="166DE82D">
      <w:pPr>
        <w:pStyle w:val="53"/>
        <w:spacing w:line="360" w:lineRule="auto"/>
        <w:jc w:val="both"/>
        <w:rPr>
          <w:rFonts w:hAnsi="宋体"/>
          <w:color w:val="auto"/>
          <w:sz w:val="28"/>
          <w:szCs w:val="28"/>
        </w:rPr>
      </w:pPr>
    </w:p>
    <w:p w14:paraId="4A2626CE">
      <w:pPr>
        <w:pageBreakBefore/>
        <w:spacing w:line="360" w:lineRule="auto"/>
        <w:ind w:firstLine="6"/>
        <w:jc w:val="center"/>
        <w:rPr>
          <w:rFonts w:ascii="宋体" w:hAnsi="宋体" w:cs="宋体"/>
          <w:b/>
          <w:color w:val="auto"/>
          <w:spacing w:val="8"/>
          <w:sz w:val="28"/>
          <w:szCs w:val="28"/>
        </w:rPr>
      </w:pPr>
      <w:r>
        <w:rPr>
          <w:rFonts w:hint="eastAsia" w:ascii="宋体" w:hAnsi="宋体" w:cs="宋体"/>
          <w:b/>
          <w:color w:val="auto"/>
          <w:spacing w:val="8"/>
          <w:sz w:val="28"/>
          <w:szCs w:val="28"/>
        </w:rPr>
        <w:t>目录</w:t>
      </w:r>
    </w:p>
    <w:p w14:paraId="3D9AFD36">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1.磋商函</w:t>
      </w:r>
    </w:p>
    <w:p w14:paraId="487950DA">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2.供应商基本情况一览表</w:t>
      </w:r>
    </w:p>
    <w:p w14:paraId="18C21E26">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3.供应商资格条件及履约承诺函</w:t>
      </w:r>
    </w:p>
    <w:p w14:paraId="66879866">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4.其他资格证明材料</w:t>
      </w:r>
    </w:p>
    <w:p w14:paraId="1BD2CDFE">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5.分项报价明细表</w:t>
      </w:r>
    </w:p>
    <w:p w14:paraId="073941DC">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6.服务内容及技术参数表</w:t>
      </w:r>
    </w:p>
    <w:p w14:paraId="6BA22A94">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7.服务实施方案（技术部分）</w:t>
      </w:r>
    </w:p>
    <w:p w14:paraId="36FF5E6D">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8.商务偏差表</w:t>
      </w:r>
    </w:p>
    <w:p w14:paraId="069459CE">
      <w:pPr>
        <w:snapToGrid w:val="0"/>
        <w:spacing w:line="360" w:lineRule="auto"/>
        <w:textAlignment w:val="top"/>
        <w:rPr>
          <w:rFonts w:ascii="宋体" w:hAnsi="宋体" w:cs="宋体"/>
          <w:color w:val="auto"/>
          <w:sz w:val="24"/>
          <w:szCs w:val="24"/>
        </w:rPr>
      </w:pPr>
      <w:r>
        <w:rPr>
          <w:rFonts w:hint="eastAsia" w:ascii="宋体" w:hAnsi="宋体" w:cs="宋体"/>
          <w:color w:val="auto"/>
          <w:sz w:val="24"/>
          <w:szCs w:val="24"/>
        </w:rPr>
        <w:t>9.投标承诺函</w:t>
      </w:r>
    </w:p>
    <w:p w14:paraId="43F4C23F">
      <w:pPr>
        <w:spacing w:line="360" w:lineRule="auto"/>
        <w:rPr>
          <w:rFonts w:ascii="宋体" w:hAnsi="宋体" w:cs="宋体"/>
          <w:color w:val="auto"/>
          <w:sz w:val="24"/>
          <w:szCs w:val="24"/>
        </w:rPr>
      </w:pPr>
      <w:r>
        <w:rPr>
          <w:rFonts w:hint="eastAsia" w:ascii="宋体" w:hAnsi="宋体" w:cs="宋体"/>
          <w:color w:val="auto"/>
          <w:sz w:val="24"/>
          <w:szCs w:val="24"/>
        </w:rPr>
        <w:t>10.中小企业声明函</w:t>
      </w:r>
    </w:p>
    <w:p w14:paraId="4314AE0C">
      <w:pPr>
        <w:spacing w:line="360" w:lineRule="auto"/>
        <w:rPr>
          <w:rFonts w:ascii="宋体" w:hAnsi="宋体" w:cs="宋体"/>
          <w:color w:val="auto"/>
          <w:sz w:val="24"/>
          <w:szCs w:val="24"/>
        </w:rPr>
      </w:pPr>
      <w:r>
        <w:rPr>
          <w:rFonts w:hint="eastAsia" w:ascii="宋体" w:hAnsi="宋体" w:cs="宋体"/>
          <w:color w:val="auto"/>
          <w:sz w:val="24"/>
          <w:szCs w:val="24"/>
        </w:rPr>
        <w:t>11.残疾人福利性单位声明函（如需要）</w:t>
      </w:r>
    </w:p>
    <w:p w14:paraId="62838178">
      <w:pPr>
        <w:spacing w:line="360" w:lineRule="auto"/>
        <w:rPr>
          <w:rFonts w:ascii="宋体" w:hAnsi="宋体" w:cs="宋体"/>
          <w:color w:val="auto"/>
          <w:sz w:val="24"/>
          <w:szCs w:val="24"/>
        </w:rPr>
      </w:pPr>
      <w:r>
        <w:rPr>
          <w:rFonts w:hint="eastAsia" w:ascii="宋体" w:hAnsi="宋体" w:cs="宋体"/>
          <w:color w:val="auto"/>
          <w:sz w:val="24"/>
          <w:szCs w:val="24"/>
        </w:rPr>
        <w:t>12.其他证明材料（如需要）</w:t>
      </w:r>
    </w:p>
    <w:p w14:paraId="68CD1DB4">
      <w:pPr>
        <w:snapToGrid w:val="0"/>
        <w:spacing w:line="360" w:lineRule="auto"/>
        <w:textAlignment w:val="top"/>
        <w:rPr>
          <w:rFonts w:ascii="宋体" w:hAnsi="宋体" w:cs="宋体"/>
          <w:color w:val="auto"/>
          <w:sz w:val="24"/>
          <w:szCs w:val="24"/>
        </w:rPr>
      </w:pPr>
    </w:p>
    <w:p w14:paraId="6B233CB4">
      <w:pPr>
        <w:widowControl w:val="0"/>
        <w:tabs>
          <w:tab w:val="left" w:pos="9365"/>
        </w:tabs>
        <w:snapToGrid w:val="0"/>
        <w:spacing w:before="56" w:after="56" w:line="560" w:lineRule="atLeast"/>
        <w:jc w:val="left"/>
        <w:textAlignment w:val="top"/>
        <w:rPr>
          <w:color w:val="auto"/>
          <w:sz w:val="28"/>
        </w:rPr>
      </w:pPr>
    </w:p>
    <w:p w14:paraId="71BFE2B9">
      <w:pPr>
        <w:spacing w:line="351" w:lineRule="atLeast"/>
        <w:ind w:left="419"/>
        <w:jc w:val="center"/>
        <w:rPr>
          <w:rFonts w:ascii="黑体" w:eastAsia="黑体"/>
          <w:b/>
          <w:color w:val="auto"/>
          <w:spacing w:val="60"/>
          <w:sz w:val="36"/>
          <w:szCs w:val="36"/>
        </w:rPr>
      </w:pPr>
      <w:bookmarkStart w:id="64" w:name="OLE_LINK10"/>
      <w:bookmarkStart w:id="65" w:name="OLE_LINK35"/>
    </w:p>
    <w:p w14:paraId="79E8564F">
      <w:pPr>
        <w:spacing w:line="351" w:lineRule="atLeast"/>
        <w:ind w:left="419"/>
        <w:jc w:val="center"/>
        <w:rPr>
          <w:rFonts w:ascii="黑体" w:eastAsia="黑体"/>
          <w:b/>
          <w:color w:val="auto"/>
          <w:spacing w:val="60"/>
          <w:sz w:val="36"/>
          <w:szCs w:val="36"/>
        </w:rPr>
      </w:pPr>
    </w:p>
    <w:p w14:paraId="3DFDD648">
      <w:pPr>
        <w:spacing w:line="351" w:lineRule="atLeast"/>
        <w:ind w:left="419"/>
        <w:jc w:val="center"/>
        <w:rPr>
          <w:rFonts w:ascii="黑体" w:eastAsia="黑体"/>
          <w:b/>
          <w:color w:val="auto"/>
          <w:spacing w:val="60"/>
          <w:sz w:val="36"/>
          <w:szCs w:val="36"/>
        </w:rPr>
      </w:pPr>
    </w:p>
    <w:p w14:paraId="35A562B8">
      <w:pPr>
        <w:spacing w:line="351" w:lineRule="atLeast"/>
        <w:ind w:left="419"/>
        <w:jc w:val="center"/>
        <w:rPr>
          <w:rFonts w:ascii="黑体" w:eastAsia="黑体"/>
          <w:b/>
          <w:color w:val="auto"/>
          <w:spacing w:val="60"/>
          <w:sz w:val="36"/>
          <w:szCs w:val="36"/>
        </w:rPr>
      </w:pPr>
    </w:p>
    <w:p w14:paraId="17F68B37">
      <w:pPr>
        <w:spacing w:line="351" w:lineRule="atLeast"/>
        <w:ind w:left="419"/>
        <w:jc w:val="center"/>
        <w:rPr>
          <w:rFonts w:ascii="黑体" w:eastAsia="黑体"/>
          <w:b/>
          <w:color w:val="auto"/>
          <w:spacing w:val="60"/>
          <w:sz w:val="36"/>
          <w:szCs w:val="36"/>
        </w:rPr>
      </w:pPr>
    </w:p>
    <w:p w14:paraId="6972A7B3">
      <w:pPr>
        <w:spacing w:line="351" w:lineRule="atLeast"/>
        <w:ind w:left="419"/>
        <w:jc w:val="center"/>
        <w:rPr>
          <w:rFonts w:ascii="黑体" w:eastAsia="黑体"/>
          <w:b/>
          <w:color w:val="auto"/>
          <w:spacing w:val="60"/>
          <w:sz w:val="36"/>
          <w:szCs w:val="36"/>
        </w:rPr>
      </w:pPr>
    </w:p>
    <w:p w14:paraId="5CDFA06C">
      <w:pPr>
        <w:spacing w:line="351" w:lineRule="atLeast"/>
        <w:ind w:left="419"/>
        <w:jc w:val="center"/>
        <w:rPr>
          <w:rFonts w:ascii="黑体" w:eastAsia="黑体"/>
          <w:b/>
          <w:color w:val="auto"/>
          <w:spacing w:val="60"/>
          <w:sz w:val="36"/>
          <w:szCs w:val="36"/>
        </w:rPr>
      </w:pPr>
    </w:p>
    <w:p w14:paraId="7AE6BC7C">
      <w:pPr>
        <w:spacing w:line="351" w:lineRule="atLeast"/>
        <w:ind w:left="419"/>
        <w:jc w:val="center"/>
        <w:rPr>
          <w:rFonts w:ascii="黑体" w:eastAsia="黑体"/>
          <w:b/>
          <w:color w:val="auto"/>
          <w:spacing w:val="60"/>
          <w:sz w:val="36"/>
          <w:szCs w:val="36"/>
        </w:rPr>
      </w:pPr>
    </w:p>
    <w:p w14:paraId="3BF6A96D">
      <w:pPr>
        <w:spacing w:line="351" w:lineRule="atLeast"/>
        <w:ind w:left="419"/>
        <w:jc w:val="center"/>
        <w:rPr>
          <w:rFonts w:ascii="黑体" w:eastAsia="黑体"/>
          <w:b/>
          <w:color w:val="auto"/>
          <w:spacing w:val="60"/>
          <w:sz w:val="36"/>
          <w:szCs w:val="36"/>
        </w:rPr>
      </w:pPr>
    </w:p>
    <w:p w14:paraId="0EE2DA57">
      <w:pPr>
        <w:spacing w:line="351" w:lineRule="atLeast"/>
        <w:ind w:left="419"/>
        <w:jc w:val="center"/>
        <w:rPr>
          <w:rFonts w:ascii="黑体" w:eastAsia="黑体"/>
          <w:b/>
          <w:color w:val="auto"/>
          <w:spacing w:val="60"/>
          <w:sz w:val="36"/>
          <w:szCs w:val="36"/>
        </w:rPr>
      </w:pPr>
    </w:p>
    <w:p w14:paraId="5A582511">
      <w:pPr>
        <w:spacing w:line="351" w:lineRule="atLeast"/>
        <w:ind w:left="419"/>
        <w:jc w:val="center"/>
        <w:rPr>
          <w:rFonts w:ascii="黑体" w:eastAsia="黑体"/>
          <w:b/>
          <w:color w:val="auto"/>
          <w:spacing w:val="60"/>
          <w:sz w:val="36"/>
          <w:szCs w:val="36"/>
        </w:rPr>
      </w:pPr>
    </w:p>
    <w:p w14:paraId="1D98658F">
      <w:pPr>
        <w:spacing w:line="351" w:lineRule="atLeast"/>
        <w:ind w:left="419"/>
        <w:jc w:val="center"/>
        <w:rPr>
          <w:rFonts w:ascii="黑体" w:eastAsia="黑体"/>
          <w:b/>
          <w:color w:val="auto"/>
          <w:spacing w:val="60"/>
          <w:sz w:val="36"/>
          <w:szCs w:val="36"/>
        </w:rPr>
      </w:pPr>
    </w:p>
    <w:p w14:paraId="2D84C879">
      <w:pPr>
        <w:spacing w:line="351" w:lineRule="atLeast"/>
        <w:ind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1.磋商函</w:t>
      </w:r>
    </w:p>
    <w:p w14:paraId="3D2209DB">
      <w:pPr>
        <w:widowControl w:val="0"/>
        <w:snapToGrid w:val="0"/>
        <w:spacing w:line="360" w:lineRule="auto"/>
        <w:rPr>
          <w:color w:val="auto"/>
          <w:sz w:val="24"/>
          <w:szCs w:val="24"/>
        </w:rPr>
      </w:pPr>
      <w:r>
        <w:rPr>
          <w:rFonts w:hint="eastAsia"/>
          <w:color w:val="auto"/>
          <w:sz w:val="24"/>
          <w:szCs w:val="24"/>
        </w:rPr>
        <w:t>致：</w:t>
      </w:r>
      <w:r>
        <w:rPr>
          <w:rFonts w:hint="eastAsia" w:ascii="宋体" w:hAnsi="宋体"/>
          <w:color w:val="auto"/>
          <w:spacing w:val="11"/>
          <w:sz w:val="24"/>
          <w:szCs w:val="24"/>
          <w:u w:val="single"/>
        </w:rPr>
        <w:t xml:space="preserve">(采购人名称） </w:t>
      </w:r>
    </w:p>
    <w:p w14:paraId="4DACE631">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我们收到了采购编号为的</w:t>
      </w:r>
      <w:r>
        <w:rPr>
          <w:rFonts w:hint="eastAsia" w:ascii="宋体" w:hAnsi="宋体" w:cs="楷体_GB2312"/>
          <w:color w:val="auto"/>
          <w:sz w:val="24"/>
          <w:u w:val="single"/>
          <w:lang w:val="zh-CN"/>
        </w:rPr>
        <w:t xml:space="preserve">    （项目名称）  </w:t>
      </w:r>
      <w:r>
        <w:rPr>
          <w:rFonts w:hint="eastAsia" w:ascii="宋体" w:hAnsi="宋体" w:cs="楷体_GB2312"/>
          <w:color w:val="auto"/>
          <w:sz w:val="24"/>
          <w:lang w:val="zh-CN"/>
        </w:rPr>
        <w:t>采购文件，经详细研究，我们决定参加该项目的采购活动并按要求提交响应文件。我们郑重声明以下诸点并负法律责任:</w:t>
      </w:r>
    </w:p>
    <w:p w14:paraId="2A5D7F67">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1.愿按照采购文件中规定的条款和要求，提供完成采购文件规定的全部工作，报价为人民币（大写），（ RMB￥：元 ）。</w:t>
      </w:r>
    </w:p>
    <w:p w14:paraId="3527989E">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2.我们将依照采购文件中规定的每一项要求，按质、按量履行合同，承诺</w:t>
      </w:r>
      <w:r>
        <w:rPr>
          <w:rFonts w:hint="eastAsia" w:ascii="宋体" w:hAnsi="宋体" w:cs="楷体_GB2312"/>
          <w:color w:val="auto"/>
          <w:sz w:val="24"/>
        </w:rPr>
        <w:t>合同履行</w:t>
      </w:r>
      <w:r>
        <w:rPr>
          <w:rFonts w:hint="eastAsia" w:ascii="宋体" w:hAnsi="宋体" w:cs="楷体_GB2312"/>
          <w:color w:val="auto"/>
          <w:sz w:val="24"/>
          <w:lang w:val="zh-CN"/>
        </w:rPr>
        <w:t>期限（服务期）</w:t>
      </w:r>
      <w:r>
        <w:rPr>
          <w:rFonts w:hint="eastAsia" w:ascii="宋体" w:hAnsi="宋体" w:cs="楷体_GB2312"/>
          <w:color w:val="auto"/>
          <w:sz w:val="24"/>
          <w:u w:val="single" w:color="auto"/>
          <w:lang w:val="en-US" w:eastAsia="zh-CN"/>
        </w:rPr>
        <w:t xml:space="preserve">         </w:t>
      </w:r>
      <w:r>
        <w:rPr>
          <w:rFonts w:hint="eastAsia" w:ascii="宋体" w:hAnsi="宋体" w:cs="楷体_GB2312"/>
          <w:color w:val="auto"/>
          <w:sz w:val="24"/>
          <w:lang w:val="zh-CN"/>
        </w:rPr>
        <w:t>（时间）。</w:t>
      </w:r>
    </w:p>
    <w:p w14:paraId="6FE58D2F">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3.我们已详细阅读全部采购文件，包括修改文件以及全部参考资料和有关附件。我们完全理解并同意放弃对这方面有不明及误解的权力。</w:t>
      </w:r>
    </w:p>
    <w:p w14:paraId="4A37DD3D">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4.同意提供按照贵方可能要求的与其磋商有关的一切数据或资料，理解贵方不一定要接受最低价的磋商。</w:t>
      </w:r>
    </w:p>
    <w:p w14:paraId="12E357CF">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5.我单位承诺响应有效期为</w:t>
      </w:r>
      <w:r>
        <w:rPr>
          <w:rFonts w:hint="eastAsia" w:ascii="宋体" w:hAnsi="宋体" w:cs="楷体_GB2312"/>
          <w:color w:val="auto"/>
          <w:sz w:val="24"/>
          <w:u w:val="single"/>
          <w:lang w:val="zh-CN"/>
        </w:rPr>
        <w:t xml:space="preserve"> 90 </w:t>
      </w:r>
      <w:r>
        <w:rPr>
          <w:rFonts w:hint="eastAsia" w:ascii="宋体" w:hAnsi="宋体" w:cs="楷体_GB2312"/>
          <w:color w:val="auto"/>
          <w:sz w:val="24"/>
          <w:lang w:val="zh-CN"/>
        </w:rPr>
        <w:t>日。</w:t>
      </w:r>
    </w:p>
    <w:p w14:paraId="27FE863B">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6.我们愿按《中华人民共和国民法典》履行其的全部责任。</w:t>
      </w:r>
    </w:p>
    <w:p w14:paraId="0FD286EC">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与本磋商有关的一切正式往来请寄：</w:t>
      </w:r>
    </w:p>
    <w:p w14:paraId="75D475F2">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联系人：</w:t>
      </w:r>
    </w:p>
    <w:p w14:paraId="25253667">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 xml:space="preserve">联系地址：                      </w:t>
      </w:r>
    </w:p>
    <w:p w14:paraId="7560ACB2">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 xml:space="preserve">联系电话：                      </w:t>
      </w:r>
    </w:p>
    <w:p w14:paraId="5D539197">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635E40C8">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4CD61AD6">
      <w:pPr>
        <w:widowControl w:val="0"/>
        <w:tabs>
          <w:tab w:val="left" w:pos="9365"/>
        </w:tabs>
        <w:snapToGrid w:val="0"/>
        <w:spacing w:after="56" w:line="360" w:lineRule="auto"/>
        <w:ind w:right="85" w:firstLine="480" w:firstLineChars="200"/>
        <w:jc w:val="left"/>
        <w:textAlignment w:val="top"/>
        <w:rPr>
          <w:color w:val="auto"/>
          <w:sz w:val="24"/>
          <w:szCs w:val="24"/>
        </w:rPr>
      </w:pPr>
      <w:r>
        <w:rPr>
          <w:rFonts w:hint="eastAsia" w:ascii="宋体" w:hAnsi="宋体" w:cs="楷体_GB2312"/>
          <w:color w:val="auto"/>
          <w:sz w:val="24"/>
          <w:lang w:val="zh-CN"/>
        </w:rPr>
        <w:t>日期：</w:t>
      </w:r>
    </w:p>
    <w:p w14:paraId="2DE5682C">
      <w:pPr>
        <w:widowControl w:val="0"/>
        <w:snapToGrid w:val="0"/>
        <w:spacing w:line="360" w:lineRule="auto"/>
        <w:ind w:firstLine="600" w:firstLineChars="200"/>
        <w:jc w:val="center"/>
        <w:rPr>
          <w:rFonts w:eastAsia="方正黑体简体"/>
          <w:b/>
          <w:color w:val="auto"/>
          <w:sz w:val="30"/>
          <w:szCs w:val="30"/>
        </w:rPr>
      </w:pPr>
      <w:r>
        <w:rPr>
          <w:rFonts w:eastAsia="方正黑体简体"/>
          <w:b/>
          <w:color w:val="auto"/>
          <w:sz w:val="30"/>
          <w:szCs w:val="30"/>
        </w:rPr>
        <w:br w:type="page"/>
      </w:r>
    </w:p>
    <w:p w14:paraId="20BF3759">
      <w:pPr>
        <w:spacing w:line="351" w:lineRule="atLeast"/>
        <w:ind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2.供应商基本情况一览表</w:t>
      </w:r>
    </w:p>
    <w:tbl>
      <w:tblPr>
        <w:tblStyle w:val="82"/>
        <w:tblW w:w="97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58"/>
        <w:gridCol w:w="2521"/>
        <w:gridCol w:w="2164"/>
        <w:gridCol w:w="2707"/>
      </w:tblGrid>
      <w:tr w14:paraId="395EC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57" w:type="dxa"/>
            <w:tcBorders>
              <w:top w:val="single" w:color="000000" w:sz="2" w:space="0"/>
              <w:left w:val="single" w:color="000000" w:sz="2" w:space="0"/>
              <w:bottom w:val="single" w:color="000000" w:sz="2" w:space="0"/>
              <w:right w:val="single" w:color="000000" w:sz="2" w:space="0"/>
            </w:tcBorders>
          </w:tcPr>
          <w:p w14:paraId="76136FE9">
            <w:pPr>
              <w:pStyle w:val="76"/>
              <w:spacing w:beforeLines="50" w:after="0" w:line="240" w:lineRule="auto"/>
              <w:ind w:left="586"/>
              <w:rPr>
                <w:color w:val="auto"/>
              </w:rPr>
            </w:pPr>
            <w:r>
              <w:rPr>
                <w:rFonts w:hint="eastAsia"/>
                <w:color w:val="auto"/>
                <w:spacing w:val="-2"/>
              </w:rPr>
              <w:t>供应商名称</w:t>
            </w:r>
          </w:p>
        </w:tc>
        <w:tc>
          <w:tcPr>
            <w:tcW w:w="7387" w:type="dxa"/>
            <w:gridSpan w:val="3"/>
            <w:tcBorders>
              <w:top w:val="single" w:color="000000" w:sz="2" w:space="0"/>
              <w:left w:val="single" w:color="000000" w:sz="2" w:space="0"/>
              <w:bottom w:val="single" w:color="000000" w:sz="2" w:space="0"/>
              <w:right w:val="single" w:color="000000" w:sz="2" w:space="0"/>
            </w:tcBorders>
          </w:tcPr>
          <w:p w14:paraId="0D993061">
            <w:pPr>
              <w:spacing w:beforeLines="50" w:line="240" w:lineRule="auto"/>
              <w:rPr>
                <w:rFonts w:ascii="Arial"/>
                <w:color w:val="auto"/>
              </w:rPr>
            </w:pPr>
          </w:p>
        </w:tc>
      </w:tr>
      <w:tr w14:paraId="01A54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357" w:type="dxa"/>
            <w:tcBorders>
              <w:top w:val="single" w:color="000000" w:sz="2" w:space="0"/>
              <w:left w:val="single" w:color="000000" w:sz="2" w:space="0"/>
              <w:bottom w:val="single" w:color="000000" w:sz="2" w:space="0"/>
              <w:right w:val="single" w:color="000000" w:sz="2" w:space="0"/>
            </w:tcBorders>
          </w:tcPr>
          <w:p w14:paraId="03ACC68E">
            <w:pPr>
              <w:pStyle w:val="76"/>
              <w:spacing w:beforeLines="50" w:after="0" w:line="240" w:lineRule="auto"/>
              <w:ind w:left="587"/>
              <w:rPr>
                <w:color w:val="auto"/>
              </w:rPr>
            </w:pPr>
            <w:r>
              <w:rPr>
                <w:rFonts w:hint="eastAsia"/>
                <w:color w:val="auto"/>
                <w:spacing w:val="-3"/>
              </w:rPr>
              <w:t>法定代表人</w:t>
            </w:r>
          </w:p>
        </w:tc>
        <w:tc>
          <w:tcPr>
            <w:tcW w:w="2519" w:type="dxa"/>
            <w:tcBorders>
              <w:top w:val="single" w:color="000000" w:sz="2" w:space="0"/>
              <w:left w:val="single" w:color="000000" w:sz="2" w:space="0"/>
              <w:bottom w:val="single" w:color="000000" w:sz="2" w:space="0"/>
              <w:right w:val="single" w:color="000000" w:sz="2" w:space="0"/>
            </w:tcBorders>
          </w:tcPr>
          <w:p w14:paraId="3768A6C9">
            <w:pPr>
              <w:spacing w:beforeLines="50" w:line="240" w:lineRule="auto"/>
              <w:rPr>
                <w:rFonts w:ascii="Arial"/>
                <w:color w:val="auto"/>
              </w:rPr>
            </w:pPr>
          </w:p>
        </w:tc>
        <w:tc>
          <w:tcPr>
            <w:tcW w:w="2163" w:type="dxa"/>
            <w:tcBorders>
              <w:top w:val="single" w:color="000000" w:sz="2" w:space="0"/>
              <w:left w:val="single" w:color="000000" w:sz="2" w:space="0"/>
              <w:bottom w:val="single" w:color="000000" w:sz="2" w:space="0"/>
              <w:right w:val="single" w:color="000000" w:sz="2" w:space="0"/>
            </w:tcBorders>
          </w:tcPr>
          <w:p w14:paraId="45064445">
            <w:pPr>
              <w:pStyle w:val="76"/>
              <w:spacing w:beforeLines="50" w:after="0" w:line="240" w:lineRule="auto"/>
              <w:ind w:left="609"/>
              <w:rPr>
                <w:color w:val="auto"/>
              </w:rPr>
            </w:pPr>
            <w:r>
              <w:rPr>
                <w:rFonts w:hint="eastAsia"/>
                <w:color w:val="auto"/>
                <w:spacing w:val="-3"/>
              </w:rPr>
              <w:t>联系方式</w:t>
            </w:r>
          </w:p>
        </w:tc>
        <w:tc>
          <w:tcPr>
            <w:tcW w:w="2705" w:type="dxa"/>
            <w:tcBorders>
              <w:top w:val="single" w:color="000000" w:sz="2" w:space="0"/>
              <w:left w:val="single" w:color="000000" w:sz="2" w:space="0"/>
              <w:bottom w:val="single" w:color="000000" w:sz="2" w:space="0"/>
              <w:right w:val="single" w:color="000000" w:sz="2" w:space="0"/>
            </w:tcBorders>
          </w:tcPr>
          <w:p w14:paraId="4A9F298B">
            <w:pPr>
              <w:spacing w:beforeLines="50" w:line="240" w:lineRule="auto"/>
              <w:rPr>
                <w:rFonts w:ascii="Arial"/>
                <w:color w:val="auto"/>
              </w:rPr>
            </w:pPr>
          </w:p>
        </w:tc>
      </w:tr>
      <w:tr w14:paraId="0CFD9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2357" w:type="dxa"/>
            <w:tcBorders>
              <w:top w:val="single" w:color="000000" w:sz="2" w:space="0"/>
              <w:left w:val="single" w:color="000000" w:sz="2" w:space="0"/>
              <w:bottom w:val="single" w:color="000000" w:sz="2" w:space="0"/>
              <w:right w:val="single" w:color="000000" w:sz="2" w:space="0"/>
            </w:tcBorders>
          </w:tcPr>
          <w:p w14:paraId="60076D2A">
            <w:pPr>
              <w:pStyle w:val="76"/>
              <w:spacing w:beforeLines="50" w:after="0" w:line="240" w:lineRule="auto"/>
              <w:ind w:left="232"/>
              <w:rPr>
                <w:color w:val="auto"/>
              </w:rPr>
            </w:pPr>
            <w:r>
              <w:rPr>
                <w:rFonts w:hint="eastAsia"/>
                <w:color w:val="auto"/>
                <w:spacing w:val="-2"/>
              </w:rPr>
              <w:t>统一社会信用代码</w:t>
            </w:r>
          </w:p>
        </w:tc>
        <w:tc>
          <w:tcPr>
            <w:tcW w:w="2519" w:type="dxa"/>
            <w:tcBorders>
              <w:top w:val="single" w:color="000000" w:sz="2" w:space="0"/>
              <w:left w:val="single" w:color="000000" w:sz="2" w:space="0"/>
              <w:bottom w:val="single" w:color="000000" w:sz="2" w:space="0"/>
              <w:right w:val="single" w:color="000000" w:sz="2" w:space="0"/>
            </w:tcBorders>
          </w:tcPr>
          <w:p w14:paraId="7F13CC45">
            <w:pPr>
              <w:spacing w:beforeLines="50" w:line="240" w:lineRule="auto"/>
              <w:rPr>
                <w:rFonts w:ascii="Arial"/>
                <w:color w:val="auto"/>
              </w:rPr>
            </w:pPr>
          </w:p>
        </w:tc>
        <w:tc>
          <w:tcPr>
            <w:tcW w:w="2163" w:type="dxa"/>
            <w:tcBorders>
              <w:top w:val="single" w:color="000000" w:sz="2" w:space="0"/>
              <w:left w:val="single" w:color="000000" w:sz="2" w:space="0"/>
              <w:bottom w:val="single" w:color="000000" w:sz="2" w:space="0"/>
              <w:right w:val="single" w:color="000000" w:sz="2" w:space="0"/>
            </w:tcBorders>
          </w:tcPr>
          <w:p w14:paraId="743B7D93">
            <w:pPr>
              <w:pStyle w:val="76"/>
              <w:spacing w:beforeLines="50" w:after="0" w:line="240" w:lineRule="auto"/>
              <w:ind w:left="128"/>
              <w:rPr>
                <w:color w:val="auto"/>
              </w:rPr>
            </w:pPr>
            <w:r>
              <w:rPr>
                <w:rFonts w:hint="eastAsia"/>
                <w:color w:val="auto"/>
                <w:spacing w:val="-2"/>
              </w:rPr>
              <w:t>注册资本（万元）</w:t>
            </w:r>
          </w:p>
        </w:tc>
        <w:tc>
          <w:tcPr>
            <w:tcW w:w="2705" w:type="dxa"/>
            <w:tcBorders>
              <w:top w:val="single" w:color="000000" w:sz="2" w:space="0"/>
              <w:left w:val="single" w:color="000000" w:sz="2" w:space="0"/>
              <w:bottom w:val="single" w:color="000000" w:sz="2" w:space="0"/>
              <w:right w:val="single" w:color="000000" w:sz="2" w:space="0"/>
            </w:tcBorders>
          </w:tcPr>
          <w:p w14:paraId="3468CDBF">
            <w:pPr>
              <w:spacing w:beforeLines="50" w:line="240" w:lineRule="auto"/>
              <w:rPr>
                <w:rFonts w:ascii="Arial"/>
                <w:color w:val="auto"/>
              </w:rPr>
            </w:pPr>
          </w:p>
        </w:tc>
      </w:tr>
      <w:tr w14:paraId="3595C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2357" w:type="dxa"/>
            <w:tcBorders>
              <w:top w:val="single" w:color="000000" w:sz="2" w:space="0"/>
              <w:left w:val="single" w:color="000000" w:sz="2" w:space="0"/>
              <w:bottom w:val="single" w:color="000000" w:sz="2" w:space="0"/>
              <w:right w:val="single" w:color="000000" w:sz="2" w:space="0"/>
            </w:tcBorders>
          </w:tcPr>
          <w:p w14:paraId="2D089BF0">
            <w:pPr>
              <w:pStyle w:val="76"/>
              <w:spacing w:beforeLines="50" w:after="0" w:line="240" w:lineRule="auto"/>
              <w:ind w:left="708"/>
              <w:rPr>
                <w:color w:val="auto"/>
              </w:rPr>
            </w:pPr>
            <w:r>
              <w:rPr>
                <w:rFonts w:hint="eastAsia"/>
                <w:color w:val="auto"/>
                <w:spacing w:val="-3"/>
              </w:rPr>
              <w:t>成立日期</w:t>
            </w:r>
          </w:p>
        </w:tc>
        <w:tc>
          <w:tcPr>
            <w:tcW w:w="2519" w:type="dxa"/>
            <w:tcBorders>
              <w:top w:val="single" w:color="000000" w:sz="2" w:space="0"/>
              <w:left w:val="single" w:color="000000" w:sz="2" w:space="0"/>
              <w:bottom w:val="single" w:color="000000" w:sz="2" w:space="0"/>
              <w:right w:val="single" w:color="000000" w:sz="2" w:space="0"/>
            </w:tcBorders>
          </w:tcPr>
          <w:p w14:paraId="1196AB6A">
            <w:pPr>
              <w:spacing w:beforeLines="50" w:line="240" w:lineRule="auto"/>
              <w:rPr>
                <w:rFonts w:ascii="Arial"/>
                <w:color w:val="auto"/>
              </w:rPr>
            </w:pPr>
          </w:p>
        </w:tc>
        <w:tc>
          <w:tcPr>
            <w:tcW w:w="2163" w:type="dxa"/>
            <w:tcBorders>
              <w:top w:val="single" w:color="000000" w:sz="2" w:space="0"/>
              <w:left w:val="single" w:color="000000" w:sz="2" w:space="0"/>
              <w:bottom w:val="single" w:color="000000" w:sz="2" w:space="0"/>
              <w:right w:val="single" w:color="000000" w:sz="2" w:space="0"/>
            </w:tcBorders>
          </w:tcPr>
          <w:p w14:paraId="73A59F53">
            <w:pPr>
              <w:pStyle w:val="76"/>
              <w:spacing w:beforeLines="50" w:after="0" w:line="240" w:lineRule="auto"/>
              <w:ind w:left="616"/>
              <w:rPr>
                <w:color w:val="auto"/>
              </w:rPr>
            </w:pPr>
            <w:r>
              <w:rPr>
                <w:rFonts w:hint="eastAsia"/>
                <w:color w:val="auto"/>
                <w:spacing w:val="-5"/>
              </w:rPr>
              <w:t>公司类型</w:t>
            </w:r>
          </w:p>
        </w:tc>
        <w:tc>
          <w:tcPr>
            <w:tcW w:w="2705" w:type="dxa"/>
            <w:tcBorders>
              <w:top w:val="single" w:color="000000" w:sz="2" w:space="0"/>
              <w:left w:val="single" w:color="000000" w:sz="2" w:space="0"/>
              <w:bottom w:val="single" w:color="000000" w:sz="2" w:space="0"/>
              <w:right w:val="single" w:color="000000" w:sz="2" w:space="0"/>
            </w:tcBorders>
          </w:tcPr>
          <w:p w14:paraId="7AB5CDCF">
            <w:pPr>
              <w:spacing w:beforeLines="50" w:line="240" w:lineRule="auto"/>
              <w:rPr>
                <w:rFonts w:ascii="Arial"/>
                <w:color w:val="auto"/>
              </w:rPr>
            </w:pPr>
          </w:p>
        </w:tc>
      </w:tr>
      <w:tr w14:paraId="0F9F5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2357" w:type="dxa"/>
            <w:tcBorders>
              <w:top w:val="single" w:color="000000" w:sz="2" w:space="0"/>
              <w:left w:val="single" w:color="000000" w:sz="2" w:space="0"/>
              <w:bottom w:val="single" w:color="000000" w:sz="2" w:space="0"/>
              <w:right w:val="single" w:color="000000" w:sz="2" w:space="0"/>
            </w:tcBorders>
          </w:tcPr>
          <w:p w14:paraId="155E81E2">
            <w:pPr>
              <w:pStyle w:val="76"/>
              <w:spacing w:beforeLines="50" w:after="0" w:line="240" w:lineRule="auto"/>
              <w:ind w:left="473"/>
              <w:rPr>
                <w:color w:val="auto"/>
              </w:rPr>
            </w:pPr>
            <w:r>
              <w:rPr>
                <w:rFonts w:hint="eastAsia"/>
                <w:color w:val="auto"/>
                <w:spacing w:val="-3"/>
              </w:rPr>
              <w:t>营业执照期限</w:t>
            </w:r>
          </w:p>
        </w:tc>
        <w:tc>
          <w:tcPr>
            <w:tcW w:w="7387" w:type="dxa"/>
            <w:gridSpan w:val="3"/>
            <w:tcBorders>
              <w:top w:val="single" w:color="000000" w:sz="2" w:space="0"/>
              <w:left w:val="single" w:color="000000" w:sz="2" w:space="0"/>
              <w:bottom w:val="single" w:color="000000" w:sz="2" w:space="0"/>
              <w:right w:val="single" w:color="000000" w:sz="2" w:space="0"/>
            </w:tcBorders>
          </w:tcPr>
          <w:p w14:paraId="683F7081">
            <w:pPr>
              <w:spacing w:beforeLines="50" w:line="240" w:lineRule="auto"/>
              <w:rPr>
                <w:rFonts w:ascii="Arial"/>
                <w:color w:val="auto"/>
              </w:rPr>
            </w:pPr>
          </w:p>
        </w:tc>
      </w:tr>
      <w:tr w14:paraId="753C2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7" w:hRule="atLeast"/>
        </w:trPr>
        <w:tc>
          <w:tcPr>
            <w:tcW w:w="2357" w:type="dxa"/>
            <w:tcBorders>
              <w:top w:val="single" w:color="000000" w:sz="2" w:space="0"/>
              <w:left w:val="single" w:color="000000" w:sz="2" w:space="0"/>
              <w:bottom w:val="single" w:color="000000" w:sz="2" w:space="0"/>
              <w:right w:val="single" w:color="000000" w:sz="2" w:space="0"/>
            </w:tcBorders>
          </w:tcPr>
          <w:p w14:paraId="0C4D3917">
            <w:pPr>
              <w:spacing w:beforeLines="50" w:line="240" w:lineRule="auto"/>
              <w:rPr>
                <w:rFonts w:ascii="Arial"/>
                <w:color w:val="auto"/>
              </w:rPr>
            </w:pPr>
          </w:p>
          <w:p w14:paraId="380E5EFE">
            <w:pPr>
              <w:spacing w:beforeLines="50" w:line="240" w:lineRule="auto"/>
              <w:rPr>
                <w:rFonts w:ascii="Arial"/>
                <w:color w:val="auto"/>
              </w:rPr>
            </w:pPr>
          </w:p>
          <w:p w14:paraId="72A89918">
            <w:pPr>
              <w:pStyle w:val="76"/>
              <w:spacing w:beforeLines="50" w:after="0" w:line="240" w:lineRule="auto"/>
              <w:ind w:left="708"/>
              <w:rPr>
                <w:color w:val="auto"/>
              </w:rPr>
            </w:pPr>
            <w:r>
              <w:rPr>
                <w:rFonts w:hint="eastAsia"/>
                <w:color w:val="auto"/>
                <w:spacing w:val="-3"/>
              </w:rPr>
              <w:t>经营范围</w:t>
            </w:r>
          </w:p>
        </w:tc>
        <w:tc>
          <w:tcPr>
            <w:tcW w:w="7387" w:type="dxa"/>
            <w:gridSpan w:val="3"/>
            <w:tcBorders>
              <w:top w:val="single" w:color="000000" w:sz="2" w:space="0"/>
              <w:left w:val="single" w:color="000000" w:sz="2" w:space="0"/>
              <w:bottom w:val="single" w:color="000000" w:sz="2" w:space="0"/>
              <w:right w:val="single" w:color="000000" w:sz="2" w:space="0"/>
            </w:tcBorders>
          </w:tcPr>
          <w:p w14:paraId="62CDF9FA">
            <w:pPr>
              <w:spacing w:beforeLines="50" w:line="240" w:lineRule="auto"/>
              <w:rPr>
                <w:rFonts w:ascii="Arial"/>
                <w:color w:val="auto"/>
              </w:rPr>
            </w:pPr>
          </w:p>
        </w:tc>
      </w:tr>
      <w:tr w14:paraId="28ACD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744" w:type="dxa"/>
            <w:gridSpan w:val="4"/>
            <w:tcBorders>
              <w:top w:val="single" w:color="000000" w:sz="2" w:space="0"/>
              <w:left w:val="single" w:color="000000" w:sz="2" w:space="0"/>
              <w:bottom w:val="single" w:color="000000" w:sz="2" w:space="0"/>
              <w:right w:val="single" w:color="000000" w:sz="2" w:space="0"/>
            </w:tcBorders>
          </w:tcPr>
          <w:p w14:paraId="5A727EB7">
            <w:pPr>
              <w:pStyle w:val="76"/>
              <w:spacing w:beforeLines="50" w:after="0" w:line="240" w:lineRule="auto"/>
              <w:ind w:left="1695"/>
              <w:rPr>
                <w:color w:val="auto"/>
                <w:lang w:eastAsia="zh-CN"/>
              </w:rPr>
            </w:pPr>
            <w:r>
              <w:rPr>
                <w:rFonts w:hint="eastAsia"/>
                <w:color w:val="auto"/>
                <w:spacing w:val="-1"/>
                <w:lang w:eastAsia="zh-CN"/>
              </w:rPr>
              <w:t>公司上一年度相关数据（无上一年度数据的新成立企业可不填报）</w:t>
            </w:r>
          </w:p>
        </w:tc>
      </w:tr>
      <w:tr w14:paraId="1F0D4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2357" w:type="dxa"/>
            <w:tcBorders>
              <w:top w:val="single" w:color="000000" w:sz="2" w:space="0"/>
              <w:left w:val="single" w:color="000000" w:sz="2" w:space="0"/>
              <w:bottom w:val="single" w:color="000000" w:sz="2" w:space="0"/>
              <w:right w:val="single" w:color="000000" w:sz="2" w:space="0"/>
            </w:tcBorders>
          </w:tcPr>
          <w:p w14:paraId="58413D7B">
            <w:pPr>
              <w:pStyle w:val="76"/>
              <w:spacing w:beforeLines="50" w:after="0" w:line="240" w:lineRule="auto"/>
              <w:ind w:left="709"/>
              <w:rPr>
                <w:color w:val="auto"/>
              </w:rPr>
            </w:pPr>
            <w:r>
              <w:rPr>
                <w:rFonts w:hint="eastAsia"/>
                <w:color w:val="auto"/>
                <w:spacing w:val="-4"/>
              </w:rPr>
              <w:t>从业人员</w:t>
            </w:r>
          </w:p>
        </w:tc>
        <w:tc>
          <w:tcPr>
            <w:tcW w:w="2519" w:type="dxa"/>
            <w:tcBorders>
              <w:top w:val="single" w:color="000000" w:sz="2" w:space="0"/>
              <w:left w:val="single" w:color="000000" w:sz="2" w:space="0"/>
              <w:bottom w:val="single" w:color="000000" w:sz="2" w:space="0"/>
              <w:right w:val="single" w:color="000000" w:sz="2" w:space="0"/>
            </w:tcBorders>
          </w:tcPr>
          <w:p w14:paraId="19FBF722">
            <w:pPr>
              <w:spacing w:beforeLines="50" w:line="240" w:lineRule="auto"/>
              <w:rPr>
                <w:rFonts w:ascii="Arial"/>
                <w:color w:val="auto"/>
              </w:rPr>
            </w:pPr>
          </w:p>
        </w:tc>
        <w:tc>
          <w:tcPr>
            <w:tcW w:w="2163" w:type="dxa"/>
            <w:tcBorders>
              <w:top w:val="single" w:color="000000" w:sz="2" w:space="0"/>
              <w:left w:val="single" w:color="000000" w:sz="2" w:space="0"/>
              <w:bottom w:val="single" w:color="000000" w:sz="2" w:space="0"/>
              <w:right w:val="single" w:color="000000" w:sz="2" w:space="0"/>
            </w:tcBorders>
          </w:tcPr>
          <w:p w14:paraId="12476CDD">
            <w:pPr>
              <w:pStyle w:val="76"/>
              <w:spacing w:beforeLines="50" w:after="0" w:line="240" w:lineRule="auto"/>
              <w:ind w:left="139"/>
              <w:rPr>
                <w:color w:val="auto"/>
              </w:rPr>
            </w:pPr>
            <w:r>
              <w:rPr>
                <w:rFonts w:hint="eastAsia"/>
                <w:color w:val="auto"/>
                <w:spacing w:val="-3"/>
              </w:rPr>
              <w:t>资产总额（万元）</w:t>
            </w:r>
          </w:p>
        </w:tc>
        <w:tc>
          <w:tcPr>
            <w:tcW w:w="2705" w:type="dxa"/>
            <w:tcBorders>
              <w:top w:val="single" w:color="000000" w:sz="2" w:space="0"/>
              <w:left w:val="single" w:color="000000" w:sz="2" w:space="0"/>
              <w:bottom w:val="single" w:color="000000" w:sz="2" w:space="0"/>
              <w:right w:val="single" w:color="000000" w:sz="2" w:space="0"/>
            </w:tcBorders>
          </w:tcPr>
          <w:p w14:paraId="4D30150D">
            <w:pPr>
              <w:spacing w:beforeLines="50" w:line="240" w:lineRule="auto"/>
              <w:rPr>
                <w:rFonts w:ascii="Arial"/>
                <w:color w:val="auto"/>
              </w:rPr>
            </w:pPr>
          </w:p>
        </w:tc>
      </w:tr>
      <w:tr w14:paraId="7B4A1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2357" w:type="dxa"/>
            <w:tcBorders>
              <w:top w:val="single" w:color="000000" w:sz="2" w:space="0"/>
              <w:left w:val="single" w:color="000000" w:sz="2" w:space="0"/>
              <w:bottom w:val="single" w:color="000000" w:sz="2" w:space="0"/>
              <w:right w:val="single" w:color="000000" w:sz="2" w:space="0"/>
            </w:tcBorders>
          </w:tcPr>
          <w:p w14:paraId="08141BDC">
            <w:pPr>
              <w:pStyle w:val="76"/>
              <w:spacing w:beforeLines="50" w:after="0" w:line="240" w:lineRule="auto"/>
              <w:ind w:left="233"/>
              <w:rPr>
                <w:color w:val="auto"/>
              </w:rPr>
            </w:pPr>
            <w:r>
              <w:rPr>
                <w:rFonts w:hint="eastAsia"/>
                <w:color w:val="auto"/>
                <w:spacing w:val="-3"/>
              </w:rPr>
              <w:t>营业收入（万元）</w:t>
            </w:r>
          </w:p>
        </w:tc>
        <w:tc>
          <w:tcPr>
            <w:tcW w:w="2519" w:type="dxa"/>
            <w:tcBorders>
              <w:top w:val="single" w:color="000000" w:sz="2" w:space="0"/>
              <w:left w:val="single" w:color="000000" w:sz="2" w:space="0"/>
              <w:bottom w:val="single" w:color="000000" w:sz="2" w:space="0"/>
              <w:right w:val="single" w:color="000000" w:sz="2" w:space="0"/>
            </w:tcBorders>
          </w:tcPr>
          <w:p w14:paraId="1F4CF7A5">
            <w:pPr>
              <w:spacing w:beforeLines="50" w:line="240" w:lineRule="auto"/>
              <w:rPr>
                <w:rFonts w:ascii="Arial"/>
                <w:color w:val="auto"/>
              </w:rPr>
            </w:pPr>
          </w:p>
        </w:tc>
        <w:tc>
          <w:tcPr>
            <w:tcW w:w="2163" w:type="dxa"/>
            <w:tcBorders>
              <w:top w:val="single" w:color="000000" w:sz="2" w:space="0"/>
              <w:left w:val="single" w:color="000000" w:sz="2" w:space="0"/>
              <w:bottom w:val="single" w:color="000000" w:sz="2" w:space="0"/>
              <w:right w:val="single" w:color="000000" w:sz="2" w:space="0"/>
            </w:tcBorders>
          </w:tcPr>
          <w:p w14:paraId="2DDE07A9">
            <w:pPr>
              <w:pStyle w:val="76"/>
              <w:spacing w:beforeLines="50" w:after="0" w:line="240" w:lineRule="auto"/>
              <w:ind w:left="129"/>
              <w:rPr>
                <w:color w:val="auto"/>
              </w:rPr>
            </w:pPr>
            <w:r>
              <w:rPr>
                <w:rFonts w:hint="eastAsia"/>
                <w:color w:val="auto"/>
                <w:spacing w:val="-2"/>
              </w:rPr>
              <w:t>利润总额（万元）</w:t>
            </w:r>
          </w:p>
        </w:tc>
        <w:tc>
          <w:tcPr>
            <w:tcW w:w="2705" w:type="dxa"/>
            <w:tcBorders>
              <w:top w:val="single" w:color="000000" w:sz="2" w:space="0"/>
              <w:left w:val="single" w:color="000000" w:sz="2" w:space="0"/>
              <w:bottom w:val="single" w:color="000000" w:sz="2" w:space="0"/>
              <w:right w:val="single" w:color="000000" w:sz="2" w:space="0"/>
            </w:tcBorders>
          </w:tcPr>
          <w:p w14:paraId="516C0BC5">
            <w:pPr>
              <w:spacing w:beforeLines="50" w:line="240" w:lineRule="auto"/>
              <w:rPr>
                <w:rFonts w:ascii="Arial"/>
                <w:color w:val="auto"/>
              </w:rPr>
            </w:pPr>
          </w:p>
        </w:tc>
      </w:tr>
      <w:tr w14:paraId="521E0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3" w:hRule="atLeast"/>
        </w:trPr>
        <w:tc>
          <w:tcPr>
            <w:tcW w:w="2357" w:type="dxa"/>
            <w:tcBorders>
              <w:top w:val="single" w:color="000000" w:sz="2" w:space="0"/>
              <w:left w:val="single" w:color="000000" w:sz="2" w:space="0"/>
              <w:bottom w:val="single" w:color="000000" w:sz="2" w:space="0"/>
              <w:right w:val="single" w:color="000000" w:sz="2" w:space="0"/>
            </w:tcBorders>
          </w:tcPr>
          <w:p w14:paraId="37B4E864">
            <w:pPr>
              <w:pStyle w:val="76"/>
              <w:spacing w:beforeLines="50" w:after="0" w:line="240" w:lineRule="auto"/>
              <w:ind w:left="473"/>
              <w:rPr>
                <w:color w:val="auto"/>
                <w:lang w:eastAsia="zh-CN"/>
              </w:rPr>
            </w:pPr>
            <w:r>
              <w:rPr>
                <w:rFonts w:hint="eastAsia"/>
                <w:color w:val="auto"/>
                <w:spacing w:val="-3"/>
                <w:lang w:eastAsia="zh-CN"/>
              </w:rPr>
              <w:t>公司变更情况</w:t>
            </w:r>
          </w:p>
          <w:p w14:paraId="5E1DFAA6">
            <w:pPr>
              <w:pStyle w:val="76"/>
              <w:spacing w:beforeLines="50" w:after="0" w:line="240" w:lineRule="auto"/>
              <w:ind w:left="238"/>
              <w:rPr>
                <w:color w:val="auto"/>
                <w:lang w:eastAsia="zh-CN"/>
              </w:rPr>
            </w:pPr>
            <w:r>
              <w:rPr>
                <w:rFonts w:hint="eastAsia"/>
                <w:color w:val="auto"/>
                <w:spacing w:val="-3"/>
                <w:lang w:eastAsia="zh-CN"/>
              </w:rPr>
              <w:t>（如供应商存在企</w:t>
            </w:r>
          </w:p>
          <w:p w14:paraId="39892AA1">
            <w:pPr>
              <w:pStyle w:val="76"/>
              <w:spacing w:beforeLines="50" w:after="0" w:line="240" w:lineRule="auto"/>
              <w:ind w:left="225"/>
              <w:rPr>
                <w:color w:val="auto"/>
                <w:lang w:eastAsia="zh-CN"/>
              </w:rPr>
            </w:pPr>
            <w:r>
              <w:rPr>
                <w:rFonts w:hint="eastAsia"/>
                <w:color w:val="auto"/>
                <w:spacing w:val="-2"/>
                <w:lang w:eastAsia="zh-CN"/>
              </w:rPr>
              <w:t>业名称或其他内容</w:t>
            </w:r>
          </w:p>
          <w:p w14:paraId="4A59B6F6">
            <w:pPr>
              <w:pStyle w:val="76"/>
              <w:spacing w:beforeLines="50" w:after="0" w:line="240" w:lineRule="auto"/>
              <w:ind w:left="116"/>
              <w:rPr>
                <w:color w:val="auto"/>
                <w:lang w:eastAsia="zh-CN"/>
              </w:rPr>
            </w:pPr>
            <w:r>
              <w:rPr>
                <w:rFonts w:hint="eastAsia"/>
                <w:color w:val="auto"/>
                <w:spacing w:val="-4"/>
                <w:lang w:eastAsia="zh-CN"/>
              </w:rPr>
              <w:t>变更，参与本项目投</w:t>
            </w:r>
          </w:p>
          <w:p w14:paraId="2D8229D2">
            <w:pPr>
              <w:pStyle w:val="76"/>
              <w:spacing w:beforeLines="50" w:after="0" w:line="240" w:lineRule="auto"/>
              <w:ind w:left="117"/>
              <w:rPr>
                <w:color w:val="auto"/>
                <w:lang w:eastAsia="zh-CN"/>
              </w:rPr>
            </w:pPr>
            <w:r>
              <w:rPr>
                <w:rFonts w:hint="eastAsia"/>
                <w:color w:val="auto"/>
                <w:spacing w:val="-4"/>
                <w:lang w:eastAsia="zh-CN"/>
              </w:rPr>
              <w:t>标时，涉及变更前公</w:t>
            </w:r>
          </w:p>
          <w:p w14:paraId="1BF55CE2">
            <w:pPr>
              <w:pStyle w:val="76"/>
              <w:spacing w:beforeLines="50" w:after="0" w:line="240" w:lineRule="auto"/>
              <w:ind w:left="125"/>
              <w:rPr>
                <w:color w:val="auto"/>
                <w:lang w:eastAsia="zh-CN"/>
              </w:rPr>
            </w:pPr>
            <w:r>
              <w:rPr>
                <w:rFonts w:hint="eastAsia"/>
                <w:color w:val="auto"/>
                <w:spacing w:val="-5"/>
                <w:lang w:eastAsia="zh-CN"/>
              </w:rPr>
              <w:t>司相关内容，提供变</w:t>
            </w:r>
          </w:p>
          <w:p w14:paraId="732DBB9B">
            <w:pPr>
              <w:pStyle w:val="76"/>
              <w:spacing w:beforeLines="50" w:after="0" w:line="240" w:lineRule="auto"/>
              <w:ind w:left="119"/>
              <w:rPr>
                <w:color w:val="auto"/>
                <w:lang w:eastAsia="zh-CN"/>
              </w:rPr>
            </w:pPr>
            <w:r>
              <w:rPr>
                <w:rFonts w:hint="eastAsia"/>
                <w:color w:val="auto"/>
                <w:spacing w:val="-4"/>
                <w:lang w:eastAsia="zh-CN"/>
              </w:rPr>
              <w:t>更证明，如不涉及可</w:t>
            </w:r>
          </w:p>
          <w:p w14:paraId="1362C4F5">
            <w:pPr>
              <w:pStyle w:val="76"/>
              <w:spacing w:beforeLines="50" w:after="0" w:line="240" w:lineRule="auto"/>
              <w:ind w:left="471"/>
              <w:rPr>
                <w:color w:val="auto"/>
              </w:rPr>
            </w:pPr>
            <w:r>
              <w:rPr>
                <w:rFonts w:hint="eastAsia"/>
                <w:color w:val="auto"/>
                <w:spacing w:val="-3"/>
                <w:lang w:eastAsia="zh-CN"/>
              </w:rPr>
              <w:t>不必提供。</w:t>
            </w:r>
            <w:r>
              <w:rPr>
                <w:rFonts w:hint="eastAsia"/>
                <w:color w:val="auto"/>
                <w:spacing w:val="-3"/>
              </w:rPr>
              <w:t>）</w:t>
            </w:r>
          </w:p>
        </w:tc>
        <w:tc>
          <w:tcPr>
            <w:tcW w:w="7387" w:type="dxa"/>
            <w:gridSpan w:val="3"/>
            <w:tcBorders>
              <w:top w:val="single" w:color="000000" w:sz="2" w:space="0"/>
              <w:left w:val="single" w:color="000000" w:sz="2" w:space="0"/>
              <w:bottom w:val="single" w:color="000000" w:sz="2" w:space="0"/>
              <w:right w:val="single" w:color="000000" w:sz="2" w:space="0"/>
            </w:tcBorders>
          </w:tcPr>
          <w:p w14:paraId="789E0577">
            <w:pPr>
              <w:spacing w:beforeLines="50" w:line="240" w:lineRule="auto"/>
              <w:rPr>
                <w:rFonts w:ascii="Arial"/>
                <w:color w:val="auto"/>
              </w:rPr>
            </w:pPr>
          </w:p>
        </w:tc>
      </w:tr>
      <w:tr w14:paraId="0276A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2357" w:type="dxa"/>
            <w:tcBorders>
              <w:top w:val="single" w:color="000000" w:sz="2" w:space="0"/>
              <w:left w:val="single" w:color="000000" w:sz="2" w:space="0"/>
              <w:bottom w:val="single" w:color="000000" w:sz="2" w:space="0"/>
              <w:right w:val="single" w:color="000000" w:sz="2" w:space="0"/>
            </w:tcBorders>
          </w:tcPr>
          <w:p w14:paraId="4CA69DE1">
            <w:pPr>
              <w:pStyle w:val="76"/>
              <w:spacing w:beforeLines="50" w:after="0" w:line="240" w:lineRule="auto"/>
              <w:ind w:left="947"/>
              <w:rPr>
                <w:color w:val="auto"/>
              </w:rPr>
            </w:pPr>
            <w:r>
              <w:rPr>
                <w:rFonts w:hint="eastAsia"/>
                <w:color w:val="auto"/>
                <w:spacing w:val="-7"/>
              </w:rPr>
              <w:t>备注</w:t>
            </w:r>
          </w:p>
        </w:tc>
        <w:tc>
          <w:tcPr>
            <w:tcW w:w="7387" w:type="dxa"/>
            <w:gridSpan w:val="3"/>
            <w:tcBorders>
              <w:top w:val="single" w:color="000000" w:sz="2" w:space="0"/>
              <w:left w:val="single" w:color="000000" w:sz="2" w:space="0"/>
              <w:bottom w:val="single" w:color="000000" w:sz="2" w:space="0"/>
              <w:right w:val="single" w:color="000000" w:sz="2" w:space="0"/>
            </w:tcBorders>
          </w:tcPr>
          <w:p w14:paraId="069B3D61">
            <w:pPr>
              <w:pStyle w:val="76"/>
              <w:spacing w:beforeLines="50" w:after="0" w:line="240" w:lineRule="auto"/>
              <w:ind w:left="113" w:right="108" w:firstLine="28"/>
              <w:rPr>
                <w:color w:val="auto"/>
                <w:lang w:eastAsia="zh-CN"/>
              </w:rPr>
            </w:pPr>
            <w:r>
              <w:rPr>
                <w:rFonts w:hint="eastAsia"/>
                <w:color w:val="auto"/>
                <w:spacing w:val="-2"/>
                <w:lang w:eastAsia="zh-CN"/>
              </w:rPr>
              <w:t>以上内容信息，供应商应保证数据的真实性，如发现</w:t>
            </w:r>
            <w:r>
              <w:rPr>
                <w:rFonts w:hint="eastAsia"/>
                <w:color w:val="auto"/>
                <w:spacing w:val="-3"/>
                <w:lang w:eastAsia="zh-CN"/>
              </w:rPr>
              <w:t>造假或不实，供</w:t>
            </w:r>
            <w:r>
              <w:rPr>
                <w:rFonts w:hint="eastAsia"/>
                <w:color w:val="auto"/>
                <w:spacing w:val="-1"/>
                <w:lang w:eastAsia="zh-CN"/>
              </w:rPr>
              <w:t>应商自行承担相关法律后果。</w:t>
            </w:r>
          </w:p>
        </w:tc>
      </w:tr>
    </w:tbl>
    <w:p w14:paraId="08B3AF39">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54DCFDEA">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46BE5034">
      <w:pPr>
        <w:widowControl w:val="0"/>
        <w:tabs>
          <w:tab w:val="left" w:pos="9365"/>
        </w:tabs>
        <w:snapToGrid w:val="0"/>
        <w:spacing w:after="56" w:line="360" w:lineRule="auto"/>
        <w:ind w:right="85" w:firstLine="480" w:firstLineChars="200"/>
        <w:jc w:val="left"/>
        <w:textAlignment w:val="top"/>
        <w:rPr>
          <w:color w:val="auto"/>
          <w:sz w:val="24"/>
          <w:szCs w:val="24"/>
        </w:rPr>
      </w:pPr>
      <w:r>
        <w:rPr>
          <w:rFonts w:hint="eastAsia" w:ascii="宋体" w:hAnsi="宋体" w:cs="楷体_GB2312"/>
          <w:color w:val="auto"/>
          <w:sz w:val="24"/>
          <w:lang w:val="zh-CN"/>
        </w:rPr>
        <w:t>日期：</w:t>
      </w:r>
    </w:p>
    <w:p w14:paraId="7C0BC80C">
      <w:pPr>
        <w:widowControl w:val="0"/>
        <w:snapToGrid w:val="0"/>
        <w:spacing w:line="360" w:lineRule="auto"/>
        <w:ind w:firstLine="600" w:firstLineChars="200"/>
        <w:jc w:val="center"/>
        <w:rPr>
          <w:rFonts w:eastAsia="方正黑体简体"/>
          <w:b/>
          <w:color w:val="auto"/>
          <w:sz w:val="30"/>
          <w:szCs w:val="30"/>
        </w:rPr>
      </w:pPr>
      <w:r>
        <w:rPr>
          <w:rFonts w:eastAsia="方正黑体简体"/>
          <w:b/>
          <w:color w:val="auto"/>
          <w:sz w:val="30"/>
          <w:szCs w:val="30"/>
        </w:rPr>
        <w:br w:type="page"/>
      </w:r>
    </w:p>
    <w:p w14:paraId="25DD8326">
      <w:pPr>
        <w:spacing w:line="351" w:lineRule="atLeast"/>
        <w:ind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3.供应商资格条件及履约承诺函</w:t>
      </w:r>
    </w:p>
    <w:p w14:paraId="469C07B1">
      <w:pPr>
        <w:widowControl w:val="0"/>
        <w:snapToGrid w:val="0"/>
        <w:spacing w:line="360" w:lineRule="auto"/>
        <w:rPr>
          <w:color w:val="auto"/>
          <w:sz w:val="24"/>
          <w:szCs w:val="24"/>
        </w:rPr>
      </w:pPr>
      <w:r>
        <w:rPr>
          <w:rFonts w:hint="eastAsia"/>
          <w:color w:val="auto"/>
          <w:sz w:val="24"/>
          <w:szCs w:val="24"/>
        </w:rPr>
        <w:t>致：</w:t>
      </w:r>
      <w:r>
        <w:rPr>
          <w:rFonts w:hint="eastAsia" w:ascii="宋体" w:hAnsi="宋体"/>
          <w:color w:val="auto"/>
          <w:spacing w:val="11"/>
          <w:sz w:val="24"/>
          <w:szCs w:val="24"/>
          <w:u w:val="single"/>
        </w:rPr>
        <w:t xml:space="preserve">(采购人名称） </w:t>
      </w:r>
    </w:p>
    <w:p w14:paraId="0989F313">
      <w:pPr>
        <w:widowControl w:val="0"/>
        <w:snapToGrid w:val="0"/>
        <w:spacing w:line="360" w:lineRule="auto"/>
        <w:ind w:firstLine="480" w:firstLineChars="200"/>
        <w:jc w:val="left"/>
        <w:rPr>
          <w:bCs/>
          <w:color w:val="auto"/>
          <w:sz w:val="24"/>
          <w:szCs w:val="24"/>
        </w:rPr>
      </w:pPr>
      <w:r>
        <w:rPr>
          <w:rFonts w:hint="eastAsia"/>
          <w:bCs/>
          <w:color w:val="auto"/>
          <w:sz w:val="24"/>
          <w:szCs w:val="24"/>
        </w:rPr>
        <w:t>在采购编号为的</w:t>
      </w:r>
      <w:r>
        <w:rPr>
          <w:rFonts w:hint="eastAsia"/>
          <w:bCs/>
          <w:color w:val="auto"/>
          <w:sz w:val="24"/>
          <w:szCs w:val="24"/>
          <w:u w:val="single"/>
        </w:rPr>
        <w:t>（项目名称）</w:t>
      </w:r>
      <w:r>
        <w:rPr>
          <w:rFonts w:hint="eastAsia"/>
          <w:bCs/>
          <w:color w:val="auto"/>
          <w:sz w:val="24"/>
          <w:szCs w:val="24"/>
        </w:rPr>
        <w:t>采购活动中，我单位严格遵守《中华人民共和国政府采购法》及相关法律法规，坚守公开、公平、公正和诚实信用的原则，依法诚信经营，无条件遵守本次政府采购活动的各项规定。我公司郑重承诺：</w:t>
      </w:r>
    </w:p>
    <w:p w14:paraId="3892EFD2">
      <w:pPr>
        <w:widowControl w:val="0"/>
        <w:snapToGrid w:val="0"/>
        <w:spacing w:line="360" w:lineRule="auto"/>
        <w:ind w:firstLine="480" w:firstLineChars="200"/>
        <w:jc w:val="left"/>
        <w:rPr>
          <w:bCs/>
          <w:color w:val="auto"/>
          <w:sz w:val="24"/>
          <w:szCs w:val="24"/>
        </w:rPr>
      </w:pPr>
      <w:r>
        <w:rPr>
          <w:rFonts w:hint="eastAsia"/>
          <w:bCs/>
          <w:color w:val="auto"/>
          <w:sz w:val="24"/>
          <w:szCs w:val="24"/>
        </w:rPr>
        <w:t>一、我公司具备《中华人民共和国政府采购法》第二十二条第一款规定的六项条件（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4BE817E2">
      <w:pPr>
        <w:widowControl w:val="0"/>
        <w:snapToGrid w:val="0"/>
        <w:spacing w:line="360" w:lineRule="auto"/>
        <w:ind w:firstLine="480" w:firstLineChars="200"/>
        <w:jc w:val="left"/>
        <w:rPr>
          <w:bCs/>
          <w:color w:val="auto"/>
          <w:sz w:val="24"/>
          <w:szCs w:val="24"/>
        </w:rPr>
      </w:pPr>
      <w:r>
        <w:rPr>
          <w:rFonts w:hint="eastAsia"/>
          <w:bCs/>
          <w:color w:val="auto"/>
          <w:sz w:val="24"/>
          <w:szCs w:val="24"/>
        </w:rPr>
        <w:t>二、我公司为本项目所提供的货物或服务未侵犯知识产权。</w:t>
      </w:r>
    </w:p>
    <w:p w14:paraId="0CAC4E38">
      <w:pPr>
        <w:widowControl w:val="0"/>
        <w:snapToGrid w:val="0"/>
        <w:spacing w:line="360" w:lineRule="auto"/>
        <w:ind w:firstLine="480" w:firstLineChars="200"/>
        <w:jc w:val="left"/>
        <w:rPr>
          <w:bCs/>
          <w:color w:val="auto"/>
          <w:sz w:val="24"/>
          <w:szCs w:val="24"/>
        </w:rPr>
      </w:pPr>
      <w:r>
        <w:rPr>
          <w:rFonts w:hint="eastAsia"/>
          <w:bCs/>
          <w:color w:val="auto"/>
          <w:sz w:val="24"/>
          <w:szCs w:val="24"/>
        </w:rPr>
        <w:t>三、我公司参与本项目政府采购活动时不存在被有关部门禁止参与政府采购活动且在有效期内的情况。</w:t>
      </w:r>
    </w:p>
    <w:p w14:paraId="08FEF43D">
      <w:pPr>
        <w:widowControl w:val="0"/>
        <w:snapToGrid w:val="0"/>
        <w:spacing w:line="360" w:lineRule="auto"/>
        <w:ind w:firstLine="480" w:firstLineChars="200"/>
        <w:jc w:val="left"/>
        <w:rPr>
          <w:bCs/>
          <w:color w:val="auto"/>
          <w:sz w:val="24"/>
          <w:szCs w:val="24"/>
        </w:rPr>
      </w:pPr>
      <w:r>
        <w:rPr>
          <w:rFonts w:hint="eastAsia"/>
          <w:bCs/>
          <w:color w:val="auto"/>
          <w:sz w:val="24"/>
          <w:szCs w:val="24"/>
        </w:rPr>
        <w:t>四、我公司参与本项目投标，严格遵守政府采购相关法律法规，不造假，不围标、串标、陪标。我公司已清楚，如违反上述要求，响应文件将作无效处理，被列入不良记录名单并在网上曝光，同时将被提请政府采购监督管理部门给予一定年限内禁止参与政府采购活动或其他处罚。</w:t>
      </w:r>
    </w:p>
    <w:p w14:paraId="2676C86F">
      <w:pPr>
        <w:widowControl w:val="0"/>
        <w:snapToGrid w:val="0"/>
        <w:spacing w:line="360" w:lineRule="auto"/>
        <w:ind w:firstLine="480" w:firstLineChars="200"/>
        <w:jc w:val="left"/>
        <w:rPr>
          <w:bCs/>
          <w:color w:val="auto"/>
          <w:sz w:val="24"/>
          <w:szCs w:val="24"/>
        </w:rPr>
      </w:pPr>
      <w:r>
        <w:rPr>
          <w:rFonts w:hint="eastAsia"/>
          <w:bCs/>
          <w:color w:val="auto"/>
          <w:sz w:val="24"/>
          <w:szCs w:val="24"/>
        </w:rPr>
        <w:t>五、我公司已认真核实了响应文件的全部内容，所有资料均为真实资料。我公司对响应文件中全部投标资料的真实性负责，如被证实我公司的响应文件中存在虚假资料的，则视为我公司隐瞒真实情况、提供虚假资料，我公司愿意接受主管部门作出的行政处罚。</w:t>
      </w:r>
    </w:p>
    <w:p w14:paraId="2901D8C2">
      <w:pPr>
        <w:widowControl w:val="0"/>
        <w:snapToGrid w:val="0"/>
        <w:spacing w:line="360" w:lineRule="auto"/>
        <w:ind w:firstLine="480" w:firstLineChars="200"/>
        <w:jc w:val="left"/>
        <w:rPr>
          <w:bCs/>
          <w:color w:val="auto"/>
          <w:sz w:val="24"/>
          <w:szCs w:val="24"/>
        </w:rPr>
      </w:pPr>
      <w:r>
        <w:rPr>
          <w:rFonts w:hint="eastAsia"/>
          <w:bCs/>
          <w:color w:val="auto"/>
          <w:sz w:val="24"/>
          <w:szCs w:val="24"/>
        </w:rPr>
        <w:t>六、我公司承诺成交后项目不转包，未经采购人同意不进行分包。</w:t>
      </w:r>
    </w:p>
    <w:p w14:paraId="3CF878ED">
      <w:pPr>
        <w:widowControl w:val="0"/>
        <w:snapToGrid w:val="0"/>
        <w:spacing w:line="360" w:lineRule="auto"/>
        <w:ind w:firstLine="480" w:firstLineChars="200"/>
        <w:jc w:val="left"/>
        <w:rPr>
          <w:bCs/>
          <w:color w:val="auto"/>
          <w:sz w:val="24"/>
          <w:szCs w:val="24"/>
        </w:rPr>
      </w:pPr>
      <w:r>
        <w:rPr>
          <w:rFonts w:hint="eastAsia"/>
          <w:bCs/>
          <w:color w:val="auto"/>
          <w:sz w:val="24"/>
          <w:szCs w:val="24"/>
        </w:rPr>
        <w:t>七、我公司保证，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公司承担全部责任。</w:t>
      </w:r>
    </w:p>
    <w:p w14:paraId="517A3787">
      <w:pPr>
        <w:widowControl w:val="0"/>
        <w:snapToGrid w:val="0"/>
        <w:spacing w:line="360" w:lineRule="auto"/>
        <w:ind w:firstLine="480" w:firstLineChars="200"/>
        <w:jc w:val="left"/>
        <w:rPr>
          <w:bCs/>
          <w:color w:val="auto"/>
          <w:sz w:val="24"/>
          <w:szCs w:val="24"/>
        </w:rPr>
      </w:pPr>
      <w:r>
        <w:rPr>
          <w:rFonts w:hint="eastAsia"/>
          <w:bCs/>
          <w:color w:val="auto"/>
          <w:sz w:val="24"/>
          <w:szCs w:val="24"/>
        </w:rPr>
        <w:t>八、我公司承诺不向国家工作人员、政府采购代理机构工作人员、评审专家及其亲属提供礼品礼金、有价证券、购物券、回扣、佣金、咨询费、劳务费、赞助费、宣传费、宴请；不为其报销各种消费凭证，不支付其旅游、娱乐等费用。</w:t>
      </w:r>
    </w:p>
    <w:p w14:paraId="237F0A76">
      <w:pPr>
        <w:widowControl w:val="0"/>
        <w:snapToGrid w:val="0"/>
        <w:spacing w:line="360" w:lineRule="auto"/>
        <w:ind w:firstLine="480" w:firstLineChars="200"/>
        <w:jc w:val="left"/>
        <w:rPr>
          <w:bCs/>
          <w:color w:val="auto"/>
          <w:sz w:val="24"/>
          <w:szCs w:val="24"/>
        </w:rPr>
      </w:pPr>
      <w:r>
        <w:rPr>
          <w:rFonts w:hint="eastAsia"/>
          <w:bCs/>
          <w:color w:val="auto"/>
          <w:sz w:val="24"/>
          <w:szCs w:val="24"/>
        </w:rPr>
        <w:t>九、我公司承诺单位负责人为同一人或者存在直接控股、管理关系的不同供应商，不参加同一合同项下的政府采购活动。没有为本项目提供整体设计、规范编制或者项目管理、监理、检测等服务。</w:t>
      </w:r>
    </w:p>
    <w:p w14:paraId="1EB71C1F">
      <w:pPr>
        <w:widowControl w:val="0"/>
        <w:snapToGrid w:val="0"/>
        <w:spacing w:line="360" w:lineRule="auto"/>
        <w:ind w:firstLine="480" w:firstLineChars="200"/>
        <w:jc w:val="left"/>
        <w:rPr>
          <w:bCs/>
          <w:color w:val="auto"/>
          <w:sz w:val="24"/>
          <w:szCs w:val="24"/>
        </w:rPr>
      </w:pPr>
      <w:r>
        <w:rPr>
          <w:rFonts w:hint="eastAsia"/>
          <w:bCs/>
          <w:color w:val="auto"/>
          <w:sz w:val="24"/>
          <w:szCs w:val="24"/>
        </w:rPr>
        <w:t>十、我公司已详细阅读并完全理解、同意《采购文件》的全部内容，包括修改补充文件、更正公告以及全部参考资料和有关附件；除我公司在《采购文件》规定期间内提出的质疑外，我公司放弃对这方面不明及误解的权力，并严格按采购人确定的技术及商务要求等履行。</w:t>
      </w:r>
    </w:p>
    <w:p w14:paraId="54884AF9">
      <w:pPr>
        <w:widowControl w:val="0"/>
        <w:snapToGrid w:val="0"/>
        <w:spacing w:line="360" w:lineRule="auto"/>
        <w:ind w:firstLine="480" w:firstLineChars="200"/>
        <w:jc w:val="left"/>
        <w:rPr>
          <w:bCs/>
          <w:color w:val="auto"/>
          <w:sz w:val="24"/>
          <w:szCs w:val="24"/>
        </w:rPr>
      </w:pPr>
      <w:r>
        <w:rPr>
          <w:rFonts w:hint="eastAsia"/>
          <w:bCs/>
          <w:color w:val="auto"/>
          <w:sz w:val="24"/>
          <w:szCs w:val="24"/>
        </w:rPr>
        <w:t>十一、我公司开标前已详细了解采购标的，并按采购人现有条件及要求编制投标报价；我公司的投标报价包括《采购文件》所述报价组成的所有内容、并包括《采购文件》未列明而完成本项目所必须的所有设备、材料、工具、费用等达到交付使用及验收条件的所有一切风险、责任和义务的费用。我公司确认投标报价保证按《采购文件》要求及投标承诺的质量诚信履约。</w:t>
      </w:r>
    </w:p>
    <w:p w14:paraId="68A6AF47">
      <w:pPr>
        <w:widowControl w:val="0"/>
        <w:snapToGrid w:val="0"/>
        <w:spacing w:line="360" w:lineRule="auto"/>
        <w:ind w:firstLine="480" w:firstLineChars="200"/>
        <w:jc w:val="left"/>
        <w:rPr>
          <w:bCs/>
          <w:color w:val="auto"/>
          <w:sz w:val="24"/>
          <w:szCs w:val="24"/>
        </w:rPr>
      </w:pPr>
      <w:r>
        <w:rPr>
          <w:rFonts w:hint="eastAsia"/>
          <w:bCs/>
          <w:color w:val="auto"/>
          <w:sz w:val="24"/>
          <w:szCs w:val="24"/>
        </w:rPr>
        <w:t>十二、我公司保证在《采购文件》要求的时间内按期、保质完成本项目。如我公司成交，将在成交结果公告后，积极、主动的与采购人联系合同签订事宜，合同签订中如有任何的问题，我公司保证及时书面反映情况，否则视为我公司责任、按违约处理。</w:t>
      </w:r>
    </w:p>
    <w:p w14:paraId="576ADA21">
      <w:pPr>
        <w:widowControl w:val="0"/>
        <w:snapToGrid w:val="0"/>
        <w:spacing w:line="360" w:lineRule="auto"/>
        <w:ind w:firstLine="480" w:firstLineChars="200"/>
        <w:jc w:val="left"/>
        <w:rPr>
          <w:bCs/>
          <w:color w:val="auto"/>
          <w:sz w:val="24"/>
          <w:szCs w:val="24"/>
        </w:rPr>
      </w:pPr>
      <w:r>
        <w:rPr>
          <w:rFonts w:hint="eastAsia"/>
          <w:bCs/>
          <w:color w:val="auto"/>
          <w:sz w:val="24"/>
          <w:szCs w:val="24"/>
        </w:rPr>
        <w:t>十三、除法律规定的不可抗力因素外，我公司成交后以任何理由（包括违背上述承诺的事项）提出不能满足《采购文件》技术、效验期等要求或不能实现投标承诺的或提出变更的，我公司将无条件接受违约处理、并放弃我公司成交资格。我公司知悉违约责任及其处理，并无条件接受：情节严重的，由财政部门列入不良行为记录名单，在一至三年内禁止参加政府采购活动，并予以通报，处以罚金，给采购人及他人造成损失的，承担相应的赔偿责任。</w:t>
      </w:r>
    </w:p>
    <w:p w14:paraId="0F6D7E7F">
      <w:pPr>
        <w:widowControl w:val="0"/>
        <w:snapToGrid w:val="0"/>
        <w:spacing w:line="360" w:lineRule="auto"/>
        <w:ind w:firstLine="480" w:firstLineChars="200"/>
        <w:jc w:val="left"/>
        <w:rPr>
          <w:bCs/>
          <w:color w:val="auto"/>
          <w:sz w:val="24"/>
          <w:szCs w:val="24"/>
        </w:rPr>
      </w:pPr>
      <w:r>
        <w:rPr>
          <w:rFonts w:hint="eastAsia"/>
          <w:bCs/>
          <w:color w:val="auto"/>
          <w:sz w:val="24"/>
          <w:szCs w:val="24"/>
        </w:rPr>
        <w:t>我公司保证上述承诺事项的真实性，如有弄虚作假或其他违法违规行为，愿意承担一切法律责任，并承担因此造成的一切损失。</w:t>
      </w:r>
    </w:p>
    <w:p w14:paraId="459BBFCB">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p>
    <w:p w14:paraId="32978C10">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0C79F290">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384A7148">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473A4851">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p>
    <w:p w14:paraId="0ED3DB1B">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p>
    <w:p w14:paraId="059FFD5F">
      <w:pPr>
        <w:widowControl w:val="0"/>
        <w:snapToGrid w:val="0"/>
        <w:spacing w:line="360" w:lineRule="auto"/>
        <w:jc w:val="left"/>
        <w:rPr>
          <w:b/>
          <w:color w:val="auto"/>
          <w:sz w:val="24"/>
          <w:szCs w:val="24"/>
        </w:rPr>
      </w:pPr>
      <w:r>
        <w:rPr>
          <w:rFonts w:hint="eastAsia"/>
          <w:b/>
          <w:color w:val="auto"/>
          <w:sz w:val="24"/>
          <w:szCs w:val="24"/>
        </w:rPr>
        <w:t>备注：依据安阳市财政局文件（安财购〔</w:t>
      </w:r>
      <w:r>
        <w:rPr>
          <w:b/>
          <w:color w:val="auto"/>
          <w:sz w:val="24"/>
          <w:szCs w:val="24"/>
        </w:rPr>
        <w:t>2021</w:t>
      </w:r>
      <w:r>
        <w:rPr>
          <w:rFonts w:hint="eastAsia"/>
          <w:b/>
          <w:color w:val="auto"/>
          <w:sz w:val="24"/>
          <w:szCs w:val="24"/>
        </w:rPr>
        <w:t>〕</w:t>
      </w:r>
      <w:r>
        <w:rPr>
          <w:b/>
          <w:color w:val="auto"/>
          <w:sz w:val="24"/>
          <w:szCs w:val="24"/>
        </w:rPr>
        <w:t>20</w:t>
      </w:r>
      <w:r>
        <w:rPr>
          <w:rFonts w:hint="eastAsia"/>
          <w:b/>
          <w:color w:val="auto"/>
          <w:sz w:val="24"/>
          <w:szCs w:val="24"/>
        </w:rPr>
        <w:t>号）要求，供应商在参加本项目投标时，对于《中华人民共和国政府采购法》第二十二条规定的资格条件，供应商可用承诺函的形式进行证明，但必须保证承诺事项的真实性。</w:t>
      </w:r>
    </w:p>
    <w:p w14:paraId="197E6714">
      <w:pPr>
        <w:spacing w:line="360" w:lineRule="auto"/>
        <w:ind w:firstLine="600" w:firstLineChars="200"/>
        <w:jc w:val="center"/>
        <w:rPr>
          <w:rFonts w:eastAsia="方正黑体简体"/>
          <w:b/>
          <w:color w:val="auto"/>
          <w:sz w:val="30"/>
          <w:szCs w:val="30"/>
        </w:rPr>
      </w:pPr>
      <w:r>
        <w:rPr>
          <w:rFonts w:eastAsia="方正黑体简体"/>
          <w:b/>
          <w:color w:val="auto"/>
          <w:sz w:val="30"/>
          <w:szCs w:val="30"/>
        </w:rPr>
        <w:br w:type="page"/>
      </w:r>
    </w:p>
    <w:p w14:paraId="0648B7E9">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4.其他资格证明材料</w:t>
      </w:r>
    </w:p>
    <w:p w14:paraId="7A59ADFE">
      <w:pPr>
        <w:pStyle w:val="8"/>
        <w:spacing w:after="0" w:line="360" w:lineRule="auto"/>
        <w:ind w:firstLine="480" w:firstLineChars="200"/>
        <w:jc w:val="left"/>
        <w:rPr>
          <w:b/>
          <w:bCs/>
          <w:color w:val="auto"/>
          <w:sz w:val="24"/>
          <w:szCs w:val="22"/>
        </w:rPr>
      </w:pPr>
      <w:r>
        <w:rPr>
          <w:rFonts w:hint="eastAsia"/>
          <w:color w:val="auto"/>
          <w:sz w:val="24"/>
          <w:szCs w:val="22"/>
        </w:rPr>
        <w:t>（按采购文件要求提供，落实政府采购政策满足的资格要求证明材料或特定资格要求证明材料或供应商认为有必要提供的其他证明材料，加盖单位公章。）</w:t>
      </w:r>
    </w:p>
    <w:p w14:paraId="32F2CE23">
      <w:pPr>
        <w:widowControl w:val="0"/>
        <w:snapToGrid w:val="0"/>
        <w:spacing w:line="360" w:lineRule="auto"/>
        <w:textAlignment w:val="top"/>
        <w:rPr>
          <w:color w:val="auto"/>
          <w:sz w:val="24"/>
          <w:szCs w:val="24"/>
        </w:rPr>
      </w:pPr>
    </w:p>
    <w:p w14:paraId="54D9C557">
      <w:pPr>
        <w:ind w:firstLine="482" w:firstLineChars="200"/>
        <w:rPr>
          <w:b/>
          <w:bCs/>
          <w:color w:val="auto"/>
          <w:sz w:val="24"/>
          <w:szCs w:val="22"/>
        </w:rPr>
      </w:pPr>
      <w:r>
        <w:rPr>
          <w:b/>
          <w:bCs/>
          <w:color w:val="auto"/>
          <w:sz w:val="24"/>
          <w:szCs w:val="22"/>
        </w:rPr>
        <w:br w:type="page"/>
      </w:r>
    </w:p>
    <w:p w14:paraId="4030C8B2">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5.分项报价明细表</w:t>
      </w:r>
    </w:p>
    <w:p w14:paraId="302C1F4E">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供应商名称：</w:t>
      </w:r>
    </w:p>
    <w:p w14:paraId="42C4E9D5">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项目名称：</w:t>
      </w:r>
    </w:p>
    <w:p w14:paraId="67CF065F">
      <w:pPr>
        <w:pStyle w:val="8"/>
        <w:ind w:firstLine="480" w:firstLineChars="200"/>
        <w:rPr>
          <w:color w:val="auto"/>
        </w:rPr>
      </w:pPr>
      <w:r>
        <w:rPr>
          <w:rFonts w:hint="eastAsia" w:ascii="宋体" w:hAnsi="宋体" w:cs="宋体"/>
          <w:color w:val="auto"/>
          <w:sz w:val="24"/>
          <w:szCs w:val="24"/>
        </w:rPr>
        <w:t>采购编号：                           单位：元/人民币</w:t>
      </w:r>
    </w:p>
    <w:tbl>
      <w:tblPr>
        <w:tblStyle w:val="82"/>
        <w:tblW w:w="9196"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
        <w:gridCol w:w="2093"/>
        <w:gridCol w:w="2857"/>
        <w:gridCol w:w="673"/>
        <w:gridCol w:w="1064"/>
        <w:gridCol w:w="1872"/>
      </w:tblGrid>
      <w:tr w14:paraId="5828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37" w:type="dxa"/>
            <w:tcBorders>
              <w:top w:val="single" w:color="000000" w:sz="12" w:space="0"/>
              <w:left w:val="single" w:color="000000" w:sz="12" w:space="0"/>
              <w:bottom w:val="single" w:color="000000" w:sz="4" w:space="0"/>
              <w:right w:val="single" w:color="000000" w:sz="4" w:space="0"/>
            </w:tcBorders>
          </w:tcPr>
          <w:p w14:paraId="60B9DEF2">
            <w:pPr>
              <w:spacing w:line="240" w:lineRule="auto"/>
              <w:jc w:val="center"/>
              <w:rPr>
                <w:rFonts w:ascii="宋体" w:hAnsi="宋体" w:cs="宋体"/>
                <w:color w:val="auto"/>
                <w:sz w:val="24"/>
                <w:szCs w:val="24"/>
              </w:rPr>
            </w:pPr>
          </w:p>
          <w:p w14:paraId="25D11F5E">
            <w:pPr>
              <w:pStyle w:val="76"/>
              <w:spacing w:after="0" w:line="240" w:lineRule="auto"/>
              <w:jc w:val="center"/>
              <w:rPr>
                <w:color w:val="auto"/>
              </w:rPr>
            </w:pPr>
            <w:r>
              <w:rPr>
                <w:rFonts w:hint="eastAsia"/>
                <w:color w:val="auto"/>
                <w:spacing w:val="5"/>
              </w:rPr>
              <w:t>序号</w:t>
            </w:r>
          </w:p>
        </w:tc>
        <w:tc>
          <w:tcPr>
            <w:tcW w:w="2093" w:type="dxa"/>
            <w:tcBorders>
              <w:top w:val="single" w:color="000000" w:sz="12" w:space="0"/>
              <w:left w:val="single" w:color="000000" w:sz="4" w:space="0"/>
              <w:bottom w:val="single" w:color="000000" w:sz="4" w:space="0"/>
              <w:right w:val="single" w:color="000000" w:sz="4" w:space="0"/>
            </w:tcBorders>
          </w:tcPr>
          <w:p w14:paraId="0DF27D51">
            <w:pPr>
              <w:spacing w:line="240" w:lineRule="auto"/>
              <w:jc w:val="center"/>
              <w:rPr>
                <w:rFonts w:ascii="宋体" w:hAnsi="宋体" w:cs="宋体"/>
                <w:color w:val="auto"/>
                <w:sz w:val="24"/>
                <w:szCs w:val="24"/>
              </w:rPr>
            </w:pPr>
          </w:p>
          <w:p w14:paraId="14BD7C1F">
            <w:pPr>
              <w:pStyle w:val="76"/>
              <w:spacing w:after="0" w:line="240" w:lineRule="auto"/>
              <w:jc w:val="center"/>
              <w:rPr>
                <w:color w:val="auto"/>
              </w:rPr>
            </w:pPr>
            <w:r>
              <w:rPr>
                <w:rFonts w:hint="eastAsia"/>
                <w:color w:val="auto"/>
                <w:spacing w:val="6"/>
              </w:rPr>
              <w:t>项目名称</w:t>
            </w:r>
          </w:p>
        </w:tc>
        <w:tc>
          <w:tcPr>
            <w:tcW w:w="2857" w:type="dxa"/>
            <w:tcBorders>
              <w:top w:val="single" w:color="000000" w:sz="12" w:space="0"/>
              <w:left w:val="single" w:color="000000" w:sz="4" w:space="0"/>
              <w:bottom w:val="single" w:color="000000" w:sz="4" w:space="0"/>
              <w:right w:val="single" w:color="000000" w:sz="4" w:space="0"/>
            </w:tcBorders>
          </w:tcPr>
          <w:p w14:paraId="09037EEA">
            <w:pPr>
              <w:spacing w:line="240" w:lineRule="auto"/>
              <w:jc w:val="center"/>
              <w:rPr>
                <w:rFonts w:ascii="宋体" w:hAnsi="宋体" w:cs="宋体"/>
                <w:color w:val="auto"/>
                <w:sz w:val="24"/>
                <w:szCs w:val="24"/>
              </w:rPr>
            </w:pPr>
          </w:p>
          <w:p w14:paraId="12EEBFAE">
            <w:pPr>
              <w:pStyle w:val="76"/>
              <w:spacing w:after="0" w:line="240" w:lineRule="auto"/>
              <w:jc w:val="center"/>
              <w:rPr>
                <w:color w:val="auto"/>
              </w:rPr>
            </w:pPr>
            <w:r>
              <w:rPr>
                <w:rFonts w:hint="eastAsia"/>
                <w:color w:val="auto"/>
                <w:spacing w:val="7"/>
                <w:lang w:eastAsia="zh-CN"/>
              </w:rPr>
              <w:t>采购</w:t>
            </w:r>
            <w:r>
              <w:rPr>
                <w:rFonts w:hint="eastAsia"/>
                <w:color w:val="auto"/>
                <w:spacing w:val="7"/>
              </w:rPr>
              <w:t>内容</w:t>
            </w:r>
          </w:p>
        </w:tc>
        <w:tc>
          <w:tcPr>
            <w:tcW w:w="673" w:type="dxa"/>
            <w:tcBorders>
              <w:top w:val="single" w:color="000000" w:sz="12" w:space="0"/>
              <w:left w:val="single" w:color="000000" w:sz="4" w:space="0"/>
              <w:bottom w:val="single" w:color="000000" w:sz="4" w:space="0"/>
              <w:right w:val="single" w:color="000000" w:sz="4" w:space="0"/>
            </w:tcBorders>
          </w:tcPr>
          <w:p w14:paraId="475FEF03">
            <w:pPr>
              <w:spacing w:line="240" w:lineRule="auto"/>
              <w:jc w:val="center"/>
              <w:rPr>
                <w:rFonts w:ascii="宋体" w:hAnsi="宋体" w:cs="宋体"/>
                <w:color w:val="auto"/>
                <w:sz w:val="24"/>
                <w:szCs w:val="24"/>
              </w:rPr>
            </w:pPr>
          </w:p>
          <w:p w14:paraId="716AF504">
            <w:pPr>
              <w:pStyle w:val="76"/>
              <w:spacing w:after="0" w:line="240" w:lineRule="auto"/>
              <w:jc w:val="center"/>
              <w:rPr>
                <w:color w:val="auto"/>
              </w:rPr>
            </w:pPr>
            <w:r>
              <w:rPr>
                <w:rFonts w:hint="eastAsia"/>
                <w:color w:val="auto"/>
                <w:spacing w:val="3"/>
              </w:rPr>
              <w:t>单位</w:t>
            </w:r>
          </w:p>
        </w:tc>
        <w:tc>
          <w:tcPr>
            <w:tcW w:w="1064" w:type="dxa"/>
            <w:tcBorders>
              <w:top w:val="single" w:color="000000" w:sz="12" w:space="0"/>
              <w:left w:val="single" w:color="000000" w:sz="4" w:space="0"/>
              <w:bottom w:val="single" w:color="000000" w:sz="4" w:space="0"/>
              <w:right w:val="single" w:color="000000" w:sz="4" w:space="0"/>
            </w:tcBorders>
          </w:tcPr>
          <w:p w14:paraId="6A0CA3D5">
            <w:pPr>
              <w:spacing w:line="240" w:lineRule="auto"/>
              <w:jc w:val="center"/>
              <w:rPr>
                <w:rFonts w:ascii="宋体" w:hAnsi="宋体" w:cs="宋体"/>
                <w:color w:val="auto"/>
                <w:sz w:val="24"/>
                <w:szCs w:val="24"/>
              </w:rPr>
            </w:pPr>
          </w:p>
          <w:p w14:paraId="7845EA58">
            <w:pPr>
              <w:pStyle w:val="76"/>
              <w:spacing w:after="0" w:line="240" w:lineRule="auto"/>
              <w:jc w:val="center"/>
              <w:rPr>
                <w:color w:val="auto"/>
              </w:rPr>
            </w:pPr>
            <w:r>
              <w:rPr>
                <w:rFonts w:hint="eastAsia"/>
                <w:color w:val="auto"/>
                <w:spacing w:val="3"/>
              </w:rPr>
              <w:t>单价</w:t>
            </w:r>
          </w:p>
        </w:tc>
        <w:tc>
          <w:tcPr>
            <w:tcW w:w="1872" w:type="dxa"/>
            <w:tcBorders>
              <w:top w:val="single" w:color="000000" w:sz="12" w:space="0"/>
              <w:left w:val="single" w:color="000000" w:sz="4" w:space="0"/>
              <w:bottom w:val="single" w:color="000000" w:sz="4" w:space="0"/>
              <w:right w:val="single" w:color="000000" w:sz="12" w:space="0"/>
            </w:tcBorders>
          </w:tcPr>
          <w:p w14:paraId="41E30E41">
            <w:pPr>
              <w:spacing w:line="240" w:lineRule="auto"/>
              <w:jc w:val="center"/>
              <w:rPr>
                <w:rFonts w:ascii="宋体" w:hAnsi="宋体" w:cs="宋体"/>
                <w:color w:val="auto"/>
                <w:sz w:val="24"/>
                <w:szCs w:val="24"/>
              </w:rPr>
            </w:pPr>
          </w:p>
          <w:p w14:paraId="233E2737">
            <w:pPr>
              <w:pStyle w:val="76"/>
              <w:spacing w:after="0" w:line="240" w:lineRule="auto"/>
              <w:jc w:val="center"/>
              <w:rPr>
                <w:color w:val="auto"/>
              </w:rPr>
            </w:pPr>
            <w:r>
              <w:rPr>
                <w:rFonts w:hint="eastAsia"/>
                <w:color w:val="auto"/>
                <w:spacing w:val="2"/>
              </w:rPr>
              <w:t>小计</w:t>
            </w:r>
          </w:p>
        </w:tc>
      </w:tr>
      <w:tr w14:paraId="05344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637" w:type="dxa"/>
            <w:tcBorders>
              <w:top w:val="single" w:color="000000" w:sz="4" w:space="0"/>
              <w:left w:val="single" w:color="000000" w:sz="12" w:space="0"/>
              <w:bottom w:val="single" w:color="000000" w:sz="4" w:space="0"/>
              <w:right w:val="single" w:color="000000" w:sz="4" w:space="0"/>
            </w:tcBorders>
          </w:tcPr>
          <w:p w14:paraId="71C378C5">
            <w:pPr>
              <w:spacing w:line="240" w:lineRule="auto"/>
              <w:jc w:val="center"/>
              <w:rPr>
                <w:rFonts w:ascii="宋体" w:hAnsi="宋体" w:cs="宋体"/>
                <w:color w:val="auto"/>
                <w:sz w:val="24"/>
                <w:szCs w:val="24"/>
              </w:rPr>
            </w:pPr>
          </w:p>
          <w:p w14:paraId="1981CF10">
            <w:pPr>
              <w:pStyle w:val="76"/>
              <w:spacing w:after="0" w:line="240" w:lineRule="auto"/>
              <w:jc w:val="center"/>
              <w:rPr>
                <w:color w:val="auto"/>
              </w:rPr>
            </w:pPr>
            <w:r>
              <w:rPr>
                <w:rFonts w:hint="eastAsia"/>
                <w:color w:val="auto"/>
              </w:rPr>
              <w:t>1</w:t>
            </w:r>
          </w:p>
        </w:tc>
        <w:tc>
          <w:tcPr>
            <w:tcW w:w="2093" w:type="dxa"/>
            <w:tcBorders>
              <w:top w:val="single" w:color="000000" w:sz="4" w:space="0"/>
              <w:left w:val="single" w:color="000000" w:sz="4" w:space="0"/>
              <w:bottom w:val="single" w:color="000000" w:sz="4" w:space="0"/>
              <w:right w:val="single" w:color="000000" w:sz="4" w:space="0"/>
            </w:tcBorders>
          </w:tcPr>
          <w:p w14:paraId="2D83E66E">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77F0A842">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538C24A8">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1BB8B1B">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6182C0D4">
            <w:pPr>
              <w:spacing w:line="240" w:lineRule="auto"/>
              <w:jc w:val="center"/>
              <w:rPr>
                <w:rFonts w:ascii="宋体" w:hAnsi="宋体" w:cs="宋体"/>
                <w:color w:val="auto"/>
                <w:sz w:val="24"/>
                <w:szCs w:val="24"/>
              </w:rPr>
            </w:pPr>
          </w:p>
        </w:tc>
      </w:tr>
      <w:tr w14:paraId="23ED1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637" w:type="dxa"/>
            <w:tcBorders>
              <w:top w:val="single" w:color="000000" w:sz="4" w:space="0"/>
              <w:left w:val="single" w:color="000000" w:sz="12" w:space="0"/>
              <w:bottom w:val="single" w:color="000000" w:sz="4" w:space="0"/>
              <w:right w:val="single" w:color="000000" w:sz="4" w:space="0"/>
            </w:tcBorders>
          </w:tcPr>
          <w:p w14:paraId="72F20CD4">
            <w:pPr>
              <w:spacing w:line="240" w:lineRule="auto"/>
              <w:jc w:val="center"/>
              <w:rPr>
                <w:rFonts w:ascii="宋体" w:hAnsi="宋体" w:cs="宋体"/>
                <w:color w:val="auto"/>
                <w:sz w:val="24"/>
                <w:szCs w:val="24"/>
              </w:rPr>
            </w:pPr>
          </w:p>
          <w:p w14:paraId="59B5A7E6">
            <w:pPr>
              <w:pStyle w:val="76"/>
              <w:spacing w:after="0" w:line="240" w:lineRule="auto"/>
              <w:jc w:val="center"/>
              <w:rPr>
                <w:color w:val="auto"/>
              </w:rPr>
            </w:pPr>
            <w:r>
              <w:rPr>
                <w:rFonts w:hint="eastAsia"/>
                <w:color w:val="auto"/>
              </w:rPr>
              <w:t>2</w:t>
            </w:r>
          </w:p>
        </w:tc>
        <w:tc>
          <w:tcPr>
            <w:tcW w:w="2093" w:type="dxa"/>
            <w:tcBorders>
              <w:top w:val="single" w:color="000000" w:sz="4" w:space="0"/>
              <w:left w:val="single" w:color="000000" w:sz="4" w:space="0"/>
              <w:bottom w:val="single" w:color="000000" w:sz="4" w:space="0"/>
              <w:right w:val="single" w:color="000000" w:sz="4" w:space="0"/>
            </w:tcBorders>
          </w:tcPr>
          <w:p w14:paraId="505E9C80">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231FAF0C">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2128D23D">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AA4AF58">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2491246C">
            <w:pPr>
              <w:spacing w:line="240" w:lineRule="auto"/>
              <w:jc w:val="center"/>
              <w:rPr>
                <w:rFonts w:ascii="宋体" w:hAnsi="宋体" w:cs="宋体"/>
                <w:color w:val="auto"/>
                <w:sz w:val="24"/>
                <w:szCs w:val="24"/>
              </w:rPr>
            </w:pPr>
          </w:p>
        </w:tc>
      </w:tr>
      <w:tr w14:paraId="54083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637" w:type="dxa"/>
            <w:tcBorders>
              <w:top w:val="single" w:color="000000" w:sz="4" w:space="0"/>
              <w:left w:val="single" w:color="000000" w:sz="12" w:space="0"/>
              <w:bottom w:val="single" w:color="000000" w:sz="4" w:space="0"/>
              <w:right w:val="single" w:color="000000" w:sz="4" w:space="0"/>
            </w:tcBorders>
          </w:tcPr>
          <w:p w14:paraId="18DABBBD">
            <w:pPr>
              <w:spacing w:line="240" w:lineRule="auto"/>
              <w:jc w:val="center"/>
              <w:rPr>
                <w:rFonts w:ascii="宋体" w:hAnsi="宋体" w:cs="宋体"/>
                <w:color w:val="auto"/>
                <w:sz w:val="24"/>
                <w:szCs w:val="24"/>
              </w:rPr>
            </w:pPr>
          </w:p>
          <w:p w14:paraId="034B58BC">
            <w:pPr>
              <w:pStyle w:val="76"/>
              <w:spacing w:after="0" w:line="240" w:lineRule="auto"/>
              <w:jc w:val="center"/>
              <w:rPr>
                <w:color w:val="auto"/>
              </w:rPr>
            </w:pPr>
            <w:r>
              <w:rPr>
                <w:rFonts w:hint="eastAsia"/>
                <w:color w:val="auto"/>
                <w:position w:val="1"/>
              </w:rPr>
              <w:t>3</w:t>
            </w:r>
          </w:p>
        </w:tc>
        <w:tc>
          <w:tcPr>
            <w:tcW w:w="2093" w:type="dxa"/>
            <w:tcBorders>
              <w:top w:val="single" w:color="000000" w:sz="4" w:space="0"/>
              <w:left w:val="single" w:color="000000" w:sz="4" w:space="0"/>
              <w:bottom w:val="single" w:color="000000" w:sz="4" w:space="0"/>
              <w:right w:val="single" w:color="000000" w:sz="4" w:space="0"/>
            </w:tcBorders>
          </w:tcPr>
          <w:p w14:paraId="62D9F916">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17F132C6">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0D855039">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486C3B1D">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30AF8F3A">
            <w:pPr>
              <w:spacing w:line="240" w:lineRule="auto"/>
              <w:jc w:val="center"/>
              <w:rPr>
                <w:rFonts w:ascii="宋体" w:hAnsi="宋体" w:cs="宋体"/>
                <w:color w:val="auto"/>
                <w:sz w:val="24"/>
                <w:szCs w:val="24"/>
              </w:rPr>
            </w:pPr>
          </w:p>
        </w:tc>
      </w:tr>
      <w:tr w14:paraId="3FA19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637" w:type="dxa"/>
            <w:tcBorders>
              <w:top w:val="single" w:color="000000" w:sz="4" w:space="0"/>
              <w:left w:val="single" w:color="000000" w:sz="12" w:space="0"/>
              <w:bottom w:val="single" w:color="000000" w:sz="4" w:space="0"/>
              <w:right w:val="single" w:color="000000" w:sz="4" w:space="0"/>
            </w:tcBorders>
          </w:tcPr>
          <w:p w14:paraId="1156E18F">
            <w:pPr>
              <w:spacing w:line="240" w:lineRule="auto"/>
              <w:jc w:val="center"/>
              <w:rPr>
                <w:rFonts w:ascii="宋体" w:hAnsi="宋体" w:cs="宋体"/>
                <w:color w:val="auto"/>
                <w:sz w:val="24"/>
                <w:szCs w:val="24"/>
              </w:rPr>
            </w:pPr>
          </w:p>
          <w:p w14:paraId="21032EDC">
            <w:pPr>
              <w:pStyle w:val="76"/>
              <w:spacing w:after="0" w:line="240" w:lineRule="auto"/>
              <w:jc w:val="center"/>
              <w:rPr>
                <w:color w:val="auto"/>
              </w:rPr>
            </w:pPr>
            <w:r>
              <w:rPr>
                <w:rFonts w:hint="eastAsia"/>
                <w:color w:val="auto"/>
              </w:rPr>
              <w:t>4</w:t>
            </w:r>
          </w:p>
        </w:tc>
        <w:tc>
          <w:tcPr>
            <w:tcW w:w="2093" w:type="dxa"/>
            <w:tcBorders>
              <w:top w:val="single" w:color="000000" w:sz="4" w:space="0"/>
              <w:left w:val="single" w:color="000000" w:sz="4" w:space="0"/>
              <w:bottom w:val="single" w:color="000000" w:sz="4" w:space="0"/>
              <w:right w:val="single" w:color="000000" w:sz="4" w:space="0"/>
            </w:tcBorders>
          </w:tcPr>
          <w:p w14:paraId="6D93070E">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4018E07E">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0520679E">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55EDBDCD">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03549D71">
            <w:pPr>
              <w:spacing w:line="240" w:lineRule="auto"/>
              <w:jc w:val="center"/>
              <w:rPr>
                <w:rFonts w:ascii="宋体" w:hAnsi="宋体" w:cs="宋体"/>
                <w:color w:val="auto"/>
                <w:sz w:val="24"/>
                <w:szCs w:val="24"/>
              </w:rPr>
            </w:pPr>
          </w:p>
        </w:tc>
      </w:tr>
      <w:tr w14:paraId="282F4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637" w:type="dxa"/>
            <w:tcBorders>
              <w:top w:val="single" w:color="000000" w:sz="4" w:space="0"/>
              <w:left w:val="single" w:color="000000" w:sz="12" w:space="0"/>
              <w:bottom w:val="single" w:color="000000" w:sz="4" w:space="0"/>
              <w:right w:val="single" w:color="000000" w:sz="4" w:space="0"/>
            </w:tcBorders>
          </w:tcPr>
          <w:p w14:paraId="73554C6B">
            <w:pPr>
              <w:spacing w:line="240" w:lineRule="auto"/>
              <w:jc w:val="center"/>
              <w:rPr>
                <w:rFonts w:ascii="宋体" w:hAnsi="宋体" w:cs="宋体"/>
                <w:color w:val="auto"/>
                <w:sz w:val="24"/>
                <w:szCs w:val="24"/>
              </w:rPr>
            </w:pPr>
          </w:p>
          <w:p w14:paraId="439067C4">
            <w:pPr>
              <w:pStyle w:val="76"/>
              <w:spacing w:after="0" w:line="240" w:lineRule="auto"/>
              <w:jc w:val="center"/>
              <w:rPr>
                <w:color w:val="auto"/>
              </w:rPr>
            </w:pPr>
            <w:r>
              <w:rPr>
                <w:rFonts w:hint="eastAsia"/>
                <w:color w:val="auto"/>
              </w:rPr>
              <w:t>5</w:t>
            </w:r>
          </w:p>
        </w:tc>
        <w:tc>
          <w:tcPr>
            <w:tcW w:w="2093" w:type="dxa"/>
            <w:tcBorders>
              <w:top w:val="single" w:color="000000" w:sz="4" w:space="0"/>
              <w:left w:val="single" w:color="000000" w:sz="4" w:space="0"/>
              <w:bottom w:val="single" w:color="000000" w:sz="4" w:space="0"/>
              <w:right w:val="single" w:color="000000" w:sz="4" w:space="0"/>
            </w:tcBorders>
          </w:tcPr>
          <w:p w14:paraId="030206BB">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7C2D04B9">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68C41ED3">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03DC6B25">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557255FA">
            <w:pPr>
              <w:spacing w:line="240" w:lineRule="auto"/>
              <w:jc w:val="center"/>
              <w:rPr>
                <w:rFonts w:ascii="宋体" w:hAnsi="宋体" w:cs="宋体"/>
                <w:color w:val="auto"/>
                <w:sz w:val="24"/>
                <w:szCs w:val="24"/>
              </w:rPr>
            </w:pPr>
          </w:p>
        </w:tc>
      </w:tr>
      <w:tr w14:paraId="71C1D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637" w:type="dxa"/>
            <w:tcBorders>
              <w:top w:val="single" w:color="000000" w:sz="4" w:space="0"/>
              <w:left w:val="single" w:color="000000" w:sz="12" w:space="0"/>
              <w:bottom w:val="single" w:color="000000" w:sz="4" w:space="0"/>
              <w:right w:val="single" w:color="000000" w:sz="4" w:space="0"/>
            </w:tcBorders>
          </w:tcPr>
          <w:p w14:paraId="5624A49B">
            <w:pPr>
              <w:spacing w:line="240" w:lineRule="auto"/>
              <w:jc w:val="center"/>
              <w:rPr>
                <w:rFonts w:ascii="宋体" w:hAnsi="宋体" w:cs="宋体"/>
                <w:color w:val="auto"/>
                <w:sz w:val="24"/>
                <w:szCs w:val="24"/>
              </w:rPr>
            </w:pPr>
          </w:p>
          <w:p w14:paraId="16F2BD77">
            <w:pPr>
              <w:pStyle w:val="76"/>
              <w:spacing w:after="0" w:line="240" w:lineRule="auto"/>
              <w:jc w:val="center"/>
              <w:rPr>
                <w:color w:val="auto"/>
              </w:rPr>
            </w:pPr>
            <w:r>
              <w:rPr>
                <w:rFonts w:hint="eastAsia"/>
                <w:color w:val="auto"/>
              </w:rPr>
              <w:t>6</w:t>
            </w:r>
          </w:p>
        </w:tc>
        <w:tc>
          <w:tcPr>
            <w:tcW w:w="2093" w:type="dxa"/>
            <w:tcBorders>
              <w:top w:val="single" w:color="000000" w:sz="4" w:space="0"/>
              <w:left w:val="single" w:color="000000" w:sz="4" w:space="0"/>
              <w:bottom w:val="single" w:color="000000" w:sz="4" w:space="0"/>
              <w:right w:val="single" w:color="000000" w:sz="4" w:space="0"/>
            </w:tcBorders>
          </w:tcPr>
          <w:p w14:paraId="44D3290E">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09EC3D54">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54A71B96">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4638756">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37EC557D">
            <w:pPr>
              <w:spacing w:line="240" w:lineRule="auto"/>
              <w:jc w:val="center"/>
              <w:rPr>
                <w:rFonts w:ascii="宋体" w:hAnsi="宋体" w:cs="宋体"/>
                <w:color w:val="auto"/>
                <w:sz w:val="24"/>
                <w:szCs w:val="24"/>
              </w:rPr>
            </w:pPr>
          </w:p>
        </w:tc>
      </w:tr>
      <w:tr w14:paraId="6A9D3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637" w:type="dxa"/>
            <w:tcBorders>
              <w:top w:val="single" w:color="000000" w:sz="4" w:space="0"/>
              <w:left w:val="single" w:color="000000" w:sz="12" w:space="0"/>
              <w:bottom w:val="single" w:color="000000" w:sz="4" w:space="0"/>
              <w:right w:val="single" w:color="000000" w:sz="4" w:space="0"/>
            </w:tcBorders>
          </w:tcPr>
          <w:p w14:paraId="4C08DF7A">
            <w:pPr>
              <w:spacing w:line="240" w:lineRule="auto"/>
              <w:jc w:val="center"/>
              <w:rPr>
                <w:rFonts w:ascii="宋体" w:hAnsi="宋体" w:cs="宋体"/>
                <w:color w:val="auto"/>
                <w:sz w:val="24"/>
                <w:szCs w:val="24"/>
              </w:rPr>
            </w:pPr>
          </w:p>
          <w:p w14:paraId="3B3C4804">
            <w:pPr>
              <w:pStyle w:val="76"/>
              <w:spacing w:after="0" w:line="240" w:lineRule="auto"/>
              <w:jc w:val="center"/>
              <w:rPr>
                <w:color w:val="auto"/>
              </w:rPr>
            </w:pPr>
            <w:r>
              <w:rPr>
                <w:rFonts w:hint="eastAsia"/>
                <w:color w:val="auto"/>
              </w:rPr>
              <w:t>7</w:t>
            </w:r>
          </w:p>
        </w:tc>
        <w:tc>
          <w:tcPr>
            <w:tcW w:w="2093" w:type="dxa"/>
            <w:tcBorders>
              <w:top w:val="single" w:color="000000" w:sz="4" w:space="0"/>
              <w:left w:val="single" w:color="000000" w:sz="4" w:space="0"/>
              <w:bottom w:val="single" w:color="000000" w:sz="4" w:space="0"/>
              <w:right w:val="single" w:color="000000" w:sz="4" w:space="0"/>
            </w:tcBorders>
          </w:tcPr>
          <w:p w14:paraId="3EA433F2">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491DB364">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4717225F">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53857354">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29EF5C35">
            <w:pPr>
              <w:spacing w:line="240" w:lineRule="auto"/>
              <w:jc w:val="center"/>
              <w:rPr>
                <w:rFonts w:ascii="宋体" w:hAnsi="宋体" w:cs="宋体"/>
                <w:color w:val="auto"/>
                <w:sz w:val="24"/>
                <w:szCs w:val="24"/>
              </w:rPr>
            </w:pPr>
          </w:p>
        </w:tc>
      </w:tr>
      <w:tr w14:paraId="7E43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637" w:type="dxa"/>
            <w:tcBorders>
              <w:top w:val="single" w:color="000000" w:sz="4" w:space="0"/>
              <w:left w:val="single" w:color="000000" w:sz="12" w:space="0"/>
              <w:bottom w:val="single" w:color="000000" w:sz="4" w:space="0"/>
              <w:right w:val="single" w:color="000000" w:sz="4" w:space="0"/>
            </w:tcBorders>
          </w:tcPr>
          <w:p w14:paraId="7CEDEC6F">
            <w:pPr>
              <w:spacing w:line="240" w:lineRule="auto"/>
              <w:jc w:val="center"/>
              <w:rPr>
                <w:rFonts w:ascii="宋体" w:hAnsi="宋体" w:cs="宋体"/>
                <w:color w:val="auto"/>
                <w:sz w:val="24"/>
                <w:szCs w:val="24"/>
              </w:rPr>
            </w:pPr>
          </w:p>
          <w:p w14:paraId="3A1EC66B">
            <w:pPr>
              <w:pStyle w:val="76"/>
              <w:spacing w:after="0" w:line="240" w:lineRule="auto"/>
              <w:jc w:val="center"/>
              <w:rPr>
                <w:color w:val="auto"/>
              </w:rPr>
            </w:pPr>
            <w:r>
              <w:rPr>
                <w:rFonts w:hint="eastAsia"/>
                <w:color w:val="auto"/>
              </w:rPr>
              <w:t>8</w:t>
            </w:r>
          </w:p>
        </w:tc>
        <w:tc>
          <w:tcPr>
            <w:tcW w:w="2093" w:type="dxa"/>
            <w:tcBorders>
              <w:top w:val="single" w:color="000000" w:sz="4" w:space="0"/>
              <w:left w:val="single" w:color="000000" w:sz="4" w:space="0"/>
              <w:bottom w:val="single" w:color="000000" w:sz="4" w:space="0"/>
              <w:right w:val="single" w:color="000000" w:sz="4" w:space="0"/>
            </w:tcBorders>
          </w:tcPr>
          <w:p w14:paraId="6A43788D">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0B44EB80">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3A532EC1">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31EE6F2A">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481268E9">
            <w:pPr>
              <w:spacing w:line="240" w:lineRule="auto"/>
              <w:jc w:val="center"/>
              <w:rPr>
                <w:rFonts w:ascii="宋体" w:hAnsi="宋体" w:cs="宋体"/>
                <w:color w:val="auto"/>
                <w:sz w:val="24"/>
                <w:szCs w:val="24"/>
              </w:rPr>
            </w:pPr>
          </w:p>
        </w:tc>
      </w:tr>
      <w:tr w14:paraId="502FB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637" w:type="dxa"/>
            <w:tcBorders>
              <w:top w:val="single" w:color="000000" w:sz="4" w:space="0"/>
              <w:left w:val="single" w:color="000000" w:sz="12" w:space="0"/>
              <w:bottom w:val="single" w:color="000000" w:sz="4" w:space="0"/>
              <w:right w:val="single" w:color="000000" w:sz="4" w:space="0"/>
            </w:tcBorders>
          </w:tcPr>
          <w:p w14:paraId="7B09831F">
            <w:pPr>
              <w:spacing w:line="240" w:lineRule="auto"/>
              <w:jc w:val="center"/>
              <w:rPr>
                <w:rFonts w:ascii="宋体" w:hAnsi="宋体" w:cs="宋体"/>
                <w:color w:val="auto"/>
                <w:sz w:val="24"/>
                <w:szCs w:val="24"/>
              </w:rPr>
            </w:pPr>
          </w:p>
          <w:p w14:paraId="0EF32D2E">
            <w:pPr>
              <w:pStyle w:val="76"/>
              <w:spacing w:after="0" w:line="240" w:lineRule="auto"/>
              <w:jc w:val="center"/>
              <w:rPr>
                <w:color w:val="auto"/>
              </w:rPr>
            </w:pPr>
            <w:r>
              <w:rPr>
                <w:rFonts w:hint="eastAsia"/>
                <w:color w:val="auto"/>
                <w:spacing w:val="4"/>
                <w:position w:val="1"/>
              </w:rPr>
              <w:t>....</w:t>
            </w:r>
          </w:p>
          <w:p w14:paraId="7AE6D534">
            <w:pPr>
              <w:spacing w:line="240" w:lineRule="auto"/>
              <w:jc w:val="center"/>
              <w:rPr>
                <w:rFonts w:ascii="宋体" w:hAnsi="宋体" w:cs="宋体"/>
                <w:color w:val="auto"/>
                <w:sz w:val="24"/>
                <w:szCs w:val="24"/>
              </w:rPr>
            </w:pPr>
          </w:p>
          <w:p w14:paraId="4DCE7974">
            <w:pPr>
              <w:pStyle w:val="76"/>
              <w:spacing w:after="0" w:line="240" w:lineRule="auto"/>
              <w:jc w:val="center"/>
              <w:rPr>
                <w:color w:val="auto"/>
              </w:rPr>
            </w:pPr>
            <w:r>
              <w:rPr>
                <w:rFonts w:hint="eastAsia"/>
                <w:color w:val="auto"/>
                <w:spacing w:val="2"/>
                <w:position w:val="1"/>
              </w:rPr>
              <w:t>..</w:t>
            </w:r>
          </w:p>
        </w:tc>
        <w:tc>
          <w:tcPr>
            <w:tcW w:w="2093" w:type="dxa"/>
            <w:tcBorders>
              <w:top w:val="single" w:color="000000" w:sz="4" w:space="0"/>
              <w:left w:val="single" w:color="000000" w:sz="4" w:space="0"/>
              <w:bottom w:val="single" w:color="000000" w:sz="4" w:space="0"/>
              <w:right w:val="single" w:color="000000" w:sz="4" w:space="0"/>
            </w:tcBorders>
          </w:tcPr>
          <w:p w14:paraId="464DC1DB">
            <w:pPr>
              <w:spacing w:line="240" w:lineRule="auto"/>
              <w:jc w:val="center"/>
              <w:rPr>
                <w:rFonts w:ascii="宋体" w:hAnsi="宋体" w:cs="宋体"/>
                <w:color w:val="auto"/>
                <w:sz w:val="24"/>
                <w:szCs w:val="24"/>
              </w:rPr>
            </w:pPr>
          </w:p>
        </w:tc>
        <w:tc>
          <w:tcPr>
            <w:tcW w:w="2857" w:type="dxa"/>
            <w:tcBorders>
              <w:top w:val="single" w:color="000000" w:sz="4" w:space="0"/>
              <w:left w:val="single" w:color="000000" w:sz="4" w:space="0"/>
              <w:bottom w:val="single" w:color="000000" w:sz="4" w:space="0"/>
              <w:right w:val="single" w:color="000000" w:sz="4" w:space="0"/>
            </w:tcBorders>
          </w:tcPr>
          <w:p w14:paraId="35936619">
            <w:pPr>
              <w:spacing w:line="240" w:lineRule="auto"/>
              <w:jc w:val="center"/>
              <w:rPr>
                <w:rFonts w:ascii="宋体" w:hAnsi="宋体" w:cs="宋体"/>
                <w:color w:val="auto"/>
                <w:sz w:val="24"/>
                <w:szCs w:val="24"/>
              </w:rPr>
            </w:pPr>
          </w:p>
        </w:tc>
        <w:tc>
          <w:tcPr>
            <w:tcW w:w="673" w:type="dxa"/>
            <w:tcBorders>
              <w:top w:val="single" w:color="000000" w:sz="4" w:space="0"/>
              <w:left w:val="single" w:color="000000" w:sz="4" w:space="0"/>
              <w:bottom w:val="single" w:color="000000" w:sz="4" w:space="0"/>
              <w:right w:val="single" w:color="000000" w:sz="4" w:space="0"/>
            </w:tcBorders>
          </w:tcPr>
          <w:p w14:paraId="316E9245">
            <w:pPr>
              <w:spacing w:line="240" w:lineRule="auto"/>
              <w:jc w:val="center"/>
              <w:rPr>
                <w:rFonts w:ascii="宋体" w:hAnsi="宋体" w:cs="宋体"/>
                <w:color w:val="auto"/>
                <w:sz w:val="24"/>
                <w:szCs w:val="24"/>
              </w:rPr>
            </w:pPr>
          </w:p>
        </w:tc>
        <w:tc>
          <w:tcPr>
            <w:tcW w:w="1064" w:type="dxa"/>
            <w:tcBorders>
              <w:top w:val="single" w:color="000000" w:sz="4" w:space="0"/>
              <w:left w:val="single" w:color="000000" w:sz="4" w:space="0"/>
              <w:bottom w:val="single" w:color="000000" w:sz="4" w:space="0"/>
              <w:right w:val="single" w:color="000000" w:sz="4" w:space="0"/>
            </w:tcBorders>
          </w:tcPr>
          <w:p w14:paraId="2684E98E">
            <w:pPr>
              <w:spacing w:line="240" w:lineRule="auto"/>
              <w:jc w:val="center"/>
              <w:rPr>
                <w:rFonts w:ascii="宋体" w:hAnsi="宋体" w:cs="宋体"/>
                <w:color w:val="auto"/>
                <w:sz w:val="24"/>
                <w:szCs w:val="24"/>
              </w:rPr>
            </w:pPr>
          </w:p>
        </w:tc>
        <w:tc>
          <w:tcPr>
            <w:tcW w:w="1872" w:type="dxa"/>
            <w:tcBorders>
              <w:top w:val="single" w:color="000000" w:sz="4" w:space="0"/>
              <w:left w:val="single" w:color="000000" w:sz="4" w:space="0"/>
              <w:bottom w:val="single" w:color="000000" w:sz="4" w:space="0"/>
              <w:right w:val="single" w:color="000000" w:sz="12" w:space="0"/>
            </w:tcBorders>
          </w:tcPr>
          <w:p w14:paraId="292D0C2D">
            <w:pPr>
              <w:spacing w:line="240" w:lineRule="auto"/>
              <w:jc w:val="center"/>
              <w:rPr>
                <w:rFonts w:ascii="宋体" w:hAnsi="宋体" w:cs="宋体"/>
                <w:color w:val="auto"/>
                <w:sz w:val="24"/>
                <w:szCs w:val="24"/>
              </w:rPr>
            </w:pPr>
          </w:p>
        </w:tc>
      </w:tr>
    </w:tbl>
    <w:p w14:paraId="40B4F1A6">
      <w:pPr>
        <w:ind w:firstLine="420" w:firstLineChars="200"/>
        <w:jc w:val="left"/>
        <w:rPr>
          <w:color w:val="auto"/>
        </w:rPr>
      </w:pPr>
      <w:r>
        <w:rPr>
          <w:rFonts w:hint="eastAsia" w:ascii="宋体" w:hAnsi="宋体" w:cs="宋体"/>
          <w:color w:val="auto"/>
          <w:szCs w:val="21"/>
        </w:rPr>
        <w:t xml:space="preserve">注：投标报价均为达到服务要求下的目的地交验价，包括人工费、交通费、材料费、设备费、维护费、培训费、知识产权（如有）、各类保险费（如需）、所涉货物包装、技术服务费、相关税费等与采购项目（标段（包））相关的、必须的款项及费用（包括未列明而完成交验所必须的所有费用、材料、工具、设施）。 </w:t>
      </w:r>
    </w:p>
    <w:p w14:paraId="1CA613B1">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p>
    <w:p w14:paraId="7313553E">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761BC546">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653E6D63">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14FBCFE5">
      <w:pPr>
        <w:pStyle w:val="16"/>
        <w:rPr>
          <w:color w:val="auto"/>
        </w:rPr>
      </w:pPr>
      <w:r>
        <w:rPr>
          <w:rFonts w:eastAsia="方正黑体简体"/>
          <w:b/>
          <w:color w:val="auto"/>
          <w:sz w:val="30"/>
          <w:szCs w:val="30"/>
        </w:rPr>
        <w:br w:type="page"/>
      </w:r>
    </w:p>
    <w:p w14:paraId="42F137CB">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6.服务内容及技术参数表</w:t>
      </w:r>
    </w:p>
    <w:p w14:paraId="71B57E31">
      <w:pPr>
        <w:spacing w:line="351" w:lineRule="atLeast"/>
        <w:ind w:left="420" w:firstLine="883" w:firstLineChars="200"/>
        <w:rPr>
          <w:rFonts w:asciiTheme="minorEastAsia" w:hAnsiTheme="minorEastAsia" w:eastAsiaTheme="minorEastAsia" w:cstheme="minorEastAsia"/>
          <w:b/>
          <w:color w:val="auto"/>
          <w:spacing w:val="60"/>
          <w:sz w:val="32"/>
          <w:szCs w:val="32"/>
        </w:rPr>
      </w:pPr>
    </w:p>
    <w:p w14:paraId="6CCE87D1">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供应商名称：</w:t>
      </w:r>
    </w:p>
    <w:p w14:paraId="7FC5955B">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项目名称：</w:t>
      </w:r>
    </w:p>
    <w:p w14:paraId="2DF2D244">
      <w:pPr>
        <w:pStyle w:val="8"/>
        <w:ind w:firstLine="480" w:firstLineChars="200"/>
        <w:rPr>
          <w:rFonts w:eastAsia="Times New Roman"/>
          <w:color w:val="auto"/>
          <w:u w:val="single"/>
        </w:rPr>
      </w:pPr>
      <w:r>
        <w:rPr>
          <w:rFonts w:hint="eastAsia" w:ascii="宋体" w:hAnsi="宋体" w:cs="宋体"/>
          <w:color w:val="auto"/>
          <w:sz w:val="24"/>
          <w:szCs w:val="24"/>
        </w:rPr>
        <w:t>采购编号：</w:t>
      </w:r>
    </w:p>
    <w:tbl>
      <w:tblPr>
        <w:tblStyle w:val="82"/>
        <w:tblW w:w="10200" w:type="dxa"/>
        <w:tblInd w:w="-1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1"/>
        <w:gridCol w:w="1712"/>
        <w:gridCol w:w="2382"/>
        <w:gridCol w:w="1079"/>
        <w:gridCol w:w="1509"/>
        <w:gridCol w:w="2857"/>
      </w:tblGrid>
      <w:tr w14:paraId="015E2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661" w:type="dxa"/>
            <w:tcBorders>
              <w:top w:val="single" w:color="000000" w:sz="6" w:space="0"/>
              <w:left w:val="single" w:color="000000" w:sz="6" w:space="0"/>
              <w:bottom w:val="single" w:color="000000" w:sz="2" w:space="0"/>
              <w:right w:val="single" w:color="000000" w:sz="2" w:space="0"/>
            </w:tcBorders>
          </w:tcPr>
          <w:p w14:paraId="461C4599">
            <w:pPr>
              <w:pStyle w:val="76"/>
              <w:spacing w:beforeLines="50" w:after="0" w:line="360" w:lineRule="auto"/>
              <w:jc w:val="center"/>
              <w:rPr>
                <w:color w:val="auto"/>
              </w:rPr>
            </w:pPr>
            <w:r>
              <w:rPr>
                <w:rFonts w:hint="eastAsia"/>
                <w:color w:val="auto"/>
                <w:spacing w:val="5"/>
              </w:rPr>
              <w:t>序号</w:t>
            </w:r>
          </w:p>
        </w:tc>
        <w:tc>
          <w:tcPr>
            <w:tcW w:w="1712" w:type="dxa"/>
            <w:tcBorders>
              <w:top w:val="single" w:color="000000" w:sz="6" w:space="0"/>
              <w:left w:val="single" w:color="000000" w:sz="2" w:space="0"/>
              <w:bottom w:val="single" w:color="000000" w:sz="2" w:space="0"/>
              <w:right w:val="single" w:color="000000" w:sz="2" w:space="0"/>
            </w:tcBorders>
          </w:tcPr>
          <w:p w14:paraId="00C60481">
            <w:pPr>
              <w:pStyle w:val="76"/>
              <w:spacing w:beforeLines="50" w:after="0" w:line="360" w:lineRule="auto"/>
              <w:jc w:val="center"/>
              <w:rPr>
                <w:color w:val="auto"/>
              </w:rPr>
            </w:pPr>
            <w:r>
              <w:rPr>
                <w:rFonts w:hint="eastAsia"/>
                <w:color w:val="auto"/>
                <w:spacing w:val="7"/>
              </w:rPr>
              <w:t>服务范围</w:t>
            </w:r>
          </w:p>
        </w:tc>
        <w:tc>
          <w:tcPr>
            <w:tcW w:w="2382" w:type="dxa"/>
            <w:tcBorders>
              <w:top w:val="single" w:color="000000" w:sz="6" w:space="0"/>
              <w:left w:val="single" w:color="000000" w:sz="2" w:space="0"/>
              <w:bottom w:val="single" w:color="000000" w:sz="2" w:space="0"/>
              <w:right w:val="single" w:color="000000" w:sz="2" w:space="0"/>
            </w:tcBorders>
          </w:tcPr>
          <w:p w14:paraId="641CAD5A">
            <w:pPr>
              <w:pStyle w:val="76"/>
              <w:spacing w:beforeLines="50" w:after="0" w:line="360" w:lineRule="auto"/>
              <w:jc w:val="center"/>
              <w:rPr>
                <w:color w:val="auto"/>
              </w:rPr>
            </w:pPr>
            <w:r>
              <w:rPr>
                <w:rFonts w:hint="eastAsia"/>
                <w:color w:val="auto"/>
                <w:spacing w:val="7"/>
              </w:rPr>
              <w:t>服务要求</w:t>
            </w:r>
          </w:p>
        </w:tc>
        <w:tc>
          <w:tcPr>
            <w:tcW w:w="1079" w:type="dxa"/>
            <w:tcBorders>
              <w:top w:val="single" w:color="000000" w:sz="6" w:space="0"/>
              <w:left w:val="single" w:color="000000" w:sz="2" w:space="0"/>
              <w:bottom w:val="single" w:color="000000" w:sz="2" w:space="0"/>
              <w:right w:val="single" w:color="000000" w:sz="2" w:space="0"/>
            </w:tcBorders>
          </w:tcPr>
          <w:p w14:paraId="3D7ED8E6">
            <w:pPr>
              <w:pStyle w:val="76"/>
              <w:spacing w:beforeLines="50" w:after="0" w:line="360" w:lineRule="auto"/>
              <w:jc w:val="center"/>
              <w:rPr>
                <w:color w:val="auto"/>
              </w:rPr>
            </w:pPr>
            <w:r>
              <w:rPr>
                <w:rFonts w:hint="eastAsia"/>
                <w:color w:val="auto"/>
                <w:spacing w:val="4"/>
              </w:rPr>
              <w:t>响应情况</w:t>
            </w:r>
          </w:p>
        </w:tc>
        <w:tc>
          <w:tcPr>
            <w:tcW w:w="1509" w:type="dxa"/>
            <w:tcBorders>
              <w:top w:val="single" w:color="000000" w:sz="6" w:space="0"/>
              <w:left w:val="single" w:color="000000" w:sz="2" w:space="0"/>
              <w:bottom w:val="single" w:color="000000" w:sz="2" w:space="0"/>
              <w:right w:val="single" w:color="000000" w:sz="2" w:space="0"/>
            </w:tcBorders>
          </w:tcPr>
          <w:p w14:paraId="0170D0FD">
            <w:pPr>
              <w:pStyle w:val="76"/>
              <w:spacing w:beforeLines="50" w:after="0" w:line="360" w:lineRule="auto"/>
              <w:jc w:val="center"/>
              <w:rPr>
                <w:color w:val="auto"/>
              </w:rPr>
            </w:pPr>
            <w:r>
              <w:rPr>
                <w:rFonts w:hint="eastAsia"/>
                <w:color w:val="auto"/>
                <w:spacing w:val="6"/>
              </w:rPr>
              <w:t>是否响应</w:t>
            </w:r>
          </w:p>
        </w:tc>
        <w:tc>
          <w:tcPr>
            <w:tcW w:w="2857" w:type="dxa"/>
            <w:tcBorders>
              <w:top w:val="single" w:color="000000" w:sz="6" w:space="0"/>
              <w:left w:val="single" w:color="000000" w:sz="2" w:space="0"/>
              <w:bottom w:val="single" w:color="000000" w:sz="2" w:space="0"/>
              <w:right w:val="single" w:color="000000" w:sz="2" w:space="0"/>
            </w:tcBorders>
          </w:tcPr>
          <w:p w14:paraId="3189E085">
            <w:pPr>
              <w:pStyle w:val="76"/>
              <w:spacing w:beforeLines="50" w:after="0" w:line="360" w:lineRule="auto"/>
              <w:jc w:val="center"/>
              <w:rPr>
                <w:color w:val="auto"/>
              </w:rPr>
            </w:pPr>
            <w:r>
              <w:rPr>
                <w:rFonts w:hint="eastAsia"/>
                <w:color w:val="auto"/>
                <w:spacing w:val="3"/>
              </w:rPr>
              <w:t>备注</w:t>
            </w:r>
          </w:p>
        </w:tc>
      </w:tr>
      <w:tr w14:paraId="6D607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661" w:type="dxa"/>
            <w:tcBorders>
              <w:top w:val="single" w:color="000000" w:sz="2" w:space="0"/>
              <w:left w:val="single" w:color="000000" w:sz="6" w:space="0"/>
              <w:bottom w:val="single" w:color="000000" w:sz="2" w:space="0"/>
              <w:right w:val="single" w:color="000000" w:sz="2" w:space="0"/>
            </w:tcBorders>
          </w:tcPr>
          <w:p w14:paraId="1FF089C0">
            <w:pPr>
              <w:pStyle w:val="76"/>
              <w:spacing w:beforeLines="50" w:after="0" w:line="360" w:lineRule="auto"/>
              <w:jc w:val="center"/>
              <w:rPr>
                <w:color w:val="auto"/>
              </w:rPr>
            </w:pPr>
            <w:r>
              <w:rPr>
                <w:rFonts w:hint="eastAsia"/>
                <w:color w:val="auto"/>
                <w:position w:val="1"/>
              </w:rPr>
              <w:t>1</w:t>
            </w:r>
          </w:p>
        </w:tc>
        <w:tc>
          <w:tcPr>
            <w:tcW w:w="1712" w:type="dxa"/>
            <w:tcBorders>
              <w:top w:val="single" w:color="000000" w:sz="2" w:space="0"/>
              <w:left w:val="single" w:color="000000" w:sz="2" w:space="0"/>
              <w:bottom w:val="single" w:color="000000" w:sz="2" w:space="0"/>
              <w:right w:val="single" w:color="000000" w:sz="2" w:space="0"/>
            </w:tcBorders>
          </w:tcPr>
          <w:p w14:paraId="32A83BA1">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44E6C14E">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374800D3">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26F27ED8">
            <w:pPr>
              <w:spacing w:beforeLines="50" w:line="360" w:lineRule="auto"/>
              <w:jc w:val="center"/>
              <w:rPr>
                <w:rFonts w:ascii="宋体" w:hAnsi="宋体" w:cs="宋体"/>
                <w:color w:val="auto"/>
                <w:sz w:val="24"/>
                <w:szCs w:val="24"/>
              </w:rPr>
            </w:pPr>
          </w:p>
        </w:tc>
        <w:tc>
          <w:tcPr>
            <w:tcW w:w="2857" w:type="dxa"/>
            <w:vMerge w:val="restart"/>
            <w:tcBorders>
              <w:top w:val="single" w:color="000000" w:sz="2" w:space="0"/>
              <w:left w:val="single" w:color="000000" w:sz="2" w:space="0"/>
              <w:bottom w:val="single" w:color="000000" w:sz="2" w:space="0"/>
              <w:right w:val="single" w:color="000000" w:sz="2" w:space="0"/>
            </w:tcBorders>
          </w:tcPr>
          <w:p w14:paraId="34B049B9">
            <w:pPr>
              <w:pStyle w:val="76"/>
              <w:spacing w:beforeLines="50" w:after="0" w:line="360" w:lineRule="auto"/>
              <w:ind w:firstLine="484"/>
              <w:jc w:val="center"/>
              <w:rPr>
                <w:color w:val="auto"/>
                <w:lang w:eastAsia="zh-CN"/>
              </w:rPr>
            </w:pPr>
            <w:r>
              <w:rPr>
                <w:rFonts w:hint="eastAsia"/>
                <w:color w:val="auto"/>
                <w:spacing w:val="6"/>
                <w:lang w:eastAsia="zh-CN"/>
              </w:rPr>
              <w:t>注：1.如“服务范围”、“服务要</w:t>
            </w:r>
            <w:r>
              <w:rPr>
                <w:rFonts w:hint="eastAsia"/>
                <w:color w:val="auto"/>
                <w:spacing w:val="10"/>
                <w:lang w:eastAsia="zh-CN"/>
              </w:rPr>
              <w:t>求”项下填写的内容应与招标（采购）</w:t>
            </w:r>
            <w:r>
              <w:rPr>
                <w:rFonts w:hint="eastAsia"/>
                <w:color w:val="auto"/>
                <w:spacing w:val="12"/>
                <w:lang w:eastAsia="zh-CN"/>
              </w:rPr>
              <w:t>文件中采购人需求的内容保持一致。投标人应当如实填写上表本表内容，对采购文件规定的服务要求、商务要求作出</w:t>
            </w:r>
            <w:r>
              <w:rPr>
                <w:rFonts w:hint="eastAsia"/>
                <w:color w:val="auto"/>
                <w:spacing w:val="8"/>
                <w:lang w:eastAsia="zh-CN"/>
              </w:rPr>
              <w:t>明确响应，并列明响应情况。</w:t>
            </w:r>
          </w:p>
          <w:p w14:paraId="19E7F75D">
            <w:pPr>
              <w:pStyle w:val="76"/>
              <w:spacing w:beforeLines="50" w:after="0" w:line="360" w:lineRule="auto"/>
              <w:ind w:firstLine="479"/>
              <w:jc w:val="center"/>
              <w:rPr>
                <w:color w:val="auto"/>
                <w:lang w:eastAsia="zh-CN"/>
              </w:rPr>
            </w:pPr>
            <w:r>
              <w:rPr>
                <w:rFonts w:hint="eastAsia"/>
                <w:color w:val="auto"/>
                <w:spacing w:val="6"/>
                <w:lang w:eastAsia="zh-CN"/>
              </w:rPr>
              <w:t>2.“是否响应”根据响应情况，如实填写是或否。</w:t>
            </w:r>
          </w:p>
        </w:tc>
      </w:tr>
      <w:tr w14:paraId="4C426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61" w:type="dxa"/>
            <w:tcBorders>
              <w:top w:val="single" w:color="000000" w:sz="2" w:space="0"/>
              <w:left w:val="single" w:color="000000" w:sz="6" w:space="0"/>
              <w:bottom w:val="single" w:color="000000" w:sz="2" w:space="0"/>
              <w:right w:val="single" w:color="000000" w:sz="2" w:space="0"/>
            </w:tcBorders>
          </w:tcPr>
          <w:p w14:paraId="6A36C1B5">
            <w:pPr>
              <w:pStyle w:val="76"/>
              <w:spacing w:beforeLines="50" w:after="0" w:line="360" w:lineRule="auto"/>
              <w:jc w:val="center"/>
              <w:rPr>
                <w:color w:val="auto"/>
              </w:rPr>
            </w:pPr>
            <w:r>
              <w:rPr>
                <w:rFonts w:hint="eastAsia"/>
                <w:color w:val="auto"/>
                <w:position w:val="1"/>
              </w:rPr>
              <w:t>2</w:t>
            </w:r>
          </w:p>
        </w:tc>
        <w:tc>
          <w:tcPr>
            <w:tcW w:w="1712" w:type="dxa"/>
            <w:tcBorders>
              <w:top w:val="single" w:color="000000" w:sz="2" w:space="0"/>
              <w:left w:val="single" w:color="000000" w:sz="2" w:space="0"/>
              <w:bottom w:val="single" w:color="000000" w:sz="2" w:space="0"/>
              <w:right w:val="single" w:color="000000" w:sz="2" w:space="0"/>
            </w:tcBorders>
          </w:tcPr>
          <w:p w14:paraId="175022A3">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7184D599">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1CA8487A">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0F819D4E">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4D30D060">
            <w:pPr>
              <w:spacing w:line="240" w:lineRule="auto"/>
              <w:jc w:val="left"/>
              <w:rPr>
                <w:rFonts w:ascii="宋体" w:hAnsi="宋体" w:cs="宋体"/>
                <w:color w:val="auto"/>
                <w:sz w:val="24"/>
                <w:szCs w:val="24"/>
              </w:rPr>
            </w:pPr>
          </w:p>
        </w:tc>
      </w:tr>
      <w:tr w14:paraId="09792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661" w:type="dxa"/>
            <w:tcBorders>
              <w:top w:val="single" w:color="000000" w:sz="2" w:space="0"/>
              <w:left w:val="single" w:color="000000" w:sz="6" w:space="0"/>
              <w:bottom w:val="single" w:color="000000" w:sz="2" w:space="0"/>
              <w:right w:val="single" w:color="000000" w:sz="2" w:space="0"/>
            </w:tcBorders>
          </w:tcPr>
          <w:p w14:paraId="79239D6A">
            <w:pPr>
              <w:pStyle w:val="76"/>
              <w:spacing w:beforeLines="50" w:after="0" w:line="360" w:lineRule="auto"/>
              <w:jc w:val="center"/>
              <w:rPr>
                <w:color w:val="auto"/>
              </w:rPr>
            </w:pPr>
            <w:r>
              <w:rPr>
                <w:rFonts w:hint="eastAsia"/>
                <w:color w:val="auto"/>
                <w:position w:val="1"/>
              </w:rPr>
              <w:t>3</w:t>
            </w:r>
          </w:p>
        </w:tc>
        <w:tc>
          <w:tcPr>
            <w:tcW w:w="1712" w:type="dxa"/>
            <w:tcBorders>
              <w:top w:val="single" w:color="000000" w:sz="2" w:space="0"/>
              <w:left w:val="single" w:color="000000" w:sz="2" w:space="0"/>
              <w:bottom w:val="single" w:color="000000" w:sz="2" w:space="0"/>
              <w:right w:val="single" w:color="000000" w:sz="2" w:space="0"/>
            </w:tcBorders>
          </w:tcPr>
          <w:p w14:paraId="3F648C3C">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6831464A">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66427326">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4C792779">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7FF792D5">
            <w:pPr>
              <w:spacing w:line="240" w:lineRule="auto"/>
              <w:jc w:val="left"/>
              <w:rPr>
                <w:rFonts w:ascii="宋体" w:hAnsi="宋体" w:cs="宋体"/>
                <w:color w:val="auto"/>
                <w:sz w:val="24"/>
                <w:szCs w:val="24"/>
              </w:rPr>
            </w:pPr>
          </w:p>
        </w:tc>
      </w:tr>
      <w:tr w14:paraId="2A774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661" w:type="dxa"/>
            <w:tcBorders>
              <w:top w:val="single" w:color="000000" w:sz="2" w:space="0"/>
              <w:left w:val="single" w:color="000000" w:sz="6" w:space="0"/>
              <w:bottom w:val="single" w:color="000000" w:sz="2" w:space="0"/>
              <w:right w:val="single" w:color="000000" w:sz="2" w:space="0"/>
            </w:tcBorders>
          </w:tcPr>
          <w:p w14:paraId="64D4BAC8">
            <w:pPr>
              <w:pStyle w:val="76"/>
              <w:spacing w:beforeLines="50" w:after="0" w:line="360" w:lineRule="auto"/>
              <w:jc w:val="center"/>
              <w:rPr>
                <w:color w:val="auto"/>
              </w:rPr>
            </w:pPr>
            <w:r>
              <w:rPr>
                <w:rFonts w:hint="eastAsia"/>
                <w:color w:val="auto"/>
                <w:position w:val="1"/>
              </w:rPr>
              <w:t>4</w:t>
            </w:r>
          </w:p>
        </w:tc>
        <w:tc>
          <w:tcPr>
            <w:tcW w:w="1712" w:type="dxa"/>
            <w:tcBorders>
              <w:top w:val="single" w:color="000000" w:sz="2" w:space="0"/>
              <w:left w:val="single" w:color="000000" w:sz="2" w:space="0"/>
              <w:bottom w:val="single" w:color="000000" w:sz="2" w:space="0"/>
              <w:right w:val="single" w:color="000000" w:sz="2" w:space="0"/>
            </w:tcBorders>
          </w:tcPr>
          <w:p w14:paraId="4DD9D9F4">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242F2589">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151B0201">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4095EAAF">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0B81C54C">
            <w:pPr>
              <w:spacing w:line="240" w:lineRule="auto"/>
              <w:jc w:val="left"/>
              <w:rPr>
                <w:rFonts w:ascii="宋体" w:hAnsi="宋体" w:cs="宋体"/>
                <w:color w:val="auto"/>
                <w:sz w:val="24"/>
                <w:szCs w:val="24"/>
              </w:rPr>
            </w:pPr>
          </w:p>
        </w:tc>
      </w:tr>
      <w:tr w14:paraId="4ADA5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61" w:type="dxa"/>
            <w:tcBorders>
              <w:top w:val="single" w:color="000000" w:sz="2" w:space="0"/>
              <w:left w:val="single" w:color="000000" w:sz="6" w:space="0"/>
              <w:bottom w:val="single" w:color="000000" w:sz="2" w:space="0"/>
              <w:right w:val="single" w:color="000000" w:sz="2" w:space="0"/>
            </w:tcBorders>
          </w:tcPr>
          <w:p w14:paraId="625C50B5">
            <w:pPr>
              <w:pStyle w:val="76"/>
              <w:spacing w:beforeLines="50" w:after="0" w:line="360" w:lineRule="auto"/>
              <w:jc w:val="center"/>
              <w:rPr>
                <w:color w:val="auto"/>
              </w:rPr>
            </w:pPr>
            <w:r>
              <w:rPr>
                <w:rFonts w:hint="eastAsia"/>
                <w:color w:val="auto"/>
                <w:position w:val="1"/>
              </w:rPr>
              <w:t>5</w:t>
            </w:r>
          </w:p>
        </w:tc>
        <w:tc>
          <w:tcPr>
            <w:tcW w:w="1712" w:type="dxa"/>
            <w:tcBorders>
              <w:top w:val="single" w:color="000000" w:sz="2" w:space="0"/>
              <w:left w:val="single" w:color="000000" w:sz="2" w:space="0"/>
              <w:bottom w:val="single" w:color="000000" w:sz="2" w:space="0"/>
              <w:right w:val="single" w:color="000000" w:sz="2" w:space="0"/>
            </w:tcBorders>
          </w:tcPr>
          <w:p w14:paraId="2CE1D070">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5076931E">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11FEC4B7">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5C1393BD">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27694400">
            <w:pPr>
              <w:spacing w:line="240" w:lineRule="auto"/>
              <w:jc w:val="left"/>
              <w:rPr>
                <w:rFonts w:ascii="宋体" w:hAnsi="宋体" w:cs="宋体"/>
                <w:color w:val="auto"/>
                <w:sz w:val="24"/>
                <w:szCs w:val="24"/>
              </w:rPr>
            </w:pPr>
          </w:p>
        </w:tc>
      </w:tr>
      <w:tr w14:paraId="373E7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61" w:type="dxa"/>
            <w:tcBorders>
              <w:top w:val="single" w:color="000000" w:sz="2" w:space="0"/>
              <w:left w:val="single" w:color="000000" w:sz="6" w:space="0"/>
              <w:bottom w:val="single" w:color="000000" w:sz="2" w:space="0"/>
              <w:right w:val="single" w:color="000000" w:sz="2" w:space="0"/>
            </w:tcBorders>
          </w:tcPr>
          <w:p w14:paraId="7BB6A86D">
            <w:pPr>
              <w:pStyle w:val="76"/>
              <w:spacing w:beforeLines="50" w:after="0" w:line="360" w:lineRule="auto"/>
              <w:jc w:val="center"/>
              <w:rPr>
                <w:color w:val="auto"/>
              </w:rPr>
            </w:pPr>
            <w:r>
              <w:rPr>
                <w:rFonts w:hint="eastAsia"/>
                <w:color w:val="auto"/>
                <w:position w:val="1"/>
              </w:rPr>
              <w:t>6</w:t>
            </w:r>
          </w:p>
        </w:tc>
        <w:tc>
          <w:tcPr>
            <w:tcW w:w="1712" w:type="dxa"/>
            <w:tcBorders>
              <w:top w:val="single" w:color="000000" w:sz="2" w:space="0"/>
              <w:left w:val="single" w:color="000000" w:sz="2" w:space="0"/>
              <w:bottom w:val="single" w:color="000000" w:sz="2" w:space="0"/>
              <w:right w:val="single" w:color="000000" w:sz="2" w:space="0"/>
            </w:tcBorders>
          </w:tcPr>
          <w:p w14:paraId="0410CBB7">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2FB7A174">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670CB4FD">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48C63899">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4F8020FE">
            <w:pPr>
              <w:spacing w:line="240" w:lineRule="auto"/>
              <w:jc w:val="left"/>
              <w:rPr>
                <w:rFonts w:ascii="宋体" w:hAnsi="宋体" w:cs="宋体"/>
                <w:color w:val="auto"/>
                <w:sz w:val="24"/>
                <w:szCs w:val="24"/>
              </w:rPr>
            </w:pPr>
          </w:p>
        </w:tc>
      </w:tr>
      <w:tr w14:paraId="5B652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661" w:type="dxa"/>
            <w:tcBorders>
              <w:top w:val="single" w:color="000000" w:sz="2" w:space="0"/>
              <w:left w:val="single" w:color="000000" w:sz="6" w:space="0"/>
              <w:bottom w:val="single" w:color="000000" w:sz="2" w:space="0"/>
              <w:right w:val="single" w:color="000000" w:sz="2" w:space="0"/>
            </w:tcBorders>
          </w:tcPr>
          <w:p w14:paraId="65349C62">
            <w:pPr>
              <w:pStyle w:val="76"/>
              <w:spacing w:beforeLines="50" w:after="0" w:line="360" w:lineRule="auto"/>
              <w:jc w:val="center"/>
              <w:rPr>
                <w:color w:val="auto"/>
              </w:rPr>
            </w:pPr>
            <w:r>
              <w:rPr>
                <w:rFonts w:hint="eastAsia"/>
                <w:color w:val="auto"/>
                <w:position w:val="1"/>
              </w:rPr>
              <w:t>7</w:t>
            </w:r>
          </w:p>
        </w:tc>
        <w:tc>
          <w:tcPr>
            <w:tcW w:w="1712" w:type="dxa"/>
            <w:tcBorders>
              <w:top w:val="single" w:color="000000" w:sz="2" w:space="0"/>
              <w:left w:val="single" w:color="000000" w:sz="2" w:space="0"/>
              <w:bottom w:val="single" w:color="000000" w:sz="2" w:space="0"/>
              <w:right w:val="single" w:color="000000" w:sz="2" w:space="0"/>
            </w:tcBorders>
          </w:tcPr>
          <w:p w14:paraId="6CF71E14">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5B41FA29">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1DE1021A">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7C9E8944">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0D893143">
            <w:pPr>
              <w:spacing w:line="240" w:lineRule="auto"/>
              <w:jc w:val="left"/>
              <w:rPr>
                <w:rFonts w:ascii="宋体" w:hAnsi="宋体" w:cs="宋体"/>
                <w:color w:val="auto"/>
                <w:sz w:val="24"/>
                <w:szCs w:val="24"/>
              </w:rPr>
            </w:pPr>
          </w:p>
        </w:tc>
      </w:tr>
      <w:tr w14:paraId="78C8F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61" w:type="dxa"/>
            <w:tcBorders>
              <w:top w:val="single" w:color="000000" w:sz="2" w:space="0"/>
              <w:left w:val="single" w:color="000000" w:sz="6" w:space="0"/>
              <w:bottom w:val="single" w:color="000000" w:sz="2" w:space="0"/>
              <w:right w:val="single" w:color="000000" w:sz="2" w:space="0"/>
            </w:tcBorders>
          </w:tcPr>
          <w:p w14:paraId="34875A7C">
            <w:pPr>
              <w:pStyle w:val="76"/>
              <w:spacing w:beforeLines="50" w:after="0" w:line="360" w:lineRule="auto"/>
              <w:jc w:val="center"/>
              <w:rPr>
                <w:color w:val="auto"/>
              </w:rPr>
            </w:pPr>
            <w:r>
              <w:rPr>
                <w:rFonts w:hint="eastAsia"/>
                <w:color w:val="auto"/>
                <w:position w:val="1"/>
              </w:rPr>
              <w:t>8</w:t>
            </w:r>
          </w:p>
        </w:tc>
        <w:tc>
          <w:tcPr>
            <w:tcW w:w="1712" w:type="dxa"/>
            <w:tcBorders>
              <w:top w:val="single" w:color="000000" w:sz="2" w:space="0"/>
              <w:left w:val="single" w:color="000000" w:sz="2" w:space="0"/>
              <w:bottom w:val="single" w:color="000000" w:sz="2" w:space="0"/>
              <w:right w:val="single" w:color="000000" w:sz="2" w:space="0"/>
            </w:tcBorders>
          </w:tcPr>
          <w:p w14:paraId="410C0EC6">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4CE982ED">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239525EE">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7EAEE3D8">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7EF20CB1">
            <w:pPr>
              <w:spacing w:line="240" w:lineRule="auto"/>
              <w:jc w:val="left"/>
              <w:rPr>
                <w:rFonts w:ascii="宋体" w:hAnsi="宋体" w:cs="宋体"/>
                <w:color w:val="auto"/>
                <w:sz w:val="24"/>
                <w:szCs w:val="24"/>
              </w:rPr>
            </w:pPr>
          </w:p>
        </w:tc>
      </w:tr>
      <w:tr w14:paraId="7E4AF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661" w:type="dxa"/>
            <w:tcBorders>
              <w:top w:val="single" w:color="000000" w:sz="2" w:space="0"/>
              <w:left w:val="single" w:color="000000" w:sz="6" w:space="0"/>
              <w:bottom w:val="single" w:color="000000" w:sz="2" w:space="0"/>
              <w:right w:val="single" w:color="000000" w:sz="2" w:space="0"/>
            </w:tcBorders>
          </w:tcPr>
          <w:p w14:paraId="1039E69D">
            <w:pPr>
              <w:pStyle w:val="76"/>
              <w:spacing w:beforeLines="50" w:after="0" w:line="360" w:lineRule="auto"/>
              <w:jc w:val="center"/>
              <w:rPr>
                <w:color w:val="auto"/>
              </w:rPr>
            </w:pPr>
            <w:r>
              <w:rPr>
                <w:rFonts w:hint="eastAsia"/>
                <w:color w:val="auto"/>
                <w:position w:val="1"/>
              </w:rPr>
              <w:t>9</w:t>
            </w:r>
          </w:p>
        </w:tc>
        <w:tc>
          <w:tcPr>
            <w:tcW w:w="1712" w:type="dxa"/>
            <w:tcBorders>
              <w:top w:val="single" w:color="000000" w:sz="2" w:space="0"/>
              <w:left w:val="single" w:color="000000" w:sz="2" w:space="0"/>
              <w:bottom w:val="single" w:color="000000" w:sz="2" w:space="0"/>
              <w:right w:val="single" w:color="000000" w:sz="2" w:space="0"/>
            </w:tcBorders>
          </w:tcPr>
          <w:p w14:paraId="270FFC8E">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51A5E400">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21A36A43">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53BC8314">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63B9138B">
            <w:pPr>
              <w:spacing w:line="240" w:lineRule="auto"/>
              <w:jc w:val="left"/>
              <w:rPr>
                <w:rFonts w:ascii="宋体" w:hAnsi="宋体" w:cs="宋体"/>
                <w:color w:val="auto"/>
                <w:sz w:val="24"/>
                <w:szCs w:val="24"/>
              </w:rPr>
            </w:pPr>
          </w:p>
        </w:tc>
      </w:tr>
      <w:tr w14:paraId="3AC92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661" w:type="dxa"/>
            <w:tcBorders>
              <w:top w:val="single" w:color="000000" w:sz="2" w:space="0"/>
              <w:left w:val="single" w:color="000000" w:sz="6" w:space="0"/>
              <w:bottom w:val="single" w:color="000000" w:sz="2" w:space="0"/>
              <w:right w:val="single" w:color="000000" w:sz="2" w:space="0"/>
            </w:tcBorders>
          </w:tcPr>
          <w:p w14:paraId="347AD91C">
            <w:pPr>
              <w:pStyle w:val="76"/>
              <w:spacing w:beforeLines="50" w:after="0" w:line="360" w:lineRule="auto"/>
              <w:jc w:val="center"/>
              <w:rPr>
                <w:color w:val="auto"/>
              </w:rPr>
            </w:pPr>
            <w:r>
              <w:rPr>
                <w:rFonts w:hint="eastAsia"/>
                <w:color w:val="auto"/>
                <w:spacing w:val="3"/>
                <w:position w:val="1"/>
              </w:rPr>
              <w:t>....</w:t>
            </w:r>
          </w:p>
          <w:p w14:paraId="678CF909">
            <w:pPr>
              <w:pStyle w:val="76"/>
              <w:spacing w:beforeLines="50" w:after="0" w:line="360" w:lineRule="auto"/>
              <w:jc w:val="center"/>
              <w:rPr>
                <w:color w:val="auto"/>
              </w:rPr>
            </w:pPr>
            <w:r>
              <w:rPr>
                <w:rFonts w:hint="eastAsia"/>
                <w:color w:val="auto"/>
                <w:spacing w:val="2"/>
                <w:position w:val="1"/>
              </w:rPr>
              <w:t>..</w:t>
            </w:r>
          </w:p>
        </w:tc>
        <w:tc>
          <w:tcPr>
            <w:tcW w:w="1712" w:type="dxa"/>
            <w:tcBorders>
              <w:top w:val="single" w:color="000000" w:sz="2" w:space="0"/>
              <w:left w:val="single" w:color="000000" w:sz="2" w:space="0"/>
              <w:bottom w:val="single" w:color="000000" w:sz="2" w:space="0"/>
              <w:right w:val="single" w:color="000000" w:sz="2" w:space="0"/>
            </w:tcBorders>
          </w:tcPr>
          <w:p w14:paraId="0B4CAFE9">
            <w:pPr>
              <w:spacing w:beforeLines="50" w:line="360" w:lineRule="auto"/>
              <w:jc w:val="center"/>
              <w:rPr>
                <w:rFonts w:ascii="宋体" w:hAnsi="宋体" w:cs="宋体"/>
                <w:color w:val="auto"/>
                <w:sz w:val="24"/>
                <w:szCs w:val="24"/>
              </w:rPr>
            </w:pPr>
          </w:p>
        </w:tc>
        <w:tc>
          <w:tcPr>
            <w:tcW w:w="2382" w:type="dxa"/>
            <w:tcBorders>
              <w:top w:val="single" w:color="000000" w:sz="2" w:space="0"/>
              <w:left w:val="single" w:color="000000" w:sz="2" w:space="0"/>
              <w:bottom w:val="single" w:color="000000" w:sz="2" w:space="0"/>
              <w:right w:val="single" w:color="000000" w:sz="2" w:space="0"/>
            </w:tcBorders>
          </w:tcPr>
          <w:p w14:paraId="77E3A7D5">
            <w:pPr>
              <w:spacing w:beforeLines="50" w:line="360" w:lineRule="auto"/>
              <w:jc w:val="center"/>
              <w:rPr>
                <w:rFonts w:ascii="宋体" w:hAnsi="宋体" w:cs="宋体"/>
                <w:color w:val="auto"/>
                <w:sz w:val="24"/>
                <w:szCs w:val="24"/>
              </w:rPr>
            </w:pPr>
          </w:p>
        </w:tc>
        <w:tc>
          <w:tcPr>
            <w:tcW w:w="1079" w:type="dxa"/>
            <w:tcBorders>
              <w:top w:val="single" w:color="000000" w:sz="2" w:space="0"/>
              <w:left w:val="single" w:color="000000" w:sz="2" w:space="0"/>
              <w:bottom w:val="single" w:color="000000" w:sz="2" w:space="0"/>
              <w:right w:val="single" w:color="000000" w:sz="2" w:space="0"/>
            </w:tcBorders>
          </w:tcPr>
          <w:p w14:paraId="7A517164">
            <w:pPr>
              <w:spacing w:beforeLines="50" w:line="360" w:lineRule="auto"/>
              <w:jc w:val="center"/>
              <w:rPr>
                <w:rFonts w:ascii="宋体" w:hAnsi="宋体" w:cs="宋体"/>
                <w:color w:val="auto"/>
                <w:sz w:val="24"/>
                <w:szCs w:val="24"/>
              </w:rPr>
            </w:pPr>
          </w:p>
        </w:tc>
        <w:tc>
          <w:tcPr>
            <w:tcW w:w="1509" w:type="dxa"/>
            <w:tcBorders>
              <w:top w:val="single" w:color="000000" w:sz="2" w:space="0"/>
              <w:left w:val="single" w:color="000000" w:sz="2" w:space="0"/>
              <w:bottom w:val="single" w:color="000000" w:sz="2" w:space="0"/>
              <w:right w:val="single" w:color="000000" w:sz="2" w:space="0"/>
            </w:tcBorders>
          </w:tcPr>
          <w:p w14:paraId="4385B04A">
            <w:pPr>
              <w:spacing w:beforeLines="50" w:line="360" w:lineRule="auto"/>
              <w:jc w:val="center"/>
              <w:rPr>
                <w:rFonts w:ascii="宋体" w:hAnsi="宋体" w:cs="宋体"/>
                <w:color w:val="auto"/>
                <w:sz w:val="24"/>
                <w:szCs w:val="24"/>
              </w:rPr>
            </w:pPr>
          </w:p>
        </w:tc>
        <w:tc>
          <w:tcPr>
            <w:tcW w:w="2857" w:type="dxa"/>
            <w:vMerge w:val="continue"/>
            <w:tcBorders>
              <w:top w:val="single" w:color="000000" w:sz="2" w:space="0"/>
              <w:left w:val="single" w:color="000000" w:sz="2" w:space="0"/>
              <w:bottom w:val="single" w:color="000000" w:sz="2" w:space="0"/>
              <w:right w:val="single" w:color="000000" w:sz="2" w:space="0"/>
            </w:tcBorders>
            <w:vAlign w:val="center"/>
          </w:tcPr>
          <w:p w14:paraId="5B577827">
            <w:pPr>
              <w:spacing w:line="240" w:lineRule="auto"/>
              <w:jc w:val="left"/>
              <w:rPr>
                <w:rFonts w:ascii="宋体" w:hAnsi="宋体" w:cs="宋体"/>
                <w:color w:val="auto"/>
                <w:sz w:val="24"/>
                <w:szCs w:val="24"/>
              </w:rPr>
            </w:pPr>
          </w:p>
        </w:tc>
      </w:tr>
    </w:tbl>
    <w:p w14:paraId="53A40919">
      <w:pPr>
        <w:pStyle w:val="16"/>
        <w:rPr>
          <w:color w:val="auto"/>
        </w:rPr>
      </w:pPr>
    </w:p>
    <w:p w14:paraId="7BF1DBBF">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6BA40C6D">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05AA1391">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5D69565B">
      <w:pPr>
        <w:ind w:firstLine="602" w:firstLineChars="200"/>
        <w:rPr>
          <w:rFonts w:ascii="黑体" w:hAnsi="黑体" w:eastAsia="黑体"/>
          <w:b/>
          <w:color w:val="auto"/>
          <w:sz w:val="30"/>
          <w:szCs w:val="30"/>
        </w:rPr>
      </w:pPr>
      <w:r>
        <w:rPr>
          <w:rFonts w:hint="eastAsia" w:ascii="黑体" w:hAnsi="黑体" w:eastAsia="黑体"/>
          <w:b/>
          <w:color w:val="auto"/>
          <w:sz w:val="30"/>
          <w:szCs w:val="30"/>
        </w:rPr>
        <w:br w:type="page"/>
      </w:r>
    </w:p>
    <w:p w14:paraId="2E7B23B5">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7.服务实施方案</w:t>
      </w:r>
    </w:p>
    <w:p w14:paraId="242E0F00">
      <w:pPr>
        <w:spacing w:line="351" w:lineRule="atLeast"/>
        <w:jc w:val="center"/>
        <w:rPr>
          <w:rFonts w:asciiTheme="minorEastAsia" w:hAnsiTheme="minorEastAsia" w:eastAsiaTheme="minorEastAsia" w:cstheme="minorEastAsia"/>
          <w:b/>
          <w:color w:val="auto"/>
          <w:spacing w:val="60"/>
          <w:sz w:val="32"/>
          <w:szCs w:val="32"/>
        </w:rPr>
      </w:pPr>
      <w:r>
        <w:rPr>
          <w:rFonts w:hint="eastAsia" w:ascii="宋体" w:hAnsi="宋体" w:cs="宋体"/>
          <w:color w:val="auto"/>
          <w:sz w:val="24"/>
          <w:szCs w:val="24"/>
        </w:rPr>
        <w:t>（技术部分）</w:t>
      </w:r>
    </w:p>
    <w:p w14:paraId="7BE9622F">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供应商名称：</w:t>
      </w:r>
    </w:p>
    <w:p w14:paraId="3A0C728D">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项目名称：</w:t>
      </w:r>
    </w:p>
    <w:p w14:paraId="6401AFFC">
      <w:pPr>
        <w:pStyle w:val="8"/>
        <w:ind w:firstLine="480" w:firstLineChars="200"/>
        <w:rPr>
          <w:rFonts w:eastAsia="Times New Roman"/>
          <w:color w:val="auto"/>
          <w:u w:val="single"/>
        </w:rPr>
      </w:pPr>
      <w:r>
        <w:rPr>
          <w:rFonts w:hint="eastAsia" w:ascii="宋体" w:hAnsi="宋体" w:cs="宋体"/>
          <w:color w:val="auto"/>
          <w:sz w:val="24"/>
          <w:szCs w:val="24"/>
        </w:rPr>
        <w:t>采购编号：</w:t>
      </w:r>
    </w:p>
    <w:p w14:paraId="4F58CA94">
      <w:pPr>
        <w:tabs>
          <w:tab w:val="left" w:pos="0"/>
        </w:tabs>
        <w:adjustRightInd w:val="0"/>
        <w:snapToGrid w:val="0"/>
        <w:spacing w:beforeLines="50" w:line="300" w:lineRule="auto"/>
        <w:ind w:right="25"/>
        <w:rPr>
          <w:rFonts w:ascii="宋体" w:hAnsi="宋体"/>
          <w:color w:val="auto"/>
          <w:spacing w:val="8"/>
          <w:szCs w:val="21"/>
        </w:rPr>
      </w:pPr>
    </w:p>
    <w:p w14:paraId="5C395606">
      <w:pPr>
        <w:tabs>
          <w:tab w:val="left" w:pos="0"/>
        </w:tabs>
        <w:adjustRightInd w:val="0"/>
        <w:snapToGrid w:val="0"/>
        <w:spacing w:beforeLines="50" w:line="300" w:lineRule="auto"/>
        <w:ind w:right="25"/>
        <w:rPr>
          <w:rFonts w:ascii="宋体" w:hAnsi="宋体"/>
          <w:color w:val="auto"/>
          <w:spacing w:val="8"/>
          <w:szCs w:val="21"/>
        </w:rPr>
      </w:pPr>
    </w:p>
    <w:p w14:paraId="4ABEB92A">
      <w:pPr>
        <w:tabs>
          <w:tab w:val="left" w:pos="0"/>
        </w:tabs>
        <w:adjustRightInd w:val="0"/>
        <w:snapToGrid w:val="0"/>
        <w:spacing w:beforeLines="50" w:line="300" w:lineRule="auto"/>
        <w:ind w:right="23"/>
        <w:jc w:val="center"/>
        <w:rPr>
          <w:rFonts w:ascii="宋体" w:hAnsi="宋体"/>
          <w:color w:val="auto"/>
          <w:spacing w:val="8"/>
          <w:sz w:val="24"/>
          <w:szCs w:val="24"/>
        </w:rPr>
      </w:pPr>
      <w:r>
        <w:rPr>
          <w:rFonts w:hint="eastAsia" w:ascii="宋体" w:hAnsi="宋体"/>
          <w:color w:val="auto"/>
          <w:spacing w:val="8"/>
          <w:sz w:val="24"/>
          <w:szCs w:val="24"/>
        </w:rPr>
        <w:t>由供应商根据采购文件要求及具体项目情况自行提供。</w:t>
      </w:r>
    </w:p>
    <w:p w14:paraId="0E5BC377">
      <w:pPr>
        <w:pStyle w:val="18"/>
        <w:ind w:firstLine="320"/>
        <w:rPr>
          <w:color w:val="auto"/>
          <w:sz w:val="32"/>
        </w:rPr>
      </w:pPr>
    </w:p>
    <w:p w14:paraId="45A2B17C">
      <w:pPr>
        <w:pStyle w:val="18"/>
        <w:ind w:firstLine="210"/>
        <w:rPr>
          <w:color w:val="auto"/>
        </w:rPr>
      </w:pPr>
    </w:p>
    <w:p w14:paraId="37AD33FD">
      <w:pPr>
        <w:widowControl w:val="0"/>
        <w:snapToGrid w:val="0"/>
        <w:spacing w:line="360" w:lineRule="auto"/>
        <w:textAlignment w:val="top"/>
        <w:rPr>
          <w:color w:val="auto"/>
          <w:sz w:val="24"/>
          <w:szCs w:val="24"/>
        </w:rPr>
      </w:pPr>
    </w:p>
    <w:p w14:paraId="0FEB8C49">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2F6F9BCA">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60A7FECB">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5548A712">
      <w:pPr>
        <w:widowControl w:val="0"/>
        <w:tabs>
          <w:tab w:val="left" w:pos="9365"/>
        </w:tabs>
        <w:snapToGrid w:val="0"/>
        <w:spacing w:after="56" w:line="560" w:lineRule="exact"/>
        <w:ind w:right="85" w:firstLine="480" w:firstLineChars="200"/>
        <w:jc w:val="left"/>
        <w:textAlignment w:val="top"/>
        <w:rPr>
          <w:rFonts w:ascii="宋体" w:hAnsi="宋体" w:cs="楷体_GB2312"/>
          <w:color w:val="auto"/>
          <w:sz w:val="24"/>
          <w:lang w:val="zh-CN"/>
        </w:rPr>
      </w:pPr>
    </w:p>
    <w:p w14:paraId="5D0CCCEC">
      <w:pPr>
        <w:ind w:firstLine="480" w:firstLineChars="200"/>
        <w:rPr>
          <w:rFonts w:ascii="宋体" w:hAnsi="宋体" w:cs="楷体_GB2312"/>
          <w:color w:val="auto"/>
          <w:sz w:val="24"/>
          <w:lang w:val="zh-CN"/>
        </w:rPr>
      </w:pPr>
      <w:r>
        <w:rPr>
          <w:rFonts w:hint="eastAsia" w:ascii="宋体" w:hAnsi="宋体" w:cs="楷体_GB2312"/>
          <w:color w:val="auto"/>
          <w:sz w:val="24"/>
          <w:lang w:val="zh-CN"/>
        </w:rPr>
        <w:br w:type="page"/>
      </w:r>
    </w:p>
    <w:p w14:paraId="195D25F2">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8.商务偏差表</w:t>
      </w:r>
    </w:p>
    <w:p w14:paraId="6BDF64F6">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供应商名称：</w:t>
      </w:r>
    </w:p>
    <w:p w14:paraId="57B5A4E9">
      <w:pPr>
        <w:pStyle w:val="8"/>
        <w:ind w:firstLine="480" w:firstLineChars="200"/>
        <w:rPr>
          <w:rFonts w:ascii="宋体" w:hAnsi="宋体" w:cs="宋体"/>
          <w:color w:val="auto"/>
          <w:sz w:val="24"/>
          <w:szCs w:val="24"/>
          <w:u w:val="single"/>
        </w:rPr>
      </w:pPr>
      <w:r>
        <w:rPr>
          <w:rFonts w:hint="eastAsia" w:ascii="宋体" w:hAnsi="宋体" w:cs="宋体"/>
          <w:color w:val="auto"/>
          <w:sz w:val="24"/>
          <w:szCs w:val="24"/>
        </w:rPr>
        <w:t>项目名称：</w:t>
      </w:r>
    </w:p>
    <w:p w14:paraId="2A8F75BB">
      <w:pPr>
        <w:pStyle w:val="8"/>
        <w:ind w:firstLine="480" w:firstLineChars="200"/>
        <w:rPr>
          <w:rFonts w:eastAsia="Times New Roman"/>
          <w:color w:val="auto"/>
          <w:u w:val="single"/>
        </w:rPr>
      </w:pPr>
      <w:r>
        <w:rPr>
          <w:rFonts w:hint="eastAsia" w:ascii="宋体" w:hAnsi="宋体" w:cs="宋体"/>
          <w:color w:val="auto"/>
          <w:sz w:val="24"/>
          <w:szCs w:val="24"/>
        </w:rPr>
        <w:t>采购编号：</w:t>
      </w:r>
    </w:p>
    <w:tbl>
      <w:tblPr>
        <w:tblStyle w:val="19"/>
        <w:tblW w:w="0" w:type="auto"/>
        <w:tblInd w:w="-11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448"/>
        <w:gridCol w:w="2984"/>
        <w:gridCol w:w="3172"/>
        <w:gridCol w:w="2599"/>
      </w:tblGrid>
      <w:tr w14:paraId="122382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448" w:type="dxa"/>
            <w:tcBorders>
              <w:top w:val="single" w:color="000000" w:sz="12" w:space="0"/>
              <w:left w:val="single" w:color="000000" w:sz="12" w:space="0"/>
              <w:bottom w:val="single" w:color="000000" w:sz="6" w:space="0"/>
              <w:right w:val="single" w:color="000000" w:sz="6" w:space="0"/>
            </w:tcBorders>
            <w:noWrap/>
            <w:vAlign w:val="center"/>
          </w:tcPr>
          <w:p w14:paraId="5EDC49DA">
            <w:pPr>
              <w:spacing w:after="200" w:line="560" w:lineRule="atLeast"/>
              <w:jc w:val="center"/>
              <w:rPr>
                <w:color w:val="auto"/>
                <w:kern w:val="2"/>
                <w:sz w:val="28"/>
              </w:rPr>
            </w:pPr>
            <w:r>
              <w:rPr>
                <w:rFonts w:hint="eastAsia"/>
                <w:color w:val="auto"/>
                <w:kern w:val="2"/>
              </w:rPr>
              <w:t>序号</w:t>
            </w:r>
          </w:p>
        </w:tc>
        <w:tc>
          <w:tcPr>
            <w:tcW w:w="2984" w:type="dxa"/>
            <w:tcBorders>
              <w:top w:val="single" w:color="000000" w:sz="12" w:space="0"/>
              <w:left w:val="single" w:color="000000" w:sz="6" w:space="0"/>
              <w:bottom w:val="single" w:color="000000" w:sz="6" w:space="0"/>
              <w:right w:val="single" w:color="000000" w:sz="6" w:space="0"/>
            </w:tcBorders>
            <w:noWrap/>
            <w:vAlign w:val="center"/>
          </w:tcPr>
          <w:p w14:paraId="33627DFF">
            <w:pPr>
              <w:spacing w:after="200" w:line="560" w:lineRule="atLeast"/>
              <w:jc w:val="center"/>
              <w:rPr>
                <w:color w:val="auto"/>
                <w:kern w:val="2"/>
                <w:sz w:val="28"/>
              </w:rPr>
            </w:pPr>
            <w:r>
              <w:rPr>
                <w:rFonts w:hint="eastAsia"/>
                <w:color w:val="auto"/>
                <w:kern w:val="2"/>
              </w:rPr>
              <w:t>采购文件要求条款</w:t>
            </w:r>
          </w:p>
        </w:tc>
        <w:tc>
          <w:tcPr>
            <w:tcW w:w="3172" w:type="dxa"/>
            <w:tcBorders>
              <w:top w:val="single" w:color="000000" w:sz="12" w:space="0"/>
              <w:left w:val="single" w:color="000000" w:sz="6" w:space="0"/>
              <w:bottom w:val="single" w:color="000000" w:sz="6" w:space="0"/>
              <w:right w:val="single" w:color="000000" w:sz="6" w:space="0"/>
            </w:tcBorders>
            <w:noWrap/>
            <w:vAlign w:val="center"/>
          </w:tcPr>
          <w:p w14:paraId="759F9C48">
            <w:pPr>
              <w:spacing w:after="200" w:line="560" w:lineRule="atLeast"/>
              <w:jc w:val="center"/>
              <w:rPr>
                <w:color w:val="auto"/>
                <w:kern w:val="2"/>
                <w:sz w:val="28"/>
              </w:rPr>
            </w:pPr>
            <w:r>
              <w:rPr>
                <w:rFonts w:hint="eastAsia"/>
                <w:color w:val="auto"/>
                <w:kern w:val="2"/>
              </w:rPr>
              <w:t>响应文件条款</w:t>
            </w:r>
          </w:p>
        </w:tc>
        <w:tc>
          <w:tcPr>
            <w:tcW w:w="2599" w:type="dxa"/>
            <w:tcBorders>
              <w:top w:val="single" w:color="000000" w:sz="12" w:space="0"/>
              <w:left w:val="single" w:color="000000" w:sz="6" w:space="0"/>
              <w:bottom w:val="single" w:color="000000" w:sz="6" w:space="0"/>
              <w:right w:val="single" w:color="000000" w:sz="12" w:space="0"/>
            </w:tcBorders>
            <w:noWrap/>
            <w:vAlign w:val="center"/>
          </w:tcPr>
          <w:p w14:paraId="37119EDB">
            <w:pPr>
              <w:spacing w:after="200" w:line="560" w:lineRule="atLeast"/>
              <w:jc w:val="center"/>
              <w:rPr>
                <w:color w:val="auto"/>
                <w:kern w:val="2"/>
                <w:sz w:val="28"/>
              </w:rPr>
            </w:pPr>
            <w:r>
              <w:rPr>
                <w:rFonts w:hint="eastAsia"/>
                <w:color w:val="auto"/>
                <w:kern w:val="2"/>
              </w:rPr>
              <w:t>偏差</w:t>
            </w:r>
          </w:p>
        </w:tc>
      </w:tr>
      <w:tr w14:paraId="50AA7A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58"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2CE4A9ED">
            <w:pPr>
              <w:spacing w:after="200" w:line="560" w:lineRule="atLeast"/>
              <w:jc w:val="center"/>
              <w:rPr>
                <w:color w:val="auto"/>
                <w:kern w:val="2"/>
                <w:sz w:val="28"/>
              </w:rPr>
            </w:pPr>
            <w:r>
              <w:rPr>
                <w:color w:val="auto"/>
                <w:kern w:val="2"/>
              </w:rPr>
              <w:t>1</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3511F2CF">
            <w:pPr>
              <w:spacing w:after="200" w:line="560" w:lineRule="atLeast"/>
              <w:jc w:val="center"/>
              <w:rPr>
                <w:color w:val="auto"/>
                <w:kern w:val="2"/>
              </w:rPr>
            </w:pPr>
            <w:r>
              <w:rPr>
                <w:rFonts w:hint="eastAsia"/>
                <w:color w:val="auto"/>
                <w:kern w:val="2"/>
              </w:rPr>
              <w:t>服务期限</w:t>
            </w: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4FD973DA">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68373715">
            <w:pPr>
              <w:spacing w:after="200" w:line="560" w:lineRule="atLeast"/>
              <w:jc w:val="center"/>
              <w:rPr>
                <w:color w:val="auto"/>
                <w:kern w:val="2"/>
                <w:sz w:val="28"/>
              </w:rPr>
            </w:pPr>
          </w:p>
        </w:tc>
      </w:tr>
      <w:tr w14:paraId="45103C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58"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41FECEB6">
            <w:pPr>
              <w:spacing w:after="200" w:line="560" w:lineRule="atLeast"/>
              <w:jc w:val="center"/>
              <w:rPr>
                <w:color w:val="auto"/>
                <w:kern w:val="2"/>
                <w:sz w:val="28"/>
              </w:rPr>
            </w:pPr>
            <w:r>
              <w:rPr>
                <w:color w:val="auto"/>
                <w:kern w:val="2"/>
              </w:rPr>
              <w:t>2</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0414BEC0">
            <w:pPr>
              <w:spacing w:after="200" w:line="560" w:lineRule="atLeast"/>
              <w:jc w:val="center"/>
              <w:rPr>
                <w:color w:val="auto"/>
                <w:kern w:val="2"/>
              </w:rPr>
            </w:pPr>
            <w:r>
              <w:rPr>
                <w:rFonts w:hint="eastAsia"/>
                <w:color w:val="auto"/>
                <w:kern w:val="2"/>
              </w:rPr>
              <w:t>服务地点</w:t>
            </w: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5AAB01AF">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264F2411">
            <w:pPr>
              <w:spacing w:after="200" w:line="560" w:lineRule="atLeast"/>
              <w:jc w:val="center"/>
              <w:rPr>
                <w:color w:val="auto"/>
                <w:kern w:val="2"/>
                <w:sz w:val="28"/>
              </w:rPr>
            </w:pPr>
          </w:p>
        </w:tc>
      </w:tr>
      <w:tr w14:paraId="33CE6A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58"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3E26A5EA">
            <w:pPr>
              <w:spacing w:after="200" w:line="560" w:lineRule="atLeast"/>
              <w:jc w:val="center"/>
              <w:rPr>
                <w:color w:val="auto"/>
                <w:kern w:val="2"/>
                <w:sz w:val="28"/>
              </w:rPr>
            </w:pPr>
            <w:r>
              <w:rPr>
                <w:color w:val="auto"/>
                <w:kern w:val="2"/>
              </w:rPr>
              <w:t>3</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49C66E2F">
            <w:pPr>
              <w:spacing w:after="200" w:line="560" w:lineRule="atLeast"/>
              <w:jc w:val="center"/>
              <w:rPr>
                <w:color w:val="auto"/>
                <w:kern w:val="2"/>
              </w:rPr>
            </w:pPr>
            <w:r>
              <w:rPr>
                <w:rFonts w:hint="eastAsia"/>
                <w:color w:val="auto"/>
                <w:kern w:val="2"/>
              </w:rPr>
              <w:t>付款方式</w:t>
            </w: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21268732">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1E0E4B64">
            <w:pPr>
              <w:spacing w:after="200" w:line="560" w:lineRule="atLeast"/>
              <w:jc w:val="center"/>
              <w:rPr>
                <w:color w:val="auto"/>
                <w:kern w:val="2"/>
                <w:sz w:val="28"/>
              </w:rPr>
            </w:pPr>
          </w:p>
        </w:tc>
      </w:tr>
      <w:tr w14:paraId="7876D7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58"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4AC5852E">
            <w:pPr>
              <w:spacing w:after="200" w:line="560" w:lineRule="atLeast"/>
              <w:jc w:val="center"/>
              <w:rPr>
                <w:color w:val="auto"/>
                <w:kern w:val="2"/>
                <w:sz w:val="28"/>
              </w:rPr>
            </w:pPr>
            <w:r>
              <w:rPr>
                <w:color w:val="auto"/>
                <w:kern w:val="2"/>
              </w:rPr>
              <w:t>4</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6435F613">
            <w:pPr>
              <w:spacing w:after="200" w:line="560" w:lineRule="atLeast"/>
              <w:jc w:val="center"/>
              <w:rPr>
                <w:color w:val="auto"/>
                <w:kern w:val="2"/>
              </w:rPr>
            </w:pP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59C0E252">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48AE5CFB">
            <w:pPr>
              <w:spacing w:after="200" w:line="560" w:lineRule="atLeast"/>
              <w:jc w:val="center"/>
              <w:rPr>
                <w:color w:val="auto"/>
                <w:kern w:val="2"/>
                <w:sz w:val="28"/>
              </w:rPr>
            </w:pPr>
          </w:p>
        </w:tc>
      </w:tr>
      <w:tr w14:paraId="44C84A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9"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4A1C6797">
            <w:pPr>
              <w:spacing w:after="200" w:line="560" w:lineRule="atLeast"/>
              <w:jc w:val="center"/>
              <w:rPr>
                <w:color w:val="auto"/>
                <w:kern w:val="2"/>
                <w:sz w:val="28"/>
              </w:rPr>
            </w:pPr>
            <w:r>
              <w:rPr>
                <w:color w:val="auto"/>
                <w:kern w:val="2"/>
              </w:rPr>
              <w:t>5</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187F3DF1">
            <w:pPr>
              <w:spacing w:after="200" w:line="560" w:lineRule="atLeast"/>
              <w:jc w:val="center"/>
              <w:rPr>
                <w:color w:val="auto"/>
                <w:kern w:val="2"/>
                <w:sz w:val="28"/>
              </w:rPr>
            </w:pP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0F2B3CFC">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494E8857">
            <w:pPr>
              <w:spacing w:after="200" w:line="560" w:lineRule="atLeast"/>
              <w:jc w:val="center"/>
              <w:rPr>
                <w:color w:val="auto"/>
                <w:kern w:val="2"/>
                <w:sz w:val="28"/>
              </w:rPr>
            </w:pPr>
          </w:p>
        </w:tc>
      </w:tr>
      <w:tr w14:paraId="3C9188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448" w:type="dxa"/>
            <w:tcBorders>
              <w:top w:val="single" w:color="000000" w:sz="6" w:space="0"/>
              <w:left w:val="single" w:color="000000" w:sz="12" w:space="0"/>
              <w:bottom w:val="single" w:color="000000" w:sz="6" w:space="0"/>
              <w:right w:val="single" w:color="000000" w:sz="6" w:space="0"/>
            </w:tcBorders>
            <w:noWrap/>
            <w:vAlign w:val="center"/>
          </w:tcPr>
          <w:p w14:paraId="612198D0">
            <w:pPr>
              <w:spacing w:after="200" w:line="560" w:lineRule="atLeast"/>
              <w:jc w:val="center"/>
              <w:rPr>
                <w:color w:val="auto"/>
                <w:kern w:val="2"/>
                <w:sz w:val="28"/>
              </w:rPr>
            </w:pPr>
            <w:r>
              <w:rPr>
                <w:color w:val="auto"/>
                <w:kern w:val="2"/>
              </w:rPr>
              <w:t>6</w:t>
            </w:r>
          </w:p>
        </w:tc>
        <w:tc>
          <w:tcPr>
            <w:tcW w:w="2984" w:type="dxa"/>
            <w:tcBorders>
              <w:top w:val="single" w:color="000000" w:sz="6" w:space="0"/>
              <w:left w:val="single" w:color="000000" w:sz="6" w:space="0"/>
              <w:bottom w:val="single" w:color="000000" w:sz="6" w:space="0"/>
              <w:right w:val="single" w:color="000000" w:sz="6" w:space="0"/>
            </w:tcBorders>
            <w:noWrap/>
            <w:vAlign w:val="center"/>
          </w:tcPr>
          <w:p w14:paraId="264BB728">
            <w:pPr>
              <w:spacing w:after="200" w:line="560" w:lineRule="atLeast"/>
              <w:jc w:val="center"/>
              <w:rPr>
                <w:color w:val="auto"/>
                <w:kern w:val="2"/>
                <w:sz w:val="28"/>
              </w:rPr>
            </w:pPr>
          </w:p>
        </w:tc>
        <w:tc>
          <w:tcPr>
            <w:tcW w:w="3172" w:type="dxa"/>
            <w:tcBorders>
              <w:top w:val="single" w:color="000000" w:sz="6" w:space="0"/>
              <w:left w:val="single" w:color="000000" w:sz="6" w:space="0"/>
              <w:bottom w:val="single" w:color="000000" w:sz="6" w:space="0"/>
              <w:right w:val="single" w:color="000000" w:sz="6" w:space="0"/>
            </w:tcBorders>
            <w:noWrap/>
            <w:vAlign w:val="center"/>
          </w:tcPr>
          <w:p w14:paraId="5E034FC2">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6" w:space="0"/>
              <w:right w:val="single" w:color="000000" w:sz="12" w:space="0"/>
            </w:tcBorders>
            <w:noWrap/>
            <w:vAlign w:val="center"/>
          </w:tcPr>
          <w:p w14:paraId="61F92092">
            <w:pPr>
              <w:spacing w:after="200" w:line="560" w:lineRule="atLeast"/>
              <w:jc w:val="center"/>
              <w:rPr>
                <w:color w:val="auto"/>
                <w:kern w:val="2"/>
                <w:sz w:val="28"/>
              </w:rPr>
            </w:pPr>
          </w:p>
        </w:tc>
      </w:tr>
      <w:tr w14:paraId="6EBB99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448" w:type="dxa"/>
            <w:tcBorders>
              <w:top w:val="single" w:color="000000" w:sz="6" w:space="0"/>
              <w:left w:val="single" w:color="000000" w:sz="12" w:space="0"/>
              <w:bottom w:val="single" w:color="000000" w:sz="12" w:space="0"/>
              <w:right w:val="single" w:color="000000" w:sz="6" w:space="0"/>
            </w:tcBorders>
            <w:noWrap/>
            <w:vAlign w:val="center"/>
          </w:tcPr>
          <w:p w14:paraId="1FE2A679">
            <w:pPr>
              <w:spacing w:after="200" w:line="560" w:lineRule="atLeast"/>
              <w:jc w:val="center"/>
              <w:rPr>
                <w:color w:val="auto"/>
                <w:kern w:val="2"/>
                <w:sz w:val="28"/>
              </w:rPr>
            </w:pPr>
            <w:r>
              <w:rPr>
                <w:color w:val="auto"/>
                <w:kern w:val="2"/>
              </w:rPr>
              <w:t>......</w:t>
            </w:r>
          </w:p>
        </w:tc>
        <w:tc>
          <w:tcPr>
            <w:tcW w:w="2984" w:type="dxa"/>
            <w:tcBorders>
              <w:top w:val="single" w:color="000000" w:sz="6" w:space="0"/>
              <w:left w:val="single" w:color="000000" w:sz="6" w:space="0"/>
              <w:bottom w:val="single" w:color="000000" w:sz="12" w:space="0"/>
              <w:right w:val="single" w:color="000000" w:sz="6" w:space="0"/>
            </w:tcBorders>
            <w:noWrap/>
            <w:vAlign w:val="center"/>
          </w:tcPr>
          <w:p w14:paraId="5F66B841">
            <w:pPr>
              <w:spacing w:after="200" w:line="560" w:lineRule="atLeast"/>
              <w:jc w:val="center"/>
              <w:rPr>
                <w:color w:val="auto"/>
                <w:kern w:val="2"/>
                <w:sz w:val="28"/>
              </w:rPr>
            </w:pPr>
          </w:p>
        </w:tc>
        <w:tc>
          <w:tcPr>
            <w:tcW w:w="3172" w:type="dxa"/>
            <w:tcBorders>
              <w:top w:val="single" w:color="000000" w:sz="6" w:space="0"/>
              <w:left w:val="single" w:color="000000" w:sz="6" w:space="0"/>
              <w:bottom w:val="single" w:color="000000" w:sz="12" w:space="0"/>
              <w:right w:val="single" w:color="000000" w:sz="6" w:space="0"/>
            </w:tcBorders>
            <w:noWrap/>
            <w:vAlign w:val="center"/>
          </w:tcPr>
          <w:p w14:paraId="678D05E5">
            <w:pPr>
              <w:spacing w:after="200" w:line="560" w:lineRule="atLeast"/>
              <w:jc w:val="center"/>
              <w:rPr>
                <w:color w:val="auto"/>
                <w:kern w:val="2"/>
                <w:sz w:val="28"/>
              </w:rPr>
            </w:pPr>
          </w:p>
        </w:tc>
        <w:tc>
          <w:tcPr>
            <w:tcW w:w="2599" w:type="dxa"/>
            <w:tcBorders>
              <w:top w:val="single" w:color="000000" w:sz="6" w:space="0"/>
              <w:left w:val="single" w:color="000000" w:sz="6" w:space="0"/>
              <w:bottom w:val="single" w:color="000000" w:sz="12" w:space="0"/>
              <w:right w:val="single" w:color="000000" w:sz="12" w:space="0"/>
            </w:tcBorders>
            <w:noWrap/>
            <w:vAlign w:val="center"/>
          </w:tcPr>
          <w:p w14:paraId="169763D4">
            <w:pPr>
              <w:spacing w:after="200" w:line="560" w:lineRule="atLeast"/>
              <w:jc w:val="center"/>
              <w:rPr>
                <w:color w:val="auto"/>
                <w:kern w:val="2"/>
                <w:sz w:val="28"/>
              </w:rPr>
            </w:pPr>
          </w:p>
        </w:tc>
      </w:tr>
    </w:tbl>
    <w:p w14:paraId="549844D6">
      <w:pPr>
        <w:spacing w:before="283" w:line="432" w:lineRule="auto"/>
        <w:ind w:left="138" w:firstLine="619"/>
        <w:rPr>
          <w:rFonts w:ascii="宋体" w:hAnsi="宋体" w:cs="宋体"/>
          <w:color w:val="auto"/>
          <w:sz w:val="24"/>
          <w:szCs w:val="24"/>
        </w:rPr>
      </w:pPr>
      <w:r>
        <w:rPr>
          <w:rFonts w:hint="eastAsia" w:ascii="宋体" w:hAnsi="宋体" w:cs="宋体"/>
          <w:color w:val="auto"/>
          <w:spacing w:val="1"/>
          <w:sz w:val="24"/>
          <w:szCs w:val="24"/>
        </w:rPr>
        <w:t>注：⑴“偏差”栏中详细注明响应文件中商务条款与采购文件中要求有何不同，并</w:t>
      </w:r>
      <w:r>
        <w:rPr>
          <w:rFonts w:hint="eastAsia" w:ascii="宋体" w:hAnsi="宋体" w:cs="宋体"/>
          <w:color w:val="auto"/>
          <w:sz w:val="24"/>
          <w:szCs w:val="24"/>
        </w:rPr>
        <w:t>说明其符合性。供应商应分项目填制本表，</w:t>
      </w:r>
      <w:r>
        <w:rPr>
          <w:rFonts w:hint="eastAsia" w:ascii="宋体" w:hAnsi="宋体" w:cs="宋体"/>
          <w:color w:val="auto"/>
          <w:spacing w:val="-1"/>
          <w:sz w:val="24"/>
          <w:szCs w:val="24"/>
        </w:rPr>
        <w:t>页数不够时请自行复印。⑵如响应文件中商务</w:t>
      </w:r>
      <w:r>
        <w:rPr>
          <w:rFonts w:hint="eastAsia" w:ascii="宋体" w:hAnsi="宋体" w:cs="宋体"/>
          <w:color w:val="auto"/>
          <w:spacing w:val="-4"/>
          <w:sz w:val="24"/>
          <w:szCs w:val="24"/>
        </w:rPr>
        <w:t>条款与采购文件中要求一致，仍需在本表填列“与采购文件商务条款要求一</w:t>
      </w:r>
      <w:r>
        <w:rPr>
          <w:rFonts w:hint="eastAsia" w:ascii="宋体" w:hAnsi="宋体" w:cs="宋体"/>
          <w:color w:val="auto"/>
          <w:spacing w:val="-5"/>
          <w:sz w:val="24"/>
          <w:szCs w:val="24"/>
        </w:rPr>
        <w:t>致”字样。</w:t>
      </w:r>
    </w:p>
    <w:p w14:paraId="008B98D2">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5B6FD20C">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2EFDFE2C">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42B33DE5">
      <w:pPr>
        <w:snapToGrid w:val="0"/>
        <w:spacing w:line="560" w:lineRule="exact"/>
        <w:rPr>
          <w:rFonts w:ascii="宋体"/>
          <w:color w:val="auto"/>
          <w:sz w:val="24"/>
        </w:rPr>
      </w:pPr>
    </w:p>
    <w:p w14:paraId="63313A6A">
      <w:pPr>
        <w:tabs>
          <w:tab w:val="left" w:pos="540"/>
        </w:tabs>
        <w:spacing w:line="440" w:lineRule="exact"/>
        <w:ind w:firstLine="480" w:firstLineChars="200"/>
        <w:jc w:val="center"/>
        <w:rPr>
          <w:color w:val="auto"/>
          <w:sz w:val="28"/>
        </w:rPr>
      </w:pPr>
      <w:r>
        <w:rPr>
          <w:rFonts w:hint="eastAsia" w:ascii="宋体"/>
          <w:color w:val="auto"/>
          <w:sz w:val="24"/>
        </w:rPr>
        <w:br w:type="page"/>
      </w:r>
    </w:p>
    <w:p w14:paraId="3868ED43">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9.投标承诺函</w:t>
      </w:r>
    </w:p>
    <w:p w14:paraId="0806E266">
      <w:pPr>
        <w:snapToGrid w:val="0"/>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(采购人名称）    </w:t>
      </w:r>
    </w:p>
    <w:p w14:paraId="3C4261A0">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在采购编号为的</w:t>
      </w:r>
      <w:r>
        <w:rPr>
          <w:rFonts w:hint="eastAsia" w:ascii="宋体" w:hAnsi="宋体" w:cs="宋体"/>
          <w:color w:val="auto"/>
          <w:sz w:val="24"/>
          <w:u w:val="single"/>
        </w:rPr>
        <w:t xml:space="preserve">    （项目名称）  </w:t>
      </w:r>
      <w:r>
        <w:rPr>
          <w:rFonts w:hint="eastAsia" w:ascii="宋体" w:hAnsi="宋体" w:cs="宋体"/>
          <w:color w:val="auto"/>
          <w:sz w:val="24"/>
        </w:rPr>
        <w:t>采购活动中，我单位承诺：</w:t>
      </w:r>
    </w:p>
    <w:p w14:paraId="3B43D48C">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一、遵循公开、公平、公正和诚实信用的原则自愿参加本项目投标；</w:t>
      </w:r>
    </w:p>
    <w:p w14:paraId="79765E2E">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二、在采购活动中提供真实、准确、有效、合法的材料，不提供虚假材料；</w:t>
      </w:r>
    </w:p>
    <w:p w14:paraId="6E9EB78B">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三、按照采购文件规定，在提交响应文件截止时间后，在采购文件规定的响应有效期限内不撤回响应文件；</w:t>
      </w:r>
    </w:p>
    <w:p w14:paraId="39A32833">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四、不与其他供应商、采购人或采购代理机构串通或恶意串通；</w:t>
      </w:r>
    </w:p>
    <w:p w14:paraId="72112093">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五、如我单位成交，除不可抗拒力或采购文件认可的情形外，我单位承诺及时领取成交通知书，在成交通知书规定时间、地点与采购人签订合同；</w:t>
      </w:r>
    </w:p>
    <w:p w14:paraId="43E2CD1D">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六、遵守法律法规及采购文件规定的其他情况；</w:t>
      </w:r>
    </w:p>
    <w:p w14:paraId="39BB4E03">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七、违背上述承诺事项的，我单位无条件接受以下责任追究：</w:t>
      </w:r>
    </w:p>
    <w:p w14:paraId="1034690C">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1.法定责任：按照政府采购相关法规，处以罚款，列入不良行为记录名单，在一至三年内禁止参加政府采购活动，有违法所得的，并处没收违法所得，情节严重的，由工商行政管理机关（市场监督机关）吊销营业执照；构成犯罪的，依法追究刑事责任。</w:t>
      </w:r>
    </w:p>
    <w:p w14:paraId="03640F82">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2.违约责任：</w:t>
      </w:r>
    </w:p>
    <w:p w14:paraId="5445887C">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2.1已成交的，成交无效；</w:t>
      </w:r>
    </w:p>
    <w:p w14:paraId="47AC6DE1">
      <w:pPr>
        <w:snapToGrid w:val="0"/>
        <w:spacing w:line="360" w:lineRule="auto"/>
        <w:ind w:firstLine="480" w:firstLineChars="200"/>
        <w:rPr>
          <w:color w:val="auto"/>
          <w:sz w:val="24"/>
        </w:rPr>
      </w:pPr>
      <w:r>
        <w:rPr>
          <w:rFonts w:hint="eastAsia" w:ascii="宋体" w:hAnsi="宋体" w:cs="宋体"/>
          <w:color w:val="auto"/>
          <w:sz w:val="24"/>
        </w:rPr>
        <w:t>2.2给采购人及他人造成损失的，愿承担相应的赔偿责任</w:t>
      </w:r>
    </w:p>
    <w:p w14:paraId="08172611">
      <w:pPr>
        <w:snapToGrid w:val="0"/>
        <w:spacing w:line="560" w:lineRule="atLeast"/>
        <w:ind w:right="56" w:firstLine="555"/>
        <w:rPr>
          <w:color w:val="auto"/>
          <w:sz w:val="24"/>
        </w:rPr>
      </w:pPr>
    </w:p>
    <w:p w14:paraId="5ED5245F">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40AE0761">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440A75E1">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41C8C4BE">
      <w:pPr>
        <w:tabs>
          <w:tab w:val="left" w:pos="540"/>
        </w:tabs>
        <w:spacing w:line="440" w:lineRule="exact"/>
        <w:ind w:firstLine="420" w:firstLineChars="200"/>
        <w:jc w:val="center"/>
        <w:rPr>
          <w:color w:val="auto"/>
        </w:rPr>
      </w:pPr>
      <w:r>
        <w:rPr>
          <w:color w:val="auto"/>
        </w:rPr>
        <w:br w:type="page"/>
      </w:r>
    </w:p>
    <w:p w14:paraId="3171DBF5">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10.中小企业声明函</w:t>
      </w:r>
    </w:p>
    <w:p w14:paraId="424AA8E0">
      <w:pPr>
        <w:spacing w:before="78" w:line="451" w:lineRule="auto"/>
        <w:ind w:left="6" w:firstLine="482"/>
        <w:rPr>
          <w:rFonts w:ascii="宋体" w:hAnsi="宋体" w:cs="宋体"/>
          <w:color w:val="auto"/>
          <w:spacing w:val="-1"/>
          <w:sz w:val="24"/>
          <w:szCs w:val="24"/>
        </w:rPr>
      </w:pPr>
    </w:p>
    <w:p w14:paraId="2E79D72F">
      <w:pPr>
        <w:spacing w:before="78" w:line="451" w:lineRule="auto"/>
        <w:ind w:left="7" w:firstLine="482"/>
        <w:rPr>
          <w:rFonts w:ascii="宋体" w:hAnsi="宋体" w:cs="宋体"/>
          <w:color w:val="auto"/>
          <w:sz w:val="24"/>
          <w:szCs w:val="24"/>
        </w:rPr>
      </w:pPr>
      <w:r>
        <w:rPr>
          <w:rFonts w:hint="eastAsia" w:ascii="宋体" w:hAnsi="宋体" w:cs="宋体"/>
          <w:color w:val="auto"/>
          <w:spacing w:val="-1"/>
          <w:sz w:val="24"/>
          <w:szCs w:val="24"/>
        </w:rPr>
        <w:t>本公司（或联合体）郑重声明，根据《政府采购促进中小企业发展管理办法》（财库</w:t>
      </w:r>
      <w:r>
        <w:rPr>
          <w:rFonts w:hint="eastAsia" w:ascii="宋体" w:hAnsi="宋体" w:cs="宋体"/>
          <w:color w:val="auto"/>
          <w:spacing w:val="-5"/>
          <w:sz w:val="24"/>
          <w:szCs w:val="24"/>
        </w:rPr>
        <w:t>[2020]46号）的规定，本公司（或</w:t>
      </w:r>
      <w:r>
        <w:rPr>
          <w:rFonts w:hint="eastAsia" w:ascii="宋体" w:hAnsi="宋体" w:cs="宋体"/>
          <w:color w:val="auto"/>
          <w:spacing w:val="-6"/>
          <w:sz w:val="24"/>
          <w:szCs w:val="24"/>
        </w:rPr>
        <w:t>联合体）参加</w:t>
      </w:r>
      <w:r>
        <w:rPr>
          <w:rFonts w:hint="eastAsia" w:ascii="宋体" w:hAnsi="宋体" w:cs="宋体"/>
          <w:color w:val="auto"/>
          <w:spacing w:val="-6"/>
          <w:sz w:val="24"/>
          <w:szCs w:val="24"/>
          <w:u w:val="single"/>
        </w:rPr>
        <w:t>（采购单位）</w:t>
      </w:r>
      <w:r>
        <w:rPr>
          <w:rFonts w:hint="eastAsia" w:ascii="宋体" w:hAnsi="宋体" w:cs="宋体"/>
          <w:color w:val="auto"/>
          <w:spacing w:val="-6"/>
          <w:sz w:val="24"/>
          <w:szCs w:val="24"/>
        </w:rPr>
        <w:t>的</w:t>
      </w:r>
      <w:r>
        <w:rPr>
          <w:rFonts w:hint="eastAsia" w:ascii="宋体" w:hAnsi="宋体" w:cs="宋体"/>
          <w:color w:val="auto"/>
          <w:spacing w:val="-6"/>
          <w:sz w:val="24"/>
          <w:szCs w:val="24"/>
          <w:u w:val="single"/>
        </w:rPr>
        <w:t>（项目名称）</w:t>
      </w:r>
      <w:r>
        <w:rPr>
          <w:rFonts w:hint="eastAsia" w:ascii="宋体" w:hAnsi="宋体" w:cs="宋体"/>
          <w:color w:val="auto"/>
          <w:spacing w:val="-6"/>
          <w:sz w:val="24"/>
          <w:szCs w:val="24"/>
        </w:rPr>
        <w:t>采</w:t>
      </w:r>
      <w:r>
        <w:rPr>
          <w:rFonts w:hint="eastAsia" w:ascii="宋体" w:hAnsi="宋体" w:cs="宋体"/>
          <w:color w:val="auto"/>
          <w:sz w:val="24"/>
          <w:szCs w:val="24"/>
        </w:rPr>
        <w:t>购活动，服务全部由符合政策要求的中小企业承接。</w:t>
      </w:r>
      <w:r>
        <w:rPr>
          <w:rFonts w:hint="eastAsia" w:ascii="宋体" w:hAnsi="宋体" w:cs="宋体"/>
          <w:color w:val="auto"/>
          <w:spacing w:val="-1"/>
          <w:sz w:val="24"/>
          <w:szCs w:val="24"/>
        </w:rPr>
        <w:t>相关企业（含联合体中的中小企业、签订分包意向协议的中小企业）的具体情况如下：</w:t>
      </w:r>
    </w:p>
    <w:p w14:paraId="3C74FF59">
      <w:pPr>
        <w:spacing w:line="372" w:lineRule="auto"/>
        <w:ind w:firstLine="476" w:firstLineChars="200"/>
        <w:rPr>
          <w:rFonts w:ascii="宋体" w:hAnsi="宋体" w:cs="宋体"/>
          <w:color w:val="auto"/>
          <w:sz w:val="24"/>
          <w:szCs w:val="24"/>
        </w:rPr>
      </w:pPr>
      <w:r>
        <w:rPr>
          <w:rFonts w:hint="eastAsia" w:ascii="宋体" w:hAnsi="宋体" w:cs="宋体"/>
          <w:color w:val="auto"/>
          <w:spacing w:val="-1"/>
          <w:sz w:val="24"/>
          <w:szCs w:val="24"/>
        </w:rPr>
        <w:t>1.</w:t>
      </w:r>
      <w:r>
        <w:rPr>
          <w:rFonts w:hint="eastAsia" w:ascii="宋体" w:hAnsi="宋体" w:cs="宋体"/>
          <w:color w:val="auto"/>
          <w:spacing w:val="-1"/>
          <w:sz w:val="24"/>
          <w:szCs w:val="24"/>
          <w:u w:val="single"/>
        </w:rPr>
        <w:t xml:space="preserve"> （标的名称）</w:t>
      </w:r>
      <w:r>
        <w:rPr>
          <w:rFonts w:hint="eastAsia" w:ascii="宋体" w:hAnsi="宋体" w:cs="宋体"/>
          <w:color w:val="auto"/>
          <w:spacing w:val="-1"/>
          <w:sz w:val="24"/>
          <w:szCs w:val="24"/>
        </w:rPr>
        <w:t>，属于</w:t>
      </w:r>
      <w:r>
        <w:rPr>
          <w:rFonts w:hint="eastAsia" w:ascii="宋体" w:hAnsi="宋体" w:cs="宋体"/>
          <w:color w:val="auto"/>
          <w:spacing w:val="-1"/>
          <w:sz w:val="24"/>
          <w:szCs w:val="24"/>
          <w:u w:val="single"/>
        </w:rPr>
        <w:t xml:space="preserve">  （采购文件中明确的所属行业</w:t>
      </w:r>
      <w:r>
        <w:rPr>
          <w:rFonts w:hint="eastAsia" w:ascii="宋体" w:hAnsi="宋体" w:cs="宋体"/>
          <w:color w:val="auto"/>
          <w:spacing w:val="-11"/>
          <w:sz w:val="24"/>
          <w:szCs w:val="24"/>
          <w:u w:val="single"/>
        </w:rPr>
        <w:t>）</w:t>
      </w:r>
      <w:r>
        <w:rPr>
          <w:rFonts w:hint="eastAsia" w:ascii="宋体" w:hAnsi="宋体" w:cs="宋体"/>
          <w:color w:val="auto"/>
          <w:spacing w:val="-11"/>
          <w:sz w:val="24"/>
          <w:szCs w:val="24"/>
        </w:rPr>
        <w:t>；</w:t>
      </w:r>
      <w:r>
        <w:rPr>
          <w:rFonts w:hint="eastAsia" w:ascii="宋体" w:hAnsi="宋体" w:cs="宋体"/>
          <w:color w:val="auto"/>
          <w:spacing w:val="-1"/>
          <w:sz w:val="24"/>
          <w:szCs w:val="24"/>
        </w:rPr>
        <w:t>承接企业</w:t>
      </w:r>
      <w:r>
        <w:rPr>
          <w:rFonts w:hint="eastAsia" w:ascii="宋体" w:hAnsi="宋体" w:cs="宋体"/>
          <w:color w:val="auto"/>
          <w:spacing w:val="-2"/>
          <w:sz w:val="24"/>
          <w:szCs w:val="24"/>
        </w:rPr>
        <w:t>为</w:t>
      </w:r>
      <w:r>
        <w:rPr>
          <w:rFonts w:hint="eastAsia" w:ascii="宋体" w:hAnsi="宋体" w:cs="宋体"/>
          <w:color w:val="auto"/>
          <w:spacing w:val="-2"/>
          <w:sz w:val="24"/>
          <w:szCs w:val="24"/>
          <w:u w:val="single"/>
        </w:rPr>
        <w:t xml:space="preserve">   （企</w:t>
      </w:r>
      <w:r>
        <w:rPr>
          <w:rFonts w:hint="eastAsia" w:ascii="宋体" w:hAnsi="宋体" w:cs="宋体"/>
          <w:color w:val="auto"/>
          <w:spacing w:val="-1"/>
          <w:sz w:val="24"/>
          <w:szCs w:val="24"/>
          <w:u w:val="single"/>
        </w:rPr>
        <w:t>业名称</w:t>
      </w:r>
      <w:r>
        <w:rPr>
          <w:rFonts w:hint="eastAsia" w:ascii="宋体" w:hAnsi="宋体" w:cs="宋体"/>
          <w:color w:val="auto"/>
          <w:spacing w:val="-9"/>
          <w:sz w:val="24"/>
          <w:szCs w:val="24"/>
          <w:u w:val="single"/>
        </w:rPr>
        <w:t>）</w:t>
      </w:r>
      <w:r>
        <w:rPr>
          <w:rFonts w:hint="eastAsia" w:ascii="宋体" w:hAnsi="宋体" w:cs="宋体"/>
          <w:color w:val="auto"/>
          <w:spacing w:val="-9"/>
          <w:sz w:val="24"/>
          <w:szCs w:val="24"/>
        </w:rPr>
        <w:t>，</w:t>
      </w:r>
      <w:r>
        <w:rPr>
          <w:rFonts w:hint="eastAsia" w:ascii="宋体" w:hAnsi="宋体" w:cs="宋体"/>
          <w:color w:val="auto"/>
          <w:spacing w:val="-1"/>
          <w:sz w:val="24"/>
          <w:szCs w:val="24"/>
        </w:rPr>
        <w:t>从业人员人，营业收入为万元</w:t>
      </w:r>
      <w:r>
        <w:rPr>
          <w:rFonts w:hint="eastAsia" w:ascii="宋体" w:hAnsi="宋体" w:cs="宋体"/>
          <w:color w:val="auto"/>
          <w:spacing w:val="-2"/>
          <w:sz w:val="24"/>
          <w:szCs w:val="24"/>
        </w:rPr>
        <w:t>，资产总额为万元，属于</w:t>
      </w:r>
      <w:r>
        <w:rPr>
          <w:rFonts w:hint="eastAsia" w:ascii="宋体" w:hAnsi="宋体" w:cs="宋体"/>
          <w:color w:val="auto"/>
          <w:spacing w:val="-1"/>
          <w:sz w:val="24"/>
          <w:szCs w:val="24"/>
          <w:u w:val="single"/>
        </w:rPr>
        <w:t>（中型企业、小型企业、微型企业</w:t>
      </w:r>
      <w:r>
        <w:rPr>
          <w:rFonts w:hint="eastAsia" w:ascii="宋体" w:hAnsi="宋体" w:cs="宋体"/>
          <w:color w:val="auto"/>
          <w:spacing w:val="7"/>
          <w:sz w:val="24"/>
          <w:szCs w:val="24"/>
          <w:u w:val="single"/>
        </w:rPr>
        <w:t>）</w:t>
      </w:r>
      <w:r>
        <w:rPr>
          <w:rFonts w:hint="eastAsia" w:ascii="宋体" w:hAnsi="宋体" w:cs="宋体"/>
          <w:color w:val="auto"/>
          <w:spacing w:val="7"/>
          <w:sz w:val="24"/>
          <w:szCs w:val="24"/>
        </w:rPr>
        <w:t>；</w:t>
      </w:r>
    </w:p>
    <w:p w14:paraId="55601508">
      <w:pPr>
        <w:spacing w:before="313" w:line="372" w:lineRule="auto"/>
        <w:ind w:firstLine="492"/>
        <w:rPr>
          <w:rFonts w:ascii="宋体" w:hAnsi="宋体" w:cs="宋体"/>
          <w:color w:val="auto"/>
          <w:sz w:val="24"/>
          <w:szCs w:val="24"/>
        </w:rPr>
      </w:pPr>
      <w:r>
        <w:rPr>
          <w:rFonts w:hint="eastAsia" w:ascii="宋体" w:hAnsi="宋体" w:cs="宋体"/>
          <w:color w:val="auto"/>
          <w:spacing w:val="-1"/>
          <w:sz w:val="24"/>
          <w:szCs w:val="24"/>
        </w:rPr>
        <w:t>2.</w:t>
      </w:r>
      <w:r>
        <w:rPr>
          <w:rFonts w:hint="eastAsia" w:ascii="宋体" w:hAnsi="宋体" w:cs="宋体"/>
          <w:color w:val="auto"/>
          <w:spacing w:val="-1"/>
          <w:sz w:val="24"/>
          <w:szCs w:val="24"/>
          <w:u w:val="single"/>
        </w:rPr>
        <w:t xml:space="preserve"> （标的名称）</w:t>
      </w:r>
      <w:r>
        <w:rPr>
          <w:rFonts w:hint="eastAsia" w:ascii="宋体" w:hAnsi="宋体" w:cs="宋体"/>
          <w:color w:val="auto"/>
          <w:spacing w:val="-1"/>
          <w:sz w:val="24"/>
          <w:szCs w:val="24"/>
        </w:rPr>
        <w:t>，属于</w:t>
      </w:r>
      <w:r>
        <w:rPr>
          <w:rFonts w:hint="eastAsia" w:ascii="宋体" w:hAnsi="宋体" w:cs="宋体"/>
          <w:color w:val="auto"/>
          <w:spacing w:val="-1"/>
          <w:sz w:val="24"/>
          <w:szCs w:val="24"/>
          <w:u w:val="single"/>
        </w:rPr>
        <w:t xml:space="preserve">  （采购文件中明确的所属行业</w:t>
      </w:r>
      <w:r>
        <w:rPr>
          <w:rFonts w:hint="eastAsia" w:ascii="宋体" w:hAnsi="宋体" w:cs="宋体"/>
          <w:color w:val="auto"/>
          <w:spacing w:val="-6"/>
          <w:sz w:val="24"/>
          <w:szCs w:val="24"/>
          <w:u w:val="single"/>
        </w:rPr>
        <w:t>）</w:t>
      </w:r>
      <w:r>
        <w:rPr>
          <w:rFonts w:hint="eastAsia" w:ascii="宋体" w:hAnsi="宋体" w:cs="宋体"/>
          <w:color w:val="auto"/>
          <w:spacing w:val="-6"/>
          <w:sz w:val="24"/>
          <w:szCs w:val="24"/>
        </w:rPr>
        <w:t>；</w:t>
      </w:r>
      <w:r>
        <w:rPr>
          <w:rFonts w:hint="eastAsia" w:ascii="宋体" w:hAnsi="宋体" w:cs="宋体"/>
          <w:color w:val="auto"/>
          <w:spacing w:val="-1"/>
          <w:sz w:val="24"/>
          <w:szCs w:val="24"/>
        </w:rPr>
        <w:t>承接企业为</w:t>
      </w:r>
      <w:r>
        <w:rPr>
          <w:rFonts w:hint="eastAsia" w:ascii="宋体" w:hAnsi="宋体" w:cs="宋体"/>
          <w:color w:val="auto"/>
          <w:spacing w:val="-1"/>
          <w:sz w:val="24"/>
          <w:szCs w:val="24"/>
          <w:u w:val="single"/>
        </w:rPr>
        <w:t xml:space="preserve">   （企业名称</w:t>
      </w:r>
      <w:r>
        <w:rPr>
          <w:rFonts w:hint="eastAsia" w:ascii="宋体" w:hAnsi="宋体" w:cs="宋体"/>
          <w:color w:val="auto"/>
          <w:spacing w:val="-9"/>
          <w:sz w:val="24"/>
          <w:szCs w:val="24"/>
          <w:u w:val="single"/>
        </w:rPr>
        <w:t>）</w:t>
      </w:r>
      <w:r>
        <w:rPr>
          <w:rFonts w:hint="eastAsia" w:ascii="宋体" w:hAnsi="宋体" w:cs="宋体"/>
          <w:color w:val="auto"/>
          <w:spacing w:val="-9"/>
          <w:sz w:val="24"/>
          <w:szCs w:val="24"/>
        </w:rPr>
        <w:t>，</w:t>
      </w:r>
      <w:r>
        <w:rPr>
          <w:rFonts w:hint="eastAsia" w:ascii="宋体" w:hAnsi="宋体" w:cs="宋体"/>
          <w:color w:val="auto"/>
          <w:spacing w:val="-1"/>
          <w:sz w:val="24"/>
          <w:szCs w:val="24"/>
        </w:rPr>
        <w:t>从业人员人，营业收入为万元</w:t>
      </w:r>
      <w:r>
        <w:rPr>
          <w:rFonts w:hint="eastAsia" w:ascii="宋体" w:hAnsi="宋体" w:cs="宋体"/>
          <w:color w:val="auto"/>
          <w:spacing w:val="-2"/>
          <w:sz w:val="24"/>
          <w:szCs w:val="24"/>
        </w:rPr>
        <w:t>，资产总额为万元，属于</w:t>
      </w:r>
      <w:r>
        <w:rPr>
          <w:rFonts w:hint="eastAsia" w:ascii="宋体" w:hAnsi="宋体" w:cs="宋体"/>
          <w:color w:val="auto"/>
          <w:spacing w:val="-1"/>
          <w:sz w:val="24"/>
          <w:szCs w:val="24"/>
          <w:u w:val="single"/>
        </w:rPr>
        <w:t>（中型企业、小型企业、微型企业</w:t>
      </w:r>
      <w:r>
        <w:rPr>
          <w:rFonts w:hint="eastAsia" w:ascii="宋体" w:hAnsi="宋体" w:cs="宋体"/>
          <w:color w:val="auto"/>
          <w:spacing w:val="7"/>
          <w:sz w:val="24"/>
          <w:szCs w:val="24"/>
          <w:u w:val="single"/>
        </w:rPr>
        <w:t>）</w:t>
      </w:r>
      <w:r>
        <w:rPr>
          <w:rFonts w:hint="eastAsia" w:ascii="宋体" w:hAnsi="宋体" w:cs="宋体"/>
          <w:color w:val="auto"/>
          <w:spacing w:val="7"/>
          <w:sz w:val="24"/>
          <w:szCs w:val="24"/>
        </w:rPr>
        <w:t>；</w:t>
      </w:r>
    </w:p>
    <w:p w14:paraId="5D15BAA8">
      <w:pPr>
        <w:spacing w:before="311" w:line="182" w:lineRule="auto"/>
        <w:ind w:left="504"/>
        <w:rPr>
          <w:rFonts w:ascii="宋体" w:hAnsi="宋体" w:cs="宋体"/>
          <w:color w:val="auto"/>
          <w:sz w:val="24"/>
          <w:szCs w:val="24"/>
        </w:rPr>
      </w:pPr>
      <w:r>
        <w:rPr>
          <w:rFonts w:hint="eastAsia" w:ascii="宋体" w:hAnsi="宋体" w:cs="宋体"/>
          <w:color w:val="auto"/>
          <w:spacing w:val="-9"/>
          <w:sz w:val="24"/>
          <w:szCs w:val="24"/>
        </w:rPr>
        <w:t>………</w:t>
      </w:r>
    </w:p>
    <w:p w14:paraId="4F46DAD8">
      <w:pPr>
        <w:spacing w:before="79" w:line="432" w:lineRule="auto"/>
        <w:ind w:left="12" w:right="84" w:firstLine="506"/>
        <w:rPr>
          <w:rFonts w:ascii="宋体" w:hAnsi="宋体" w:cs="宋体"/>
          <w:color w:val="auto"/>
          <w:sz w:val="24"/>
          <w:szCs w:val="24"/>
        </w:rPr>
      </w:pPr>
      <w:r>
        <w:rPr>
          <w:rFonts w:hint="eastAsia" w:ascii="宋体" w:hAnsi="宋体" w:cs="宋体"/>
          <w:color w:val="auto"/>
          <w:spacing w:val="-4"/>
          <w:sz w:val="24"/>
          <w:szCs w:val="24"/>
        </w:rPr>
        <w:t>以上企业，不属于大企业的分支机构，不存在控股股东为大企业的情形，也不存在与</w:t>
      </w:r>
      <w:r>
        <w:rPr>
          <w:rFonts w:hint="eastAsia" w:ascii="宋体" w:hAnsi="宋体" w:cs="宋体"/>
          <w:color w:val="auto"/>
          <w:spacing w:val="-1"/>
          <w:sz w:val="24"/>
          <w:szCs w:val="24"/>
        </w:rPr>
        <w:t>大企业的负责人为同一人的情形。</w:t>
      </w:r>
    </w:p>
    <w:p w14:paraId="39BA2D3E">
      <w:pPr>
        <w:spacing w:before="51" w:line="218" w:lineRule="auto"/>
        <w:ind w:left="492"/>
        <w:rPr>
          <w:color w:val="auto"/>
          <w:sz w:val="24"/>
        </w:rPr>
      </w:pPr>
      <w:r>
        <w:rPr>
          <w:rFonts w:hint="eastAsia" w:ascii="宋体" w:hAnsi="宋体" w:cs="宋体"/>
          <w:color w:val="auto"/>
          <w:sz w:val="24"/>
          <w:szCs w:val="24"/>
        </w:rPr>
        <w:t>本企业对上述声明内容的真实性负责。如有虚</w:t>
      </w:r>
      <w:r>
        <w:rPr>
          <w:rFonts w:hint="eastAsia" w:ascii="宋体" w:hAnsi="宋体" w:cs="宋体"/>
          <w:color w:val="auto"/>
          <w:spacing w:val="-1"/>
          <w:sz w:val="24"/>
          <w:szCs w:val="24"/>
        </w:rPr>
        <w:t>假，将依法承担相应责任。</w:t>
      </w:r>
    </w:p>
    <w:p w14:paraId="67B53255">
      <w:pPr>
        <w:tabs>
          <w:tab w:val="left" w:pos="9354"/>
        </w:tabs>
        <w:adjustRightInd w:val="0"/>
        <w:snapToGrid w:val="0"/>
        <w:spacing w:beforeLines="50" w:line="300" w:lineRule="auto"/>
        <w:ind w:firstLine="480" w:firstLineChars="200"/>
        <w:rPr>
          <w:color w:val="auto"/>
          <w:sz w:val="24"/>
        </w:rPr>
      </w:pPr>
    </w:p>
    <w:p w14:paraId="390104EE">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bookmarkStart w:id="66" w:name="OLE_LINK88"/>
      <w:bookmarkStart w:id="67" w:name="OLE_LINK87"/>
      <w:r>
        <w:rPr>
          <w:rFonts w:hint="eastAsia" w:ascii="宋体" w:hAnsi="宋体" w:cs="楷体_GB2312"/>
          <w:color w:val="auto"/>
          <w:sz w:val="24"/>
          <w:lang w:val="zh-CN"/>
        </w:rPr>
        <w:t>法定代表人（经营者）（签字或盖章）：</w:t>
      </w:r>
    </w:p>
    <w:p w14:paraId="5E6E0842">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bookmarkEnd w:id="66"/>
    <w:bookmarkEnd w:id="67"/>
    <w:p w14:paraId="6EE58434">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7C5B2970">
      <w:pPr>
        <w:spacing w:before="79" w:line="417" w:lineRule="auto"/>
        <w:ind w:left="11" w:right="85" w:firstLine="476"/>
        <w:rPr>
          <w:rFonts w:ascii="宋体" w:hAnsi="宋体" w:cs="宋体"/>
          <w:color w:val="auto"/>
          <w:spacing w:val="-3"/>
          <w:sz w:val="24"/>
          <w:szCs w:val="24"/>
        </w:rPr>
      </w:pPr>
    </w:p>
    <w:p w14:paraId="027DBBAC">
      <w:pPr>
        <w:spacing w:before="79" w:line="415" w:lineRule="auto"/>
        <w:ind w:left="13" w:right="84" w:firstLine="479"/>
        <w:rPr>
          <w:rFonts w:ascii="宋体" w:hAnsi="宋体" w:cs="宋体"/>
          <w:color w:val="auto"/>
          <w:sz w:val="24"/>
          <w:szCs w:val="24"/>
        </w:rPr>
      </w:pPr>
      <w:r>
        <w:rPr>
          <w:rFonts w:hint="eastAsia" w:ascii="宋体" w:hAnsi="宋体" w:cs="宋体"/>
          <w:color w:val="auto"/>
          <w:spacing w:val="-3"/>
          <w:sz w:val="24"/>
          <w:szCs w:val="24"/>
        </w:rPr>
        <w:t>备注：从业人员、营业收入、资产总额填报上一年度数据，无上一年度数据的新成立</w:t>
      </w:r>
      <w:r>
        <w:rPr>
          <w:rFonts w:hint="eastAsia" w:ascii="宋体" w:hAnsi="宋体" w:cs="宋体"/>
          <w:color w:val="auto"/>
          <w:spacing w:val="-2"/>
          <w:sz w:val="24"/>
          <w:szCs w:val="24"/>
        </w:rPr>
        <w:t>企业可不填报。</w:t>
      </w:r>
    </w:p>
    <w:p w14:paraId="6D71990D">
      <w:pPr>
        <w:spacing w:line="240" w:lineRule="auto"/>
        <w:ind w:firstLine="600" w:firstLineChars="200"/>
        <w:jc w:val="left"/>
        <w:rPr>
          <w:rFonts w:eastAsia="方正黑体简体"/>
          <w:b/>
          <w:color w:val="auto"/>
          <w:sz w:val="30"/>
          <w:szCs w:val="30"/>
        </w:rPr>
      </w:pPr>
      <w:r>
        <w:rPr>
          <w:rFonts w:eastAsia="方正黑体简体"/>
          <w:b/>
          <w:color w:val="auto"/>
          <w:sz w:val="30"/>
          <w:szCs w:val="30"/>
        </w:rPr>
        <w:br w:type="page"/>
      </w:r>
    </w:p>
    <w:p w14:paraId="0E24800E">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11.残疾人福利性单位声明函</w:t>
      </w:r>
      <w:r>
        <w:rPr>
          <w:rFonts w:hint="eastAsia" w:asciiTheme="minorEastAsia" w:hAnsiTheme="minorEastAsia" w:eastAsiaTheme="minorEastAsia" w:cstheme="minorEastAsia"/>
          <w:b/>
          <w:color w:val="auto"/>
          <w:spacing w:val="60"/>
          <w:sz w:val="20"/>
        </w:rPr>
        <w:t>（如符合条件时填写）</w:t>
      </w:r>
    </w:p>
    <w:p w14:paraId="00A0990B">
      <w:pPr>
        <w:spacing w:before="78" w:line="451" w:lineRule="auto"/>
        <w:ind w:right="9" w:firstLine="505"/>
        <w:rPr>
          <w:rFonts w:ascii="宋体" w:hAnsi="宋体" w:cs="宋体"/>
          <w:color w:val="auto"/>
          <w:spacing w:val="9"/>
          <w:sz w:val="24"/>
          <w:szCs w:val="24"/>
        </w:rPr>
      </w:pPr>
    </w:p>
    <w:p w14:paraId="0BABDB7E">
      <w:pPr>
        <w:spacing w:before="78" w:line="451" w:lineRule="auto"/>
        <w:ind w:right="9" w:firstLine="505"/>
        <w:rPr>
          <w:rFonts w:ascii="宋体" w:hAnsi="宋体" w:cs="宋体"/>
          <w:color w:val="auto"/>
          <w:sz w:val="24"/>
          <w:szCs w:val="24"/>
        </w:rPr>
      </w:pPr>
      <w:r>
        <w:rPr>
          <w:rFonts w:hint="eastAsia" w:ascii="宋体" w:hAnsi="宋体" w:cs="宋体"/>
          <w:color w:val="auto"/>
          <w:spacing w:val="9"/>
          <w:sz w:val="24"/>
          <w:szCs w:val="24"/>
        </w:rPr>
        <w:t>本单位郑重声明，根据《财政部民政部中国残疾人联合会关于促进残疾人就业</w:t>
      </w:r>
      <w:r>
        <w:rPr>
          <w:rFonts w:hint="eastAsia" w:ascii="宋体" w:hAnsi="宋体" w:cs="宋体"/>
          <w:color w:val="auto"/>
          <w:spacing w:val="6"/>
          <w:sz w:val="24"/>
          <w:szCs w:val="24"/>
        </w:rPr>
        <w:t>政府采购政策的通知》（财库〔2017〕141号）的规定，本单位为符合条件的残疾人福</w:t>
      </w:r>
      <w:r>
        <w:rPr>
          <w:rFonts w:hint="eastAsia" w:ascii="宋体" w:hAnsi="宋体" w:cs="宋体"/>
          <w:color w:val="auto"/>
          <w:spacing w:val="4"/>
          <w:sz w:val="24"/>
          <w:szCs w:val="24"/>
        </w:rPr>
        <w:t>利性单位，且本单位参加______单位的______项目</w:t>
      </w:r>
      <w:r>
        <w:rPr>
          <w:rFonts w:hint="eastAsia" w:ascii="宋体" w:hAnsi="宋体" w:cs="宋体"/>
          <w:color w:val="auto"/>
          <w:spacing w:val="3"/>
          <w:sz w:val="24"/>
          <w:szCs w:val="24"/>
        </w:rPr>
        <w:t>采购活动提供本单位制造的货物（由</w:t>
      </w:r>
      <w:r>
        <w:rPr>
          <w:rFonts w:hint="eastAsia" w:ascii="宋体" w:hAnsi="宋体" w:cs="宋体"/>
          <w:color w:val="auto"/>
          <w:spacing w:val="10"/>
          <w:sz w:val="24"/>
          <w:szCs w:val="24"/>
        </w:rPr>
        <w:t>本单位承担工程/提供服务</w:t>
      </w:r>
      <w:r>
        <w:rPr>
          <w:rFonts w:hint="eastAsia" w:ascii="宋体" w:hAnsi="宋体" w:cs="宋体"/>
          <w:color w:val="auto"/>
          <w:spacing w:val="-7"/>
          <w:sz w:val="24"/>
          <w:szCs w:val="24"/>
        </w:rPr>
        <w:t>），</w:t>
      </w:r>
      <w:r>
        <w:rPr>
          <w:rFonts w:hint="eastAsia" w:ascii="宋体" w:hAnsi="宋体" w:cs="宋体"/>
          <w:color w:val="auto"/>
          <w:spacing w:val="10"/>
          <w:sz w:val="24"/>
          <w:szCs w:val="24"/>
        </w:rPr>
        <w:t>或者提供其他残疾人</w:t>
      </w:r>
      <w:r>
        <w:rPr>
          <w:rFonts w:hint="eastAsia" w:ascii="宋体" w:hAnsi="宋体" w:cs="宋体"/>
          <w:color w:val="auto"/>
          <w:spacing w:val="9"/>
          <w:sz w:val="24"/>
          <w:szCs w:val="24"/>
        </w:rPr>
        <w:t>福利性单位制造的货物（不包括使</w:t>
      </w:r>
      <w:r>
        <w:rPr>
          <w:rFonts w:hint="eastAsia" w:ascii="宋体" w:hAnsi="宋体" w:cs="宋体"/>
          <w:color w:val="auto"/>
          <w:spacing w:val="10"/>
          <w:sz w:val="24"/>
          <w:szCs w:val="24"/>
        </w:rPr>
        <w:t>用非残疾人福利性单位注册商标的货物）。</w:t>
      </w:r>
    </w:p>
    <w:p w14:paraId="3BD6AFAF">
      <w:pPr>
        <w:spacing w:line="216" w:lineRule="auto"/>
        <w:ind w:left="506"/>
        <w:rPr>
          <w:rFonts w:ascii="宋体" w:hAnsi="宋体" w:cs="宋体"/>
          <w:color w:val="auto"/>
          <w:sz w:val="24"/>
          <w:szCs w:val="24"/>
        </w:rPr>
      </w:pPr>
      <w:r>
        <w:rPr>
          <w:rFonts w:hint="eastAsia" w:ascii="宋体" w:hAnsi="宋体" w:cs="宋体"/>
          <w:color w:val="auto"/>
          <w:spacing w:val="11"/>
          <w:sz w:val="24"/>
          <w:szCs w:val="24"/>
        </w:rPr>
        <w:t>本单位对上述声明的真实性负责。如有虚假，将依法承</w:t>
      </w:r>
      <w:r>
        <w:rPr>
          <w:rFonts w:hint="eastAsia" w:ascii="宋体" w:hAnsi="宋体" w:cs="宋体"/>
          <w:color w:val="auto"/>
          <w:spacing w:val="10"/>
          <w:sz w:val="24"/>
          <w:szCs w:val="24"/>
        </w:rPr>
        <w:t>担相应责任。</w:t>
      </w:r>
    </w:p>
    <w:p w14:paraId="35AFC03E">
      <w:pPr>
        <w:widowControl w:val="0"/>
        <w:snapToGrid w:val="0"/>
        <w:spacing w:line="360" w:lineRule="auto"/>
        <w:textAlignment w:val="top"/>
        <w:rPr>
          <w:rFonts w:ascii="宋体" w:hAnsi="宋体"/>
          <w:color w:val="auto"/>
          <w:sz w:val="24"/>
        </w:rPr>
      </w:pPr>
    </w:p>
    <w:p w14:paraId="7422401E">
      <w:pPr>
        <w:widowControl w:val="0"/>
        <w:tabs>
          <w:tab w:val="left" w:pos="9365"/>
        </w:tabs>
        <w:snapToGrid w:val="0"/>
        <w:spacing w:beforeLines="50"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法定代表人（经营者）（签字或盖章）：</w:t>
      </w:r>
    </w:p>
    <w:p w14:paraId="7F009D77">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供应商（加盖单位公章）：</w:t>
      </w:r>
    </w:p>
    <w:p w14:paraId="27D22172">
      <w:pPr>
        <w:widowControl w:val="0"/>
        <w:tabs>
          <w:tab w:val="left" w:pos="9365"/>
        </w:tabs>
        <w:snapToGrid w:val="0"/>
        <w:spacing w:after="56" w:line="360" w:lineRule="auto"/>
        <w:ind w:right="85" w:firstLine="480" w:firstLineChars="200"/>
        <w:jc w:val="left"/>
        <w:textAlignment w:val="top"/>
        <w:rPr>
          <w:rFonts w:ascii="宋体" w:hAnsi="宋体" w:cs="楷体_GB2312"/>
          <w:color w:val="auto"/>
          <w:sz w:val="24"/>
          <w:lang w:val="zh-CN"/>
        </w:rPr>
      </w:pPr>
      <w:r>
        <w:rPr>
          <w:rFonts w:hint="eastAsia" w:ascii="宋体" w:hAnsi="宋体" w:cs="楷体_GB2312"/>
          <w:color w:val="auto"/>
          <w:sz w:val="24"/>
          <w:lang w:val="zh-CN"/>
        </w:rPr>
        <w:t>日期：</w:t>
      </w:r>
    </w:p>
    <w:p w14:paraId="6793DA1B">
      <w:pPr>
        <w:snapToGrid w:val="0"/>
        <w:spacing w:line="560" w:lineRule="exact"/>
        <w:ind w:firstLine="480" w:firstLineChars="200"/>
        <w:rPr>
          <w:rFonts w:ascii="宋体"/>
          <w:color w:val="auto"/>
          <w:sz w:val="24"/>
        </w:rPr>
      </w:pPr>
    </w:p>
    <w:p w14:paraId="7E4F4933">
      <w:pPr>
        <w:spacing w:before="65" w:line="386" w:lineRule="auto"/>
        <w:ind w:left="5" w:firstLine="443"/>
        <w:rPr>
          <w:rFonts w:ascii="宋体" w:hAnsi="宋体" w:cs="宋体"/>
          <w:color w:val="auto"/>
          <w:szCs w:val="21"/>
        </w:rPr>
      </w:pPr>
      <w:r>
        <w:rPr>
          <w:rFonts w:hint="eastAsia" w:ascii="宋体" w:hAnsi="宋体" w:cs="宋体"/>
          <w:color w:val="auto"/>
          <w:spacing w:val="9"/>
          <w:szCs w:val="21"/>
        </w:rPr>
        <w:t>注：1、按政策规定：符合条件的残疾人福利性单位视同小型、微型企业。残疾人福利性单位属于</w:t>
      </w:r>
      <w:r>
        <w:rPr>
          <w:rFonts w:hint="eastAsia" w:ascii="宋体" w:hAnsi="宋体" w:cs="宋体"/>
          <w:color w:val="auto"/>
          <w:spacing w:val="8"/>
          <w:szCs w:val="21"/>
        </w:rPr>
        <w:t>小型、微型企业的，不重复享受政策。</w:t>
      </w:r>
    </w:p>
    <w:p w14:paraId="56CE3996">
      <w:pPr>
        <w:spacing w:line="343" w:lineRule="auto"/>
        <w:ind w:firstLine="451"/>
        <w:rPr>
          <w:rFonts w:ascii="宋体" w:hAnsi="宋体" w:cs="宋体"/>
          <w:color w:val="auto"/>
          <w:szCs w:val="21"/>
        </w:rPr>
      </w:pPr>
      <w:r>
        <w:rPr>
          <w:rFonts w:hint="eastAsia" w:ascii="宋体" w:hAnsi="宋体" w:cs="宋体"/>
          <w:color w:val="auto"/>
          <w:spacing w:val="-15"/>
          <w:szCs w:val="21"/>
        </w:rPr>
        <w:t>2、</w:t>
      </w:r>
      <w:r>
        <w:rPr>
          <w:rFonts w:hint="eastAsia" w:ascii="宋体" w:hAnsi="宋体" w:cs="宋体"/>
          <w:b/>
          <w:bCs/>
          <w:color w:val="auto"/>
          <w:spacing w:val="9"/>
          <w:position w:val="10"/>
          <w:szCs w:val="21"/>
        </w:rPr>
        <w:t>*</w:t>
      </w:r>
      <w:r>
        <w:rPr>
          <w:rFonts w:hint="eastAsia" w:ascii="宋体" w:hAnsi="宋体" w:cs="宋体"/>
          <w:color w:val="auto"/>
          <w:spacing w:val="9"/>
          <w:szCs w:val="21"/>
        </w:rPr>
        <w:t>本格式由符合促进残疾人就业政府采购政策条件的残疾人福利性单位填</w:t>
      </w:r>
      <w:r>
        <w:rPr>
          <w:rFonts w:hint="eastAsia" w:ascii="宋体" w:hAnsi="宋体" w:cs="宋体"/>
          <w:color w:val="auto"/>
          <w:spacing w:val="8"/>
          <w:szCs w:val="21"/>
        </w:rPr>
        <w:t>写，非残疾人福利性单位无需填写。本项目（专门面向中小企业采购）中，残疾人</w:t>
      </w:r>
      <w:r>
        <w:rPr>
          <w:rFonts w:hint="eastAsia" w:ascii="宋体" w:hAnsi="宋体" w:cs="宋体"/>
          <w:color w:val="auto"/>
          <w:spacing w:val="7"/>
          <w:szCs w:val="21"/>
        </w:rPr>
        <w:t>福利性单位属于中型企业、小型、微型企业</w:t>
      </w:r>
      <w:r>
        <w:rPr>
          <w:rFonts w:hint="eastAsia" w:ascii="宋体" w:hAnsi="宋体" w:cs="宋体"/>
          <w:color w:val="auto"/>
          <w:spacing w:val="8"/>
          <w:szCs w:val="21"/>
        </w:rPr>
        <w:t>的，可只填写“中小企业声明函”，不再填写“残</w:t>
      </w:r>
      <w:r>
        <w:rPr>
          <w:rFonts w:hint="eastAsia" w:ascii="宋体" w:hAnsi="宋体" w:cs="宋体"/>
          <w:color w:val="auto"/>
          <w:spacing w:val="7"/>
          <w:szCs w:val="21"/>
        </w:rPr>
        <w:t>疾人福利性单位声明函”。</w:t>
      </w:r>
    </w:p>
    <w:p w14:paraId="64B2CA51">
      <w:pPr>
        <w:spacing w:before="181" w:line="309" w:lineRule="auto"/>
        <w:ind w:left="1" w:right="10" w:firstLine="451"/>
        <w:rPr>
          <w:rFonts w:ascii="宋体" w:hAnsi="宋体" w:cs="宋体"/>
          <w:color w:val="auto"/>
          <w:szCs w:val="21"/>
        </w:rPr>
      </w:pPr>
      <w:r>
        <w:rPr>
          <w:rFonts w:hint="eastAsia" w:ascii="宋体" w:hAnsi="宋体" w:cs="宋体"/>
          <w:color w:val="auto"/>
          <w:spacing w:val="7"/>
          <w:szCs w:val="21"/>
        </w:rPr>
        <w:t>3、残疾人福利性单位填写“残疾人福利性单位声明函”后，仍需同时</w:t>
      </w:r>
      <w:r>
        <w:rPr>
          <w:rFonts w:hint="eastAsia" w:ascii="宋体" w:hAnsi="宋体" w:cs="宋体"/>
          <w:color w:val="auto"/>
          <w:spacing w:val="6"/>
          <w:szCs w:val="21"/>
        </w:rPr>
        <w:t>填写“中小企业声明函”、</w:t>
      </w:r>
      <w:r>
        <w:rPr>
          <w:rFonts w:hint="eastAsia" w:ascii="宋体" w:hAnsi="宋体" w:cs="宋体"/>
          <w:color w:val="auto"/>
          <w:spacing w:val="8"/>
          <w:szCs w:val="21"/>
        </w:rPr>
        <w:t>可在“中小企业声明函”注明“属于符合条件的残疾人福利性单位、视同小型、微型企业”。</w:t>
      </w:r>
    </w:p>
    <w:p w14:paraId="0330A271">
      <w:pPr>
        <w:snapToGrid w:val="0"/>
        <w:spacing w:line="560" w:lineRule="exact"/>
        <w:ind w:firstLine="480" w:firstLineChars="200"/>
        <w:rPr>
          <w:rFonts w:ascii="宋体"/>
          <w:color w:val="auto"/>
          <w:sz w:val="24"/>
        </w:rPr>
      </w:pPr>
    </w:p>
    <w:p w14:paraId="7F6BE2BF">
      <w:pPr>
        <w:snapToGrid w:val="0"/>
        <w:spacing w:line="560" w:lineRule="atLeast"/>
        <w:ind w:firstLine="480" w:firstLineChars="200"/>
        <w:rPr>
          <w:rFonts w:ascii="宋体"/>
          <w:color w:val="auto"/>
          <w:sz w:val="24"/>
          <w:szCs w:val="24"/>
        </w:rPr>
      </w:pPr>
      <w:r>
        <w:rPr>
          <w:rFonts w:hint="eastAsia" w:ascii="宋体"/>
          <w:color w:val="auto"/>
          <w:sz w:val="24"/>
          <w:szCs w:val="24"/>
        </w:rPr>
        <w:br w:type="page"/>
      </w:r>
    </w:p>
    <w:p w14:paraId="1435E0CE">
      <w:pPr>
        <w:spacing w:line="351" w:lineRule="atLeast"/>
        <w:ind w:left="419" w:firstLine="883" w:firstLineChars="200"/>
        <w:jc w:val="center"/>
        <w:rPr>
          <w:rFonts w:asciiTheme="minorEastAsia" w:hAnsiTheme="minorEastAsia" w:eastAsiaTheme="minorEastAsia" w:cstheme="minorEastAsia"/>
          <w:b/>
          <w:color w:val="auto"/>
          <w:spacing w:val="60"/>
          <w:sz w:val="32"/>
          <w:szCs w:val="32"/>
        </w:rPr>
      </w:pPr>
      <w:r>
        <w:rPr>
          <w:rFonts w:hint="eastAsia" w:asciiTheme="minorEastAsia" w:hAnsiTheme="minorEastAsia" w:eastAsiaTheme="minorEastAsia" w:cstheme="minorEastAsia"/>
          <w:b/>
          <w:color w:val="auto"/>
          <w:spacing w:val="60"/>
          <w:sz w:val="32"/>
          <w:szCs w:val="32"/>
        </w:rPr>
        <w:t>12.其他证明材料</w:t>
      </w:r>
      <w:r>
        <w:rPr>
          <w:rFonts w:hint="eastAsia" w:ascii="宋体" w:hAnsi="宋体" w:cs="宋体"/>
          <w:color w:val="auto"/>
          <w:sz w:val="24"/>
          <w:szCs w:val="24"/>
        </w:rPr>
        <w:t>（如需要）</w:t>
      </w:r>
    </w:p>
    <w:p w14:paraId="1970A9F6">
      <w:pPr>
        <w:widowControl w:val="0"/>
        <w:snapToGrid w:val="0"/>
        <w:spacing w:line="560" w:lineRule="exact"/>
        <w:ind w:firstLine="480" w:firstLineChars="200"/>
        <w:rPr>
          <w:rFonts w:ascii="宋体"/>
          <w:color w:val="auto"/>
          <w:sz w:val="24"/>
          <w:szCs w:val="24"/>
        </w:rPr>
      </w:pPr>
      <w:r>
        <w:rPr>
          <w:rFonts w:hint="eastAsia" w:ascii="宋体" w:hAnsi="宋体"/>
          <w:color w:val="auto"/>
          <w:sz w:val="24"/>
          <w:szCs w:val="24"/>
        </w:rPr>
        <w:t>按采购文件要求提供的其他证明材料或供应商认为有必要提供的其他证明材料，加盖</w:t>
      </w:r>
      <w:r>
        <w:rPr>
          <w:rFonts w:hint="eastAsia" w:ascii="宋体" w:hAnsi="宋体"/>
          <w:color w:val="auto"/>
          <w:sz w:val="24"/>
          <w:szCs w:val="24"/>
          <w:lang w:val="en-US" w:eastAsia="zh-CN"/>
        </w:rPr>
        <w:t>单位公章</w:t>
      </w:r>
      <w:r>
        <w:rPr>
          <w:rFonts w:hint="eastAsia" w:ascii="宋体" w:hAnsi="宋体"/>
          <w:color w:val="auto"/>
          <w:sz w:val="24"/>
          <w:szCs w:val="24"/>
        </w:rPr>
        <w:t>。</w:t>
      </w:r>
    </w:p>
    <w:p w14:paraId="442DA5D2">
      <w:pPr>
        <w:widowControl w:val="0"/>
        <w:snapToGrid w:val="0"/>
        <w:spacing w:line="560" w:lineRule="exact"/>
        <w:ind w:firstLine="555"/>
        <w:rPr>
          <w:rFonts w:ascii="宋体"/>
          <w:color w:val="auto"/>
          <w:sz w:val="24"/>
          <w:szCs w:val="24"/>
        </w:rPr>
      </w:pPr>
    </w:p>
    <w:p w14:paraId="5790F787">
      <w:pPr>
        <w:autoSpaceDE w:val="0"/>
        <w:autoSpaceDN w:val="0"/>
        <w:adjustRightInd w:val="0"/>
        <w:spacing w:line="360" w:lineRule="auto"/>
        <w:jc w:val="center"/>
        <w:rPr>
          <w:rFonts w:eastAsia="方正黑体简体"/>
          <w:b/>
          <w:color w:val="auto"/>
          <w:sz w:val="30"/>
          <w:szCs w:val="30"/>
        </w:rPr>
      </w:pPr>
    </w:p>
    <w:p w14:paraId="7A9BAF92">
      <w:pPr>
        <w:widowControl w:val="0"/>
        <w:tabs>
          <w:tab w:val="left" w:pos="9365"/>
        </w:tabs>
        <w:snapToGrid w:val="0"/>
        <w:spacing w:after="56" w:line="560" w:lineRule="exact"/>
        <w:ind w:right="85" w:firstLine="420" w:firstLineChars="200"/>
        <w:jc w:val="center"/>
        <w:textAlignment w:val="top"/>
        <w:rPr>
          <w:color w:val="auto"/>
        </w:rPr>
      </w:pPr>
    </w:p>
    <w:p w14:paraId="787E8185">
      <w:pPr>
        <w:spacing w:line="351" w:lineRule="atLeast"/>
        <w:jc w:val="left"/>
        <w:rPr>
          <w:rFonts w:ascii="黑体" w:eastAsia="黑体"/>
          <w:b/>
          <w:color w:val="auto"/>
          <w:spacing w:val="60"/>
          <w:sz w:val="36"/>
          <w:szCs w:val="36"/>
        </w:rPr>
      </w:pPr>
    </w:p>
    <w:p w14:paraId="7C2E8FBC">
      <w:pPr>
        <w:spacing w:line="351" w:lineRule="atLeast"/>
        <w:ind w:left="419"/>
        <w:jc w:val="center"/>
        <w:rPr>
          <w:rFonts w:ascii="黑体" w:eastAsia="黑体"/>
          <w:b/>
          <w:color w:val="auto"/>
          <w:spacing w:val="60"/>
          <w:sz w:val="36"/>
          <w:szCs w:val="36"/>
        </w:rPr>
      </w:pPr>
    </w:p>
    <w:bookmarkEnd w:id="64"/>
    <w:bookmarkEnd w:id="65"/>
    <w:p w14:paraId="4A2E851C">
      <w:pPr>
        <w:spacing w:line="351" w:lineRule="atLeast"/>
        <w:ind w:left="419"/>
        <w:jc w:val="center"/>
        <w:rPr>
          <w:rFonts w:ascii="黑体" w:eastAsia="黑体"/>
          <w:b/>
          <w:color w:val="auto"/>
          <w:spacing w:val="60"/>
          <w:sz w:val="36"/>
          <w:szCs w:val="36"/>
        </w:rPr>
      </w:pPr>
    </w:p>
    <w:sectPr>
      <w:footerReference r:id="rId7" w:type="default"/>
      <w:pgSz w:w="11905" w:h="16837"/>
      <w:pgMar w:top="1091" w:right="1106" w:bottom="993" w:left="1418" w:header="567" w:footer="567" w:gutter="0"/>
      <w:pgNumType w:fmt="numberInDash"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黑体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8F4DA">
    <w:pPr>
      <w:widowControl w:val="0"/>
      <w:snapToGrid w:val="0"/>
      <w:spacing w:line="240" w:lineRule="atLeast"/>
      <w:ind w:right="21"/>
      <w:jc w:val="left"/>
      <w:rPr>
        <w:rFonts w:ascii="宋体"/>
        <w:szCs w:val="21"/>
        <w:u w:val="single"/>
      </w:rPr>
    </w:pPr>
    <w:r>
      <w:pict>
        <v:shape id="_x0000_s2049" o:spid="_x0000_s2049" o:spt="202" type="#_x0000_t202" style="position:absolute;left:0pt;margin-left:70.85pt;margin-top:799.35pt;height:14.15pt;width:453.5pt;mso-position-horizontal-relative:page;mso-position-vertical-relative:page;z-index:-251657216;mso-width-relative:page;mso-height-relative:page;" filled="f" stroked="f" coordsize="21600,21600" o:allowincell="f" o:gfxdata="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0ne5yNkAAAAOAQAADwAAAAAAAAABACAAAAAiAAAAZHJzL2Rvd25yZXYueG1s&#10;UEsBAhQAFAAAAAgAh07iQNvZ2WP3AQAA+QMAAA4AAAAAAAAAAQAgAAAAKAEAAGRycy9lMm9Eb2Mu&#10;eG1sUEsFBgAAAAAGAAYAWQEAAJEFAAAAAA==&#10;">
          <v:path/>
          <v:fill on="f" focussize="0,0"/>
          <v:stroke on="f" joinstyle="miter"/>
          <v:imagedata o:title=""/>
          <o:lock v:ext="edit"/>
          <v:textbox inset="0mm,0mm,0mm,0mm"/>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506F6">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79BC9">
    <w:pPr>
      <w:spacing w:before="1" w:line="233" w:lineRule="auto"/>
      <w:ind w:left="8260"/>
      <w:rPr>
        <w:rFonts w:ascii="宋体" w:hAnsi="宋体" w:cs="宋体"/>
        <w:sz w:val="26"/>
        <w:szCs w:val="26"/>
      </w:rPr>
    </w:pPr>
    <w:r>
      <w:rPr>
        <w:sz w:val="26"/>
      </w:rPr>
      <w:pict>
        <v:shape id="_x0000_s2052" o:spid="_x0000_s205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7CA146C">
                <w:pPr>
                  <w:pStyle w:val="12"/>
                </w:pPr>
                <w:r>
                  <w:fldChar w:fldCharType="begin"/>
                </w:r>
                <w:r>
                  <w:instrText xml:space="preserve"> PAGE  \* MERGEFORMAT </w:instrText>
                </w:r>
                <w:r>
                  <w:fldChar w:fldCharType="separate"/>
                </w:r>
                <w:r>
                  <w:t>- 1 -</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2"/>
  </w:compat>
  <w:rsids>
    <w:rsidRoot w:val="00172A27"/>
    <w:rsid w:val="00001D7A"/>
    <w:rsid w:val="00004B3A"/>
    <w:rsid w:val="0000701E"/>
    <w:rsid w:val="00007E7D"/>
    <w:rsid w:val="0001069F"/>
    <w:rsid w:val="00010F9F"/>
    <w:rsid w:val="00013814"/>
    <w:rsid w:val="00013DB2"/>
    <w:rsid w:val="00017E1E"/>
    <w:rsid w:val="00023676"/>
    <w:rsid w:val="00024608"/>
    <w:rsid w:val="00025F1E"/>
    <w:rsid w:val="0002701F"/>
    <w:rsid w:val="0002739B"/>
    <w:rsid w:val="00031D8D"/>
    <w:rsid w:val="0003351F"/>
    <w:rsid w:val="000339BC"/>
    <w:rsid w:val="00033BB5"/>
    <w:rsid w:val="00035118"/>
    <w:rsid w:val="0003567F"/>
    <w:rsid w:val="00035BA8"/>
    <w:rsid w:val="00036AA4"/>
    <w:rsid w:val="00040BE7"/>
    <w:rsid w:val="00041891"/>
    <w:rsid w:val="00042CA8"/>
    <w:rsid w:val="00043821"/>
    <w:rsid w:val="00043CBA"/>
    <w:rsid w:val="00044F84"/>
    <w:rsid w:val="000455C2"/>
    <w:rsid w:val="00046A4B"/>
    <w:rsid w:val="00047424"/>
    <w:rsid w:val="000503B1"/>
    <w:rsid w:val="00054E34"/>
    <w:rsid w:val="00055755"/>
    <w:rsid w:val="0005613B"/>
    <w:rsid w:val="00057F78"/>
    <w:rsid w:val="000602CF"/>
    <w:rsid w:val="0006134B"/>
    <w:rsid w:val="00062821"/>
    <w:rsid w:val="00067307"/>
    <w:rsid w:val="00070FA8"/>
    <w:rsid w:val="0007259B"/>
    <w:rsid w:val="00072834"/>
    <w:rsid w:val="0007390E"/>
    <w:rsid w:val="00073A45"/>
    <w:rsid w:val="00073DBF"/>
    <w:rsid w:val="00074766"/>
    <w:rsid w:val="00074BF6"/>
    <w:rsid w:val="00077629"/>
    <w:rsid w:val="00077EBC"/>
    <w:rsid w:val="00080AE9"/>
    <w:rsid w:val="00081366"/>
    <w:rsid w:val="00081801"/>
    <w:rsid w:val="00081C6C"/>
    <w:rsid w:val="000823AD"/>
    <w:rsid w:val="000829A8"/>
    <w:rsid w:val="00086B70"/>
    <w:rsid w:val="00086B8A"/>
    <w:rsid w:val="00090D6B"/>
    <w:rsid w:val="00090EB6"/>
    <w:rsid w:val="00091C5E"/>
    <w:rsid w:val="0009268E"/>
    <w:rsid w:val="00093A6B"/>
    <w:rsid w:val="000947B0"/>
    <w:rsid w:val="00095619"/>
    <w:rsid w:val="000956CE"/>
    <w:rsid w:val="00096B21"/>
    <w:rsid w:val="000A0178"/>
    <w:rsid w:val="000A152E"/>
    <w:rsid w:val="000A1C72"/>
    <w:rsid w:val="000A3DB4"/>
    <w:rsid w:val="000A3FE8"/>
    <w:rsid w:val="000A4640"/>
    <w:rsid w:val="000A55EE"/>
    <w:rsid w:val="000A6CD3"/>
    <w:rsid w:val="000B0EC6"/>
    <w:rsid w:val="000B1334"/>
    <w:rsid w:val="000B4758"/>
    <w:rsid w:val="000B5412"/>
    <w:rsid w:val="000B6571"/>
    <w:rsid w:val="000B7C35"/>
    <w:rsid w:val="000C0A1A"/>
    <w:rsid w:val="000C2342"/>
    <w:rsid w:val="000C2AA6"/>
    <w:rsid w:val="000C4BA5"/>
    <w:rsid w:val="000C540C"/>
    <w:rsid w:val="000D2631"/>
    <w:rsid w:val="000D33BB"/>
    <w:rsid w:val="000D4925"/>
    <w:rsid w:val="000D69FD"/>
    <w:rsid w:val="000D7DA8"/>
    <w:rsid w:val="000E02FC"/>
    <w:rsid w:val="000E54A0"/>
    <w:rsid w:val="000E6D5E"/>
    <w:rsid w:val="000F01A2"/>
    <w:rsid w:val="000F108C"/>
    <w:rsid w:val="000F1C87"/>
    <w:rsid w:val="000F3188"/>
    <w:rsid w:val="000F3D46"/>
    <w:rsid w:val="000F4146"/>
    <w:rsid w:val="000F685E"/>
    <w:rsid w:val="000F71A3"/>
    <w:rsid w:val="000F7341"/>
    <w:rsid w:val="000F75FC"/>
    <w:rsid w:val="000F7917"/>
    <w:rsid w:val="00101EAB"/>
    <w:rsid w:val="00104148"/>
    <w:rsid w:val="00107435"/>
    <w:rsid w:val="00110434"/>
    <w:rsid w:val="001118D4"/>
    <w:rsid w:val="001138CA"/>
    <w:rsid w:val="00115ACE"/>
    <w:rsid w:val="00115C32"/>
    <w:rsid w:val="001163D8"/>
    <w:rsid w:val="00117877"/>
    <w:rsid w:val="00123128"/>
    <w:rsid w:val="001234C9"/>
    <w:rsid w:val="001256E9"/>
    <w:rsid w:val="00126132"/>
    <w:rsid w:val="001263CF"/>
    <w:rsid w:val="00130BF9"/>
    <w:rsid w:val="00131B13"/>
    <w:rsid w:val="00131CCB"/>
    <w:rsid w:val="00132364"/>
    <w:rsid w:val="001330CF"/>
    <w:rsid w:val="001342A5"/>
    <w:rsid w:val="00135227"/>
    <w:rsid w:val="001378C9"/>
    <w:rsid w:val="001401E4"/>
    <w:rsid w:val="00140C38"/>
    <w:rsid w:val="00140FA1"/>
    <w:rsid w:val="001439BF"/>
    <w:rsid w:val="001443E8"/>
    <w:rsid w:val="00144E92"/>
    <w:rsid w:val="00151372"/>
    <w:rsid w:val="001532B2"/>
    <w:rsid w:val="001537D5"/>
    <w:rsid w:val="00153A06"/>
    <w:rsid w:val="001667B4"/>
    <w:rsid w:val="00166938"/>
    <w:rsid w:val="0016693E"/>
    <w:rsid w:val="001674C6"/>
    <w:rsid w:val="0016783C"/>
    <w:rsid w:val="001678FA"/>
    <w:rsid w:val="001708C3"/>
    <w:rsid w:val="00170AE1"/>
    <w:rsid w:val="00170E55"/>
    <w:rsid w:val="0017170F"/>
    <w:rsid w:val="001719D7"/>
    <w:rsid w:val="00172A27"/>
    <w:rsid w:val="00172A7E"/>
    <w:rsid w:val="0017374F"/>
    <w:rsid w:val="00175E3A"/>
    <w:rsid w:val="00182E28"/>
    <w:rsid w:val="00183C38"/>
    <w:rsid w:val="0018567C"/>
    <w:rsid w:val="0019139C"/>
    <w:rsid w:val="00194451"/>
    <w:rsid w:val="0019697C"/>
    <w:rsid w:val="001A1BB5"/>
    <w:rsid w:val="001A1D5B"/>
    <w:rsid w:val="001A48C6"/>
    <w:rsid w:val="001A6EC8"/>
    <w:rsid w:val="001A733E"/>
    <w:rsid w:val="001B2A9F"/>
    <w:rsid w:val="001B4914"/>
    <w:rsid w:val="001B5626"/>
    <w:rsid w:val="001B6072"/>
    <w:rsid w:val="001B7C99"/>
    <w:rsid w:val="001C050D"/>
    <w:rsid w:val="001C2D34"/>
    <w:rsid w:val="001C397C"/>
    <w:rsid w:val="001C528B"/>
    <w:rsid w:val="001C6505"/>
    <w:rsid w:val="001C715F"/>
    <w:rsid w:val="001D0DA4"/>
    <w:rsid w:val="001D14A1"/>
    <w:rsid w:val="001D17A7"/>
    <w:rsid w:val="001D22C4"/>
    <w:rsid w:val="001D2F63"/>
    <w:rsid w:val="001D3921"/>
    <w:rsid w:val="001D3B0B"/>
    <w:rsid w:val="001D4264"/>
    <w:rsid w:val="001D4345"/>
    <w:rsid w:val="001D6398"/>
    <w:rsid w:val="001E04F2"/>
    <w:rsid w:val="001E0A3F"/>
    <w:rsid w:val="001E1A46"/>
    <w:rsid w:val="001E1FAC"/>
    <w:rsid w:val="001E30AE"/>
    <w:rsid w:val="001E45BE"/>
    <w:rsid w:val="001E55A2"/>
    <w:rsid w:val="001E60A9"/>
    <w:rsid w:val="001F1D57"/>
    <w:rsid w:val="001F362A"/>
    <w:rsid w:val="001F4C70"/>
    <w:rsid w:val="001F6921"/>
    <w:rsid w:val="0020143A"/>
    <w:rsid w:val="00202CB3"/>
    <w:rsid w:val="002052BF"/>
    <w:rsid w:val="00205670"/>
    <w:rsid w:val="00205DC9"/>
    <w:rsid w:val="0020635B"/>
    <w:rsid w:val="002064E1"/>
    <w:rsid w:val="00210346"/>
    <w:rsid w:val="00212022"/>
    <w:rsid w:val="0021314C"/>
    <w:rsid w:val="002131F3"/>
    <w:rsid w:val="002146E7"/>
    <w:rsid w:val="00214DD7"/>
    <w:rsid w:val="00214F54"/>
    <w:rsid w:val="002155C5"/>
    <w:rsid w:val="002173FF"/>
    <w:rsid w:val="00221964"/>
    <w:rsid w:val="002228C6"/>
    <w:rsid w:val="002238AE"/>
    <w:rsid w:val="0023012A"/>
    <w:rsid w:val="00231508"/>
    <w:rsid w:val="00231D21"/>
    <w:rsid w:val="0023255F"/>
    <w:rsid w:val="002338C7"/>
    <w:rsid w:val="002341A2"/>
    <w:rsid w:val="00237A15"/>
    <w:rsid w:val="00240733"/>
    <w:rsid w:val="00241D3A"/>
    <w:rsid w:val="0024269B"/>
    <w:rsid w:val="002439E7"/>
    <w:rsid w:val="00244532"/>
    <w:rsid w:val="0024502A"/>
    <w:rsid w:val="0024541C"/>
    <w:rsid w:val="00247523"/>
    <w:rsid w:val="00247993"/>
    <w:rsid w:val="002502C0"/>
    <w:rsid w:val="002511FE"/>
    <w:rsid w:val="00252728"/>
    <w:rsid w:val="00254F6E"/>
    <w:rsid w:val="002574D7"/>
    <w:rsid w:val="00257B22"/>
    <w:rsid w:val="002602F6"/>
    <w:rsid w:val="00262D1F"/>
    <w:rsid w:val="00264999"/>
    <w:rsid w:val="002665E4"/>
    <w:rsid w:val="002673AF"/>
    <w:rsid w:val="0027067C"/>
    <w:rsid w:val="00270FE1"/>
    <w:rsid w:val="00271ABB"/>
    <w:rsid w:val="00271FF5"/>
    <w:rsid w:val="00272B6B"/>
    <w:rsid w:val="00272DEC"/>
    <w:rsid w:val="00275945"/>
    <w:rsid w:val="002759A2"/>
    <w:rsid w:val="00276204"/>
    <w:rsid w:val="00280E45"/>
    <w:rsid w:val="002810F8"/>
    <w:rsid w:val="002816C2"/>
    <w:rsid w:val="0028181D"/>
    <w:rsid w:val="00281F3D"/>
    <w:rsid w:val="0028291D"/>
    <w:rsid w:val="00282F17"/>
    <w:rsid w:val="00290D50"/>
    <w:rsid w:val="0029442F"/>
    <w:rsid w:val="00294947"/>
    <w:rsid w:val="0029595B"/>
    <w:rsid w:val="00295A34"/>
    <w:rsid w:val="00296501"/>
    <w:rsid w:val="002968C0"/>
    <w:rsid w:val="002975BF"/>
    <w:rsid w:val="00297673"/>
    <w:rsid w:val="00297CC6"/>
    <w:rsid w:val="002A0696"/>
    <w:rsid w:val="002A250C"/>
    <w:rsid w:val="002A2B5C"/>
    <w:rsid w:val="002A37B8"/>
    <w:rsid w:val="002A431F"/>
    <w:rsid w:val="002A4898"/>
    <w:rsid w:val="002A4F6F"/>
    <w:rsid w:val="002A5411"/>
    <w:rsid w:val="002A7073"/>
    <w:rsid w:val="002A7814"/>
    <w:rsid w:val="002B1A64"/>
    <w:rsid w:val="002B3090"/>
    <w:rsid w:val="002B53E2"/>
    <w:rsid w:val="002B5BFC"/>
    <w:rsid w:val="002B5E0D"/>
    <w:rsid w:val="002B7FCC"/>
    <w:rsid w:val="002C00FF"/>
    <w:rsid w:val="002C11FF"/>
    <w:rsid w:val="002C3330"/>
    <w:rsid w:val="002D1708"/>
    <w:rsid w:val="002D2579"/>
    <w:rsid w:val="002D40A9"/>
    <w:rsid w:val="002D6349"/>
    <w:rsid w:val="002D6B6F"/>
    <w:rsid w:val="002D6BC9"/>
    <w:rsid w:val="002D7628"/>
    <w:rsid w:val="002D7A77"/>
    <w:rsid w:val="002D7BE8"/>
    <w:rsid w:val="002E098C"/>
    <w:rsid w:val="002E14F9"/>
    <w:rsid w:val="002E3E40"/>
    <w:rsid w:val="002E76EF"/>
    <w:rsid w:val="002E7E70"/>
    <w:rsid w:val="002F0129"/>
    <w:rsid w:val="002F08C6"/>
    <w:rsid w:val="002F24F3"/>
    <w:rsid w:val="002F2754"/>
    <w:rsid w:val="002F37CB"/>
    <w:rsid w:val="002F4ADA"/>
    <w:rsid w:val="002F5465"/>
    <w:rsid w:val="002F662F"/>
    <w:rsid w:val="002F6E59"/>
    <w:rsid w:val="002F6FC3"/>
    <w:rsid w:val="002F7AD0"/>
    <w:rsid w:val="002F7EF3"/>
    <w:rsid w:val="002F7F3A"/>
    <w:rsid w:val="0030169A"/>
    <w:rsid w:val="00302890"/>
    <w:rsid w:val="00303A6A"/>
    <w:rsid w:val="00305CE7"/>
    <w:rsid w:val="00306123"/>
    <w:rsid w:val="00306252"/>
    <w:rsid w:val="00307CF1"/>
    <w:rsid w:val="00307FB0"/>
    <w:rsid w:val="0031007D"/>
    <w:rsid w:val="00311B9B"/>
    <w:rsid w:val="003157D1"/>
    <w:rsid w:val="00316A48"/>
    <w:rsid w:val="00317222"/>
    <w:rsid w:val="00320DF9"/>
    <w:rsid w:val="003214B1"/>
    <w:rsid w:val="00322799"/>
    <w:rsid w:val="003241F1"/>
    <w:rsid w:val="00326CA2"/>
    <w:rsid w:val="00332C6F"/>
    <w:rsid w:val="00334CC7"/>
    <w:rsid w:val="003355B7"/>
    <w:rsid w:val="00336AAB"/>
    <w:rsid w:val="00342477"/>
    <w:rsid w:val="0034283D"/>
    <w:rsid w:val="00343634"/>
    <w:rsid w:val="00343968"/>
    <w:rsid w:val="00343A1D"/>
    <w:rsid w:val="00343D9C"/>
    <w:rsid w:val="003462FC"/>
    <w:rsid w:val="0035121B"/>
    <w:rsid w:val="003521AC"/>
    <w:rsid w:val="00352D4E"/>
    <w:rsid w:val="00353FB1"/>
    <w:rsid w:val="00354452"/>
    <w:rsid w:val="00356A9C"/>
    <w:rsid w:val="00357F64"/>
    <w:rsid w:val="0036067C"/>
    <w:rsid w:val="0036276F"/>
    <w:rsid w:val="00362FF6"/>
    <w:rsid w:val="003634F4"/>
    <w:rsid w:val="00363B02"/>
    <w:rsid w:val="003642B6"/>
    <w:rsid w:val="00364A2E"/>
    <w:rsid w:val="003655E9"/>
    <w:rsid w:val="00365BD8"/>
    <w:rsid w:val="00366858"/>
    <w:rsid w:val="00367D22"/>
    <w:rsid w:val="00371760"/>
    <w:rsid w:val="00371D68"/>
    <w:rsid w:val="003739E2"/>
    <w:rsid w:val="003756D9"/>
    <w:rsid w:val="00376869"/>
    <w:rsid w:val="00377AE0"/>
    <w:rsid w:val="00380598"/>
    <w:rsid w:val="00381B01"/>
    <w:rsid w:val="003829D9"/>
    <w:rsid w:val="00383B17"/>
    <w:rsid w:val="00384A92"/>
    <w:rsid w:val="003854F3"/>
    <w:rsid w:val="00386518"/>
    <w:rsid w:val="003875CD"/>
    <w:rsid w:val="00387FBB"/>
    <w:rsid w:val="0039180A"/>
    <w:rsid w:val="00391A61"/>
    <w:rsid w:val="00396BAE"/>
    <w:rsid w:val="00397B1C"/>
    <w:rsid w:val="00397E86"/>
    <w:rsid w:val="003A0C28"/>
    <w:rsid w:val="003A1388"/>
    <w:rsid w:val="003A1D20"/>
    <w:rsid w:val="003A258C"/>
    <w:rsid w:val="003A40E7"/>
    <w:rsid w:val="003A4472"/>
    <w:rsid w:val="003A78B7"/>
    <w:rsid w:val="003B5D7B"/>
    <w:rsid w:val="003B5F19"/>
    <w:rsid w:val="003B67A0"/>
    <w:rsid w:val="003B72E5"/>
    <w:rsid w:val="003C0E0B"/>
    <w:rsid w:val="003C1220"/>
    <w:rsid w:val="003C5626"/>
    <w:rsid w:val="003C6339"/>
    <w:rsid w:val="003C6B76"/>
    <w:rsid w:val="003C7ECD"/>
    <w:rsid w:val="003D3B92"/>
    <w:rsid w:val="003D4056"/>
    <w:rsid w:val="003D415D"/>
    <w:rsid w:val="003D46D1"/>
    <w:rsid w:val="003D7EC2"/>
    <w:rsid w:val="003E1704"/>
    <w:rsid w:val="003E191A"/>
    <w:rsid w:val="003E58E5"/>
    <w:rsid w:val="003E5EE1"/>
    <w:rsid w:val="003E7989"/>
    <w:rsid w:val="003E7C9B"/>
    <w:rsid w:val="003E7D25"/>
    <w:rsid w:val="003F0417"/>
    <w:rsid w:val="003F22FB"/>
    <w:rsid w:val="00400DD3"/>
    <w:rsid w:val="00400E8D"/>
    <w:rsid w:val="00402318"/>
    <w:rsid w:val="00403958"/>
    <w:rsid w:val="004040DB"/>
    <w:rsid w:val="004073DB"/>
    <w:rsid w:val="004137F3"/>
    <w:rsid w:val="00414F84"/>
    <w:rsid w:val="00415470"/>
    <w:rsid w:val="00415CFA"/>
    <w:rsid w:val="00416388"/>
    <w:rsid w:val="00417D4F"/>
    <w:rsid w:val="004223F4"/>
    <w:rsid w:val="004237AF"/>
    <w:rsid w:val="00423B1A"/>
    <w:rsid w:val="00426990"/>
    <w:rsid w:val="004300B5"/>
    <w:rsid w:val="004342C9"/>
    <w:rsid w:val="00440412"/>
    <w:rsid w:val="00442406"/>
    <w:rsid w:val="00443935"/>
    <w:rsid w:val="00443963"/>
    <w:rsid w:val="004442B3"/>
    <w:rsid w:val="00444D59"/>
    <w:rsid w:val="00447654"/>
    <w:rsid w:val="004513F9"/>
    <w:rsid w:val="00452F36"/>
    <w:rsid w:val="00453130"/>
    <w:rsid w:val="0045394E"/>
    <w:rsid w:val="00453FAF"/>
    <w:rsid w:val="00454B5D"/>
    <w:rsid w:val="00455B44"/>
    <w:rsid w:val="00456FA3"/>
    <w:rsid w:val="00456FBB"/>
    <w:rsid w:val="0045754E"/>
    <w:rsid w:val="00460E98"/>
    <w:rsid w:val="00461626"/>
    <w:rsid w:val="004640E1"/>
    <w:rsid w:val="004642E4"/>
    <w:rsid w:val="00465462"/>
    <w:rsid w:val="004721BE"/>
    <w:rsid w:val="0047305B"/>
    <w:rsid w:val="00473835"/>
    <w:rsid w:val="004741C0"/>
    <w:rsid w:val="0047493D"/>
    <w:rsid w:val="00475A0F"/>
    <w:rsid w:val="004771A7"/>
    <w:rsid w:val="004775D8"/>
    <w:rsid w:val="00477DF1"/>
    <w:rsid w:val="004805E1"/>
    <w:rsid w:val="0048194E"/>
    <w:rsid w:val="00481D33"/>
    <w:rsid w:val="00481EFC"/>
    <w:rsid w:val="00483F92"/>
    <w:rsid w:val="004847F0"/>
    <w:rsid w:val="00486D4E"/>
    <w:rsid w:val="00487F50"/>
    <w:rsid w:val="0049244E"/>
    <w:rsid w:val="0049352F"/>
    <w:rsid w:val="00495341"/>
    <w:rsid w:val="004A465C"/>
    <w:rsid w:val="004A5A5E"/>
    <w:rsid w:val="004A7816"/>
    <w:rsid w:val="004A791C"/>
    <w:rsid w:val="004B10CD"/>
    <w:rsid w:val="004B2765"/>
    <w:rsid w:val="004B6984"/>
    <w:rsid w:val="004C05F2"/>
    <w:rsid w:val="004C1E04"/>
    <w:rsid w:val="004C1EBB"/>
    <w:rsid w:val="004C407E"/>
    <w:rsid w:val="004C506F"/>
    <w:rsid w:val="004C58C6"/>
    <w:rsid w:val="004C7A15"/>
    <w:rsid w:val="004D11B7"/>
    <w:rsid w:val="004D232D"/>
    <w:rsid w:val="004D57A0"/>
    <w:rsid w:val="004D5F36"/>
    <w:rsid w:val="004D6231"/>
    <w:rsid w:val="004D77DB"/>
    <w:rsid w:val="004E0791"/>
    <w:rsid w:val="004E44CC"/>
    <w:rsid w:val="004E50CC"/>
    <w:rsid w:val="004E587A"/>
    <w:rsid w:val="004E5CA5"/>
    <w:rsid w:val="004F02F2"/>
    <w:rsid w:val="004F16A1"/>
    <w:rsid w:val="004F1918"/>
    <w:rsid w:val="004F2DDA"/>
    <w:rsid w:val="004F4F51"/>
    <w:rsid w:val="004F5A13"/>
    <w:rsid w:val="00502B8F"/>
    <w:rsid w:val="00503475"/>
    <w:rsid w:val="005034FC"/>
    <w:rsid w:val="00503F67"/>
    <w:rsid w:val="005044B9"/>
    <w:rsid w:val="005055E2"/>
    <w:rsid w:val="00507AFA"/>
    <w:rsid w:val="005106D5"/>
    <w:rsid w:val="005112F3"/>
    <w:rsid w:val="00514F8B"/>
    <w:rsid w:val="00517BF1"/>
    <w:rsid w:val="00520645"/>
    <w:rsid w:val="00520920"/>
    <w:rsid w:val="0052094D"/>
    <w:rsid w:val="00520A44"/>
    <w:rsid w:val="0052426A"/>
    <w:rsid w:val="00524D6D"/>
    <w:rsid w:val="005252C0"/>
    <w:rsid w:val="005255AF"/>
    <w:rsid w:val="00530CE7"/>
    <w:rsid w:val="00531389"/>
    <w:rsid w:val="005316A8"/>
    <w:rsid w:val="00531C4A"/>
    <w:rsid w:val="00535C65"/>
    <w:rsid w:val="0053682D"/>
    <w:rsid w:val="00540FEC"/>
    <w:rsid w:val="005414D6"/>
    <w:rsid w:val="00541F83"/>
    <w:rsid w:val="0054281C"/>
    <w:rsid w:val="005430C7"/>
    <w:rsid w:val="00543809"/>
    <w:rsid w:val="00543CB6"/>
    <w:rsid w:val="00543CEC"/>
    <w:rsid w:val="00543EC9"/>
    <w:rsid w:val="005446B0"/>
    <w:rsid w:val="005475A9"/>
    <w:rsid w:val="00547E4F"/>
    <w:rsid w:val="00551DFC"/>
    <w:rsid w:val="0055211A"/>
    <w:rsid w:val="00554187"/>
    <w:rsid w:val="00555958"/>
    <w:rsid w:val="005605F8"/>
    <w:rsid w:val="005615D4"/>
    <w:rsid w:val="005650C2"/>
    <w:rsid w:val="00565A8C"/>
    <w:rsid w:val="005664AF"/>
    <w:rsid w:val="00573012"/>
    <w:rsid w:val="005731AA"/>
    <w:rsid w:val="00574068"/>
    <w:rsid w:val="00575709"/>
    <w:rsid w:val="005773BE"/>
    <w:rsid w:val="005804F3"/>
    <w:rsid w:val="00580954"/>
    <w:rsid w:val="005824F8"/>
    <w:rsid w:val="00583A5C"/>
    <w:rsid w:val="00584C19"/>
    <w:rsid w:val="005850D6"/>
    <w:rsid w:val="0058643C"/>
    <w:rsid w:val="00586CD0"/>
    <w:rsid w:val="00586D7E"/>
    <w:rsid w:val="00586EDA"/>
    <w:rsid w:val="005916EF"/>
    <w:rsid w:val="005927CD"/>
    <w:rsid w:val="0059343A"/>
    <w:rsid w:val="00595864"/>
    <w:rsid w:val="005964EC"/>
    <w:rsid w:val="005A0661"/>
    <w:rsid w:val="005A1FDF"/>
    <w:rsid w:val="005A4F1F"/>
    <w:rsid w:val="005A5AD5"/>
    <w:rsid w:val="005A6732"/>
    <w:rsid w:val="005A7272"/>
    <w:rsid w:val="005A7EC2"/>
    <w:rsid w:val="005B334E"/>
    <w:rsid w:val="005B3FB5"/>
    <w:rsid w:val="005B4E65"/>
    <w:rsid w:val="005C3ADB"/>
    <w:rsid w:val="005C71EA"/>
    <w:rsid w:val="005D248A"/>
    <w:rsid w:val="005D2C74"/>
    <w:rsid w:val="005D2CB5"/>
    <w:rsid w:val="005D3173"/>
    <w:rsid w:val="005D386F"/>
    <w:rsid w:val="005D5063"/>
    <w:rsid w:val="005D511D"/>
    <w:rsid w:val="005D72C1"/>
    <w:rsid w:val="005E3DC5"/>
    <w:rsid w:val="005E4813"/>
    <w:rsid w:val="005E6E82"/>
    <w:rsid w:val="005F6167"/>
    <w:rsid w:val="006031DC"/>
    <w:rsid w:val="006035CB"/>
    <w:rsid w:val="00603D53"/>
    <w:rsid w:val="00604122"/>
    <w:rsid w:val="0060535C"/>
    <w:rsid w:val="00606709"/>
    <w:rsid w:val="0061311D"/>
    <w:rsid w:val="00613D71"/>
    <w:rsid w:val="00615523"/>
    <w:rsid w:val="0061605F"/>
    <w:rsid w:val="00621B29"/>
    <w:rsid w:val="006223D2"/>
    <w:rsid w:val="00625C51"/>
    <w:rsid w:val="00626E6E"/>
    <w:rsid w:val="006313EC"/>
    <w:rsid w:val="006339CA"/>
    <w:rsid w:val="0063507E"/>
    <w:rsid w:val="006369CC"/>
    <w:rsid w:val="006374EF"/>
    <w:rsid w:val="00643CAC"/>
    <w:rsid w:val="00643E16"/>
    <w:rsid w:val="00646631"/>
    <w:rsid w:val="00647F26"/>
    <w:rsid w:val="006536D6"/>
    <w:rsid w:val="00654B00"/>
    <w:rsid w:val="00655415"/>
    <w:rsid w:val="006560FF"/>
    <w:rsid w:val="00657569"/>
    <w:rsid w:val="00662875"/>
    <w:rsid w:val="00663399"/>
    <w:rsid w:val="006635A7"/>
    <w:rsid w:val="00663976"/>
    <w:rsid w:val="006649C6"/>
    <w:rsid w:val="006656A2"/>
    <w:rsid w:val="00665738"/>
    <w:rsid w:val="00666247"/>
    <w:rsid w:val="006679EB"/>
    <w:rsid w:val="00674F5E"/>
    <w:rsid w:val="006763B3"/>
    <w:rsid w:val="00682F0F"/>
    <w:rsid w:val="00683222"/>
    <w:rsid w:val="00685AB6"/>
    <w:rsid w:val="00685F1B"/>
    <w:rsid w:val="00686A7A"/>
    <w:rsid w:val="00686F46"/>
    <w:rsid w:val="00687B51"/>
    <w:rsid w:val="006900BC"/>
    <w:rsid w:val="006907CD"/>
    <w:rsid w:val="00692DDF"/>
    <w:rsid w:val="0069376A"/>
    <w:rsid w:val="00694CEE"/>
    <w:rsid w:val="00695074"/>
    <w:rsid w:val="006A077D"/>
    <w:rsid w:val="006A1725"/>
    <w:rsid w:val="006A211F"/>
    <w:rsid w:val="006A4311"/>
    <w:rsid w:val="006A5EAE"/>
    <w:rsid w:val="006A76FE"/>
    <w:rsid w:val="006B46DC"/>
    <w:rsid w:val="006B666A"/>
    <w:rsid w:val="006B7F89"/>
    <w:rsid w:val="006C3846"/>
    <w:rsid w:val="006C3BF0"/>
    <w:rsid w:val="006C4725"/>
    <w:rsid w:val="006D1F63"/>
    <w:rsid w:val="006D221B"/>
    <w:rsid w:val="006D4845"/>
    <w:rsid w:val="006D6941"/>
    <w:rsid w:val="006D7839"/>
    <w:rsid w:val="006E02B1"/>
    <w:rsid w:val="006E157D"/>
    <w:rsid w:val="006E6DDB"/>
    <w:rsid w:val="006E7959"/>
    <w:rsid w:val="006F0AC4"/>
    <w:rsid w:val="006F2CEE"/>
    <w:rsid w:val="006F4F9B"/>
    <w:rsid w:val="006F5195"/>
    <w:rsid w:val="006F5426"/>
    <w:rsid w:val="006F61C3"/>
    <w:rsid w:val="006F65DD"/>
    <w:rsid w:val="006F7546"/>
    <w:rsid w:val="00700495"/>
    <w:rsid w:val="00702286"/>
    <w:rsid w:val="0070375B"/>
    <w:rsid w:val="007040A8"/>
    <w:rsid w:val="00705559"/>
    <w:rsid w:val="00705F0C"/>
    <w:rsid w:val="007064D1"/>
    <w:rsid w:val="00706B2D"/>
    <w:rsid w:val="00710F95"/>
    <w:rsid w:val="00722DD9"/>
    <w:rsid w:val="0072306E"/>
    <w:rsid w:val="00725D93"/>
    <w:rsid w:val="007269A4"/>
    <w:rsid w:val="007303A6"/>
    <w:rsid w:val="00732466"/>
    <w:rsid w:val="00733E60"/>
    <w:rsid w:val="00734BF0"/>
    <w:rsid w:val="007358D4"/>
    <w:rsid w:val="007362E1"/>
    <w:rsid w:val="007375A2"/>
    <w:rsid w:val="00737D3F"/>
    <w:rsid w:val="00742185"/>
    <w:rsid w:val="00742808"/>
    <w:rsid w:val="00743133"/>
    <w:rsid w:val="00745330"/>
    <w:rsid w:val="00745FC7"/>
    <w:rsid w:val="00746653"/>
    <w:rsid w:val="00747867"/>
    <w:rsid w:val="007506CA"/>
    <w:rsid w:val="00753442"/>
    <w:rsid w:val="00754000"/>
    <w:rsid w:val="007548F1"/>
    <w:rsid w:val="00754DE7"/>
    <w:rsid w:val="0075584E"/>
    <w:rsid w:val="00760447"/>
    <w:rsid w:val="00760C76"/>
    <w:rsid w:val="007615D7"/>
    <w:rsid w:val="007623A6"/>
    <w:rsid w:val="00770BB4"/>
    <w:rsid w:val="00771BDB"/>
    <w:rsid w:val="00771D21"/>
    <w:rsid w:val="007777A6"/>
    <w:rsid w:val="007830DD"/>
    <w:rsid w:val="00783427"/>
    <w:rsid w:val="00784AE6"/>
    <w:rsid w:val="00784CA4"/>
    <w:rsid w:val="00784D51"/>
    <w:rsid w:val="0078521D"/>
    <w:rsid w:val="00787769"/>
    <w:rsid w:val="0079060C"/>
    <w:rsid w:val="007910EF"/>
    <w:rsid w:val="00791384"/>
    <w:rsid w:val="00794550"/>
    <w:rsid w:val="00797162"/>
    <w:rsid w:val="007A0227"/>
    <w:rsid w:val="007A1908"/>
    <w:rsid w:val="007A31E6"/>
    <w:rsid w:val="007A3201"/>
    <w:rsid w:val="007A4951"/>
    <w:rsid w:val="007A69E3"/>
    <w:rsid w:val="007A7D92"/>
    <w:rsid w:val="007B1D8C"/>
    <w:rsid w:val="007B2424"/>
    <w:rsid w:val="007B39B5"/>
    <w:rsid w:val="007B677B"/>
    <w:rsid w:val="007B76CF"/>
    <w:rsid w:val="007C06DB"/>
    <w:rsid w:val="007C07F2"/>
    <w:rsid w:val="007C37FB"/>
    <w:rsid w:val="007C442F"/>
    <w:rsid w:val="007C4873"/>
    <w:rsid w:val="007C5CE4"/>
    <w:rsid w:val="007C61AB"/>
    <w:rsid w:val="007C7F1C"/>
    <w:rsid w:val="007D234A"/>
    <w:rsid w:val="007D26D0"/>
    <w:rsid w:val="007D2F6E"/>
    <w:rsid w:val="007D3ADF"/>
    <w:rsid w:val="007D502C"/>
    <w:rsid w:val="007D53D2"/>
    <w:rsid w:val="007D542C"/>
    <w:rsid w:val="007D5FB6"/>
    <w:rsid w:val="007D6337"/>
    <w:rsid w:val="007D71B9"/>
    <w:rsid w:val="007E03DA"/>
    <w:rsid w:val="007E21C1"/>
    <w:rsid w:val="007E6B47"/>
    <w:rsid w:val="007E7CC7"/>
    <w:rsid w:val="007F04E4"/>
    <w:rsid w:val="007F12B7"/>
    <w:rsid w:val="007F25A9"/>
    <w:rsid w:val="007F2E76"/>
    <w:rsid w:val="007F33A7"/>
    <w:rsid w:val="007F343C"/>
    <w:rsid w:val="007F35ED"/>
    <w:rsid w:val="007F44DC"/>
    <w:rsid w:val="00800944"/>
    <w:rsid w:val="00801036"/>
    <w:rsid w:val="00801575"/>
    <w:rsid w:val="0080418D"/>
    <w:rsid w:val="00804A64"/>
    <w:rsid w:val="00804F81"/>
    <w:rsid w:val="00807852"/>
    <w:rsid w:val="008106BD"/>
    <w:rsid w:val="00810E4C"/>
    <w:rsid w:val="00811C1B"/>
    <w:rsid w:val="00813D5B"/>
    <w:rsid w:val="00815D71"/>
    <w:rsid w:val="00820836"/>
    <w:rsid w:val="00822480"/>
    <w:rsid w:val="00822CD9"/>
    <w:rsid w:val="008231BA"/>
    <w:rsid w:val="008236C3"/>
    <w:rsid w:val="00824005"/>
    <w:rsid w:val="00824E2B"/>
    <w:rsid w:val="00826779"/>
    <w:rsid w:val="00826980"/>
    <w:rsid w:val="00826E58"/>
    <w:rsid w:val="008306DE"/>
    <w:rsid w:val="0083125A"/>
    <w:rsid w:val="008313B2"/>
    <w:rsid w:val="00831E17"/>
    <w:rsid w:val="00832B98"/>
    <w:rsid w:val="00835E18"/>
    <w:rsid w:val="00837F0A"/>
    <w:rsid w:val="00840199"/>
    <w:rsid w:val="008405A7"/>
    <w:rsid w:val="00842423"/>
    <w:rsid w:val="00853B0C"/>
    <w:rsid w:val="00853B1B"/>
    <w:rsid w:val="008577D4"/>
    <w:rsid w:val="00857AAE"/>
    <w:rsid w:val="00860BCB"/>
    <w:rsid w:val="00860DDC"/>
    <w:rsid w:val="00862065"/>
    <w:rsid w:val="00862400"/>
    <w:rsid w:val="00863DB6"/>
    <w:rsid w:val="00863FD0"/>
    <w:rsid w:val="00867539"/>
    <w:rsid w:val="008720D8"/>
    <w:rsid w:val="0087367F"/>
    <w:rsid w:val="00873A06"/>
    <w:rsid w:val="008743C8"/>
    <w:rsid w:val="00874D70"/>
    <w:rsid w:val="00875555"/>
    <w:rsid w:val="00876C81"/>
    <w:rsid w:val="008838C7"/>
    <w:rsid w:val="00883E6C"/>
    <w:rsid w:val="008862B5"/>
    <w:rsid w:val="0088721E"/>
    <w:rsid w:val="0088740B"/>
    <w:rsid w:val="00887544"/>
    <w:rsid w:val="008908F5"/>
    <w:rsid w:val="00890A4C"/>
    <w:rsid w:val="00890DDA"/>
    <w:rsid w:val="00891914"/>
    <w:rsid w:val="008945FD"/>
    <w:rsid w:val="008951AC"/>
    <w:rsid w:val="008961B7"/>
    <w:rsid w:val="0089677E"/>
    <w:rsid w:val="00897483"/>
    <w:rsid w:val="008978CC"/>
    <w:rsid w:val="008A1053"/>
    <w:rsid w:val="008A227F"/>
    <w:rsid w:val="008A2418"/>
    <w:rsid w:val="008A4D4B"/>
    <w:rsid w:val="008A6931"/>
    <w:rsid w:val="008A6FCF"/>
    <w:rsid w:val="008B1603"/>
    <w:rsid w:val="008B260C"/>
    <w:rsid w:val="008B5987"/>
    <w:rsid w:val="008C2A3C"/>
    <w:rsid w:val="008C2E65"/>
    <w:rsid w:val="008C37C8"/>
    <w:rsid w:val="008C6FCB"/>
    <w:rsid w:val="008C7F13"/>
    <w:rsid w:val="008D0652"/>
    <w:rsid w:val="008D06B5"/>
    <w:rsid w:val="008D0BF5"/>
    <w:rsid w:val="008D114B"/>
    <w:rsid w:val="008D2E88"/>
    <w:rsid w:val="008D45D9"/>
    <w:rsid w:val="008D4D45"/>
    <w:rsid w:val="008D7DDB"/>
    <w:rsid w:val="008E08F8"/>
    <w:rsid w:val="008E1D93"/>
    <w:rsid w:val="008E1F19"/>
    <w:rsid w:val="008F11E2"/>
    <w:rsid w:val="008F1663"/>
    <w:rsid w:val="008F3660"/>
    <w:rsid w:val="008F3F09"/>
    <w:rsid w:val="008F5D01"/>
    <w:rsid w:val="008F60D5"/>
    <w:rsid w:val="008F66D4"/>
    <w:rsid w:val="008F7B87"/>
    <w:rsid w:val="00900226"/>
    <w:rsid w:val="00902C55"/>
    <w:rsid w:val="00905989"/>
    <w:rsid w:val="00906098"/>
    <w:rsid w:val="00906656"/>
    <w:rsid w:val="00907206"/>
    <w:rsid w:val="0090744F"/>
    <w:rsid w:val="0090749A"/>
    <w:rsid w:val="00907611"/>
    <w:rsid w:val="00910DFD"/>
    <w:rsid w:val="00911C69"/>
    <w:rsid w:val="009129DD"/>
    <w:rsid w:val="00912DEC"/>
    <w:rsid w:val="0091364C"/>
    <w:rsid w:val="00913BB7"/>
    <w:rsid w:val="009149A9"/>
    <w:rsid w:val="00914C10"/>
    <w:rsid w:val="00915D80"/>
    <w:rsid w:val="00917556"/>
    <w:rsid w:val="009205BD"/>
    <w:rsid w:val="009209E2"/>
    <w:rsid w:val="00924B22"/>
    <w:rsid w:val="009258F6"/>
    <w:rsid w:val="00927F3E"/>
    <w:rsid w:val="00930A46"/>
    <w:rsid w:val="00930D8F"/>
    <w:rsid w:val="00934983"/>
    <w:rsid w:val="00934A69"/>
    <w:rsid w:val="00936103"/>
    <w:rsid w:val="00936722"/>
    <w:rsid w:val="009376A3"/>
    <w:rsid w:val="009405F0"/>
    <w:rsid w:val="00945087"/>
    <w:rsid w:val="009451C2"/>
    <w:rsid w:val="0095018E"/>
    <w:rsid w:val="0095022F"/>
    <w:rsid w:val="00950C28"/>
    <w:rsid w:val="009528ED"/>
    <w:rsid w:val="009548FE"/>
    <w:rsid w:val="00954B36"/>
    <w:rsid w:val="00964509"/>
    <w:rsid w:val="00965A62"/>
    <w:rsid w:val="00965A8D"/>
    <w:rsid w:val="00966C54"/>
    <w:rsid w:val="009678FD"/>
    <w:rsid w:val="0097037F"/>
    <w:rsid w:val="00972CB3"/>
    <w:rsid w:val="00975828"/>
    <w:rsid w:val="00975DA4"/>
    <w:rsid w:val="0097649D"/>
    <w:rsid w:val="00976DC1"/>
    <w:rsid w:val="00976EC3"/>
    <w:rsid w:val="00977987"/>
    <w:rsid w:val="0098169D"/>
    <w:rsid w:val="009822E1"/>
    <w:rsid w:val="0098287F"/>
    <w:rsid w:val="00982D09"/>
    <w:rsid w:val="00984F86"/>
    <w:rsid w:val="009853EE"/>
    <w:rsid w:val="009862FF"/>
    <w:rsid w:val="00986463"/>
    <w:rsid w:val="009872D8"/>
    <w:rsid w:val="00990627"/>
    <w:rsid w:val="00990D29"/>
    <w:rsid w:val="009916C7"/>
    <w:rsid w:val="00991914"/>
    <w:rsid w:val="009937E4"/>
    <w:rsid w:val="009944E0"/>
    <w:rsid w:val="009A32F5"/>
    <w:rsid w:val="009A4397"/>
    <w:rsid w:val="009A5462"/>
    <w:rsid w:val="009A58EC"/>
    <w:rsid w:val="009A5BBB"/>
    <w:rsid w:val="009A7DF7"/>
    <w:rsid w:val="009B0310"/>
    <w:rsid w:val="009B09C6"/>
    <w:rsid w:val="009B13D3"/>
    <w:rsid w:val="009B1ACA"/>
    <w:rsid w:val="009B263A"/>
    <w:rsid w:val="009B31FA"/>
    <w:rsid w:val="009B4117"/>
    <w:rsid w:val="009B4A2A"/>
    <w:rsid w:val="009C0A02"/>
    <w:rsid w:val="009C3782"/>
    <w:rsid w:val="009C4B02"/>
    <w:rsid w:val="009C5154"/>
    <w:rsid w:val="009D182C"/>
    <w:rsid w:val="009D1E54"/>
    <w:rsid w:val="009D4ED5"/>
    <w:rsid w:val="009D5869"/>
    <w:rsid w:val="009D7CE9"/>
    <w:rsid w:val="009E0EE1"/>
    <w:rsid w:val="009E3979"/>
    <w:rsid w:val="009E40DD"/>
    <w:rsid w:val="009E56B5"/>
    <w:rsid w:val="009E6BFC"/>
    <w:rsid w:val="009E74C5"/>
    <w:rsid w:val="009E776F"/>
    <w:rsid w:val="009F0DB1"/>
    <w:rsid w:val="009F11A1"/>
    <w:rsid w:val="009F2104"/>
    <w:rsid w:val="009F2584"/>
    <w:rsid w:val="009F2800"/>
    <w:rsid w:val="009F43F2"/>
    <w:rsid w:val="009F640B"/>
    <w:rsid w:val="009F6808"/>
    <w:rsid w:val="009F798D"/>
    <w:rsid w:val="00A00951"/>
    <w:rsid w:val="00A034E8"/>
    <w:rsid w:val="00A03BF8"/>
    <w:rsid w:val="00A10E97"/>
    <w:rsid w:val="00A17418"/>
    <w:rsid w:val="00A179C6"/>
    <w:rsid w:val="00A22797"/>
    <w:rsid w:val="00A2594E"/>
    <w:rsid w:val="00A26A39"/>
    <w:rsid w:val="00A30F8F"/>
    <w:rsid w:val="00A32C0E"/>
    <w:rsid w:val="00A32EFD"/>
    <w:rsid w:val="00A3358B"/>
    <w:rsid w:val="00A34602"/>
    <w:rsid w:val="00A34FCF"/>
    <w:rsid w:val="00A34FE8"/>
    <w:rsid w:val="00A35F40"/>
    <w:rsid w:val="00A4131F"/>
    <w:rsid w:val="00A43596"/>
    <w:rsid w:val="00A5098F"/>
    <w:rsid w:val="00A52E90"/>
    <w:rsid w:val="00A602FD"/>
    <w:rsid w:val="00A60D25"/>
    <w:rsid w:val="00A6285A"/>
    <w:rsid w:val="00A636E5"/>
    <w:rsid w:val="00A63BEB"/>
    <w:rsid w:val="00A6519F"/>
    <w:rsid w:val="00A6575E"/>
    <w:rsid w:val="00A65E12"/>
    <w:rsid w:val="00A66FC6"/>
    <w:rsid w:val="00A67467"/>
    <w:rsid w:val="00A71215"/>
    <w:rsid w:val="00A7196F"/>
    <w:rsid w:val="00A74B2E"/>
    <w:rsid w:val="00A758F4"/>
    <w:rsid w:val="00A76570"/>
    <w:rsid w:val="00A823DC"/>
    <w:rsid w:val="00A858F0"/>
    <w:rsid w:val="00A866E0"/>
    <w:rsid w:val="00A87068"/>
    <w:rsid w:val="00A87CE3"/>
    <w:rsid w:val="00A9411B"/>
    <w:rsid w:val="00A943CA"/>
    <w:rsid w:val="00A94A12"/>
    <w:rsid w:val="00A94FF2"/>
    <w:rsid w:val="00AA347C"/>
    <w:rsid w:val="00AA51FF"/>
    <w:rsid w:val="00AA66A4"/>
    <w:rsid w:val="00AA6CAA"/>
    <w:rsid w:val="00AB3041"/>
    <w:rsid w:val="00AB3D2E"/>
    <w:rsid w:val="00AB4415"/>
    <w:rsid w:val="00AB4CD0"/>
    <w:rsid w:val="00AB5BC8"/>
    <w:rsid w:val="00AB6C79"/>
    <w:rsid w:val="00AB7B74"/>
    <w:rsid w:val="00AC1289"/>
    <w:rsid w:val="00AC298F"/>
    <w:rsid w:val="00AD067A"/>
    <w:rsid w:val="00AD5870"/>
    <w:rsid w:val="00AD5C4D"/>
    <w:rsid w:val="00AD5E53"/>
    <w:rsid w:val="00AD5FF6"/>
    <w:rsid w:val="00AE35E2"/>
    <w:rsid w:val="00AE407C"/>
    <w:rsid w:val="00AE4B00"/>
    <w:rsid w:val="00AE5259"/>
    <w:rsid w:val="00AE5F33"/>
    <w:rsid w:val="00AE6B15"/>
    <w:rsid w:val="00AE6FD6"/>
    <w:rsid w:val="00AF0B6C"/>
    <w:rsid w:val="00AF2763"/>
    <w:rsid w:val="00AF27C9"/>
    <w:rsid w:val="00AF3745"/>
    <w:rsid w:val="00AF4175"/>
    <w:rsid w:val="00B0328B"/>
    <w:rsid w:val="00B03E26"/>
    <w:rsid w:val="00B04530"/>
    <w:rsid w:val="00B05636"/>
    <w:rsid w:val="00B0583F"/>
    <w:rsid w:val="00B0669C"/>
    <w:rsid w:val="00B06911"/>
    <w:rsid w:val="00B06C47"/>
    <w:rsid w:val="00B07FCB"/>
    <w:rsid w:val="00B10D13"/>
    <w:rsid w:val="00B11C68"/>
    <w:rsid w:val="00B11E69"/>
    <w:rsid w:val="00B125B5"/>
    <w:rsid w:val="00B12E1D"/>
    <w:rsid w:val="00B13366"/>
    <w:rsid w:val="00B13F72"/>
    <w:rsid w:val="00B15AE4"/>
    <w:rsid w:val="00B222C9"/>
    <w:rsid w:val="00B2438A"/>
    <w:rsid w:val="00B26011"/>
    <w:rsid w:val="00B308A3"/>
    <w:rsid w:val="00B31DA0"/>
    <w:rsid w:val="00B33815"/>
    <w:rsid w:val="00B347DC"/>
    <w:rsid w:val="00B35E7F"/>
    <w:rsid w:val="00B36561"/>
    <w:rsid w:val="00B400EA"/>
    <w:rsid w:val="00B40306"/>
    <w:rsid w:val="00B41904"/>
    <w:rsid w:val="00B42C3D"/>
    <w:rsid w:val="00B44B1B"/>
    <w:rsid w:val="00B46129"/>
    <w:rsid w:val="00B46ADD"/>
    <w:rsid w:val="00B50649"/>
    <w:rsid w:val="00B52CB8"/>
    <w:rsid w:val="00B535E8"/>
    <w:rsid w:val="00B57631"/>
    <w:rsid w:val="00B57DB6"/>
    <w:rsid w:val="00B60169"/>
    <w:rsid w:val="00B630CF"/>
    <w:rsid w:val="00B63F49"/>
    <w:rsid w:val="00B65358"/>
    <w:rsid w:val="00B65ACE"/>
    <w:rsid w:val="00B65C97"/>
    <w:rsid w:val="00B65EC2"/>
    <w:rsid w:val="00B6616F"/>
    <w:rsid w:val="00B662B1"/>
    <w:rsid w:val="00B66FE1"/>
    <w:rsid w:val="00B7007B"/>
    <w:rsid w:val="00B72E74"/>
    <w:rsid w:val="00B73982"/>
    <w:rsid w:val="00B73ECE"/>
    <w:rsid w:val="00B75D74"/>
    <w:rsid w:val="00B77029"/>
    <w:rsid w:val="00B77183"/>
    <w:rsid w:val="00B817E0"/>
    <w:rsid w:val="00B81DA2"/>
    <w:rsid w:val="00B83416"/>
    <w:rsid w:val="00B843CD"/>
    <w:rsid w:val="00B86B09"/>
    <w:rsid w:val="00B86B7A"/>
    <w:rsid w:val="00B876EF"/>
    <w:rsid w:val="00B87E27"/>
    <w:rsid w:val="00B909FE"/>
    <w:rsid w:val="00B92014"/>
    <w:rsid w:val="00B92946"/>
    <w:rsid w:val="00B94616"/>
    <w:rsid w:val="00B96979"/>
    <w:rsid w:val="00B96A80"/>
    <w:rsid w:val="00B97D06"/>
    <w:rsid w:val="00BA19EC"/>
    <w:rsid w:val="00BA2225"/>
    <w:rsid w:val="00BA39C4"/>
    <w:rsid w:val="00BA3BB4"/>
    <w:rsid w:val="00BA4331"/>
    <w:rsid w:val="00BA474B"/>
    <w:rsid w:val="00BB3AEE"/>
    <w:rsid w:val="00BB5013"/>
    <w:rsid w:val="00BB5EC0"/>
    <w:rsid w:val="00BB6334"/>
    <w:rsid w:val="00BB6FC5"/>
    <w:rsid w:val="00BB7050"/>
    <w:rsid w:val="00BB7DB9"/>
    <w:rsid w:val="00BC08FD"/>
    <w:rsid w:val="00BC1CEE"/>
    <w:rsid w:val="00BC2AA4"/>
    <w:rsid w:val="00BC375A"/>
    <w:rsid w:val="00BC55A1"/>
    <w:rsid w:val="00BD13A8"/>
    <w:rsid w:val="00BD25BF"/>
    <w:rsid w:val="00BD32FA"/>
    <w:rsid w:val="00BD47D3"/>
    <w:rsid w:val="00BE0054"/>
    <w:rsid w:val="00BE0F2C"/>
    <w:rsid w:val="00BE0F82"/>
    <w:rsid w:val="00BE309E"/>
    <w:rsid w:val="00BE51FD"/>
    <w:rsid w:val="00BE5D49"/>
    <w:rsid w:val="00BE7CAC"/>
    <w:rsid w:val="00BF0778"/>
    <w:rsid w:val="00BF13A5"/>
    <w:rsid w:val="00BF243B"/>
    <w:rsid w:val="00BF2441"/>
    <w:rsid w:val="00BF2689"/>
    <w:rsid w:val="00BF2EFF"/>
    <w:rsid w:val="00BF3213"/>
    <w:rsid w:val="00BF44BF"/>
    <w:rsid w:val="00BF69D7"/>
    <w:rsid w:val="00BF760E"/>
    <w:rsid w:val="00BF7F06"/>
    <w:rsid w:val="00C00872"/>
    <w:rsid w:val="00C0233A"/>
    <w:rsid w:val="00C030CF"/>
    <w:rsid w:val="00C0489E"/>
    <w:rsid w:val="00C04E48"/>
    <w:rsid w:val="00C0725D"/>
    <w:rsid w:val="00C07E6E"/>
    <w:rsid w:val="00C10420"/>
    <w:rsid w:val="00C10437"/>
    <w:rsid w:val="00C10D79"/>
    <w:rsid w:val="00C116D2"/>
    <w:rsid w:val="00C126FA"/>
    <w:rsid w:val="00C12952"/>
    <w:rsid w:val="00C12F61"/>
    <w:rsid w:val="00C14230"/>
    <w:rsid w:val="00C167AC"/>
    <w:rsid w:val="00C203A0"/>
    <w:rsid w:val="00C22066"/>
    <w:rsid w:val="00C22776"/>
    <w:rsid w:val="00C2476B"/>
    <w:rsid w:val="00C250DA"/>
    <w:rsid w:val="00C25E5D"/>
    <w:rsid w:val="00C27F5E"/>
    <w:rsid w:val="00C3000A"/>
    <w:rsid w:val="00C32997"/>
    <w:rsid w:val="00C3697F"/>
    <w:rsid w:val="00C3741D"/>
    <w:rsid w:val="00C374B1"/>
    <w:rsid w:val="00C42C0F"/>
    <w:rsid w:val="00C430E3"/>
    <w:rsid w:val="00C43CD6"/>
    <w:rsid w:val="00C45F57"/>
    <w:rsid w:val="00C46500"/>
    <w:rsid w:val="00C50250"/>
    <w:rsid w:val="00C51BF2"/>
    <w:rsid w:val="00C51EDF"/>
    <w:rsid w:val="00C51F88"/>
    <w:rsid w:val="00C5250C"/>
    <w:rsid w:val="00C5294A"/>
    <w:rsid w:val="00C62CB0"/>
    <w:rsid w:val="00C671F1"/>
    <w:rsid w:val="00C67644"/>
    <w:rsid w:val="00C700AE"/>
    <w:rsid w:val="00C72DC4"/>
    <w:rsid w:val="00C74320"/>
    <w:rsid w:val="00C8145D"/>
    <w:rsid w:val="00C8592B"/>
    <w:rsid w:val="00C91460"/>
    <w:rsid w:val="00C94481"/>
    <w:rsid w:val="00C9508F"/>
    <w:rsid w:val="00C96E35"/>
    <w:rsid w:val="00CA279F"/>
    <w:rsid w:val="00CA2A50"/>
    <w:rsid w:val="00CA536F"/>
    <w:rsid w:val="00CA63E8"/>
    <w:rsid w:val="00CA652B"/>
    <w:rsid w:val="00CA6FFD"/>
    <w:rsid w:val="00CA7199"/>
    <w:rsid w:val="00CB290E"/>
    <w:rsid w:val="00CB303B"/>
    <w:rsid w:val="00CB6EAC"/>
    <w:rsid w:val="00CB7F74"/>
    <w:rsid w:val="00CC14C1"/>
    <w:rsid w:val="00CC157B"/>
    <w:rsid w:val="00CC25EB"/>
    <w:rsid w:val="00CC4269"/>
    <w:rsid w:val="00CC4897"/>
    <w:rsid w:val="00CC7A70"/>
    <w:rsid w:val="00CC7CE2"/>
    <w:rsid w:val="00CD1819"/>
    <w:rsid w:val="00CD2896"/>
    <w:rsid w:val="00CD5611"/>
    <w:rsid w:val="00CD57D3"/>
    <w:rsid w:val="00CD5928"/>
    <w:rsid w:val="00CD6149"/>
    <w:rsid w:val="00CD69B2"/>
    <w:rsid w:val="00CD6FD1"/>
    <w:rsid w:val="00CD7D98"/>
    <w:rsid w:val="00CE06EC"/>
    <w:rsid w:val="00CE3598"/>
    <w:rsid w:val="00CE6A45"/>
    <w:rsid w:val="00CF0E0A"/>
    <w:rsid w:val="00CF23E3"/>
    <w:rsid w:val="00CF328E"/>
    <w:rsid w:val="00CF5564"/>
    <w:rsid w:val="00CF6310"/>
    <w:rsid w:val="00D00C66"/>
    <w:rsid w:val="00D01398"/>
    <w:rsid w:val="00D0357C"/>
    <w:rsid w:val="00D03688"/>
    <w:rsid w:val="00D04D19"/>
    <w:rsid w:val="00D06DA1"/>
    <w:rsid w:val="00D13BAB"/>
    <w:rsid w:val="00D14E9B"/>
    <w:rsid w:val="00D20263"/>
    <w:rsid w:val="00D21F09"/>
    <w:rsid w:val="00D24A23"/>
    <w:rsid w:val="00D25CA2"/>
    <w:rsid w:val="00D268CF"/>
    <w:rsid w:val="00D26FE6"/>
    <w:rsid w:val="00D27F87"/>
    <w:rsid w:val="00D304F5"/>
    <w:rsid w:val="00D30E3B"/>
    <w:rsid w:val="00D33262"/>
    <w:rsid w:val="00D3402D"/>
    <w:rsid w:val="00D363F6"/>
    <w:rsid w:val="00D37381"/>
    <w:rsid w:val="00D37B8E"/>
    <w:rsid w:val="00D4118C"/>
    <w:rsid w:val="00D419A2"/>
    <w:rsid w:val="00D44FF9"/>
    <w:rsid w:val="00D45776"/>
    <w:rsid w:val="00D4654C"/>
    <w:rsid w:val="00D46DF1"/>
    <w:rsid w:val="00D51C9A"/>
    <w:rsid w:val="00D53783"/>
    <w:rsid w:val="00D541DC"/>
    <w:rsid w:val="00D56035"/>
    <w:rsid w:val="00D56AFD"/>
    <w:rsid w:val="00D6227C"/>
    <w:rsid w:val="00D62745"/>
    <w:rsid w:val="00D63C60"/>
    <w:rsid w:val="00D64231"/>
    <w:rsid w:val="00D651DD"/>
    <w:rsid w:val="00D67FB1"/>
    <w:rsid w:val="00D70BC5"/>
    <w:rsid w:val="00D7551A"/>
    <w:rsid w:val="00D75E58"/>
    <w:rsid w:val="00D7649C"/>
    <w:rsid w:val="00D829AD"/>
    <w:rsid w:val="00D82AD9"/>
    <w:rsid w:val="00D83165"/>
    <w:rsid w:val="00D8376F"/>
    <w:rsid w:val="00D87E6F"/>
    <w:rsid w:val="00D91D41"/>
    <w:rsid w:val="00D9279B"/>
    <w:rsid w:val="00D94630"/>
    <w:rsid w:val="00D94E6E"/>
    <w:rsid w:val="00D96227"/>
    <w:rsid w:val="00D96679"/>
    <w:rsid w:val="00D96739"/>
    <w:rsid w:val="00D97347"/>
    <w:rsid w:val="00DA19BC"/>
    <w:rsid w:val="00DA2952"/>
    <w:rsid w:val="00DA5380"/>
    <w:rsid w:val="00DA5B16"/>
    <w:rsid w:val="00DA6ACF"/>
    <w:rsid w:val="00DB0246"/>
    <w:rsid w:val="00DB11F4"/>
    <w:rsid w:val="00DB2EDC"/>
    <w:rsid w:val="00DB3E9A"/>
    <w:rsid w:val="00DB4E9C"/>
    <w:rsid w:val="00DB6685"/>
    <w:rsid w:val="00DB6C15"/>
    <w:rsid w:val="00DB6E29"/>
    <w:rsid w:val="00DB74DE"/>
    <w:rsid w:val="00DC1CA3"/>
    <w:rsid w:val="00DC25CB"/>
    <w:rsid w:val="00DC26C4"/>
    <w:rsid w:val="00DC393D"/>
    <w:rsid w:val="00DC3DF5"/>
    <w:rsid w:val="00DC451E"/>
    <w:rsid w:val="00DC4C3D"/>
    <w:rsid w:val="00DC511E"/>
    <w:rsid w:val="00DC5DD9"/>
    <w:rsid w:val="00DC72D6"/>
    <w:rsid w:val="00DD091C"/>
    <w:rsid w:val="00DD2292"/>
    <w:rsid w:val="00DD427D"/>
    <w:rsid w:val="00DD4D95"/>
    <w:rsid w:val="00DD5A29"/>
    <w:rsid w:val="00DD786E"/>
    <w:rsid w:val="00DE2EF4"/>
    <w:rsid w:val="00DE3DFD"/>
    <w:rsid w:val="00DE584B"/>
    <w:rsid w:val="00DE6A19"/>
    <w:rsid w:val="00DF6A98"/>
    <w:rsid w:val="00E0017A"/>
    <w:rsid w:val="00E00DA6"/>
    <w:rsid w:val="00E02630"/>
    <w:rsid w:val="00E03529"/>
    <w:rsid w:val="00E0520E"/>
    <w:rsid w:val="00E054BB"/>
    <w:rsid w:val="00E05DE6"/>
    <w:rsid w:val="00E06CC8"/>
    <w:rsid w:val="00E107B3"/>
    <w:rsid w:val="00E10F19"/>
    <w:rsid w:val="00E1181B"/>
    <w:rsid w:val="00E11E49"/>
    <w:rsid w:val="00E1282D"/>
    <w:rsid w:val="00E14D21"/>
    <w:rsid w:val="00E15791"/>
    <w:rsid w:val="00E159B3"/>
    <w:rsid w:val="00E16F68"/>
    <w:rsid w:val="00E1750C"/>
    <w:rsid w:val="00E200B1"/>
    <w:rsid w:val="00E20CA3"/>
    <w:rsid w:val="00E23D18"/>
    <w:rsid w:val="00E23E33"/>
    <w:rsid w:val="00E240A5"/>
    <w:rsid w:val="00E245B2"/>
    <w:rsid w:val="00E247F0"/>
    <w:rsid w:val="00E2494E"/>
    <w:rsid w:val="00E25681"/>
    <w:rsid w:val="00E25817"/>
    <w:rsid w:val="00E25A75"/>
    <w:rsid w:val="00E25E6E"/>
    <w:rsid w:val="00E266D4"/>
    <w:rsid w:val="00E34393"/>
    <w:rsid w:val="00E3693B"/>
    <w:rsid w:val="00E36C86"/>
    <w:rsid w:val="00E37B70"/>
    <w:rsid w:val="00E449A7"/>
    <w:rsid w:val="00E45EEA"/>
    <w:rsid w:val="00E465EC"/>
    <w:rsid w:val="00E50812"/>
    <w:rsid w:val="00E523EB"/>
    <w:rsid w:val="00E530DB"/>
    <w:rsid w:val="00E63CFB"/>
    <w:rsid w:val="00E644E0"/>
    <w:rsid w:val="00E64B8A"/>
    <w:rsid w:val="00E6540C"/>
    <w:rsid w:val="00E65E72"/>
    <w:rsid w:val="00E679D7"/>
    <w:rsid w:val="00E70F72"/>
    <w:rsid w:val="00E756F8"/>
    <w:rsid w:val="00E75B15"/>
    <w:rsid w:val="00E76C6F"/>
    <w:rsid w:val="00E77246"/>
    <w:rsid w:val="00E80091"/>
    <w:rsid w:val="00E80344"/>
    <w:rsid w:val="00E80B46"/>
    <w:rsid w:val="00E818AD"/>
    <w:rsid w:val="00E84974"/>
    <w:rsid w:val="00E85EB4"/>
    <w:rsid w:val="00E917E6"/>
    <w:rsid w:val="00E91D64"/>
    <w:rsid w:val="00E92D1B"/>
    <w:rsid w:val="00EA1510"/>
    <w:rsid w:val="00EA3FCF"/>
    <w:rsid w:val="00EA484B"/>
    <w:rsid w:val="00EA499B"/>
    <w:rsid w:val="00EA4F20"/>
    <w:rsid w:val="00EA6050"/>
    <w:rsid w:val="00EA6552"/>
    <w:rsid w:val="00EA73DB"/>
    <w:rsid w:val="00EA77E5"/>
    <w:rsid w:val="00EB0C2C"/>
    <w:rsid w:val="00EB0E5E"/>
    <w:rsid w:val="00EB1EBB"/>
    <w:rsid w:val="00EB23AB"/>
    <w:rsid w:val="00EB4133"/>
    <w:rsid w:val="00EB4D7D"/>
    <w:rsid w:val="00EB5E0E"/>
    <w:rsid w:val="00EB6BC3"/>
    <w:rsid w:val="00EB7241"/>
    <w:rsid w:val="00EB79F1"/>
    <w:rsid w:val="00EC5B6B"/>
    <w:rsid w:val="00ED1498"/>
    <w:rsid w:val="00ED1FF5"/>
    <w:rsid w:val="00ED42CE"/>
    <w:rsid w:val="00EE28AB"/>
    <w:rsid w:val="00EE5CB2"/>
    <w:rsid w:val="00EF20E0"/>
    <w:rsid w:val="00EF5D3F"/>
    <w:rsid w:val="00EF712B"/>
    <w:rsid w:val="00EF7D5A"/>
    <w:rsid w:val="00F012E1"/>
    <w:rsid w:val="00F018F3"/>
    <w:rsid w:val="00F020DD"/>
    <w:rsid w:val="00F02505"/>
    <w:rsid w:val="00F03617"/>
    <w:rsid w:val="00F04EF2"/>
    <w:rsid w:val="00F05FA7"/>
    <w:rsid w:val="00F06801"/>
    <w:rsid w:val="00F06EAB"/>
    <w:rsid w:val="00F112EA"/>
    <w:rsid w:val="00F13519"/>
    <w:rsid w:val="00F16C66"/>
    <w:rsid w:val="00F17781"/>
    <w:rsid w:val="00F25C21"/>
    <w:rsid w:val="00F25F07"/>
    <w:rsid w:val="00F2626E"/>
    <w:rsid w:val="00F26B4C"/>
    <w:rsid w:val="00F26E22"/>
    <w:rsid w:val="00F30924"/>
    <w:rsid w:val="00F34DA5"/>
    <w:rsid w:val="00F35EC8"/>
    <w:rsid w:val="00F377A4"/>
    <w:rsid w:val="00F41368"/>
    <w:rsid w:val="00F41834"/>
    <w:rsid w:val="00F44420"/>
    <w:rsid w:val="00F45CFC"/>
    <w:rsid w:val="00F469BA"/>
    <w:rsid w:val="00F5101D"/>
    <w:rsid w:val="00F52628"/>
    <w:rsid w:val="00F55FA6"/>
    <w:rsid w:val="00F5774B"/>
    <w:rsid w:val="00F60480"/>
    <w:rsid w:val="00F610EC"/>
    <w:rsid w:val="00F64D99"/>
    <w:rsid w:val="00F6590C"/>
    <w:rsid w:val="00F66CE1"/>
    <w:rsid w:val="00F678E0"/>
    <w:rsid w:val="00F703CA"/>
    <w:rsid w:val="00F715E6"/>
    <w:rsid w:val="00F7263B"/>
    <w:rsid w:val="00F743FE"/>
    <w:rsid w:val="00F75B94"/>
    <w:rsid w:val="00F76B51"/>
    <w:rsid w:val="00F774B6"/>
    <w:rsid w:val="00F779CD"/>
    <w:rsid w:val="00F80A6A"/>
    <w:rsid w:val="00F837B8"/>
    <w:rsid w:val="00F838CE"/>
    <w:rsid w:val="00F84855"/>
    <w:rsid w:val="00F84D96"/>
    <w:rsid w:val="00F85327"/>
    <w:rsid w:val="00F878A8"/>
    <w:rsid w:val="00F91422"/>
    <w:rsid w:val="00F9167A"/>
    <w:rsid w:val="00F91DBB"/>
    <w:rsid w:val="00F9382B"/>
    <w:rsid w:val="00F961B9"/>
    <w:rsid w:val="00FA1256"/>
    <w:rsid w:val="00FA3EAA"/>
    <w:rsid w:val="00FB2B62"/>
    <w:rsid w:val="00FB3398"/>
    <w:rsid w:val="00FB37AA"/>
    <w:rsid w:val="00FB38B9"/>
    <w:rsid w:val="00FB3EF3"/>
    <w:rsid w:val="00FB4FC4"/>
    <w:rsid w:val="00FB50D6"/>
    <w:rsid w:val="00FB665C"/>
    <w:rsid w:val="00FB668B"/>
    <w:rsid w:val="00FC072E"/>
    <w:rsid w:val="00FC1C53"/>
    <w:rsid w:val="00FC4688"/>
    <w:rsid w:val="00FD389B"/>
    <w:rsid w:val="00FD5E24"/>
    <w:rsid w:val="00FE1080"/>
    <w:rsid w:val="00FE133D"/>
    <w:rsid w:val="00FE1A74"/>
    <w:rsid w:val="00FE206C"/>
    <w:rsid w:val="00FE3EE9"/>
    <w:rsid w:val="00FE4D17"/>
    <w:rsid w:val="00FE5427"/>
    <w:rsid w:val="00FE63A1"/>
    <w:rsid w:val="00FE71C5"/>
    <w:rsid w:val="00FF21FA"/>
    <w:rsid w:val="00FF23BD"/>
    <w:rsid w:val="00FF33F5"/>
    <w:rsid w:val="00FF536D"/>
    <w:rsid w:val="00FF5408"/>
    <w:rsid w:val="00FF623A"/>
    <w:rsid w:val="00FF6240"/>
    <w:rsid w:val="00FF680E"/>
    <w:rsid w:val="00FF719F"/>
    <w:rsid w:val="015625A7"/>
    <w:rsid w:val="015D393B"/>
    <w:rsid w:val="01D7727D"/>
    <w:rsid w:val="02936A01"/>
    <w:rsid w:val="03E6409D"/>
    <w:rsid w:val="05AB2747"/>
    <w:rsid w:val="0862562D"/>
    <w:rsid w:val="0B6E215B"/>
    <w:rsid w:val="0B783D35"/>
    <w:rsid w:val="0D9E7401"/>
    <w:rsid w:val="0DAB39F5"/>
    <w:rsid w:val="0EBC1367"/>
    <w:rsid w:val="0FAA7C15"/>
    <w:rsid w:val="0FFA00C0"/>
    <w:rsid w:val="104427CF"/>
    <w:rsid w:val="11792751"/>
    <w:rsid w:val="119136E9"/>
    <w:rsid w:val="12114D52"/>
    <w:rsid w:val="124F2EEF"/>
    <w:rsid w:val="137B5074"/>
    <w:rsid w:val="139E7F60"/>
    <w:rsid w:val="146B6D7D"/>
    <w:rsid w:val="14B6752F"/>
    <w:rsid w:val="14D11B1C"/>
    <w:rsid w:val="15BB4F91"/>
    <w:rsid w:val="17161610"/>
    <w:rsid w:val="17E256C1"/>
    <w:rsid w:val="18AB4442"/>
    <w:rsid w:val="196C7314"/>
    <w:rsid w:val="1B1914E1"/>
    <w:rsid w:val="1B42013B"/>
    <w:rsid w:val="1B9B5F3D"/>
    <w:rsid w:val="1C3A2DD9"/>
    <w:rsid w:val="1E0839A8"/>
    <w:rsid w:val="1E0D4272"/>
    <w:rsid w:val="1F7A4B85"/>
    <w:rsid w:val="1FE4191E"/>
    <w:rsid w:val="207922BA"/>
    <w:rsid w:val="21B73AE7"/>
    <w:rsid w:val="220E512A"/>
    <w:rsid w:val="24484ACF"/>
    <w:rsid w:val="2471438B"/>
    <w:rsid w:val="24853FA4"/>
    <w:rsid w:val="24BF5397"/>
    <w:rsid w:val="25C246F7"/>
    <w:rsid w:val="28996270"/>
    <w:rsid w:val="2AE60BDB"/>
    <w:rsid w:val="2DB16E0F"/>
    <w:rsid w:val="2DBA21A8"/>
    <w:rsid w:val="2DD86A35"/>
    <w:rsid w:val="2E053505"/>
    <w:rsid w:val="2E1B0FCF"/>
    <w:rsid w:val="2E370B6C"/>
    <w:rsid w:val="30A47F67"/>
    <w:rsid w:val="30EC1344"/>
    <w:rsid w:val="31486418"/>
    <w:rsid w:val="3165068D"/>
    <w:rsid w:val="31C57B29"/>
    <w:rsid w:val="3337290D"/>
    <w:rsid w:val="342F4447"/>
    <w:rsid w:val="3546508A"/>
    <w:rsid w:val="37AC1BBE"/>
    <w:rsid w:val="37BB7BEA"/>
    <w:rsid w:val="38C95C0A"/>
    <w:rsid w:val="39154E8A"/>
    <w:rsid w:val="393D4EF6"/>
    <w:rsid w:val="39C807CC"/>
    <w:rsid w:val="3A7601BF"/>
    <w:rsid w:val="3B8763FC"/>
    <w:rsid w:val="3D10477F"/>
    <w:rsid w:val="3DAC5CA6"/>
    <w:rsid w:val="3DAC74ED"/>
    <w:rsid w:val="3EDD2E26"/>
    <w:rsid w:val="41904E98"/>
    <w:rsid w:val="422F7660"/>
    <w:rsid w:val="43F95905"/>
    <w:rsid w:val="44DC5472"/>
    <w:rsid w:val="472F5D3F"/>
    <w:rsid w:val="48CC5F31"/>
    <w:rsid w:val="4ABA1F53"/>
    <w:rsid w:val="4B2F0D88"/>
    <w:rsid w:val="4B5C51AF"/>
    <w:rsid w:val="4BFB796F"/>
    <w:rsid w:val="4E644119"/>
    <w:rsid w:val="504A55BA"/>
    <w:rsid w:val="50D35EFE"/>
    <w:rsid w:val="51EB2705"/>
    <w:rsid w:val="52CE5236"/>
    <w:rsid w:val="53B15CF2"/>
    <w:rsid w:val="53DA6CA0"/>
    <w:rsid w:val="53EF79A4"/>
    <w:rsid w:val="543F25CB"/>
    <w:rsid w:val="55306D65"/>
    <w:rsid w:val="55822402"/>
    <w:rsid w:val="565A40BC"/>
    <w:rsid w:val="56870BEB"/>
    <w:rsid w:val="58512A05"/>
    <w:rsid w:val="58A27E70"/>
    <w:rsid w:val="5C4154CB"/>
    <w:rsid w:val="5D8F7023"/>
    <w:rsid w:val="5F804092"/>
    <w:rsid w:val="60526159"/>
    <w:rsid w:val="617A40E3"/>
    <w:rsid w:val="61A76079"/>
    <w:rsid w:val="622E2AD0"/>
    <w:rsid w:val="637B0F58"/>
    <w:rsid w:val="642E28F2"/>
    <w:rsid w:val="65401246"/>
    <w:rsid w:val="658B4ABC"/>
    <w:rsid w:val="670E69EA"/>
    <w:rsid w:val="67405D5B"/>
    <w:rsid w:val="67E66349"/>
    <w:rsid w:val="68595439"/>
    <w:rsid w:val="6AAD6614"/>
    <w:rsid w:val="6D512667"/>
    <w:rsid w:val="6E2959C8"/>
    <w:rsid w:val="6F54041A"/>
    <w:rsid w:val="6F74175B"/>
    <w:rsid w:val="6FD63EC9"/>
    <w:rsid w:val="7000762F"/>
    <w:rsid w:val="721F04FC"/>
    <w:rsid w:val="72FF4F85"/>
    <w:rsid w:val="74186D2D"/>
    <w:rsid w:val="7424089A"/>
    <w:rsid w:val="754153B9"/>
    <w:rsid w:val="7732466E"/>
    <w:rsid w:val="778D4321"/>
    <w:rsid w:val="77DC4DFE"/>
    <w:rsid w:val="7864617D"/>
    <w:rsid w:val="7866591E"/>
    <w:rsid w:val="7A2D3506"/>
    <w:rsid w:val="7A786CDB"/>
    <w:rsid w:val="7CDF2797"/>
    <w:rsid w:val="7DC1632C"/>
    <w:rsid w:val="7DDE06BE"/>
    <w:rsid w:val="7F5951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iPriority="99"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0"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4">
    <w:name w:val="heading 1"/>
    <w:basedOn w:val="1"/>
    <w:next w:val="1"/>
    <w:link w:val="27"/>
    <w:qFormat/>
    <w:uiPriority w:val="99"/>
    <w:pPr>
      <w:keepNext/>
      <w:keepLines/>
      <w:widowControl w:val="0"/>
      <w:spacing w:before="340" w:after="330" w:line="576" w:lineRule="auto"/>
      <w:textAlignment w:val="auto"/>
      <w:outlineLvl w:val="0"/>
    </w:pPr>
    <w:rPr>
      <w:b/>
      <w:bCs/>
      <w:kern w:val="44"/>
      <w:sz w:val="44"/>
      <w:szCs w:val="44"/>
    </w:rPr>
  </w:style>
  <w:style w:type="paragraph" w:styleId="5">
    <w:name w:val="heading 2"/>
    <w:basedOn w:val="1"/>
    <w:next w:val="1"/>
    <w:link w:val="79"/>
    <w:semiHidden/>
    <w:unhideWhenUsed/>
    <w:qFormat/>
    <w:uiPriority w:val="0"/>
    <w:pPr>
      <w:keepNext/>
      <w:keepLines/>
      <w:spacing w:before="260" w:after="260" w:line="416" w:lineRule="atLeast"/>
      <w:outlineLvl w:val="1"/>
    </w:pPr>
    <w:rPr>
      <w:rFonts w:asciiTheme="majorHAnsi" w:hAnsiTheme="majorHAnsi" w:eastAsiaTheme="majorEastAsia" w:cstheme="majorBidi"/>
      <w:b/>
      <w:bCs/>
      <w:sz w:val="32"/>
      <w:szCs w:val="32"/>
    </w:rPr>
  </w:style>
  <w:style w:type="paragraph" w:styleId="6">
    <w:name w:val="heading 3"/>
    <w:basedOn w:val="1"/>
    <w:next w:val="1"/>
    <w:link w:val="28"/>
    <w:qFormat/>
    <w:uiPriority w:val="99"/>
    <w:pPr>
      <w:keepNext/>
      <w:keepLines/>
      <w:spacing w:before="260" w:after="260" w:line="416" w:lineRule="atLeast"/>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locked/>
    <w:uiPriority w:val="0"/>
    <w:pPr>
      <w:spacing w:after="120"/>
      <w:ind w:left="420" w:firstLine="210"/>
    </w:pPr>
  </w:style>
  <w:style w:type="paragraph" w:styleId="3">
    <w:name w:val="Body Text Indent"/>
    <w:basedOn w:val="1"/>
    <w:link w:val="29"/>
    <w:qFormat/>
    <w:uiPriority w:val="99"/>
    <w:pPr>
      <w:widowControl w:val="0"/>
      <w:snapToGrid w:val="0"/>
      <w:spacing w:before="283" w:line="560" w:lineRule="exact"/>
      <w:ind w:firstLine="510"/>
    </w:pPr>
    <w:rPr>
      <w:sz w:val="20"/>
    </w:rPr>
  </w:style>
  <w:style w:type="paragraph" w:styleId="7">
    <w:name w:val="annotation text"/>
    <w:basedOn w:val="1"/>
    <w:link w:val="75"/>
    <w:semiHidden/>
    <w:unhideWhenUsed/>
    <w:qFormat/>
    <w:locked/>
    <w:uiPriority w:val="99"/>
    <w:pPr>
      <w:jc w:val="left"/>
    </w:pPr>
  </w:style>
  <w:style w:type="paragraph" w:styleId="8">
    <w:name w:val="Body Text"/>
    <w:basedOn w:val="1"/>
    <w:link w:val="80"/>
    <w:semiHidden/>
    <w:unhideWhenUsed/>
    <w:qFormat/>
    <w:locked/>
    <w:uiPriority w:val="99"/>
    <w:pPr>
      <w:spacing w:after="120"/>
    </w:pPr>
  </w:style>
  <w:style w:type="paragraph" w:styleId="9">
    <w:name w:val="Plain Text"/>
    <w:basedOn w:val="1"/>
    <w:link w:val="30"/>
    <w:qFormat/>
    <w:uiPriority w:val="99"/>
    <w:pPr>
      <w:widowControl w:val="0"/>
      <w:spacing w:line="240" w:lineRule="auto"/>
      <w:textAlignment w:val="auto"/>
    </w:pPr>
    <w:rPr>
      <w:rFonts w:ascii="宋体" w:hAnsi="Courier New"/>
      <w:color w:val="auto"/>
      <w:kern w:val="2"/>
    </w:rPr>
  </w:style>
  <w:style w:type="paragraph" w:styleId="10">
    <w:name w:val="Date"/>
    <w:basedOn w:val="1"/>
    <w:next w:val="1"/>
    <w:link w:val="31"/>
    <w:qFormat/>
    <w:uiPriority w:val="99"/>
    <w:pPr>
      <w:ind w:left="100" w:leftChars="2500"/>
    </w:pPr>
  </w:style>
  <w:style w:type="paragraph" w:styleId="11">
    <w:name w:val="Balloon Text"/>
    <w:basedOn w:val="1"/>
    <w:link w:val="32"/>
    <w:qFormat/>
    <w:uiPriority w:val="99"/>
    <w:pPr>
      <w:spacing w:line="240" w:lineRule="auto"/>
    </w:pPr>
    <w:rPr>
      <w:sz w:val="18"/>
      <w:szCs w:val="18"/>
    </w:rPr>
  </w:style>
  <w:style w:type="paragraph" w:styleId="12">
    <w:name w:val="footer"/>
    <w:basedOn w:val="1"/>
    <w:link w:val="33"/>
    <w:qFormat/>
    <w:uiPriority w:val="99"/>
    <w:pPr>
      <w:tabs>
        <w:tab w:val="center" w:pos="4153"/>
        <w:tab w:val="right" w:pos="8306"/>
      </w:tabs>
      <w:snapToGrid w:val="0"/>
      <w:spacing w:line="240" w:lineRule="atLeast"/>
      <w:jc w:val="left"/>
    </w:pPr>
    <w:rPr>
      <w:sz w:val="18"/>
      <w:szCs w:val="18"/>
    </w:rPr>
  </w:style>
  <w:style w:type="paragraph" w:styleId="13">
    <w:name w:val="header"/>
    <w:basedOn w:val="1"/>
    <w:link w:val="34"/>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Body Text 2"/>
    <w:basedOn w:val="1"/>
    <w:link w:val="35"/>
    <w:qFormat/>
    <w:uiPriority w:val="99"/>
    <w:pPr>
      <w:spacing w:after="120" w:line="480" w:lineRule="auto"/>
    </w:pPr>
    <w:rPr>
      <w:sz w:val="20"/>
    </w:r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sz w:val="24"/>
      <w:szCs w:val="24"/>
    </w:rPr>
  </w:style>
  <w:style w:type="paragraph" w:styleId="18">
    <w:name w:val="Body Text First Indent"/>
    <w:basedOn w:val="8"/>
    <w:link w:val="81"/>
    <w:semiHidden/>
    <w:unhideWhenUsed/>
    <w:qFormat/>
    <w:locked/>
    <w:uiPriority w:val="99"/>
    <w:pPr>
      <w:ind w:firstLine="420" w:firstLineChars="100"/>
    </w:pPr>
  </w:style>
  <w:style w:type="table" w:styleId="20">
    <w:name w:val="Table Grid"/>
    <w:basedOn w:val="1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99"/>
    <w:rPr>
      <w:rFonts w:cs="Times New Roman"/>
      <w:b/>
    </w:rPr>
  </w:style>
  <w:style w:type="character" w:styleId="23">
    <w:name w:val="page number"/>
    <w:basedOn w:val="21"/>
    <w:qFormat/>
    <w:uiPriority w:val="99"/>
    <w:rPr>
      <w:rFonts w:cs="Times New Roman"/>
    </w:rPr>
  </w:style>
  <w:style w:type="character" w:styleId="24">
    <w:name w:val="FollowedHyperlink"/>
    <w:basedOn w:val="21"/>
    <w:semiHidden/>
    <w:unhideWhenUsed/>
    <w:qFormat/>
    <w:locked/>
    <w:uiPriority w:val="99"/>
    <w:rPr>
      <w:color w:val="000000"/>
      <w:u w:val="none"/>
    </w:rPr>
  </w:style>
  <w:style w:type="character" w:styleId="25">
    <w:name w:val="Hyperlink"/>
    <w:basedOn w:val="21"/>
    <w:qFormat/>
    <w:uiPriority w:val="99"/>
    <w:rPr>
      <w:rFonts w:cs="Times New Roman"/>
      <w:color w:val="0368A8"/>
      <w:u w:val="none"/>
    </w:rPr>
  </w:style>
  <w:style w:type="character" w:styleId="26">
    <w:name w:val="annotation reference"/>
    <w:basedOn w:val="21"/>
    <w:semiHidden/>
    <w:unhideWhenUsed/>
    <w:qFormat/>
    <w:locked/>
    <w:uiPriority w:val="99"/>
    <w:rPr>
      <w:sz w:val="21"/>
      <w:szCs w:val="21"/>
    </w:rPr>
  </w:style>
  <w:style w:type="character" w:customStyle="1" w:styleId="27">
    <w:name w:val="标题 1 Char"/>
    <w:basedOn w:val="21"/>
    <w:link w:val="4"/>
    <w:qFormat/>
    <w:locked/>
    <w:uiPriority w:val="99"/>
    <w:rPr>
      <w:rFonts w:cs="Times New Roman"/>
      <w:b/>
      <w:color w:val="000000"/>
      <w:kern w:val="44"/>
      <w:sz w:val="44"/>
      <w:u w:val="none" w:color="000000"/>
    </w:rPr>
  </w:style>
  <w:style w:type="character" w:customStyle="1" w:styleId="28">
    <w:name w:val="标题 3 Char"/>
    <w:basedOn w:val="21"/>
    <w:link w:val="6"/>
    <w:semiHidden/>
    <w:qFormat/>
    <w:locked/>
    <w:uiPriority w:val="99"/>
    <w:rPr>
      <w:rFonts w:cs="Times New Roman"/>
      <w:b/>
      <w:color w:val="000000"/>
      <w:sz w:val="32"/>
      <w:u w:val="none" w:color="000000"/>
    </w:rPr>
  </w:style>
  <w:style w:type="character" w:customStyle="1" w:styleId="29">
    <w:name w:val="正文文本缩进 Char"/>
    <w:basedOn w:val="21"/>
    <w:link w:val="3"/>
    <w:semiHidden/>
    <w:qFormat/>
    <w:locked/>
    <w:uiPriority w:val="99"/>
    <w:rPr>
      <w:rFonts w:cs="Times New Roman"/>
      <w:color w:val="000000"/>
      <w:kern w:val="0"/>
      <w:sz w:val="20"/>
      <w:u w:val="none" w:color="000000"/>
    </w:rPr>
  </w:style>
  <w:style w:type="character" w:customStyle="1" w:styleId="30">
    <w:name w:val="纯文本 Char1"/>
    <w:basedOn w:val="21"/>
    <w:link w:val="9"/>
    <w:semiHidden/>
    <w:qFormat/>
    <w:locked/>
    <w:uiPriority w:val="99"/>
    <w:rPr>
      <w:rFonts w:ascii="宋体" w:hAnsi="Courier New" w:cs="Times New Roman"/>
      <w:color w:val="000000"/>
      <w:kern w:val="0"/>
      <w:sz w:val="21"/>
      <w:u w:val="none" w:color="000000"/>
    </w:rPr>
  </w:style>
  <w:style w:type="character" w:customStyle="1" w:styleId="31">
    <w:name w:val="日期 Char"/>
    <w:basedOn w:val="21"/>
    <w:link w:val="10"/>
    <w:qFormat/>
    <w:locked/>
    <w:uiPriority w:val="99"/>
    <w:rPr>
      <w:rFonts w:cs="Times New Roman"/>
      <w:color w:val="000000"/>
      <w:sz w:val="21"/>
      <w:u w:val="none" w:color="000000"/>
    </w:rPr>
  </w:style>
  <w:style w:type="character" w:customStyle="1" w:styleId="32">
    <w:name w:val="批注框文本 Char"/>
    <w:basedOn w:val="21"/>
    <w:link w:val="11"/>
    <w:qFormat/>
    <w:locked/>
    <w:uiPriority w:val="99"/>
    <w:rPr>
      <w:rFonts w:cs="Times New Roman"/>
      <w:color w:val="000000"/>
      <w:sz w:val="18"/>
      <w:u w:val="none" w:color="000000"/>
    </w:rPr>
  </w:style>
  <w:style w:type="character" w:customStyle="1" w:styleId="33">
    <w:name w:val="页脚 Char"/>
    <w:basedOn w:val="21"/>
    <w:link w:val="12"/>
    <w:semiHidden/>
    <w:qFormat/>
    <w:locked/>
    <w:uiPriority w:val="99"/>
    <w:rPr>
      <w:rFonts w:cs="Times New Roman"/>
      <w:color w:val="000000"/>
      <w:kern w:val="0"/>
      <w:sz w:val="18"/>
      <w:u w:val="none" w:color="000000"/>
    </w:rPr>
  </w:style>
  <w:style w:type="character" w:customStyle="1" w:styleId="34">
    <w:name w:val="页眉 Char"/>
    <w:basedOn w:val="21"/>
    <w:link w:val="13"/>
    <w:semiHidden/>
    <w:qFormat/>
    <w:locked/>
    <w:uiPriority w:val="99"/>
    <w:rPr>
      <w:rFonts w:cs="Times New Roman"/>
      <w:color w:val="000000"/>
      <w:kern w:val="0"/>
      <w:sz w:val="18"/>
      <w:u w:val="none" w:color="000000"/>
    </w:rPr>
  </w:style>
  <w:style w:type="character" w:customStyle="1" w:styleId="35">
    <w:name w:val="正文文本 2 Char"/>
    <w:basedOn w:val="21"/>
    <w:link w:val="16"/>
    <w:semiHidden/>
    <w:qFormat/>
    <w:locked/>
    <w:uiPriority w:val="99"/>
    <w:rPr>
      <w:rFonts w:cs="Times New Roman"/>
      <w:color w:val="000000"/>
      <w:kern w:val="0"/>
      <w:sz w:val="20"/>
      <w:u w:val="none" w:color="000000"/>
    </w:rPr>
  </w:style>
  <w:style w:type="paragraph" w:customStyle="1" w:styleId="36">
    <w:name w:val="目录1"/>
    <w:basedOn w:val="1"/>
    <w:next w:val="1"/>
    <w:qFormat/>
    <w:uiPriority w:val="99"/>
    <w:pPr>
      <w:tabs>
        <w:tab w:val="left" w:leader="dot" w:pos="8503"/>
      </w:tabs>
      <w:spacing w:after="136" w:line="289" w:lineRule="atLeast"/>
      <w:jc w:val="left"/>
    </w:pPr>
    <w:rPr>
      <w:rFonts w:ascii="Arial" w:eastAsia="黑体"/>
      <w:sz w:val="28"/>
    </w:rPr>
  </w:style>
  <w:style w:type="paragraph" w:customStyle="1" w:styleId="37">
    <w:name w:val="章标题"/>
    <w:basedOn w:val="1"/>
    <w:next w:val="38"/>
    <w:qFormat/>
    <w:uiPriority w:val="99"/>
    <w:pPr>
      <w:spacing w:before="158" w:after="153" w:line="323" w:lineRule="atLeast"/>
      <w:jc w:val="center"/>
    </w:pPr>
    <w:rPr>
      <w:rFonts w:ascii="Arial" w:eastAsia="黑体"/>
      <w:sz w:val="31"/>
    </w:rPr>
  </w:style>
  <w:style w:type="paragraph" w:customStyle="1" w:styleId="38">
    <w:name w:val="节标题"/>
    <w:basedOn w:val="1"/>
    <w:next w:val="39"/>
    <w:qFormat/>
    <w:uiPriority w:val="99"/>
    <w:pPr>
      <w:spacing w:line="289" w:lineRule="atLeast"/>
      <w:jc w:val="center"/>
    </w:pPr>
    <w:rPr>
      <w:sz w:val="28"/>
    </w:rPr>
  </w:style>
  <w:style w:type="paragraph" w:customStyle="1" w:styleId="39">
    <w:name w:val="小节标题"/>
    <w:basedOn w:val="1"/>
    <w:next w:val="1"/>
    <w:qFormat/>
    <w:uiPriority w:val="99"/>
    <w:pPr>
      <w:spacing w:before="175" w:after="102" w:line="351" w:lineRule="atLeast"/>
    </w:pPr>
    <w:rPr>
      <w:rFonts w:eastAsia="黑体"/>
    </w:rPr>
  </w:style>
  <w:style w:type="paragraph" w:customStyle="1" w:styleId="40">
    <w:name w:val="目录2"/>
    <w:basedOn w:val="1"/>
    <w:next w:val="1"/>
    <w:qFormat/>
    <w:uiPriority w:val="99"/>
    <w:pPr>
      <w:tabs>
        <w:tab w:val="left" w:leader="dot" w:pos="8503"/>
      </w:tabs>
      <w:spacing w:line="317" w:lineRule="atLeast"/>
      <w:ind w:firstLine="209"/>
    </w:pPr>
  </w:style>
  <w:style w:type="paragraph" w:customStyle="1" w:styleId="41">
    <w:name w:val="目录4"/>
    <w:basedOn w:val="1"/>
    <w:next w:val="1"/>
    <w:qFormat/>
    <w:uiPriority w:val="99"/>
    <w:pPr>
      <w:tabs>
        <w:tab w:val="left" w:leader="dot" w:pos="8503"/>
      </w:tabs>
      <w:spacing w:line="317" w:lineRule="atLeast"/>
      <w:ind w:firstLine="629"/>
    </w:pPr>
  </w:style>
  <w:style w:type="paragraph" w:customStyle="1" w:styleId="42">
    <w:name w:val="1 Char Char Char Char"/>
    <w:basedOn w:val="1"/>
    <w:qFormat/>
    <w:uiPriority w:val="99"/>
    <w:pPr>
      <w:widowControl w:val="0"/>
      <w:spacing w:line="240" w:lineRule="auto"/>
      <w:textAlignment w:val="auto"/>
    </w:pPr>
    <w:rPr>
      <w:rFonts w:ascii="Tahoma" w:hAnsi="Tahoma" w:cs="Tahoma"/>
      <w:color w:val="auto"/>
      <w:kern w:val="2"/>
      <w:sz w:val="24"/>
      <w:szCs w:val="24"/>
    </w:rPr>
  </w:style>
  <w:style w:type="paragraph" w:customStyle="1" w:styleId="43">
    <w:name w:val="Char Char Char"/>
    <w:basedOn w:val="1"/>
    <w:qFormat/>
    <w:uiPriority w:val="99"/>
    <w:pPr>
      <w:widowControl w:val="0"/>
      <w:spacing w:line="240" w:lineRule="auto"/>
      <w:textAlignment w:val="auto"/>
    </w:pPr>
    <w:rPr>
      <w:rFonts w:ascii="Tahoma" w:hAnsi="Tahoma"/>
      <w:color w:val="auto"/>
      <w:kern w:val="2"/>
      <w:sz w:val="24"/>
    </w:rPr>
  </w:style>
  <w:style w:type="paragraph" w:customStyle="1" w:styleId="44">
    <w:name w:val="目录3"/>
    <w:basedOn w:val="1"/>
    <w:next w:val="1"/>
    <w:qFormat/>
    <w:uiPriority w:val="99"/>
    <w:pPr>
      <w:tabs>
        <w:tab w:val="left" w:leader="dot" w:pos="8503"/>
      </w:tabs>
      <w:spacing w:line="317" w:lineRule="atLeast"/>
      <w:ind w:firstLine="419"/>
    </w:pPr>
  </w:style>
  <w:style w:type="paragraph" w:customStyle="1" w:styleId="45">
    <w:name w:val="目录标题"/>
    <w:basedOn w:val="1"/>
    <w:next w:val="1"/>
    <w:qFormat/>
    <w:uiPriority w:val="99"/>
    <w:pPr>
      <w:spacing w:before="566" w:after="544" w:line="566" w:lineRule="atLeast"/>
      <w:ind w:firstLine="419"/>
      <w:jc w:val="center"/>
    </w:pPr>
    <w:rPr>
      <w:rFonts w:ascii="Arial" w:eastAsia="黑体"/>
      <w:spacing w:val="566"/>
      <w:sz w:val="54"/>
    </w:rPr>
  </w:style>
  <w:style w:type="paragraph" w:customStyle="1" w:styleId="46">
    <w:name w:val="文章总标题"/>
    <w:basedOn w:val="1"/>
    <w:next w:val="47"/>
    <w:qFormat/>
    <w:uiPriority w:val="99"/>
    <w:pPr>
      <w:spacing w:before="566" w:after="544" w:line="566" w:lineRule="atLeast"/>
      <w:jc w:val="center"/>
    </w:pPr>
    <w:rPr>
      <w:rFonts w:ascii="Arial" w:eastAsia="黑体"/>
      <w:sz w:val="54"/>
    </w:rPr>
  </w:style>
  <w:style w:type="paragraph" w:customStyle="1" w:styleId="47">
    <w:name w:val="文章附标题"/>
    <w:basedOn w:val="1"/>
    <w:next w:val="37"/>
    <w:qFormat/>
    <w:uiPriority w:val="99"/>
    <w:pPr>
      <w:spacing w:before="187" w:after="175" w:line="374" w:lineRule="atLeast"/>
      <w:jc w:val="center"/>
    </w:pPr>
    <w:rPr>
      <w:sz w:val="36"/>
    </w:rPr>
  </w:style>
  <w:style w:type="paragraph" w:customStyle="1" w:styleId="48">
    <w:name w:val="Char1"/>
    <w:basedOn w:val="1"/>
    <w:qFormat/>
    <w:uiPriority w:val="99"/>
    <w:pPr>
      <w:widowControl w:val="0"/>
      <w:spacing w:line="240" w:lineRule="auto"/>
      <w:textAlignment w:val="auto"/>
    </w:pPr>
    <w:rPr>
      <w:rFonts w:ascii="Tahoma" w:hAnsi="Tahoma"/>
      <w:color w:val="auto"/>
      <w:kern w:val="2"/>
      <w:sz w:val="24"/>
    </w:rPr>
  </w:style>
  <w:style w:type="paragraph" w:customStyle="1" w:styleId="49">
    <w:name w:val="Char11"/>
    <w:basedOn w:val="1"/>
    <w:qFormat/>
    <w:uiPriority w:val="99"/>
    <w:pPr>
      <w:widowControl w:val="0"/>
      <w:spacing w:line="240" w:lineRule="auto"/>
      <w:textAlignment w:val="auto"/>
    </w:pPr>
    <w:rPr>
      <w:rFonts w:ascii="Tahoma" w:hAnsi="Tahoma"/>
      <w:color w:val="auto"/>
      <w:kern w:val="2"/>
      <w:sz w:val="24"/>
    </w:rPr>
  </w:style>
  <w:style w:type="paragraph" w:customStyle="1" w:styleId="50">
    <w:name w:val="Char Char Char Char Char Char Char"/>
    <w:basedOn w:val="1"/>
    <w:qFormat/>
    <w:uiPriority w:val="99"/>
    <w:pPr>
      <w:widowControl w:val="0"/>
      <w:spacing w:line="240" w:lineRule="auto"/>
      <w:textAlignment w:val="auto"/>
    </w:pPr>
    <w:rPr>
      <w:rFonts w:ascii="Tahoma" w:hAnsi="Tahoma"/>
      <w:color w:val="auto"/>
      <w:kern w:val="2"/>
      <w:sz w:val="24"/>
    </w:rPr>
  </w:style>
  <w:style w:type="paragraph" w:customStyle="1" w:styleId="51">
    <w:name w:val="WPS Plain"/>
    <w:qFormat/>
    <w:uiPriority w:val="99"/>
    <w:rPr>
      <w:rFonts w:ascii="Times New Roman" w:hAnsi="Times New Roman" w:eastAsia="宋体" w:cs="Times New Roman"/>
      <w:lang w:val="en-US" w:eastAsia="zh-CN" w:bidi="ar-SA"/>
    </w:rPr>
  </w:style>
  <w:style w:type="paragraph" w:customStyle="1" w:styleId="52">
    <w:name w:val="cjk"/>
    <w:basedOn w:val="1"/>
    <w:qFormat/>
    <w:uiPriority w:val="99"/>
    <w:pPr>
      <w:spacing w:before="100" w:beforeAutospacing="1" w:after="100" w:afterAutospacing="1" w:line="240" w:lineRule="auto"/>
      <w:jc w:val="left"/>
      <w:textAlignment w:val="auto"/>
    </w:pPr>
    <w:rPr>
      <w:rFonts w:ascii="宋体" w:hAnsi="宋体" w:cs="宋体"/>
      <w:color w:val="auto"/>
      <w:sz w:val="18"/>
      <w:szCs w:val="18"/>
    </w:rPr>
  </w:style>
  <w:style w:type="paragraph" w:customStyle="1" w:styleId="53">
    <w:name w:val="Default"/>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标题1"/>
    <w:basedOn w:val="4"/>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5">
    <w:name w:val="链接"/>
    <w:qFormat/>
    <w:uiPriority w:val="99"/>
    <w:rPr>
      <w:rFonts w:ascii="Times New Roman" w:eastAsia="宋体"/>
      <w:color w:val="0000FF"/>
      <w:sz w:val="21"/>
      <w:u w:val="single" w:color="0000FF"/>
      <w:lang w:val="en-US" w:eastAsia="zh-CN"/>
    </w:rPr>
  </w:style>
  <w:style w:type="character" w:customStyle="1" w:styleId="56">
    <w:name w:val="超级链接"/>
    <w:qFormat/>
    <w:uiPriority w:val="99"/>
    <w:rPr>
      <w:rFonts w:ascii="Times New Roman" w:eastAsia="宋体"/>
      <w:color w:val="0000FF"/>
      <w:sz w:val="21"/>
      <w:u w:val="single" w:color="0000FF"/>
      <w:lang w:val="en-US" w:eastAsia="zh-CN"/>
    </w:rPr>
  </w:style>
  <w:style w:type="character" w:customStyle="1" w:styleId="57">
    <w:name w:val="param_td12"/>
    <w:qFormat/>
    <w:uiPriority w:val="99"/>
  </w:style>
  <w:style w:type="character" w:customStyle="1" w:styleId="58">
    <w:name w:val="纯文本 Char"/>
    <w:qFormat/>
    <w:locked/>
    <w:uiPriority w:val="99"/>
    <w:rPr>
      <w:rFonts w:ascii="宋体" w:hAnsi="Courier New" w:eastAsia="宋体"/>
      <w:kern w:val="2"/>
      <w:sz w:val="21"/>
      <w:lang w:val="en-US" w:eastAsia="zh-CN"/>
    </w:rPr>
  </w:style>
  <w:style w:type="character" w:customStyle="1" w:styleId="59">
    <w:name w:val="纯文本 Char Char"/>
    <w:qFormat/>
    <w:uiPriority w:val="99"/>
    <w:rPr>
      <w:rFonts w:ascii="宋体" w:hAnsi="Courier New" w:eastAsia="宋体"/>
      <w:kern w:val="2"/>
      <w:sz w:val="21"/>
      <w:lang w:val="en-US" w:eastAsia="zh-CN"/>
    </w:rPr>
  </w:style>
  <w:style w:type="character" w:customStyle="1" w:styleId="60">
    <w:name w:val="Char Char4"/>
    <w:qFormat/>
    <w:uiPriority w:val="99"/>
    <w:rPr>
      <w:rFonts w:ascii="宋体" w:eastAsia="宋体"/>
      <w:kern w:val="2"/>
      <w:sz w:val="28"/>
    </w:rPr>
  </w:style>
  <w:style w:type="character" w:customStyle="1" w:styleId="61">
    <w:name w:val="Plain Text Char1"/>
    <w:basedOn w:val="21"/>
    <w:semiHidden/>
    <w:qFormat/>
    <w:locked/>
    <w:uiPriority w:val="99"/>
    <w:rPr>
      <w:rFonts w:ascii="宋体" w:hAnsi="Courier New" w:cs="Courier New"/>
      <w:color w:val="000000"/>
      <w:kern w:val="0"/>
      <w:sz w:val="21"/>
      <w:szCs w:val="21"/>
      <w:u w:val="none" w:color="000000"/>
    </w:rPr>
  </w:style>
  <w:style w:type="character" w:customStyle="1" w:styleId="62">
    <w:name w:val="15"/>
    <w:basedOn w:val="21"/>
    <w:qFormat/>
    <w:uiPriority w:val="99"/>
    <w:rPr>
      <w:rFonts w:cs="Times New Roman"/>
    </w:rPr>
  </w:style>
  <w:style w:type="character" w:customStyle="1" w:styleId="63">
    <w:name w:val="first-child"/>
    <w:basedOn w:val="21"/>
    <w:qFormat/>
    <w:uiPriority w:val="0"/>
    <w:rPr>
      <w:color w:val="1F3149"/>
      <w:sz w:val="24"/>
      <w:szCs w:val="24"/>
    </w:rPr>
  </w:style>
  <w:style w:type="character" w:customStyle="1" w:styleId="64">
    <w:name w:val="first-child1"/>
    <w:basedOn w:val="21"/>
    <w:qFormat/>
    <w:uiPriority w:val="0"/>
    <w:rPr>
      <w:color w:val="1F3149"/>
      <w:sz w:val="24"/>
      <w:szCs w:val="24"/>
    </w:rPr>
  </w:style>
  <w:style w:type="character" w:customStyle="1" w:styleId="65">
    <w:name w:val="icon_ds"/>
    <w:basedOn w:val="21"/>
    <w:qFormat/>
    <w:uiPriority w:val="0"/>
  </w:style>
  <w:style w:type="character" w:customStyle="1" w:styleId="66">
    <w:name w:val="xiadan"/>
    <w:basedOn w:val="21"/>
    <w:qFormat/>
    <w:uiPriority w:val="0"/>
    <w:rPr>
      <w:shd w:val="clear" w:color="auto" w:fill="E4393C"/>
    </w:rPr>
  </w:style>
  <w:style w:type="character" w:customStyle="1" w:styleId="67">
    <w:name w:val="fr"/>
    <w:basedOn w:val="21"/>
    <w:qFormat/>
    <w:uiPriority w:val="0"/>
  </w:style>
  <w:style w:type="character" w:customStyle="1" w:styleId="68">
    <w:name w:val="icon_gys"/>
    <w:basedOn w:val="21"/>
    <w:qFormat/>
    <w:uiPriority w:val="0"/>
    <w:rPr>
      <w:sz w:val="21"/>
      <w:szCs w:val="21"/>
    </w:rPr>
  </w:style>
  <w:style w:type="paragraph" w:customStyle="1" w:styleId="69">
    <w:name w:val="正文文本 (2)"/>
    <w:basedOn w:val="1"/>
    <w:qFormat/>
    <w:uiPriority w:val="0"/>
    <w:pPr>
      <w:widowControl w:val="0"/>
      <w:shd w:val="clear" w:color="auto" w:fill="FFFFFF"/>
      <w:spacing w:after="660" w:line="0" w:lineRule="atLeast"/>
      <w:jc w:val="left"/>
      <w:textAlignment w:val="auto"/>
    </w:pPr>
    <w:rPr>
      <w:rFonts w:ascii="MingLiU" w:hAnsi="MingLiU" w:eastAsia="MingLiU" w:cs="MingLiU"/>
      <w:color w:val="auto"/>
      <w:spacing w:val="30"/>
      <w:sz w:val="30"/>
      <w:szCs w:val="30"/>
    </w:rPr>
  </w:style>
  <w:style w:type="character" w:customStyle="1" w:styleId="70">
    <w:name w:val="正文文本 (2) + 斜体"/>
    <w:qFormat/>
    <w:uiPriority w:val="0"/>
    <w:rPr>
      <w:rFonts w:ascii="MingLiU" w:hAnsi="MingLiU" w:eastAsia="MingLiU" w:cs="MingLiU"/>
      <w:i/>
      <w:iCs/>
      <w:color w:val="000000"/>
      <w:spacing w:val="0"/>
      <w:w w:val="100"/>
      <w:position w:val="0"/>
      <w:sz w:val="30"/>
      <w:szCs w:val="30"/>
      <w:u w:val="none"/>
      <w:lang w:val="zh-CN" w:eastAsia="zh-CN" w:bidi="zh-CN"/>
    </w:rPr>
  </w:style>
  <w:style w:type="character" w:customStyle="1" w:styleId="71">
    <w:name w:val="页眉或页脚 + Calibri"/>
    <w:qFormat/>
    <w:uiPriority w:val="0"/>
    <w:rPr>
      <w:rFonts w:ascii="Calibri" w:hAnsi="Calibri" w:eastAsia="Calibri" w:cs="Calibri"/>
      <w:color w:val="000000"/>
      <w:spacing w:val="0"/>
      <w:w w:val="100"/>
      <w:position w:val="0"/>
      <w:sz w:val="20"/>
      <w:szCs w:val="20"/>
      <w:u w:val="none"/>
      <w:lang w:val="zh-CN" w:eastAsia="zh-CN" w:bidi="zh-CN"/>
    </w:rPr>
  </w:style>
  <w:style w:type="character" w:customStyle="1" w:styleId="72">
    <w:name w:val="页眉或页脚"/>
    <w:qFormat/>
    <w:uiPriority w:val="0"/>
    <w:rPr>
      <w:rFonts w:ascii="MingLiU" w:hAnsi="MingLiU" w:eastAsia="MingLiU" w:cs="MingLiU"/>
      <w:color w:val="000000"/>
      <w:spacing w:val="0"/>
      <w:w w:val="100"/>
      <w:position w:val="0"/>
      <w:sz w:val="18"/>
      <w:szCs w:val="18"/>
      <w:u w:val="none"/>
      <w:lang w:val="zh-CN" w:eastAsia="zh-CN" w:bidi="zh-CN"/>
    </w:rPr>
  </w:style>
  <w:style w:type="paragraph" w:styleId="73">
    <w:name w:val="List Paragraph"/>
    <w:basedOn w:val="1"/>
    <w:qFormat/>
    <w:uiPriority w:val="34"/>
    <w:pPr>
      <w:widowControl w:val="0"/>
      <w:spacing w:line="240" w:lineRule="auto"/>
      <w:ind w:firstLine="420" w:firstLineChars="200"/>
      <w:textAlignment w:val="auto"/>
    </w:pPr>
    <w:rPr>
      <w:rFonts w:asciiTheme="minorHAnsi" w:hAnsiTheme="minorHAnsi" w:eastAsiaTheme="minorEastAsia" w:cstheme="minorBidi"/>
      <w:color w:val="auto"/>
      <w:kern w:val="2"/>
      <w:szCs w:val="22"/>
    </w:rPr>
  </w:style>
  <w:style w:type="paragraph" w:customStyle="1" w:styleId="74">
    <w:name w:val="无间隔1"/>
    <w:next w:val="8"/>
    <w:qFormat/>
    <w:uiPriority w:val="0"/>
    <w:pPr>
      <w:widowControl w:val="0"/>
      <w:jc w:val="both"/>
    </w:pPr>
    <w:rPr>
      <w:rFonts w:ascii="Calibri" w:hAnsi="Calibri" w:eastAsia="宋体" w:cs="Times New Roman"/>
      <w:kern w:val="2"/>
      <w:sz w:val="21"/>
      <w:szCs w:val="22"/>
      <w:lang w:val="en-US" w:eastAsia="zh-CN" w:bidi="ar-SA"/>
    </w:rPr>
  </w:style>
  <w:style w:type="character" w:customStyle="1" w:styleId="75">
    <w:name w:val="批注文字 Char"/>
    <w:basedOn w:val="21"/>
    <w:link w:val="7"/>
    <w:semiHidden/>
    <w:qFormat/>
    <w:uiPriority w:val="99"/>
    <w:rPr>
      <w:color w:val="000000"/>
      <w:sz w:val="21"/>
      <w:u w:color="000000"/>
    </w:rPr>
  </w:style>
  <w:style w:type="paragraph" w:customStyle="1" w:styleId="76">
    <w:name w:val="Table Text"/>
    <w:basedOn w:val="1"/>
    <w:semiHidden/>
    <w:qFormat/>
    <w:uiPriority w:val="0"/>
    <w:pPr>
      <w:spacing w:after="200"/>
    </w:pPr>
    <w:rPr>
      <w:rFonts w:ascii="宋体" w:hAnsi="宋体" w:cs="宋体"/>
      <w:sz w:val="24"/>
      <w:szCs w:val="24"/>
      <w:lang w:eastAsia="en-US"/>
    </w:rPr>
  </w:style>
  <w:style w:type="paragraph" w:customStyle="1" w:styleId="77">
    <w:name w:val="xl31"/>
    <w:basedOn w:val="1"/>
    <w:qFormat/>
    <w:uiPriority w:val="0"/>
    <w:pPr>
      <w:spacing w:before="100" w:beforeAutospacing="1" w:after="100" w:afterAutospacing="1"/>
      <w:jc w:val="center"/>
    </w:pPr>
    <w:rPr>
      <w:b/>
      <w:bCs/>
      <w:sz w:val="28"/>
      <w:szCs w:val="28"/>
    </w:rPr>
  </w:style>
  <w:style w:type="paragraph" w:customStyle="1" w:styleId="78">
    <w:name w:val="正文空2字"/>
    <w:basedOn w:val="1"/>
    <w:qFormat/>
    <w:uiPriority w:val="99"/>
    <w:pPr>
      <w:widowControl w:val="0"/>
      <w:snapToGrid w:val="0"/>
      <w:spacing w:line="560" w:lineRule="exact"/>
      <w:ind w:firstLine="640" w:firstLineChars="200"/>
      <w:jc w:val="left"/>
      <w:textAlignment w:val="auto"/>
    </w:pPr>
    <w:rPr>
      <w:rFonts w:ascii="仿宋_GB2312" w:hAnsi="仿宋_GB2312" w:eastAsia="仿宋_GB2312" w:cs="仿宋_GB2312"/>
      <w:color w:val="auto"/>
      <w:kern w:val="2"/>
      <w:sz w:val="32"/>
      <w:szCs w:val="32"/>
      <w:lang w:val="zh-TW"/>
    </w:rPr>
  </w:style>
  <w:style w:type="character" w:customStyle="1" w:styleId="79">
    <w:name w:val="标题 2 Char"/>
    <w:basedOn w:val="21"/>
    <w:link w:val="5"/>
    <w:semiHidden/>
    <w:qFormat/>
    <w:uiPriority w:val="0"/>
    <w:rPr>
      <w:rFonts w:asciiTheme="majorHAnsi" w:hAnsiTheme="majorHAnsi" w:eastAsiaTheme="majorEastAsia" w:cstheme="majorBidi"/>
      <w:b/>
      <w:bCs/>
      <w:color w:val="000000"/>
      <w:sz w:val="32"/>
      <w:szCs w:val="32"/>
      <w:u w:color="000000"/>
    </w:rPr>
  </w:style>
  <w:style w:type="character" w:customStyle="1" w:styleId="80">
    <w:name w:val="正文文本 Char"/>
    <w:basedOn w:val="21"/>
    <w:link w:val="8"/>
    <w:semiHidden/>
    <w:qFormat/>
    <w:uiPriority w:val="99"/>
    <w:rPr>
      <w:color w:val="000000"/>
      <w:sz w:val="21"/>
      <w:u w:color="000000"/>
    </w:rPr>
  </w:style>
  <w:style w:type="character" w:customStyle="1" w:styleId="81">
    <w:name w:val="正文首行缩进 Char"/>
    <w:basedOn w:val="80"/>
    <w:link w:val="18"/>
    <w:qFormat/>
    <w:uiPriority w:val="0"/>
  </w:style>
  <w:style w:type="table" w:customStyle="1" w:styleId="82">
    <w:name w:val="Table Normal"/>
    <w:semiHidden/>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60</Pages>
  <Words>35625</Words>
  <Characters>37346</Characters>
  <Lines>285</Lines>
  <Paragraphs>80</Paragraphs>
  <TotalTime>31</TotalTime>
  <ScaleCrop>false</ScaleCrop>
  <LinksUpToDate>false</LinksUpToDate>
  <CharactersWithSpaces>37997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2025-03-20T07:59:00Z</dcterms:created>
  <dc:creator>ZM</dc:creator>
  <cp:lastModifiedBy>李珂</cp:lastModifiedBy>
  <cp:lastPrinted>2025-03-21T01:32:00Z</cp:lastPrinted>
  <dcterms:modified xsi:type="dcterms:W3CDTF">2026-07-14T02:46:33Z</dcterms:modified>
  <dc:title>内黄县第一高级中学所需多媒体教室设备项目</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eyJoZGlkIjoiNjk2YzlhZGI1OWRlODcwNGIwZDJmMzBmYzRmNDVlODEiLCJ1c2VySWQiOiI2NDkxNzY3ODMifQ==</vt:lpwstr>
  </property>
  <property fmtid="{D5CDD505-2E9C-101B-9397-08002B2CF9AE}" pid="4" name="ICV">
    <vt:lpwstr>5E14D7DF2CC84AB2B2121E30E0B27312_13</vt:lpwstr>
  </property>
</Properties>
</file>