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5D884E">
      <w:pPr>
        <w:widowControl w:val="0"/>
        <w:snapToGrid w:val="0"/>
        <w:spacing w:line="560" w:lineRule="exact"/>
        <w:jc w:val="center"/>
        <w:outlineLvl w:val="0"/>
        <w:rPr>
          <w:rFonts w:hint="eastAsia" w:eastAsia="黑体"/>
          <w:b/>
          <w:color w:val="auto"/>
          <w:sz w:val="36"/>
          <w:szCs w:val="36"/>
          <w:highlight w:val="none"/>
        </w:rPr>
      </w:pPr>
      <w:r>
        <w:rPr>
          <w:rFonts w:hint="eastAsia" w:eastAsia="黑体"/>
          <w:b/>
          <w:color w:val="auto"/>
          <w:sz w:val="36"/>
          <w:szCs w:val="36"/>
          <w:highlight w:val="none"/>
        </w:rPr>
        <w:t>招标项目要求及采购需求</w:t>
      </w:r>
    </w:p>
    <w:p w14:paraId="65E9166D">
      <w:pPr>
        <w:keepNext w:val="0"/>
        <w:keepLines w:val="0"/>
        <w:pageBreakBefore w:val="0"/>
        <w:widowControl w:val="0"/>
        <w:kinsoku/>
        <w:wordWrap/>
        <w:overflowPunct/>
        <w:topLinePunct w:val="0"/>
        <w:autoSpaceDE/>
        <w:autoSpaceDN/>
        <w:bidi w:val="0"/>
        <w:adjustRightInd/>
        <w:snapToGrid w:val="0"/>
        <w:spacing w:line="276" w:lineRule="auto"/>
        <w:jc w:val="center"/>
        <w:textAlignment w:val="baseline"/>
        <w:rPr>
          <w:rFonts w:hint="eastAsia" w:asciiTheme="minorEastAsia" w:hAnsiTheme="minorEastAsia" w:eastAsiaTheme="minorEastAsia" w:cstheme="minorEastAsia"/>
          <w:b/>
          <w:color w:val="auto"/>
          <w:sz w:val="24"/>
          <w:szCs w:val="24"/>
          <w:highlight w:val="none"/>
        </w:rPr>
      </w:pPr>
    </w:p>
    <w:p w14:paraId="19332D2D">
      <w:pPr>
        <w:widowControl w:val="0"/>
        <w:snapToGrid w:val="0"/>
        <w:spacing w:line="360" w:lineRule="auto"/>
        <w:ind w:firstLine="422" w:firstLineChars="150"/>
        <w:jc w:val="left"/>
        <w:outlineLvl w:val="1"/>
        <w:rPr>
          <w:rFonts w:ascii="黑体" w:hAnsi="黑体" w:eastAsia="黑体"/>
          <w:b/>
          <w:color w:val="auto"/>
          <w:sz w:val="28"/>
          <w:highlight w:val="none"/>
        </w:rPr>
      </w:pPr>
      <w:bookmarkStart w:id="0" w:name="_Toc27548"/>
      <w:r>
        <w:rPr>
          <w:rFonts w:ascii="黑体" w:hAnsi="黑体" w:eastAsia="黑体"/>
          <w:b/>
          <w:color w:val="auto"/>
          <w:sz w:val="28"/>
          <w:highlight w:val="none"/>
        </w:rPr>
        <w:t xml:space="preserve">1. </w:t>
      </w:r>
      <w:r>
        <w:rPr>
          <w:rFonts w:hint="eastAsia" w:ascii="黑体" w:hAnsi="黑体" w:eastAsia="黑体"/>
          <w:b/>
          <w:color w:val="auto"/>
          <w:sz w:val="28"/>
          <w:highlight w:val="none"/>
        </w:rPr>
        <w:t>招标项目、标段（包）划分、投标报价</w:t>
      </w:r>
      <w:bookmarkEnd w:id="0"/>
    </w:p>
    <w:p w14:paraId="0F1F1944">
      <w:pPr>
        <w:widowControl w:val="0"/>
        <w:snapToGrid w:val="0"/>
        <w:spacing w:line="360" w:lineRule="auto"/>
        <w:ind w:firstLine="482" w:firstLineChars="200"/>
        <w:jc w:val="left"/>
        <w:rPr>
          <w:color w:val="auto"/>
          <w:sz w:val="24"/>
          <w:szCs w:val="24"/>
          <w:highlight w:val="none"/>
        </w:rPr>
      </w:pPr>
      <w:r>
        <w:rPr>
          <w:rFonts w:ascii="黑体" w:hAnsi="黑体" w:eastAsia="黑体"/>
          <w:b/>
          <w:color w:val="auto"/>
          <w:sz w:val="24"/>
          <w:szCs w:val="24"/>
          <w:highlight w:val="none"/>
        </w:rPr>
        <w:t>1.1</w:t>
      </w:r>
      <w:r>
        <w:rPr>
          <w:rFonts w:hint="eastAsia" w:ascii="黑体" w:hAnsi="黑体" w:eastAsia="黑体"/>
          <w:b/>
          <w:color w:val="auto"/>
          <w:sz w:val="24"/>
          <w:szCs w:val="24"/>
          <w:highlight w:val="none"/>
          <w:lang w:val="en-US" w:eastAsia="zh-CN"/>
        </w:rPr>
        <w:t xml:space="preserve"> </w:t>
      </w:r>
      <w:r>
        <w:rPr>
          <w:rFonts w:hint="eastAsia" w:ascii="黑体" w:hAnsi="黑体" w:eastAsia="黑体"/>
          <w:b/>
          <w:color w:val="auto"/>
          <w:sz w:val="24"/>
          <w:szCs w:val="24"/>
          <w:highlight w:val="none"/>
        </w:rPr>
        <w:t>招标项目名称</w:t>
      </w:r>
      <w:r>
        <w:rPr>
          <w:rFonts w:hint="eastAsia"/>
          <w:color w:val="auto"/>
          <w:sz w:val="24"/>
          <w:szCs w:val="24"/>
          <w:highlight w:val="none"/>
        </w:rPr>
        <w:t>：</w:t>
      </w:r>
      <w:r>
        <w:rPr>
          <w:rFonts w:hint="eastAsia"/>
          <w:color w:val="auto"/>
          <w:sz w:val="24"/>
          <w:szCs w:val="24"/>
          <w:highlight w:val="none"/>
          <w:lang w:eastAsia="zh-CN"/>
        </w:rPr>
        <w:t>安阳新型化工产业园区铜冶片区管理委员会安阳新型化工产业园区铜冶片区服务外包项目</w:t>
      </w:r>
    </w:p>
    <w:p w14:paraId="47627C05">
      <w:pPr>
        <w:widowControl w:val="0"/>
        <w:snapToGrid w:val="0"/>
        <w:spacing w:line="360" w:lineRule="auto"/>
        <w:ind w:firstLine="482" w:firstLineChars="200"/>
        <w:jc w:val="left"/>
        <w:rPr>
          <w:rFonts w:hint="eastAsia" w:asciiTheme="minorEastAsia" w:hAnsiTheme="minorEastAsia" w:eastAsiaTheme="minorEastAsia" w:cstheme="minorEastAsia"/>
          <w:color w:val="auto"/>
          <w:sz w:val="24"/>
          <w:szCs w:val="24"/>
          <w:highlight w:val="none"/>
        </w:rPr>
      </w:pPr>
      <w:r>
        <w:rPr>
          <w:rFonts w:ascii="黑体" w:hAnsi="黑体" w:eastAsia="黑体"/>
          <w:b/>
          <w:color w:val="auto"/>
          <w:sz w:val="24"/>
          <w:szCs w:val="24"/>
          <w:highlight w:val="none"/>
        </w:rPr>
        <w:t xml:space="preserve">1.2 </w:t>
      </w:r>
      <w:r>
        <w:rPr>
          <w:rFonts w:hint="eastAsia" w:ascii="黑体" w:hAnsi="黑体" w:eastAsia="黑体"/>
          <w:b/>
          <w:color w:val="auto"/>
          <w:sz w:val="24"/>
          <w:szCs w:val="24"/>
          <w:highlight w:val="none"/>
        </w:rPr>
        <w:t>标段（包）划分及其交付（实施）期</w:t>
      </w:r>
      <w:r>
        <w:rPr>
          <w:rFonts w:hint="eastAsia" w:ascii="黑体" w:hAnsi="黑体" w:eastAsia="黑体"/>
          <w:b/>
          <w:color w:val="auto"/>
          <w:sz w:val="24"/>
          <w:szCs w:val="24"/>
          <w:highlight w:val="none"/>
          <w:lang w:eastAsia="zh-CN"/>
        </w:rPr>
        <w:t>、</w:t>
      </w:r>
      <w:r>
        <w:rPr>
          <w:rFonts w:hint="eastAsia" w:ascii="黑体" w:hAnsi="黑体" w:eastAsia="黑体"/>
          <w:b/>
          <w:color w:val="auto"/>
          <w:sz w:val="24"/>
          <w:szCs w:val="24"/>
          <w:highlight w:val="none"/>
        </w:rPr>
        <w:t>交付（实施）地点</w:t>
      </w:r>
      <w:r>
        <w:rPr>
          <w:rFonts w:hint="eastAsia"/>
          <w:color w:val="auto"/>
          <w:sz w:val="24"/>
          <w:szCs w:val="24"/>
          <w:highlight w:val="none"/>
        </w:rPr>
        <w:t>：</w:t>
      </w:r>
      <w:r>
        <w:rPr>
          <w:rFonts w:hint="eastAsia" w:asciiTheme="minorEastAsia" w:hAnsiTheme="minorEastAsia" w:eastAsiaTheme="minorEastAsia" w:cstheme="minorEastAsia"/>
          <w:color w:val="auto"/>
          <w:sz w:val="24"/>
          <w:szCs w:val="24"/>
          <w:highlight w:val="none"/>
        </w:rPr>
        <w:t>本次招标项目划分为1个标段（包）</w:t>
      </w:r>
    </w:p>
    <w:tbl>
      <w:tblPr>
        <w:tblStyle w:val="5"/>
        <w:tblW w:w="9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9"/>
        <w:gridCol w:w="1875"/>
        <w:gridCol w:w="2505"/>
        <w:gridCol w:w="2085"/>
        <w:gridCol w:w="1536"/>
      </w:tblGrid>
      <w:tr w14:paraId="78ED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9940" w:type="dxa"/>
            <w:gridSpan w:val="5"/>
            <w:vAlign w:val="center"/>
          </w:tcPr>
          <w:p w14:paraId="48789392">
            <w:pPr>
              <w:widowControl w:val="0"/>
              <w:snapToGrid w:val="0"/>
              <w:spacing w:line="24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标段（包）一览表</w:t>
            </w:r>
          </w:p>
        </w:tc>
      </w:tr>
      <w:tr w14:paraId="6919E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1939" w:type="dxa"/>
            <w:vAlign w:val="center"/>
          </w:tcPr>
          <w:p w14:paraId="1A218270">
            <w:pPr>
              <w:widowControl w:val="0"/>
              <w:snapToGrid w:val="0"/>
              <w:spacing w:line="24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项目名称</w:t>
            </w:r>
          </w:p>
        </w:tc>
        <w:tc>
          <w:tcPr>
            <w:tcW w:w="1875" w:type="dxa"/>
            <w:vAlign w:val="center"/>
          </w:tcPr>
          <w:p w14:paraId="2B7D789B">
            <w:pPr>
              <w:widowControl w:val="0"/>
              <w:snapToGrid w:val="0"/>
              <w:spacing w:line="24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标段（包）名称</w:t>
            </w:r>
          </w:p>
        </w:tc>
        <w:tc>
          <w:tcPr>
            <w:tcW w:w="2505" w:type="dxa"/>
            <w:vAlign w:val="center"/>
          </w:tcPr>
          <w:p w14:paraId="03B466E0">
            <w:pPr>
              <w:widowControl w:val="0"/>
              <w:snapToGrid w:val="0"/>
              <w:spacing w:line="24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标段（包）内容（范围）</w:t>
            </w:r>
          </w:p>
        </w:tc>
        <w:tc>
          <w:tcPr>
            <w:tcW w:w="2085" w:type="dxa"/>
            <w:vAlign w:val="center"/>
          </w:tcPr>
          <w:p w14:paraId="50D064F7">
            <w:pPr>
              <w:widowControl w:val="0"/>
              <w:snapToGrid w:val="0"/>
              <w:spacing w:line="24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合同履行期限</w:t>
            </w:r>
          </w:p>
          <w:p w14:paraId="36C3166C">
            <w:pPr>
              <w:widowControl w:val="0"/>
              <w:snapToGrid w:val="0"/>
              <w:spacing w:line="24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（交付&lt;实施&gt;期）</w:t>
            </w:r>
          </w:p>
        </w:tc>
        <w:tc>
          <w:tcPr>
            <w:tcW w:w="1536" w:type="dxa"/>
            <w:vAlign w:val="center"/>
          </w:tcPr>
          <w:p w14:paraId="32FE96C0">
            <w:pPr>
              <w:widowControl w:val="0"/>
              <w:snapToGrid w:val="0"/>
              <w:spacing w:line="24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交付（实施）地点</w:t>
            </w:r>
          </w:p>
        </w:tc>
      </w:tr>
      <w:tr w14:paraId="3DD82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4" w:hRule="atLeast"/>
          <w:jc w:val="center"/>
        </w:trPr>
        <w:tc>
          <w:tcPr>
            <w:tcW w:w="1939" w:type="dxa"/>
            <w:vAlign w:val="center"/>
          </w:tcPr>
          <w:p w14:paraId="30FBE809">
            <w:pPr>
              <w:widowControl w:val="0"/>
              <w:adjustRightInd w:val="0"/>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安阳新型化工产业园区铜冶片区管理委员会安阳新型化工产业园区铜冶片区服务外包项目</w:t>
            </w:r>
          </w:p>
        </w:tc>
        <w:tc>
          <w:tcPr>
            <w:tcW w:w="1875" w:type="dxa"/>
            <w:vAlign w:val="center"/>
          </w:tcPr>
          <w:p w14:paraId="1B15F47B">
            <w:pPr>
              <w:widowControl w:val="0"/>
              <w:adjustRightInd w:val="0"/>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同项目名称</w:t>
            </w:r>
          </w:p>
        </w:tc>
        <w:tc>
          <w:tcPr>
            <w:tcW w:w="2505" w:type="dxa"/>
            <w:vAlign w:val="center"/>
          </w:tcPr>
          <w:p w14:paraId="4449B392">
            <w:pPr>
              <w:widowControl w:val="0"/>
              <w:adjustRightInd w:val="0"/>
              <w:snapToGrid w:val="0"/>
              <w:spacing w:line="24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见“第二章</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第2条：标段（包）内容（范围）及具体采购需求”</w:t>
            </w:r>
          </w:p>
        </w:tc>
        <w:tc>
          <w:tcPr>
            <w:tcW w:w="2085" w:type="dxa"/>
            <w:vAlign w:val="center"/>
          </w:tcPr>
          <w:p w14:paraId="4C7B16D9">
            <w:pPr>
              <w:widowControl w:val="0"/>
              <w:adjustRightInd w:val="0"/>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见招标公告1.6</w:t>
            </w:r>
          </w:p>
        </w:tc>
        <w:tc>
          <w:tcPr>
            <w:tcW w:w="1536" w:type="dxa"/>
            <w:vAlign w:val="center"/>
          </w:tcPr>
          <w:p w14:paraId="61688F23">
            <w:pPr>
              <w:widowControl w:val="0"/>
              <w:adjustRightInd w:val="0"/>
              <w:snapToGrid w:val="0"/>
              <w:spacing w:line="24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采购人指定地点</w:t>
            </w:r>
          </w:p>
        </w:tc>
      </w:tr>
    </w:tbl>
    <w:p w14:paraId="200BAB5B">
      <w:pPr>
        <w:spacing w:line="560" w:lineRule="exact"/>
        <w:ind w:firstLine="482" w:firstLineChars="200"/>
        <w:rPr>
          <w:rFonts w:ascii="黑体" w:hAnsi="黑体" w:eastAsia="黑体"/>
          <w:b/>
          <w:color w:val="auto"/>
          <w:sz w:val="24"/>
          <w:szCs w:val="24"/>
          <w:highlight w:val="none"/>
        </w:rPr>
      </w:pPr>
      <w:r>
        <w:rPr>
          <w:rFonts w:ascii="黑体" w:hAnsi="黑体" w:eastAsia="黑体"/>
          <w:b/>
          <w:color w:val="auto"/>
          <w:sz w:val="24"/>
          <w:szCs w:val="24"/>
          <w:highlight w:val="none"/>
        </w:rPr>
        <w:t xml:space="preserve">1.3 </w:t>
      </w:r>
      <w:r>
        <w:rPr>
          <w:rFonts w:hint="eastAsia" w:ascii="黑体" w:hAnsi="黑体" w:eastAsia="黑体"/>
          <w:b/>
          <w:color w:val="auto"/>
          <w:sz w:val="24"/>
          <w:szCs w:val="24"/>
          <w:highlight w:val="none"/>
        </w:rPr>
        <w:t>投标报价（价格构成）</w:t>
      </w:r>
    </w:p>
    <w:p w14:paraId="57C03F63">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1.3.1 投标人的投标报价应为达到服务（技术）要求下的</w:t>
      </w:r>
      <w:r>
        <w:rPr>
          <w:rFonts w:hint="eastAsia" w:asciiTheme="minorEastAsia" w:hAnsiTheme="minorEastAsia" w:eastAsiaTheme="minorEastAsia" w:cstheme="minorEastAsia"/>
          <w:color w:val="auto"/>
          <w:sz w:val="24"/>
          <w:szCs w:val="24"/>
          <w:highlight w:val="none"/>
          <w:lang w:eastAsia="zh-CN"/>
        </w:rPr>
        <w:t>总包价</w:t>
      </w:r>
      <w:r>
        <w:rPr>
          <w:rFonts w:hint="eastAsia" w:asciiTheme="minorEastAsia" w:hAnsiTheme="minorEastAsia" w:eastAsiaTheme="minorEastAsia" w:cstheme="minorEastAsia"/>
          <w:color w:val="auto"/>
          <w:sz w:val="24"/>
          <w:szCs w:val="24"/>
          <w:highlight w:val="none"/>
        </w:rPr>
        <w:t>，包括</w:t>
      </w:r>
      <w:r>
        <w:rPr>
          <w:rFonts w:hint="eastAsia" w:asciiTheme="minorEastAsia" w:hAnsiTheme="minorEastAsia" w:eastAsiaTheme="minorEastAsia" w:cstheme="minorEastAsia"/>
          <w:color w:val="auto"/>
          <w:sz w:val="24"/>
          <w:szCs w:val="24"/>
          <w:highlight w:val="none"/>
          <w:lang w:val="en-US" w:eastAsia="zh-CN"/>
        </w:rPr>
        <w:t>：人员管理费、人员工资（不得低于安阳市最低工资标准）及各项福利待遇（五险）、制服及劳保用品、知识产权（如有）、保险、相关税费等</w:t>
      </w:r>
      <w:r>
        <w:rPr>
          <w:rFonts w:hint="eastAsia" w:asciiTheme="minorEastAsia" w:hAnsiTheme="minorEastAsia" w:eastAsiaTheme="minorEastAsia" w:cstheme="minorEastAsia"/>
          <w:color w:val="auto"/>
          <w:sz w:val="24"/>
          <w:szCs w:val="24"/>
          <w:highlight w:val="none"/>
        </w:rPr>
        <w:t>与招标项目（标段&lt;包&gt;）相关的、必须的款项及费用（包括未列明而</w:t>
      </w:r>
      <w:r>
        <w:rPr>
          <w:rFonts w:hint="eastAsia" w:asciiTheme="minorEastAsia" w:hAnsiTheme="minorEastAsia" w:eastAsiaTheme="minorEastAsia" w:cstheme="minorEastAsia"/>
          <w:color w:val="auto"/>
          <w:sz w:val="24"/>
          <w:szCs w:val="24"/>
          <w:highlight w:val="none"/>
          <w:lang w:eastAsia="zh-CN"/>
        </w:rPr>
        <w:t>为</w:t>
      </w:r>
      <w:r>
        <w:rPr>
          <w:rFonts w:hint="eastAsia" w:asciiTheme="minorEastAsia" w:hAnsiTheme="minorEastAsia" w:eastAsiaTheme="minorEastAsia" w:cstheme="minorEastAsia"/>
          <w:color w:val="auto"/>
          <w:sz w:val="24"/>
          <w:szCs w:val="24"/>
          <w:highlight w:val="none"/>
        </w:rPr>
        <w:t>完成</w:t>
      </w:r>
      <w:r>
        <w:rPr>
          <w:rFonts w:hint="eastAsia" w:asciiTheme="minorEastAsia" w:hAnsiTheme="minorEastAsia" w:eastAsiaTheme="minorEastAsia" w:cstheme="minorEastAsia"/>
          <w:color w:val="auto"/>
          <w:sz w:val="24"/>
          <w:szCs w:val="24"/>
          <w:highlight w:val="none"/>
          <w:lang w:eastAsia="zh-CN"/>
        </w:rPr>
        <w:t>服务</w:t>
      </w:r>
      <w:r>
        <w:rPr>
          <w:rFonts w:hint="eastAsia" w:asciiTheme="minorEastAsia" w:hAnsiTheme="minorEastAsia" w:eastAsiaTheme="minorEastAsia" w:cstheme="minorEastAsia"/>
          <w:color w:val="auto"/>
          <w:sz w:val="24"/>
          <w:szCs w:val="24"/>
          <w:highlight w:val="none"/>
        </w:rPr>
        <w:t>所必须的所有费用、材料、工具、设施）。中标价格在中标合同范围内固定不变。</w:t>
      </w:r>
    </w:p>
    <w:p w14:paraId="18AD7C61">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1.3.2</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投标报价为一次性报价，报价时间截止后对投标报价的任何承诺、修改，除法定修正或</w:t>
      </w:r>
      <w:r>
        <w:rPr>
          <w:rFonts w:hint="eastAsia" w:asciiTheme="minorEastAsia" w:hAnsiTheme="minorEastAsia" w:eastAsiaTheme="minorEastAsia" w:cstheme="minorEastAsia"/>
          <w:color w:val="auto"/>
          <w:sz w:val="24"/>
          <w:szCs w:val="24"/>
          <w:highlight w:val="none"/>
          <w:lang w:eastAsia="zh-CN"/>
        </w:rPr>
        <w:t>《招标文件》</w:t>
      </w:r>
      <w:r>
        <w:rPr>
          <w:rFonts w:hint="eastAsia" w:asciiTheme="minorEastAsia" w:hAnsiTheme="minorEastAsia" w:eastAsiaTheme="minorEastAsia" w:cstheme="minorEastAsia"/>
          <w:color w:val="auto"/>
          <w:sz w:val="24"/>
          <w:szCs w:val="24"/>
          <w:highlight w:val="none"/>
        </w:rPr>
        <w:t>规定修正情形外，评标委员会将不予考虑。</w:t>
      </w:r>
    </w:p>
    <w:p w14:paraId="5199A50F">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1.3.3 如投标人的投标报价未超过</w:t>
      </w:r>
      <w:r>
        <w:rPr>
          <w:rFonts w:hint="eastAsia" w:asciiTheme="minorEastAsia" w:hAnsiTheme="minorEastAsia" w:eastAsiaTheme="minorEastAsia" w:cstheme="minorEastAsia"/>
          <w:bCs/>
          <w:color w:val="auto"/>
          <w:sz w:val="24"/>
          <w:highlight w:val="none"/>
          <w:lang w:val="zh-CN"/>
        </w:rPr>
        <w:t>预算金额</w:t>
      </w:r>
      <w:r>
        <w:rPr>
          <w:rFonts w:hint="eastAsia" w:asciiTheme="minorEastAsia" w:hAnsiTheme="minorEastAsia" w:eastAsiaTheme="minorEastAsia" w:cstheme="minorEastAsia"/>
          <w:color w:val="auto"/>
          <w:sz w:val="24"/>
          <w:szCs w:val="24"/>
          <w:highlight w:val="none"/>
        </w:rPr>
        <w:t>（见招标公告1.4）的供应商不足三家的，该标段（包）做废标处理。</w:t>
      </w:r>
    </w:p>
    <w:p w14:paraId="62B04E75">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1.3.4 遵循第三章</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投标人须知</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3.7.5项规定。</w:t>
      </w:r>
    </w:p>
    <w:p w14:paraId="1D47AF7A">
      <w:pPr>
        <w:spacing w:line="560" w:lineRule="exact"/>
        <w:ind w:firstLine="562" w:firstLineChars="200"/>
        <w:rPr>
          <w:rFonts w:ascii="黑体" w:hAnsi="黑体" w:eastAsia="黑体"/>
          <w:b/>
          <w:color w:val="auto"/>
          <w:sz w:val="28"/>
          <w:highlight w:val="none"/>
        </w:rPr>
      </w:pPr>
    </w:p>
    <w:p w14:paraId="4A7BB434">
      <w:pPr>
        <w:widowControl w:val="0"/>
        <w:snapToGrid w:val="0"/>
        <w:spacing w:line="360" w:lineRule="auto"/>
        <w:ind w:firstLine="422" w:firstLineChars="150"/>
        <w:jc w:val="left"/>
        <w:outlineLvl w:val="1"/>
        <w:rPr>
          <w:rFonts w:ascii="黑体" w:hAnsi="黑体" w:eastAsia="黑体"/>
          <w:b/>
          <w:color w:val="auto"/>
          <w:sz w:val="28"/>
          <w:highlight w:val="none"/>
        </w:rPr>
      </w:pPr>
      <w:bookmarkStart w:id="1" w:name="_Toc15431"/>
      <w:r>
        <w:rPr>
          <w:rFonts w:ascii="黑体" w:hAnsi="黑体" w:eastAsia="黑体"/>
          <w:b/>
          <w:color w:val="auto"/>
          <w:sz w:val="28"/>
          <w:highlight w:val="none"/>
        </w:rPr>
        <w:t xml:space="preserve">2. </w:t>
      </w:r>
      <w:r>
        <w:rPr>
          <w:rFonts w:hint="eastAsia" w:ascii="黑体" w:hAnsi="黑体" w:eastAsia="黑体"/>
          <w:b/>
          <w:color w:val="auto"/>
          <w:sz w:val="28"/>
          <w:highlight w:val="none"/>
        </w:rPr>
        <w:t>标段（包）内容（范围）及具体采购需求</w:t>
      </w:r>
      <w:bookmarkEnd w:id="1"/>
    </w:p>
    <w:p w14:paraId="22FFD75E">
      <w:pPr>
        <w:widowControl w:val="0"/>
        <w:snapToGrid w:val="0"/>
        <w:spacing w:line="360" w:lineRule="auto"/>
        <w:ind w:firstLine="482" w:firstLineChars="200"/>
        <w:jc w:val="left"/>
        <w:rPr>
          <w:color w:val="auto"/>
          <w:sz w:val="24"/>
          <w:szCs w:val="24"/>
          <w:highlight w:val="none"/>
        </w:rPr>
      </w:pPr>
      <w:r>
        <w:rPr>
          <w:rFonts w:ascii="黑体" w:hAnsi="黑体" w:eastAsia="黑体"/>
          <w:b/>
          <w:color w:val="auto"/>
          <w:sz w:val="24"/>
          <w:szCs w:val="24"/>
          <w:highlight w:val="none"/>
        </w:rPr>
        <w:t>2.1</w:t>
      </w:r>
      <w:r>
        <w:rPr>
          <w:rFonts w:hint="eastAsia" w:ascii="黑体" w:hAnsi="黑体" w:eastAsia="黑体"/>
          <w:b/>
          <w:color w:val="auto"/>
          <w:sz w:val="24"/>
          <w:szCs w:val="24"/>
          <w:highlight w:val="none"/>
          <w:lang w:val="en-US" w:eastAsia="zh-CN"/>
        </w:rPr>
        <w:t xml:space="preserve"> </w:t>
      </w:r>
      <w:r>
        <w:rPr>
          <w:rFonts w:hint="eastAsia" w:ascii="黑体" w:hAnsi="黑体" w:eastAsia="黑体"/>
          <w:b/>
          <w:color w:val="auto"/>
          <w:sz w:val="24"/>
          <w:szCs w:val="24"/>
          <w:highlight w:val="none"/>
        </w:rPr>
        <w:t>采购标的需实现的功能或者目标，标段（包）总体范围</w:t>
      </w:r>
    </w:p>
    <w:p w14:paraId="74CA83C0">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根据</w:t>
      </w:r>
      <w:r>
        <w:rPr>
          <w:rFonts w:hint="eastAsia" w:asciiTheme="minorEastAsia" w:hAnsiTheme="minorEastAsia" w:eastAsiaTheme="minorEastAsia" w:cstheme="minorEastAsia"/>
          <w:color w:val="auto"/>
          <w:sz w:val="24"/>
          <w:szCs w:val="24"/>
          <w:highlight w:val="none"/>
          <w:lang w:eastAsia="zh-CN"/>
        </w:rPr>
        <w:t>采购人</w:t>
      </w:r>
      <w:r>
        <w:rPr>
          <w:rFonts w:hint="eastAsia" w:asciiTheme="minorEastAsia" w:hAnsiTheme="minorEastAsia" w:eastAsiaTheme="minorEastAsia" w:cstheme="minorEastAsia"/>
          <w:color w:val="auto"/>
          <w:sz w:val="24"/>
          <w:szCs w:val="24"/>
          <w:highlight w:val="none"/>
        </w:rPr>
        <w:t>工作需要</w:t>
      </w:r>
      <w:r>
        <w:rPr>
          <w:rFonts w:hint="eastAsia" w:asciiTheme="minorEastAsia" w:hAnsiTheme="minorEastAsia" w:eastAsiaTheme="minorEastAsia" w:cstheme="minorEastAsia"/>
          <w:color w:val="auto"/>
          <w:sz w:val="24"/>
          <w:szCs w:val="24"/>
          <w:highlight w:val="none"/>
          <w:lang w:eastAsia="zh-CN"/>
        </w:rPr>
        <w:t>，将化工产业园区所需</w:t>
      </w:r>
      <w:r>
        <w:rPr>
          <w:rFonts w:hint="eastAsia" w:asciiTheme="minorEastAsia" w:hAnsiTheme="minorEastAsia" w:eastAsiaTheme="minorEastAsia" w:cstheme="minorEastAsia"/>
          <w:color w:val="auto"/>
          <w:sz w:val="24"/>
          <w:szCs w:val="24"/>
          <w:highlight w:val="none"/>
          <w:lang w:val="en-US" w:eastAsia="zh-CN"/>
        </w:rPr>
        <w:t>安保服务、安全风险智能化管控平台值守服务、消防执勤服务</w:t>
      </w:r>
      <w:r>
        <w:rPr>
          <w:rFonts w:hint="eastAsia" w:asciiTheme="minorEastAsia" w:hAnsiTheme="minorEastAsia" w:eastAsiaTheme="minorEastAsia" w:cstheme="minorEastAsia"/>
          <w:color w:val="auto"/>
          <w:sz w:val="24"/>
          <w:szCs w:val="24"/>
          <w:highlight w:val="none"/>
        </w:rPr>
        <w:t>整体外包</w:t>
      </w:r>
      <w:r>
        <w:rPr>
          <w:rFonts w:hint="eastAsia" w:asciiTheme="minorEastAsia" w:hAnsiTheme="minorEastAsia" w:eastAsiaTheme="minorEastAsia" w:cstheme="minorEastAsia"/>
          <w:color w:val="auto"/>
          <w:sz w:val="24"/>
          <w:szCs w:val="24"/>
          <w:highlight w:val="none"/>
          <w:lang w:eastAsia="zh-CN"/>
        </w:rPr>
        <w:t>。</w:t>
      </w:r>
    </w:p>
    <w:p w14:paraId="14F4FBFC">
      <w:pPr>
        <w:widowControl w:val="0"/>
        <w:snapToGrid w:val="0"/>
        <w:spacing w:line="360" w:lineRule="auto"/>
        <w:ind w:firstLine="482" w:firstLineChars="200"/>
        <w:jc w:val="left"/>
        <w:rPr>
          <w:rFonts w:ascii="黑体" w:hAnsi="黑体" w:eastAsia="黑体"/>
          <w:b/>
          <w:color w:val="auto"/>
          <w:sz w:val="24"/>
          <w:szCs w:val="24"/>
          <w:highlight w:val="none"/>
        </w:rPr>
      </w:pPr>
      <w:r>
        <w:rPr>
          <w:rFonts w:ascii="黑体" w:hAnsi="黑体" w:eastAsia="黑体"/>
          <w:b/>
          <w:color w:val="auto"/>
          <w:sz w:val="24"/>
          <w:szCs w:val="24"/>
          <w:highlight w:val="none"/>
        </w:rPr>
        <w:t xml:space="preserve">2.2 </w:t>
      </w:r>
      <w:r>
        <w:rPr>
          <w:rFonts w:hint="eastAsia" w:ascii="黑体" w:hAnsi="黑体" w:eastAsia="黑体"/>
          <w:b/>
          <w:color w:val="auto"/>
          <w:sz w:val="24"/>
          <w:szCs w:val="24"/>
          <w:highlight w:val="none"/>
        </w:rPr>
        <w:t>项目落实的政府采购政策（法规标准条款）</w:t>
      </w:r>
    </w:p>
    <w:p w14:paraId="1F72696E">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2.2.1 政府采购节能产品、环境标志产品实施品目清单管理后，对本次采购产品属于“节能产品政府采购品目清单”中强制采购品目的，投标产品应当具有相应的认证证书（认证证书应当为国家确定的认证机构出具、且应处于有效期之内），</w:t>
      </w:r>
      <w:r>
        <w:rPr>
          <w:rFonts w:hint="eastAsia" w:asciiTheme="minorEastAsia" w:hAnsiTheme="minorEastAsia" w:eastAsiaTheme="minorEastAsia" w:cstheme="minorEastAsia"/>
          <w:color w:val="auto"/>
          <w:sz w:val="24"/>
          <w:szCs w:val="24"/>
          <w:highlight w:val="none"/>
          <w:lang w:eastAsia="zh-CN"/>
        </w:rPr>
        <w:t>《投标文件》</w:t>
      </w:r>
      <w:r>
        <w:rPr>
          <w:rFonts w:hint="eastAsia" w:asciiTheme="minorEastAsia" w:hAnsiTheme="minorEastAsia" w:eastAsiaTheme="minorEastAsia" w:cstheme="minorEastAsia"/>
          <w:color w:val="auto"/>
          <w:sz w:val="24"/>
          <w:szCs w:val="24"/>
          <w:highlight w:val="none"/>
        </w:rPr>
        <w:t>中应当提供相应的认证证书（认证证书应当为国家确定的认证机构出具、且应处于有效期之内）。</w:t>
      </w:r>
    </w:p>
    <w:p w14:paraId="2EA051F5">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属于政府强制采购品目、而未按要求提供相应资料的，为无效投标。</w:t>
      </w:r>
    </w:p>
    <w:p w14:paraId="16C5EF99">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2.2.2 同等条件下，获得节能产品认证证书或环境标志产品认证证书的产品优先采购。(认证证书应当为国家确定的认证机构出具、且应处于有效期之内。)</w:t>
      </w:r>
    </w:p>
    <w:p w14:paraId="1DF7F422">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2.2.3</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本次采购产品如有列入《网络关键设备和网络安全专用产品目录》的网络安全专用产品，该产品应当按照《关于调整网络安全专用产品安全管理有关事项的公告》要求进行安全认证或安全检测、或已获得《计算机信息系统安全专用产品销售许可证》（应处于有效期内）。</w:t>
      </w:r>
    </w:p>
    <w:p w14:paraId="02A6D496">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2.2.4</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计算机产品须预装正版操作系统软件。</w:t>
      </w:r>
    </w:p>
    <w:p w14:paraId="33CD19F1">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2.2.5 本次采购不允许进口产品参加。</w:t>
      </w:r>
    </w:p>
    <w:p w14:paraId="507C73D0">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2.2.6</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如允许采购进口产品的，优先采购向我国企业转让技术、与我国企业签订消化吸收再创新方案的供应商的进口产品。</w:t>
      </w:r>
    </w:p>
    <w:p w14:paraId="561C5D52">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2.2.7 促进中小企业发展扶持政策：见第四章“评标办法”第4条。</w:t>
      </w:r>
    </w:p>
    <w:p w14:paraId="4333540F">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2.2.8</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促进残疾人就业、支持监狱企业发展：见第四章“评标办法”第4条。</w:t>
      </w:r>
    </w:p>
    <w:p w14:paraId="2A5EC401">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2.2.9 所供产品有商品包装的应当使用绿色包装。所供产品有其他环保政策要求的，应符合相关环保法律政策要求。</w:t>
      </w:r>
    </w:p>
    <w:p w14:paraId="0A7B4CA6">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2.2.10 支持绿色建筑、绿色建材，支持使用低VOCs含量涂料和胶黏剂，支持不发达、少数民族地区的企业，促进自主创新产业发展，支持脱贫攻坚等；同等条件下，优先采购。</w:t>
      </w:r>
    </w:p>
    <w:p w14:paraId="77422FE8">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2.2.11 执行《国务院办公厅关于在政府采购中实施本国产品标准及相关政策的通知》。</w:t>
      </w:r>
    </w:p>
    <w:p w14:paraId="4679BAAE">
      <w:pPr>
        <w:widowControl w:val="0"/>
        <w:snapToGrid w:val="0"/>
        <w:spacing w:line="360" w:lineRule="auto"/>
        <w:ind w:firstLine="482" w:firstLineChars="200"/>
        <w:jc w:val="left"/>
        <w:rPr>
          <w:rFonts w:ascii="黑体" w:hAnsi="黑体" w:eastAsia="黑体"/>
          <w:b/>
          <w:color w:val="auto"/>
          <w:sz w:val="24"/>
          <w:szCs w:val="24"/>
          <w:highlight w:val="none"/>
        </w:rPr>
      </w:pPr>
      <w:r>
        <w:rPr>
          <w:rFonts w:ascii="黑体" w:hAnsi="黑体" w:eastAsia="黑体"/>
          <w:b/>
          <w:color w:val="auto"/>
          <w:sz w:val="24"/>
          <w:szCs w:val="24"/>
          <w:highlight w:val="none"/>
        </w:rPr>
        <w:t>2.3</w:t>
      </w:r>
      <w:r>
        <w:rPr>
          <w:rFonts w:hint="eastAsia" w:ascii="黑体" w:hAnsi="黑体" w:eastAsia="黑体"/>
          <w:b/>
          <w:color w:val="auto"/>
          <w:sz w:val="24"/>
          <w:szCs w:val="24"/>
          <w:highlight w:val="none"/>
          <w:lang w:val="en-US" w:eastAsia="zh-CN"/>
        </w:rPr>
        <w:t xml:space="preserve"> </w:t>
      </w:r>
      <w:r>
        <w:rPr>
          <w:rFonts w:hint="eastAsia" w:ascii="黑体" w:hAnsi="黑体" w:eastAsia="黑体"/>
          <w:b/>
          <w:color w:val="auto"/>
          <w:sz w:val="24"/>
          <w:szCs w:val="24"/>
          <w:highlight w:val="none"/>
        </w:rPr>
        <w:t>采购标的需执行的国家相关标准、行业标准、地方标准或者其他标准、规范</w:t>
      </w:r>
    </w:p>
    <w:p w14:paraId="439E6072">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人所投服务（及所涉货物材料设施）应符合国家质量标准、部颁标准及行业规范的要求，符合国家各项强制性规范及安全标准，投标服务（及所涉货物材料设施）不应与第三方存在知识产权权属问题；投标人应本着服务客户、为客户着想的宗旨，来完善服务（及所涉货物材料设施）及技术要求未尽事宜，不得以</w:t>
      </w:r>
      <w:r>
        <w:rPr>
          <w:rFonts w:hint="eastAsia" w:asciiTheme="minorEastAsia" w:hAnsiTheme="minorEastAsia" w:eastAsiaTheme="minorEastAsia" w:cstheme="minorEastAsia"/>
          <w:color w:val="auto"/>
          <w:sz w:val="24"/>
          <w:szCs w:val="24"/>
          <w:highlight w:val="none"/>
          <w:lang w:eastAsia="zh-CN"/>
        </w:rPr>
        <w:t>《招标文件》</w:t>
      </w:r>
      <w:r>
        <w:rPr>
          <w:rFonts w:hint="eastAsia" w:asciiTheme="minorEastAsia" w:hAnsiTheme="minorEastAsia" w:eastAsiaTheme="minorEastAsia" w:cstheme="minorEastAsia"/>
          <w:color w:val="auto"/>
          <w:sz w:val="24"/>
          <w:szCs w:val="24"/>
          <w:highlight w:val="none"/>
        </w:rPr>
        <w:t>未列明事项为由，来降低投标服务（及所涉货物材料设施）的质量。</w:t>
      </w:r>
    </w:p>
    <w:p w14:paraId="1155AD88">
      <w:pPr>
        <w:widowControl w:val="0"/>
        <w:snapToGrid w:val="0"/>
        <w:spacing w:line="360" w:lineRule="auto"/>
        <w:ind w:firstLine="482" w:firstLineChars="200"/>
        <w:jc w:val="left"/>
        <w:rPr>
          <w:rFonts w:ascii="黑体" w:hAnsi="黑体" w:eastAsia="黑体"/>
          <w:b/>
          <w:color w:val="auto"/>
          <w:sz w:val="24"/>
          <w:szCs w:val="24"/>
          <w:highlight w:val="none"/>
        </w:rPr>
      </w:pPr>
      <w:r>
        <w:rPr>
          <w:rFonts w:ascii="黑体" w:hAnsi="黑体" w:eastAsia="黑体"/>
          <w:b/>
          <w:color w:val="auto"/>
          <w:sz w:val="24"/>
          <w:szCs w:val="24"/>
          <w:highlight w:val="none"/>
        </w:rPr>
        <w:t>2.4</w:t>
      </w:r>
      <w:r>
        <w:rPr>
          <w:rFonts w:hint="eastAsia" w:ascii="黑体" w:hAnsi="黑体" w:eastAsia="黑体"/>
          <w:b/>
          <w:color w:val="auto"/>
          <w:sz w:val="24"/>
          <w:szCs w:val="24"/>
          <w:highlight w:val="none"/>
          <w:lang w:val="en-US" w:eastAsia="zh-CN"/>
        </w:rPr>
        <w:t xml:space="preserve"> </w:t>
      </w:r>
      <w:r>
        <w:rPr>
          <w:rFonts w:hint="eastAsia" w:ascii="黑体" w:hAnsi="黑体" w:eastAsia="黑体"/>
          <w:b/>
          <w:color w:val="auto"/>
          <w:sz w:val="24"/>
          <w:szCs w:val="24"/>
          <w:highlight w:val="none"/>
        </w:rPr>
        <w:t>标段（包）内容（具体范围、数量），具体服务（技术）要求</w:t>
      </w:r>
    </w:p>
    <w:p w14:paraId="36A963B8">
      <w:pPr>
        <w:widowControl w:val="0"/>
        <w:snapToGrid w:val="0"/>
        <w:spacing w:line="360" w:lineRule="auto"/>
        <w:ind w:firstLine="482" w:firstLineChars="200"/>
        <w:jc w:val="left"/>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一、项目概况</w:t>
      </w:r>
    </w:p>
    <w:p w14:paraId="3E1CBCDB">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根据</w:t>
      </w:r>
      <w:r>
        <w:rPr>
          <w:rFonts w:hint="eastAsia" w:asciiTheme="minorEastAsia" w:hAnsiTheme="minorEastAsia" w:eastAsiaTheme="minorEastAsia" w:cstheme="minorEastAsia"/>
          <w:color w:val="auto"/>
          <w:sz w:val="24"/>
          <w:szCs w:val="24"/>
          <w:highlight w:val="none"/>
          <w:lang w:eastAsia="zh-CN"/>
        </w:rPr>
        <w:t>采购人</w:t>
      </w:r>
      <w:r>
        <w:rPr>
          <w:rFonts w:hint="eastAsia" w:asciiTheme="minorEastAsia" w:hAnsiTheme="minorEastAsia" w:eastAsiaTheme="minorEastAsia" w:cstheme="minorEastAsia"/>
          <w:color w:val="auto"/>
          <w:sz w:val="24"/>
          <w:szCs w:val="24"/>
          <w:highlight w:val="none"/>
        </w:rPr>
        <w:t>工作需要</w:t>
      </w:r>
      <w:r>
        <w:rPr>
          <w:rFonts w:hint="eastAsia" w:asciiTheme="minorEastAsia" w:hAnsiTheme="minorEastAsia" w:eastAsiaTheme="minorEastAsia" w:cstheme="minorEastAsia"/>
          <w:color w:val="auto"/>
          <w:sz w:val="24"/>
          <w:szCs w:val="24"/>
          <w:highlight w:val="none"/>
          <w:lang w:eastAsia="zh-CN"/>
        </w:rPr>
        <w:t>，将化工产业园区所需</w:t>
      </w:r>
      <w:r>
        <w:rPr>
          <w:rFonts w:hint="eastAsia" w:asciiTheme="minorEastAsia" w:hAnsiTheme="minorEastAsia" w:eastAsiaTheme="minorEastAsia" w:cstheme="minorEastAsia"/>
          <w:color w:val="auto"/>
          <w:sz w:val="24"/>
          <w:szCs w:val="24"/>
          <w:highlight w:val="none"/>
          <w:lang w:val="en-US" w:eastAsia="zh-CN"/>
        </w:rPr>
        <w:t>安保服务、安全风险智能化管控平台值守服务、消防执勤服务</w:t>
      </w:r>
      <w:r>
        <w:rPr>
          <w:rFonts w:hint="eastAsia" w:asciiTheme="minorEastAsia" w:hAnsiTheme="minorEastAsia" w:eastAsiaTheme="minorEastAsia" w:cstheme="minorEastAsia"/>
          <w:color w:val="auto"/>
          <w:sz w:val="24"/>
          <w:szCs w:val="24"/>
          <w:highlight w:val="none"/>
        </w:rPr>
        <w:t>整体外包</w:t>
      </w:r>
      <w:r>
        <w:rPr>
          <w:rFonts w:hint="eastAsia" w:asciiTheme="minorEastAsia" w:hAnsiTheme="minorEastAsia" w:eastAsiaTheme="minorEastAsia" w:cstheme="minorEastAsia"/>
          <w:color w:val="auto"/>
          <w:sz w:val="24"/>
          <w:szCs w:val="24"/>
          <w:highlight w:val="none"/>
          <w:lang w:eastAsia="zh-CN"/>
        </w:rPr>
        <w:t>。</w:t>
      </w:r>
    </w:p>
    <w:p w14:paraId="7EBB2A7B">
      <w:pPr>
        <w:widowControl w:val="0"/>
        <w:snapToGrid w:val="0"/>
        <w:spacing w:line="360" w:lineRule="auto"/>
        <w:ind w:firstLine="482" w:firstLineChars="200"/>
        <w:jc w:val="left"/>
        <w:rPr>
          <w:rFonts w:hint="default"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二、安保服务要求</w:t>
      </w:r>
    </w:p>
    <w:p w14:paraId="3B47D2B6">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严格落实化工产业园区封闭化、规范化、安全化管控要求，筑牢园区安全生产第一道防线，规范卡口值守、出入管控、安全巡查、应急处置等各项工作，结合化工产业园区综合卡口、普通卡口、危化品专用卡口、应急备用卡口的功能定位，制定岗位职责，所有卡口值守及管理人员必须严格遵照执行。</w:t>
      </w:r>
      <w:bookmarkStart w:id="2" w:name="heading_0"/>
    </w:p>
    <w:p w14:paraId="235B7B52">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（一）总体核心职责</w:t>
      </w:r>
      <w:bookmarkEnd w:id="2"/>
      <w:r>
        <w:rPr>
          <w:rFonts w:hint="eastAsia" w:asciiTheme="minorEastAsia" w:hAnsiTheme="minorEastAsia" w:eastAsiaTheme="minorEastAsia" w:cstheme="minorEastAsia"/>
          <w:color w:val="auto"/>
          <w:sz w:val="24"/>
          <w:szCs w:val="24"/>
          <w:highlight w:val="none"/>
          <w:lang w:val="en-US" w:eastAsia="zh-CN"/>
        </w:rPr>
        <w:t>：</w:t>
      </w:r>
    </w:p>
    <w:p w14:paraId="6A82055C">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1.严格执行化工产业园区封闭化管理各项规章制度，落实24小时值守制度，全天候管控园区出入口，严禁无关人员、车辆、物资随意进出园区，守住园区安全准入关口。</w:t>
      </w:r>
    </w:p>
    <w:p w14:paraId="3C74F0C5">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2.负责所有入园、出园人员、车辆、物资的身份核验、资质审核、登记备案、放行管控工作，严格区分不同卡口通行权限，杜绝违规通行行为。</w:t>
      </w:r>
    </w:p>
    <w:p w14:paraId="779C412A">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3.开展卡口日常安全巡查、交通疏导、秩序维护工作，及时排查卡口及周边安全隐患，制止各类违规通行、违规操作行为。</w:t>
      </w:r>
    </w:p>
    <w:p w14:paraId="26514C36">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4.做好卡口设备运维、台账记录、信息上报工作，规范留存出入数据，保障卡口智能化管控系统正常运行。</w:t>
      </w:r>
    </w:p>
    <w:p w14:paraId="69891973">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5.配合开展园区安全宣传、防疫管控、交通管理、应急联动工作，妥善处置卡口各类突发状况，保障卡口通行安全、有序、可控。</w:t>
      </w:r>
    </w:p>
    <w:p w14:paraId="0A75AB16">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bookmarkStart w:id="3" w:name="heading_1"/>
      <w:r>
        <w:rPr>
          <w:rFonts w:hint="eastAsia" w:asciiTheme="minorEastAsia" w:hAnsiTheme="minorEastAsia" w:eastAsiaTheme="minorEastAsia" w:cstheme="minorEastAsia"/>
          <w:color w:val="auto"/>
          <w:sz w:val="24"/>
          <w:szCs w:val="24"/>
          <w:highlight w:val="none"/>
          <w:lang w:val="en-US" w:eastAsia="zh-CN"/>
        </w:rPr>
        <w:t>（二）人员出入管控职责</w:t>
      </w:r>
      <w:bookmarkEnd w:id="3"/>
      <w:r>
        <w:rPr>
          <w:rFonts w:hint="eastAsia" w:asciiTheme="minorEastAsia" w:hAnsiTheme="minorEastAsia" w:eastAsiaTheme="minorEastAsia" w:cstheme="minorEastAsia"/>
          <w:color w:val="auto"/>
          <w:sz w:val="24"/>
          <w:szCs w:val="24"/>
          <w:highlight w:val="none"/>
          <w:lang w:val="en-US" w:eastAsia="zh-CN"/>
        </w:rPr>
        <w:t>：</w:t>
      </w:r>
    </w:p>
    <w:p w14:paraId="2927E723">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1.严格核查入园人员身份信息，包括园区企业在职员工、施工人员、外来访客、运维人员等，核对人脸备案信息、工作证件、预约登记信息，无证、无备案、无预约人员一律禁止入园。</w:t>
      </w:r>
    </w:p>
    <w:p w14:paraId="2FCB983C">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2.规范外来人员入园流程，督促外来访客完成预约登记、信息报备、安全告知，登记来访事由、到访企业、停留时长、联系方式等信息，方可放行入园。</w:t>
      </w:r>
    </w:p>
    <w:p w14:paraId="2BB1B636">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3.严禁无关闲散人员、不明人员进入园区，对拒不配合核验、强行闯卡、扰乱卡口秩序的人员，及时劝阻、制止并上报园区管理部门及公安部门。</w:t>
      </w:r>
    </w:p>
    <w:p w14:paraId="3EE30A3F">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4.做好人员出园核查工作，重点核查施工、临时作业人员离岗信息，杜绝无关人员滞留园区封闭区域。</w:t>
      </w:r>
    </w:p>
    <w:p w14:paraId="1655E76A">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5.常态化开展入园安全宣教，提醒入园人员遵守园区封闭管理规定、安全生产及交通通行要求。</w:t>
      </w:r>
    </w:p>
    <w:p w14:paraId="1F358C08">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bookmarkStart w:id="4" w:name="heading_2"/>
      <w:r>
        <w:rPr>
          <w:rFonts w:hint="eastAsia" w:asciiTheme="minorEastAsia" w:hAnsiTheme="minorEastAsia" w:eastAsiaTheme="minorEastAsia" w:cstheme="minorEastAsia"/>
          <w:color w:val="auto"/>
          <w:sz w:val="24"/>
          <w:szCs w:val="24"/>
          <w:highlight w:val="none"/>
          <w:lang w:val="en-US" w:eastAsia="zh-CN"/>
        </w:rPr>
        <w:t>（三）车辆分类管控职责</w:t>
      </w:r>
      <w:bookmarkEnd w:id="4"/>
      <w:r>
        <w:rPr>
          <w:rFonts w:hint="eastAsia" w:asciiTheme="minorEastAsia" w:hAnsiTheme="minorEastAsia" w:eastAsiaTheme="minorEastAsia" w:cstheme="minorEastAsia"/>
          <w:color w:val="auto"/>
          <w:sz w:val="24"/>
          <w:szCs w:val="24"/>
          <w:highlight w:val="none"/>
          <w:lang w:val="en-US" w:eastAsia="zh-CN"/>
        </w:rPr>
        <w:t>：</w:t>
      </w:r>
    </w:p>
    <w:p w14:paraId="6A156A65">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1.根据园区卡口功能划分，严格落实分类通行管控，区分综合卡口、普通卡口、危化品专用卡口、应急卡口通行权限，杜绝混行违规通行。</w:t>
      </w:r>
    </w:p>
    <w:p w14:paraId="75B95925">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bookmarkStart w:id="5" w:name="heading_3"/>
      <w:r>
        <w:rPr>
          <w:rFonts w:hint="eastAsia" w:asciiTheme="minorEastAsia" w:hAnsiTheme="minorEastAsia" w:eastAsiaTheme="minorEastAsia" w:cstheme="minorEastAsia"/>
          <w:color w:val="auto"/>
          <w:sz w:val="24"/>
          <w:szCs w:val="24"/>
          <w:highlight w:val="none"/>
          <w:lang w:val="en-US" w:eastAsia="zh-CN"/>
        </w:rPr>
        <w:t>2.综合卡口管控</w:t>
      </w:r>
      <w:bookmarkEnd w:id="5"/>
      <w:r>
        <w:rPr>
          <w:rFonts w:hint="eastAsia" w:asciiTheme="minorEastAsia" w:hAnsiTheme="minorEastAsia" w:eastAsiaTheme="minorEastAsia" w:cstheme="minorEastAsia"/>
          <w:color w:val="auto"/>
          <w:sz w:val="24"/>
          <w:szCs w:val="24"/>
          <w:highlight w:val="none"/>
          <w:lang w:val="en-US" w:eastAsia="zh-CN"/>
        </w:rPr>
        <w:t>：负责园区小型私家车、企业通勤车、普通货运车、合规危化品运输车辆、外来预约车辆的出入管控，全面核验车辆备案信息、驾驶员资质、车辆年检手续，核查危化品车辆运输资质、押运资质、货物报备信息，严格落实一车一检、一车一登制度。</w:t>
      </w:r>
    </w:p>
    <w:p w14:paraId="0A06A74B">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bookmarkStart w:id="6" w:name="heading_4"/>
      <w:r>
        <w:rPr>
          <w:rFonts w:hint="eastAsia" w:asciiTheme="minorEastAsia" w:hAnsiTheme="minorEastAsia" w:eastAsiaTheme="minorEastAsia" w:cstheme="minorEastAsia"/>
          <w:color w:val="auto"/>
          <w:sz w:val="24"/>
          <w:szCs w:val="24"/>
          <w:highlight w:val="none"/>
          <w:lang w:val="en-US" w:eastAsia="zh-CN"/>
        </w:rPr>
        <w:t>3.普通卡口管控</w:t>
      </w:r>
      <w:bookmarkEnd w:id="6"/>
      <w:r>
        <w:rPr>
          <w:rFonts w:hint="eastAsia" w:asciiTheme="minorEastAsia" w:hAnsiTheme="minorEastAsia" w:eastAsiaTheme="minorEastAsia" w:cstheme="minorEastAsia"/>
          <w:color w:val="auto"/>
          <w:sz w:val="24"/>
          <w:szCs w:val="24"/>
          <w:highlight w:val="none"/>
          <w:lang w:val="en-US" w:eastAsia="zh-CN"/>
        </w:rPr>
        <w:t>：仅限小型车辆、企业通勤车、普通货运车辆、非机动车及人员通行，严禁一切危化品车辆、大型三轴及以上车辆驶入。严格核查通行车辆备案信息，劝离违规车辆，维护日常通行秩序。</w:t>
      </w:r>
    </w:p>
    <w:p w14:paraId="6ED7137E">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bookmarkStart w:id="7" w:name="heading_5"/>
      <w:r>
        <w:rPr>
          <w:rFonts w:hint="eastAsia" w:asciiTheme="minorEastAsia" w:hAnsiTheme="minorEastAsia" w:eastAsiaTheme="minorEastAsia" w:cstheme="minorEastAsia"/>
          <w:color w:val="auto"/>
          <w:sz w:val="24"/>
          <w:szCs w:val="24"/>
          <w:highlight w:val="none"/>
          <w:lang w:val="en-US" w:eastAsia="zh-CN"/>
        </w:rPr>
        <w:t>4.化品专用卡口管控</w:t>
      </w:r>
      <w:bookmarkEnd w:id="7"/>
      <w:r>
        <w:rPr>
          <w:rFonts w:hint="eastAsia" w:asciiTheme="minorEastAsia" w:hAnsiTheme="minorEastAsia" w:eastAsiaTheme="minorEastAsia" w:cstheme="minorEastAsia"/>
          <w:color w:val="auto"/>
          <w:sz w:val="24"/>
          <w:szCs w:val="24"/>
          <w:highlight w:val="none"/>
          <w:lang w:val="en-US" w:eastAsia="zh-CN"/>
        </w:rPr>
        <w:t>：为园区危化品车辆、危废运输车辆专属通行通道，禁止社会车辆、无关车辆通行。严格核验危化品运输车辆《道路运输证》、押运员资质、货物清单、入园报备审批手续，检查车辆防爆、防静电、消防设施完好性，严查超载、超限、无证运输、瞒报运输品类等违规行为，全程做好危化品车辆出入台账登记。</w:t>
      </w:r>
    </w:p>
    <w:p w14:paraId="5696F0B4">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bookmarkStart w:id="8" w:name="heading_6"/>
      <w:r>
        <w:rPr>
          <w:rFonts w:hint="eastAsia" w:asciiTheme="minorEastAsia" w:hAnsiTheme="minorEastAsia" w:eastAsiaTheme="minorEastAsia" w:cstheme="minorEastAsia"/>
          <w:color w:val="auto"/>
          <w:sz w:val="24"/>
          <w:szCs w:val="24"/>
          <w:highlight w:val="none"/>
          <w:lang w:val="en-US" w:eastAsia="zh-CN"/>
        </w:rPr>
        <w:t>5.应急卡口管控</w:t>
      </w:r>
      <w:bookmarkEnd w:id="8"/>
      <w:r>
        <w:rPr>
          <w:rFonts w:hint="eastAsia" w:asciiTheme="minorEastAsia" w:hAnsiTheme="minorEastAsia" w:eastAsiaTheme="minorEastAsia" w:cstheme="minorEastAsia"/>
          <w:color w:val="auto"/>
          <w:sz w:val="24"/>
          <w:szCs w:val="24"/>
          <w:highlight w:val="none"/>
          <w:lang w:val="en-US" w:eastAsia="zh-CN"/>
        </w:rPr>
        <w:t>：日常保持封闭锁定状态，仅在火灾、泄漏、抢险、应急救援、重大抢修等紧急情况下，经园区管理部门、应急管理部门审批后开启，专供应急救援车辆、抢险设备、应急人员通行，严禁私自开启、违规通行，开启后做好全程记录，事后及时封闭复位。</w:t>
      </w:r>
    </w:p>
    <w:p w14:paraId="206836F3">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bookmarkStart w:id="9" w:name="heading_7"/>
      <w:r>
        <w:rPr>
          <w:rFonts w:hint="eastAsia" w:asciiTheme="minorEastAsia" w:hAnsiTheme="minorEastAsia" w:eastAsiaTheme="minorEastAsia" w:cstheme="minorEastAsia"/>
          <w:color w:val="auto"/>
          <w:sz w:val="24"/>
          <w:szCs w:val="24"/>
          <w:highlight w:val="none"/>
          <w:lang w:val="en-US" w:eastAsia="zh-CN"/>
        </w:rPr>
        <w:t>（四）物资出入管控职责</w:t>
      </w:r>
      <w:bookmarkEnd w:id="9"/>
      <w:r>
        <w:rPr>
          <w:rFonts w:hint="eastAsia" w:asciiTheme="minorEastAsia" w:hAnsiTheme="minorEastAsia" w:eastAsiaTheme="minorEastAsia" w:cstheme="minorEastAsia"/>
          <w:color w:val="auto"/>
          <w:sz w:val="24"/>
          <w:szCs w:val="24"/>
          <w:highlight w:val="none"/>
          <w:lang w:val="en-US" w:eastAsia="zh-CN"/>
        </w:rPr>
        <w:t>：</w:t>
      </w:r>
    </w:p>
    <w:p w14:paraId="74C9902A">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1.严格管控园区物资进出，对入园生产物资、设备、施工材料，核对采购报备、企业签收信息，杜绝不明物资违规入园。</w:t>
      </w:r>
    </w:p>
    <w:p w14:paraId="1ED51132">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2.对出园成品、废料、固废、危废等物资，核查出库手续、转运备案凭证，重点严查危废违规外运、偷盗园区物资等行为。</w:t>
      </w:r>
    </w:p>
    <w:p w14:paraId="0C177223">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3.严禁易燃易爆、违禁危险品、管制器具等违规物品私自入园，发现违规物资立即截留、登记并上报处理。</w:t>
      </w:r>
    </w:p>
    <w:p w14:paraId="47973384">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bookmarkStart w:id="10" w:name="heading_8"/>
      <w:r>
        <w:rPr>
          <w:rFonts w:hint="eastAsia" w:asciiTheme="minorEastAsia" w:hAnsiTheme="minorEastAsia" w:eastAsiaTheme="minorEastAsia" w:cstheme="minorEastAsia"/>
          <w:color w:val="auto"/>
          <w:sz w:val="24"/>
          <w:szCs w:val="24"/>
          <w:highlight w:val="none"/>
          <w:lang w:val="en-US" w:eastAsia="zh-CN"/>
        </w:rPr>
        <w:t>（五）日常运维与台账管理职责</w:t>
      </w:r>
      <w:bookmarkEnd w:id="10"/>
      <w:r>
        <w:rPr>
          <w:rFonts w:hint="eastAsia" w:asciiTheme="minorEastAsia" w:hAnsiTheme="minorEastAsia" w:eastAsiaTheme="minorEastAsia" w:cstheme="minorEastAsia"/>
          <w:color w:val="auto"/>
          <w:sz w:val="24"/>
          <w:szCs w:val="24"/>
          <w:highlight w:val="none"/>
          <w:lang w:val="en-US" w:eastAsia="zh-CN"/>
        </w:rPr>
        <w:t>：</w:t>
      </w:r>
    </w:p>
    <w:p w14:paraId="5EEB2E13">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1.严格落实24小时值班值守制度，坚守岗位，不得擅自脱岗、离岗、串岗，做好交接班记录，交接清晰值守情况、隐患问题、待办事项。</w:t>
      </w:r>
    </w:p>
    <w:p w14:paraId="6A34331D">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每日检查卡口道闸、门禁系统、人脸识别设备、车牌识别系统、监控摄像头、隔离设施、警示标识、防爆设施等软硬件设备，发现故障、损坏、失效问题立即上报报修，做好设备运维记录，确保智能化管控系统正常运行。</w:t>
      </w:r>
    </w:p>
    <w:p w14:paraId="30FA6AAC">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3.规范建立各类台账，详细记录人员出入、车辆通行、危化品车辆进出、设备故障、隐患排查、违规处置、上级检查等信息，台账内容真实、完整、规范，留存备查。</w:t>
      </w:r>
    </w:p>
    <w:p w14:paraId="7BA6AA52">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4.保持卡口岗亭及周边环境卫生整洁，规范摆放执勤物资、消防器材、应急装备，保障卡口执勤环境规范有序。</w:t>
      </w:r>
    </w:p>
    <w:p w14:paraId="17277DF3">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bookmarkStart w:id="11" w:name="heading_9"/>
      <w:r>
        <w:rPr>
          <w:rFonts w:hint="eastAsia" w:asciiTheme="minorEastAsia" w:hAnsiTheme="minorEastAsia" w:eastAsiaTheme="minorEastAsia" w:cstheme="minorEastAsia"/>
          <w:color w:val="auto"/>
          <w:sz w:val="24"/>
          <w:szCs w:val="24"/>
          <w:highlight w:val="none"/>
          <w:lang w:val="en-US" w:eastAsia="zh-CN"/>
        </w:rPr>
        <w:t>（六）安全巡查与隐患排查职责</w:t>
      </w:r>
      <w:bookmarkEnd w:id="11"/>
      <w:r>
        <w:rPr>
          <w:rFonts w:hint="eastAsia" w:asciiTheme="minorEastAsia" w:hAnsiTheme="minorEastAsia" w:eastAsiaTheme="minorEastAsia" w:cstheme="minorEastAsia"/>
          <w:color w:val="auto"/>
          <w:sz w:val="24"/>
          <w:szCs w:val="24"/>
          <w:highlight w:val="none"/>
          <w:lang w:val="en-US" w:eastAsia="zh-CN"/>
        </w:rPr>
        <w:t>：</w:t>
      </w:r>
    </w:p>
    <w:p w14:paraId="63C8CA83">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1.定时对卡口出入口、隔离围挡、防护设施、周边道路开展安全巡查，重点排查围挡破损、通道违规开口、设施损坏、私自翻墙闯卡、违规停车等隐患问题。</w:t>
      </w:r>
    </w:p>
    <w:p w14:paraId="66D6D773">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2.严查园区出入口车辆超速、超限、超载、乱停乱放、不按规定通行等交通违规行为，及时疏导卡口拥堵车流、人流，保障通行顺畅安全。</w:t>
      </w:r>
    </w:p>
    <w:p w14:paraId="790774A1">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3.对排查发现的安全隐患、违规问题，立即现场整改；无法当场整改的，第一时间上报园区安监、运维部门，跟踪整改进度，做好闭环记录。</w:t>
      </w:r>
    </w:p>
    <w:p w14:paraId="253230A8">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bookmarkStart w:id="12" w:name="heading_10"/>
      <w:r>
        <w:rPr>
          <w:rFonts w:hint="eastAsia" w:asciiTheme="minorEastAsia" w:hAnsiTheme="minorEastAsia" w:eastAsiaTheme="minorEastAsia" w:cstheme="minorEastAsia"/>
          <w:color w:val="auto"/>
          <w:sz w:val="24"/>
          <w:szCs w:val="24"/>
          <w:highlight w:val="none"/>
          <w:lang w:val="en-US" w:eastAsia="zh-CN"/>
        </w:rPr>
        <w:t>（七）应急处置与联动职责</w:t>
      </w:r>
      <w:bookmarkEnd w:id="12"/>
      <w:r>
        <w:rPr>
          <w:rFonts w:hint="eastAsia" w:asciiTheme="minorEastAsia" w:hAnsiTheme="minorEastAsia" w:eastAsiaTheme="minorEastAsia" w:cstheme="minorEastAsia"/>
          <w:color w:val="auto"/>
          <w:sz w:val="24"/>
          <w:szCs w:val="24"/>
          <w:highlight w:val="none"/>
          <w:lang w:val="en-US" w:eastAsia="zh-CN"/>
        </w:rPr>
        <w:t>：</w:t>
      </w:r>
    </w:p>
    <w:p w14:paraId="49C5A41A">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1.熟悉园区各类突发事件应急处置流程，针对危化品车辆泄漏、闯卡冲突、火灾隐患、人员滞留、极端天气等突发情况，能够快速响应、规范处置。</w:t>
      </w:r>
    </w:p>
    <w:p w14:paraId="0FBC7495">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2.遇到车辆闯卡、暴力抗检、违规闹事等情况，第一时间制止、留存影像证据，上报园区管理处及公安机关，坚决维护卡口管控秩序。</w:t>
      </w:r>
    </w:p>
    <w:p w14:paraId="53CD5B5E">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3.园区发生安全生产事故、应急救援任务时，主动配合开启应急通道，引导应急车辆、救援人员快速通行，协助开展现场管控、人员疏散、秩序维护工作。</w:t>
      </w:r>
    </w:p>
    <w:p w14:paraId="198135A2">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4.严格落实极端天气、节假日、重点时段安保管控要求，加大巡查频次，强化出入核查力度，筑牢安全防线。</w:t>
      </w:r>
    </w:p>
    <w:p w14:paraId="68100ED5">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bookmarkStart w:id="13" w:name="heading_11"/>
      <w:r>
        <w:rPr>
          <w:rFonts w:hint="eastAsia" w:asciiTheme="minorEastAsia" w:hAnsiTheme="minorEastAsia" w:eastAsiaTheme="minorEastAsia" w:cstheme="minorEastAsia"/>
          <w:color w:val="auto"/>
          <w:sz w:val="24"/>
          <w:szCs w:val="24"/>
          <w:highlight w:val="none"/>
          <w:lang w:val="en-US" w:eastAsia="zh-CN"/>
        </w:rPr>
        <w:t>（八）工作纪律与保密职责</w:t>
      </w:r>
      <w:bookmarkEnd w:id="13"/>
      <w:r>
        <w:rPr>
          <w:rFonts w:hint="eastAsia" w:asciiTheme="minorEastAsia" w:hAnsiTheme="minorEastAsia" w:eastAsiaTheme="minorEastAsia" w:cstheme="minorEastAsia"/>
          <w:color w:val="auto"/>
          <w:sz w:val="24"/>
          <w:szCs w:val="24"/>
          <w:highlight w:val="none"/>
          <w:lang w:val="en-US" w:eastAsia="zh-CN"/>
        </w:rPr>
        <w:t>：</w:t>
      </w:r>
    </w:p>
    <w:p w14:paraId="4BE6BE79">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1.严格遵守工作纪律，文明执勤、规范执法，耐心做好政策解释、劝导工作，杜绝态度粗暴、推诿扯皮、徇私放行、违规放行等行为。</w:t>
      </w:r>
    </w:p>
    <w:p w14:paraId="079376D2">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2.坚守岗位底线，严禁私自放行无证人员、违规车辆、违禁物资，严禁利用职权谋取私利，对失职渎职、违规操作造成安全隐患的，承担相应责任。</w:t>
      </w:r>
    </w:p>
    <w:p w14:paraId="3A42EA35">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3.做好园区出入数据、企业信息、监控影像等资料的保密工作，严禁私自泄露、外传园区管控数据及相关涉密信息。</w:t>
      </w:r>
    </w:p>
    <w:p w14:paraId="2B9444AF">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4.积极参加园区组织的安全培训、业务培训、应急演练，熟练掌握卡口管控流程、设备操作、应急处置技能，持续提升岗位履职能力。</w:t>
      </w:r>
    </w:p>
    <w:p w14:paraId="5DCA5BDC">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（九）人员要求：</w:t>
      </w:r>
    </w:p>
    <w:p w14:paraId="321AA529">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1.执行勤务时统一着装（着装统一、标识统一、符合安保要素，由中标人自行配备）、佩戴工作牌，配备必要的通讯设备（如：对讲机、手机等）。</w:t>
      </w:r>
    </w:p>
    <w:p w14:paraId="60EF35CA">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2.共五个卡口，每个卡口一班1人、三班倒。</w:t>
      </w:r>
    </w:p>
    <w:p w14:paraId="7459A77D">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3.人数：15人。要求：①男性，身高不低于1.7米，年龄18至50周岁；②身体健康，无传染性疾病，持健康证或体检合格证明上岗作业；③遵纪守法，接受过</w:t>
      </w:r>
      <w:r>
        <w:rPr>
          <w:rFonts w:hint="eastAsia" w:asciiTheme="minorEastAsia" w:hAnsiTheme="minorEastAsia" w:eastAsiaTheme="minorEastAsia" w:cstheme="minorEastAsia"/>
          <w:color w:val="auto"/>
          <w:sz w:val="24"/>
          <w:szCs w:val="24"/>
          <w:highlight w:val="none"/>
          <w:lang w:val="en-US" w:eastAsia="zh"/>
        </w:rPr>
        <w:t>相关</w:t>
      </w:r>
      <w:r>
        <w:rPr>
          <w:rFonts w:hint="eastAsia" w:asciiTheme="minorEastAsia" w:hAnsiTheme="minorEastAsia" w:eastAsiaTheme="minorEastAsia" w:cstheme="minorEastAsia"/>
          <w:color w:val="auto"/>
          <w:sz w:val="24"/>
          <w:szCs w:val="24"/>
          <w:highlight w:val="none"/>
          <w:lang w:val="en-US" w:eastAsia="zh-CN"/>
        </w:rPr>
        <w:t>训练；④热爱本职工作，认真履行职责，忠于职守，文明执勤，保守机密；⑤高中及以上文化程度（有巡防经验的可放宽至初中文化程度）。人员相关证件（证明）应于中标签订合同之日起5日内报采购人备案，否则视为虚假应标。</w:t>
      </w:r>
    </w:p>
    <w:p w14:paraId="4F6F8A4F">
      <w:pPr>
        <w:widowControl w:val="0"/>
        <w:snapToGrid w:val="0"/>
        <w:spacing w:line="360" w:lineRule="auto"/>
        <w:ind w:firstLine="482" w:firstLineChars="200"/>
        <w:jc w:val="left"/>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三、安全风险智能化管控平台值守服务要求</w:t>
      </w:r>
    </w:p>
    <w:p w14:paraId="6410964D">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化工园区安全风险智能化管控平台共6大模块，包括：安全基础管理、重大危险源安全管理、双重预防机制、特殊作业管理、封闭化管理、敏捷应急；作业人员需熟练掌握各个模块及功能，实现对化工园区内重点场所、重点设施在线实时监测、动态评估和及时自动预警功能，信息化平台应急指挥中心需掌握实时监测情况、动态评估以及处理报警信号，发现问题及时处理。做好平台日常运行状态的监控、维护工作，并做好相关记录。规范安全风险智能化管控平台的值班工作，确保平台24小时不间断、高效稳定的运行，及时有效应对各类安全风险事件，保障企业安全平稳运营。</w:t>
      </w:r>
    </w:p>
    <w:p w14:paraId="67B13AAD">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（一）值班安排：</w:t>
      </w:r>
    </w:p>
    <w:p w14:paraId="1B23042A">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1.值班人员：根据实际工作需求，设立专职或轮值值班人员，确保平台每天24小时都有专人值守。</w:t>
      </w:r>
    </w:p>
    <w:p w14:paraId="38B902E5">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2.值班时间：实行7×24小时不间断值班制度，合理安排每日、每周、每月的值班表， 确保值班衔接有序。</w:t>
      </w:r>
    </w:p>
    <w:p w14:paraId="423F3D3F">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（二）值班职责：</w:t>
      </w:r>
    </w:p>
    <w:p w14:paraId="244062EA">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1.实时监控：值班人员需密切关注平台运行状态，实时监 控各类风险指标和报警信息，做到早发现、早报告、早处理。</w:t>
      </w:r>
    </w:p>
    <w:p w14:paraId="73280B4A">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2.应急处理：在收到预警信息或发生系统故障时，立即启动应急预案，进行初步诊断和处置，并及时上报给相关人员。</w:t>
      </w:r>
    </w:p>
    <w:p w14:paraId="07AAD7CF">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3.记录与报告：详细记录值班期间平台运行状况、处理事件的过程、结果等内容， 按要求撰写值班日志，并按时向上级领导汇报值班情况。</w:t>
      </w:r>
    </w:p>
    <w:p w14:paraId="6F25EBDD">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4.负责值班期间突发事件和重大事件的上报及协调处理。</w:t>
      </w:r>
    </w:p>
    <w:p w14:paraId="6218C540">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5.负责平台安全保卫、消防、防盗等工作。</w:t>
      </w:r>
    </w:p>
    <w:p w14:paraId="5C1718BC">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（三）交接班管理：</w:t>
      </w:r>
    </w:p>
    <w:p w14:paraId="60FE5E41">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1.交接流程：交接班时，交班人员应向接班人员详细说明当前平台运行状况、待处理事项以及注意事项，确保信息无缝对接。</w:t>
      </w:r>
    </w:p>
    <w:p w14:paraId="6EFF4DB2">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2.签到签退：严格执行签到签退制度，确保值班人员按时到岗、离岗，并认真填写交接班记录表。</w:t>
      </w:r>
    </w:p>
    <w:p w14:paraId="640E139D">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（四）值班纪律：</w:t>
      </w:r>
    </w:p>
    <w:p w14:paraId="7A17E55B">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1.按排定的值班表进行值班，如请假或有特殊情况，由采购人协调。</w:t>
      </w:r>
    </w:p>
    <w:p w14:paraId="7BF02C0E">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2.值班人员必须遵守值班纪律，坚守岗位，不允许迟到、早退、脱岗或无故不值班，不允许做与值班无关的事，杜绝值班期间饮酒。</w:t>
      </w:r>
    </w:p>
    <w:p w14:paraId="1D0D69BA">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3.值班人员工作时间内不得无故离开化工产业园区智慧化平台值班室，保持手机畅通，以便在紧急情况下能够迅速联系和调度。</w:t>
      </w:r>
    </w:p>
    <w:p w14:paraId="147248C5">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4.值班期间发现的智慧化平台异常情况要如实、全面的进行记录。</w:t>
      </w:r>
    </w:p>
    <w:p w14:paraId="54A1AFF9">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5.交接班期间，凡当班未处理好问题要认真做好记录，说明情况，移交处理。</w:t>
      </w:r>
    </w:p>
    <w:p w14:paraId="343D669D">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（五）人员培训：</w:t>
      </w:r>
    </w:p>
    <w:p w14:paraId="07F1E1FF">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1.培训内容：</w:t>
      </w:r>
    </w:p>
    <w:p w14:paraId="7E927752">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1.1 平台功能模块讲解：详细介绍平台的各项功能模块、操作流程及应用场景，确保熟知并掌握各个模块的使用方法。</w:t>
      </w:r>
    </w:p>
    <w:p w14:paraId="592F2246">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1.2 系统操作培训：包括账户登录、数据录入、查询、分 析、预警等功能的实际操作演示及实操练习。</w:t>
      </w:r>
    </w:p>
    <w:p w14:paraId="387E9D69">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1.3 应急处置培训：针对可能出现的系统故障、安全事件等情况，进行应急处置流程的培训，并组织应急演练。</w:t>
      </w:r>
    </w:p>
    <w:p w14:paraId="03929EDC">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2.培训形式：</w:t>
      </w:r>
    </w:p>
    <w:p w14:paraId="5E395173">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 新员工入职培训：新入职涉及平台使用的员工在入职初期必须参加统一的基础培训课程，通过考核后才能获得平台使用权限。</w:t>
      </w:r>
    </w:p>
    <w:p w14:paraId="29142135">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 定期再培训：根据平台更新、政策法规变化、业务发展需求等实际情况，定期组织专题培训和复习培训。</w:t>
      </w:r>
    </w:p>
    <w:p w14:paraId="0418913B">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 自主学习：提供相关的线上教程、操作手册等学习资料，鼓励员工自主学习和提升。</w:t>
      </w:r>
    </w:p>
    <w:p w14:paraId="0902DBEF">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3.培训考核：</w:t>
      </w:r>
    </w:p>
    <w:p w14:paraId="2C5AB3CA">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3.1 培训结束后，组织实操考核，成绩合格者方能取得平台使用资格。</w:t>
      </w:r>
    </w:p>
    <w:p w14:paraId="26CF0C98">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 将平台使用表现和安全风险防控成效纳入员工绩效考核范畴，以此激励和督促员工持续提升平台使用技能。</w:t>
      </w:r>
    </w:p>
    <w:p w14:paraId="0EB8CD44">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（六）人员要求：</w:t>
      </w:r>
    </w:p>
    <w:p w14:paraId="100122DB">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1.执行勤务时统一着装（着装统一、标识统一、符合安保要素，由中标人自行配备）、佩戴工作牌，配备必要的通讯设备（如：对讲机、手机等）。</w:t>
      </w:r>
    </w:p>
    <w:p w14:paraId="11AB2E61">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2.24小时值班，一班2人，三班倒。</w:t>
      </w:r>
    </w:p>
    <w:p w14:paraId="1FF3DE80">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人数：6人。要求：①年龄22至40周岁；②身体健康，无传染性疾病，持健康证或体检合格证明上岗作业；③有良好的语言沟通能力及相关业务知识，具有较强的学习能力，能够刻苦钻研安全生产领域、信息化的专业知识，不断提升自身业务水平；④品行良好、作风端正、遵纪守法、服从组织安排；⑤高中及以上文化程度。人员相关证件（证明）应于中标签订合同之日起5日内报采购人备案，否则视为虚假应标。</w:t>
      </w:r>
    </w:p>
    <w:p w14:paraId="2FF767FA">
      <w:pPr>
        <w:widowControl w:val="0"/>
        <w:snapToGrid w:val="0"/>
        <w:spacing w:line="360" w:lineRule="auto"/>
        <w:ind w:firstLine="482" w:firstLineChars="200"/>
        <w:jc w:val="left"/>
        <w:rPr>
          <w:rFonts w:hint="default"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四、消防执勤服务要求</w:t>
      </w:r>
    </w:p>
    <w:p w14:paraId="7ACED8AB">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规范化工产业园区消防救援工作，立足园区危化品储存、生产、输送、处置等高风险特性，筑牢园区消防安全防线，防范化解火灾、爆炸、泄漏、中毒等各类安全事故，依据《中华人民共和国消防法》、《化工园区消防救援站建设规范》及危化品应急处置相关标准，结合园区安全生产实际，制定岗位职责。园区消防队为园区专职应急消防救援力量，实行24小时全天候执勤战备制度，独立承担园区全域火灾扑救、危化品事故应急处置、消防安全巡查、应急保障、宣传培训等工作，接受属地消防救援机构统一调度、业务指导，联动园区应急、安监、环保、企业专职消防力量开展协同作业。</w:t>
      </w:r>
    </w:p>
    <w:p w14:paraId="788AF38E">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（一）核心岗位职责：</w:t>
      </w:r>
    </w:p>
    <w:p w14:paraId="63D67BF0">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1.执勤战备与值班值守职责：</w:t>
      </w:r>
    </w:p>
    <w:p w14:paraId="3833F0DC">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1.1 严格落实24小时专人在岗、轮流值守、战备待命制度，无脱岗、漏岗、擅离职守情况，保证接警、出警指令秒级响应，全年常态化保持战备状态。</w:t>
      </w:r>
    </w:p>
    <w:p w14:paraId="5D87C9D9">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1.2 规范值守台账管理，精准记录接警信息、出警处置、巡查情况、装备检修、值班交接等内容，做到台账完整、数据真实、有据可查。</w:t>
      </w:r>
    </w:p>
    <w:p w14:paraId="1167DC7C">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1.3 常态化熟悉园区全域地形、消防管网、消防水源、消防通道、应急疏散场地，熟记园区各企业生产装置区、储罐区、危废暂存库、管廊通道、易燃易爆点位等重点风险区域分布。</w:t>
      </w:r>
    </w:p>
    <w:p w14:paraId="09C52700">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1.4 严格执行值班交接制度，明确交接内容、战备状态、隐患点位、待办工作，确保执勤工作无缝衔接、不留空档。</w:t>
      </w:r>
    </w:p>
    <w:p w14:paraId="0F51193E">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2.火灾扑救与应急救援处置职责：</w:t>
      </w:r>
    </w:p>
    <w:p w14:paraId="5D8F4DFD">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 负责园区全域范围内各类火灾事故处置，重点处置危化品火灾、储罐起火、装置爆炸、管道燃爆等化工类特殊火灾，科学实施灭火、降温、抑爆、隔离作业。</w:t>
      </w:r>
    </w:p>
    <w:p w14:paraId="00E026BE">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 承担园区突发安全生产事故应急救援工作，精准开展危化品泄漏封堵、稀释中和、防爆隔离、有毒气体侦检、人员洗消等专项处置工作。</w:t>
      </w:r>
    </w:p>
    <w:p w14:paraId="0776CEDE">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 负责事故现场人员搜救、伤员转移、被困人员疏散，划定警戒区域、管控现场秩序，防止次生火灾、爆炸、中毒、环境污染等衍生事故。</w:t>
      </w:r>
    </w:p>
    <w:p w14:paraId="5EE32016">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2.4 服从属地消防救援机构统一调度，主动参与周边区域联动救援任务，配合开展跨区域、跨部门应急协同处置工作。</w:t>
      </w:r>
    </w:p>
    <w:p w14:paraId="487835C1">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2.5 事故处置结束后，做好现场监护、余火清理、隐患复核工作，杜绝复燃、复泄风险，规范完成事故处置复盘总结。</w:t>
      </w:r>
    </w:p>
    <w:p w14:paraId="0100FA68">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3.消防安全巡查与隐患排查职责：</w:t>
      </w:r>
    </w:p>
    <w:p w14:paraId="48C8C3C3">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3.1 开展园区常态化消防巡查，每日对园区公共区域、主干道消防通道、消防栓、消防水池、管网阀门、应急照明、警示标识等公共消防设施进行全覆盖检查，确保完好有效、正常可用。</w:t>
      </w:r>
    </w:p>
    <w:p w14:paraId="63C857FC">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 重点对入园企业高危区域开展专项巡查，聚焦生产装置、储罐区、危化品仓库、危废堆放点、配电室、中控室等关键部位，排查违规动火、违规操作、堵塞通道、设施失效、违规存储等消防安全隐患。</w:t>
      </w:r>
    </w:p>
    <w:p w14:paraId="73FFC9DC">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3.3 建立隐患排查台账，对排查发现的一般隐患现场督促整改，重大隐患立即上报园区应急管理部门，下发整改提示，跟踪闭环整改，全程记录隐患发现、交办、整改、复核全过程。</w:t>
      </w:r>
    </w:p>
    <w:p w14:paraId="40C0D023">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3.4 协助园区开展消防安全专项整治、节前安全检查、高危作业督查，重点管控动火作业、受限空间作业、检维修作业等高风险作业的消防安保工作。</w:t>
      </w:r>
    </w:p>
    <w:p w14:paraId="0449826F">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4.预案管理与实战演练职责：</w:t>
      </w:r>
    </w:p>
    <w:p w14:paraId="2F1849A6">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4.1 结合园区危化品风险特点，协助编制、修订园区火灾事故、危化品泄漏、爆炸事故等专项应急预案，指导入园企业完善内部消防应急处置预案。</w:t>
      </w:r>
    </w:p>
    <w:p w14:paraId="72642025">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4.2 定期组织队伍内部实战化训练，针对性开展化工火灾扑救、危化品堵漏、侦检洗消、防爆处置、伤员救援等专业技能训练，提升化工场景专项救援能力。</w:t>
      </w:r>
    </w:p>
    <w:p w14:paraId="7BA9ABC7">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4.3 牵头或配合园区、入园企业开展月度、季度、年度消防应急演练，组织开展政企联动、多部门协同演练，检验预案可行性、队伍实战性、联动顺畅性。</w:t>
      </w:r>
    </w:p>
    <w:p w14:paraId="0F32C7E7">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4.4 每次演练、训练后开展复盘评估，梳理短板弱项，优化处置流程、改进战术战法，持续提升队伍应急处置专业化水平。</w:t>
      </w:r>
    </w:p>
    <w:p w14:paraId="03A085FE">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5.消防装备与物资管理职责：</w:t>
      </w:r>
    </w:p>
    <w:p w14:paraId="2D05510F">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5.1 负责园区所有消防车辆、灭火器材、空气呼吸器、侦检设备、破拆工具、堵漏装备、洗消设备、防护装备等救援物资的日常管护、定期检修、保养校验。</w:t>
      </w:r>
    </w:p>
    <w:p w14:paraId="70221C05">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5.2 严格落实装备物资台账管理制度，分类登记、定点存放、专人管护，对损耗、过期、损坏装备及时报备、更换、补充，易损耗材按标准储备备用量，确保所有装备随时处于战备状态。</w:t>
      </w:r>
    </w:p>
    <w:p w14:paraId="1EA2C15B">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5.3 规范装备操作使用流程，组织队员开展装备实操培训，确保全员熟练掌握各类化工专用救援装备的操作、维护、应急使用方法。</w:t>
      </w:r>
    </w:p>
    <w:p w14:paraId="5212BB34">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5.4 定期检查园区消防水源、管网压力、应急泵站等固定消防设施，及时上报设施故障、管网破损、水压不足等问题，保障园区消防供水稳定可靠。</w:t>
      </w:r>
    </w:p>
    <w:p w14:paraId="38BD3545">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6.消防宣传与教育培训职责：</w:t>
      </w:r>
    </w:p>
    <w:p w14:paraId="35545D12">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6.1 常态化开展园区消防安全宣传工作，通过现场宣讲、海报公示、警示教育、班前培训等形式，普及危化品防火、防爆、防泄漏、应急逃生、初期火灾处置等安全知识。</w:t>
      </w:r>
    </w:p>
    <w:p w14:paraId="0D67F717">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6.2 定期对入园企业员工、园区工作人员、物业人员开展消防实操培训，重点培训灭火器、消防栓使用方法、初期火情处置、海姆立克急救、疏散逃生、应急自救技能。</w:t>
      </w:r>
    </w:p>
    <w:p w14:paraId="7E6E8B03">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6.3 针对化工行业高危特性，开展专项警示教育，普及危化品事故风险、违规作业危害、应急处置禁忌等专业知识，提升园区全员消防安全意识和自救互救能力。</w:t>
      </w:r>
    </w:p>
    <w:p w14:paraId="31E39B41">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7.政企联动与协同值守职责：</w:t>
      </w:r>
    </w:p>
    <w:p w14:paraId="5BC824FC">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7.1 建立与属地消防大队、园区应急办、安监、环保、公安、医疗等部门的常态化联动机制，畅通信息报送、指令传达、协同处置渠道。</w:t>
      </w:r>
    </w:p>
    <w:p w14:paraId="1ABD1A7E">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7.2 对接各入园企业专职消防队伍、微型消防站，建立联防联控机制，明确分工、互通信息、协同作战，形成园区消防救援合力。</w:t>
      </w:r>
    </w:p>
    <w:p w14:paraId="6BD6BE68">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7.3 重大节假日、重大生产活动、高危施工期间，落实定点值守、动态巡查制度，提前排查风险、前置救援力量，保障园区安全生产形势稳定。</w:t>
      </w:r>
    </w:p>
    <w:p w14:paraId="3184712C">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（八）内务管理与应急保障职责：</w:t>
      </w:r>
    </w:p>
    <w:p w14:paraId="2DDCDAAD">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 严格落实队伍内务管理制度，规范队员日常执勤、训练、作息、着装纪律，打造纪律严明、作风过硬、反应迅速的专业化消防队伍。</w:t>
      </w:r>
    </w:p>
    <w:p w14:paraId="7AA417F9">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8.2 做好队伍后勤保障工作，保障执勤、训练、救援物资供应，定期开展队员安全防护、应急救护培训，做好救援作业安全防护，杜绝作业伤亡事故。</w:t>
      </w:r>
    </w:p>
    <w:p w14:paraId="5498B04C">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 及时整理、归档消防巡查、应急处置、训练演练、隐患整改、宣传培训等各类资料，建立完整的消防工作档案，为园区消防安全管理、风险研判、工作总结提供依据。</w:t>
      </w:r>
    </w:p>
    <w:p w14:paraId="723D7DF1">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（二）工作纪律与责任要求：</w:t>
      </w:r>
    </w:p>
    <w:p w14:paraId="21208957">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1.全体队员必须坚守岗位、履职尽责，严格遵守战备值守制度，杜绝脱岗、怠工、违规操作等行为，确保快速响应、科学处置、高效救援。</w:t>
      </w:r>
    </w:p>
    <w:p w14:paraId="5AEF88D9">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2.严格规范化工事故处置流程，杜绝盲目施救、违规处置，严格落实防爆、防毒、防灼伤安全防护措施，严守危化品应急处置操作规程。</w:t>
      </w:r>
    </w:p>
    <w:p w14:paraId="339DDD70">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3.对工作履职不到位、隐患排查漏报瞒报、处置不力、装备管护不当造成安全事故的，依规追究相关人员责任。</w:t>
      </w:r>
    </w:p>
    <w:p w14:paraId="48748BD5">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4.主动接受上级主管部门监督检查，持续优化工作流程，提升园区化工火灾、危化品事故专业化处置能力，全面保障园区安全生产稳定。</w:t>
      </w:r>
    </w:p>
    <w:p w14:paraId="7171D957">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（三）人员要求：</w:t>
      </w:r>
    </w:p>
    <w:p w14:paraId="3F5187FE">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宋体" w:hAnsi="宋体" w:eastAsia="宋体" w:cs="宋体"/>
          <w:b w:val="0"/>
          <w:bCs/>
          <w:color w:val="auto"/>
          <w:sz w:val="24"/>
          <w:szCs w:val="24"/>
          <w:highlight w:val="none"/>
          <w:lang w:eastAsia="zh-CN"/>
        </w:rPr>
        <w:t>执行勤务时</w:t>
      </w:r>
      <w:r>
        <w:rPr>
          <w:rFonts w:hint="eastAsia" w:asciiTheme="minorEastAsia" w:hAnsiTheme="minorEastAsia" w:eastAsiaTheme="minorEastAsia" w:cstheme="minorEastAsia"/>
          <w:color w:val="auto"/>
          <w:sz w:val="24"/>
          <w:szCs w:val="24"/>
          <w:highlight w:val="none"/>
          <w:lang w:val="en-US" w:eastAsia="zh-CN"/>
        </w:rPr>
        <w:t>统一着装</w:t>
      </w:r>
      <w:r>
        <w:rPr>
          <w:rFonts w:hint="eastAsia" w:ascii="宋体" w:hAnsi="宋体" w:eastAsia="宋体" w:cs="宋体"/>
          <w:b w:val="0"/>
          <w:bCs/>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着装统一、标识统一，</w:t>
      </w:r>
      <w:r>
        <w:rPr>
          <w:rFonts w:hint="eastAsia" w:ascii="宋体" w:hAnsi="宋体" w:eastAsia="宋体" w:cs="宋体"/>
          <w:b w:val="0"/>
          <w:bCs/>
          <w:color w:val="auto"/>
          <w:sz w:val="24"/>
          <w:szCs w:val="24"/>
          <w:highlight w:val="none"/>
          <w:lang w:eastAsia="zh-CN"/>
        </w:rPr>
        <w:t>由</w:t>
      </w:r>
      <w:r>
        <w:rPr>
          <w:rFonts w:hint="eastAsia" w:ascii="宋体" w:hAnsi="宋体" w:cs="宋体"/>
          <w:b w:val="0"/>
          <w:bCs/>
          <w:color w:val="auto"/>
          <w:sz w:val="24"/>
          <w:szCs w:val="24"/>
          <w:highlight w:val="none"/>
          <w:lang w:val="en-US" w:eastAsia="zh-CN"/>
        </w:rPr>
        <w:t>采购人提供</w:t>
      </w:r>
      <w:r>
        <w:rPr>
          <w:rFonts w:hint="eastAsia" w:ascii="宋体" w:hAnsi="宋体" w:eastAsia="宋体" w:cs="宋体"/>
          <w:b w:val="0"/>
          <w:bCs/>
          <w:color w:val="auto"/>
          <w:sz w:val="24"/>
          <w:szCs w:val="24"/>
          <w:highlight w:val="none"/>
          <w:lang w:eastAsia="zh-CN"/>
        </w:rPr>
        <w:t>）</w:t>
      </w:r>
      <w:r>
        <w:rPr>
          <w:rFonts w:hint="eastAsia" w:ascii="宋体" w:hAnsi="宋体" w:cs="宋体"/>
          <w:b w:val="0"/>
          <w:bCs/>
          <w:color w:val="auto"/>
          <w:sz w:val="24"/>
          <w:szCs w:val="24"/>
          <w:highlight w:val="none"/>
          <w:lang w:val="en-US" w:eastAsia="zh-CN"/>
        </w:rPr>
        <w:t>。</w:t>
      </w:r>
    </w:p>
    <w:p w14:paraId="18EB0D59">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宋体" w:hAnsi="宋体" w:eastAsia="宋体" w:cs="宋体"/>
          <w:b w:val="0"/>
          <w:bCs/>
          <w:color w:val="auto"/>
          <w:sz w:val="24"/>
          <w:szCs w:val="24"/>
          <w:highlight w:val="none"/>
          <w:lang w:eastAsia="zh-CN"/>
        </w:rPr>
        <w:t>24小时执勤战备</w:t>
      </w:r>
      <w:r>
        <w:rPr>
          <w:rFonts w:hint="eastAsia" w:asciiTheme="minorEastAsia" w:hAnsiTheme="minorEastAsia" w:eastAsiaTheme="minorEastAsia" w:cstheme="minorEastAsia"/>
          <w:color w:val="auto"/>
          <w:sz w:val="24"/>
          <w:szCs w:val="24"/>
          <w:highlight w:val="none"/>
          <w:lang w:val="en-US" w:eastAsia="zh-CN"/>
        </w:rPr>
        <w:t>。</w:t>
      </w:r>
    </w:p>
    <w:p w14:paraId="1D2AB3F7">
      <w:pPr>
        <w:widowControl w:val="0"/>
        <w:snapToGrid w:val="0"/>
        <w:spacing w:line="360" w:lineRule="auto"/>
        <w:ind w:firstLine="480" w:firstLineChars="200"/>
        <w:jc w:val="left"/>
        <w:rPr>
          <w:rFonts w:hint="eastAsia" w:ascii="宋体" w:hAnsi="宋体" w:cs="宋体"/>
          <w:b w:val="0"/>
          <w:bCs/>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人数：30人。要求：①男性，身高不低于1.65米，年龄18至35周岁；驾驶员须具有A1或A2或B2驾驶证，驾驶经验丰富，年龄可放宽至45周岁；②身体条件符合《消防员职业健康标准》，身心健康，五官端正，举止大方，谈吐清晰，无口吃、重听和其它传染性疾病，双眼视力正常，无色盲、色弱及影响视力的眼部疾病，无残疾；③具有中华人民共和国国籍，拥护中华人民共和国宪法，拥护中国共产党的基本路线、方针和政策，忠于祖国、热爱人民；④具有良好的品行，遵纪守法，保守秘密，政治素质高，遵守宪法和法律，具有较强的事业心和责任心，热爱消防事业，能够适应24小时执勤战备需要；⑤高中及以上文化程度。人员上岗前须经过采购人统一考核合格，人员相关证件（证明）应于中标签订合同之日起5日内报采购人备案，否则视为虚假应标。</w:t>
      </w:r>
    </w:p>
    <w:p w14:paraId="20DBDB6D">
      <w:pPr>
        <w:widowControl w:val="0"/>
        <w:snapToGrid w:val="0"/>
        <w:spacing w:line="360" w:lineRule="auto"/>
        <w:ind w:firstLine="482" w:firstLineChars="200"/>
        <w:jc w:val="left"/>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五、其他要求</w:t>
      </w:r>
    </w:p>
    <w:p w14:paraId="30B3BC88">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1.中标人须配置专人作为项目负责人，负责项目对接、总体日常管理及监督检查工作；其他管理人员根据项目需要自行配置。</w:t>
      </w:r>
    </w:p>
    <w:p w14:paraId="64A4737A">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中标人应依法规范用工，与作业人员签订正式劳务合同，自主发放和缴纳作业人员的工资及各项福利待遇、制服及劳保用品、劳动保险等；因用工纠纷及劳动事故造成的一切责任及风险由中标人独立承担，采购人不承担任何连带责任。</w:t>
      </w:r>
    </w:p>
    <w:p w14:paraId="4EA64ECA">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3.严禁作业人员监守自盗，杜绝外盗现象发生，不得聘用品行不端、被刑事处罚、劳动教养、</w:t>
      </w:r>
      <w:r>
        <w:rPr>
          <w:rFonts w:hint="eastAsia" w:asciiTheme="minorEastAsia" w:hAnsiTheme="minorEastAsia" w:eastAsiaTheme="minorEastAsia" w:cstheme="minorEastAsia"/>
          <w:color w:val="auto"/>
          <w:sz w:val="24"/>
          <w:szCs w:val="24"/>
          <w:highlight w:val="none"/>
          <w:lang w:val="en-US" w:eastAsia="zh-CN"/>
        </w:rPr>
        <w:fldChar w:fldCharType="begin"/>
      </w:r>
      <w:r>
        <w:rPr>
          <w:rFonts w:hint="eastAsia" w:asciiTheme="minorEastAsia" w:hAnsiTheme="minorEastAsia" w:eastAsiaTheme="minorEastAsia" w:cstheme="minorEastAsia"/>
          <w:color w:val="auto"/>
          <w:sz w:val="24"/>
          <w:szCs w:val="24"/>
          <w:highlight w:val="none"/>
          <w:lang w:val="en-US" w:eastAsia="zh-CN"/>
        </w:rPr>
        <w:instrText xml:space="preserve"> HYPERLINK "http://www.so.com/s?q=%E6%94%B6%E5%AE%B9%E6%95%99%E8%82%B2&amp;ie=utf-8&amp;src=wenda_link" \t "_blank" </w:instrText>
      </w:r>
      <w:r>
        <w:rPr>
          <w:rFonts w:hint="eastAsia" w:asciiTheme="minorEastAsia" w:hAnsiTheme="minorEastAsia" w:eastAsiaTheme="minorEastAsia" w:cstheme="minorEastAsia"/>
          <w:color w:val="auto"/>
          <w:sz w:val="24"/>
          <w:szCs w:val="24"/>
          <w:highlight w:val="none"/>
          <w:lang w:val="en-US" w:eastAsia="zh-CN"/>
        </w:rPr>
        <w:fldChar w:fldCharType="separate"/>
      </w:r>
      <w:r>
        <w:rPr>
          <w:rFonts w:hint="eastAsia" w:asciiTheme="minorEastAsia" w:hAnsiTheme="minorEastAsia" w:eastAsiaTheme="minorEastAsia" w:cstheme="minorEastAsia"/>
          <w:color w:val="auto"/>
          <w:sz w:val="24"/>
          <w:szCs w:val="24"/>
          <w:highlight w:val="none"/>
          <w:lang w:val="en-US" w:eastAsia="zh-CN"/>
        </w:rPr>
        <w:t>收容教育</w:t>
      </w:r>
      <w:r>
        <w:rPr>
          <w:rFonts w:hint="eastAsia" w:asciiTheme="minorEastAsia" w:hAnsiTheme="minorEastAsia" w:eastAsiaTheme="minorEastAsia" w:cstheme="minorEastAsia"/>
          <w:color w:val="auto"/>
          <w:sz w:val="24"/>
          <w:szCs w:val="24"/>
          <w:highlight w:val="none"/>
          <w:lang w:val="en-US" w:eastAsia="zh-CN"/>
        </w:rPr>
        <w:fldChar w:fldCharType="end"/>
      </w:r>
      <w:r>
        <w:rPr>
          <w:rFonts w:hint="eastAsia" w:asciiTheme="minorEastAsia" w:hAnsiTheme="minorEastAsia" w:eastAsiaTheme="minorEastAsia" w:cstheme="minorEastAsia"/>
          <w:color w:val="auto"/>
          <w:sz w:val="24"/>
          <w:szCs w:val="24"/>
          <w:highlight w:val="none"/>
          <w:lang w:val="en-US" w:eastAsia="zh-CN"/>
        </w:rPr>
        <w:t>、强制隔离戒毒或者被开除公职、开除军籍、法轮功及其他邪教人员等人员。不得聘用公益性岗位、退休职工、劳务派遣等人员。</w:t>
      </w:r>
    </w:p>
    <w:p w14:paraId="01DE04F6">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作业人员由中标人统一进行岗前培训、定期考核及管理，作业人员应熟知岗位职责，建立人员工作规范、质量管理目标、考核评估制度和奖惩办法。自觉服从采购人管理，遵守和执行行业制度及采购人有关制度规定。</w:t>
      </w:r>
    </w:p>
    <w:p w14:paraId="0C2248F7">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5.任何作业人员的更换须征得采购人管理人员同意，未经采购人同意不得更换。采购人有权对违规或不称职人员向中标人提出处罚、调换或辞退请求，中标人应当接受并执行。</w:t>
      </w:r>
    </w:p>
    <w:p w14:paraId="5CBC515C">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6.对采购人反映的任何服务问题及时做出整改直至达到采购人要求，多次整改不到位或拒绝整改的、采购人有权单方面解除合同。</w:t>
      </w:r>
    </w:p>
    <w:p w14:paraId="53364E97">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7.服务过程中应保证人员及设备安全，如在服务过程中出现人员及设备安全事故，中标人应自行承担相应责任。</w:t>
      </w:r>
    </w:p>
    <w:p w14:paraId="7396E985">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8.服务过程中产生重大安全事故或因安全问题造成恶劣舆情，采购人有权单方面解除合同。</w:t>
      </w:r>
    </w:p>
    <w:p w14:paraId="72635E88">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9.采购人有权视中标人的违约情况，依据合同约定对中标人进行处罚、要求中标人承担违约责任，直至解除合同。</w:t>
      </w:r>
    </w:p>
    <w:p w14:paraId="13BDB6C2">
      <w:pPr>
        <w:keepNext w:val="0"/>
        <w:keepLines w:val="0"/>
        <w:pageBreakBefore w:val="0"/>
        <w:widowControl w:val="0"/>
        <w:kinsoku/>
        <w:wordWrap/>
        <w:overflowPunct/>
        <w:topLinePunct w:val="0"/>
        <w:autoSpaceDE/>
        <w:autoSpaceDN/>
        <w:bidi w:val="0"/>
        <w:adjustRightInd/>
        <w:snapToGrid w:val="0"/>
        <w:spacing w:before="313" w:beforeLines="100" w:line="360" w:lineRule="auto"/>
        <w:ind w:firstLine="482" w:firstLineChars="200"/>
        <w:jc w:val="left"/>
        <w:textAlignment w:val="baseline"/>
        <w:rPr>
          <w:rFonts w:ascii="黑体" w:hAnsi="黑体" w:eastAsia="黑体"/>
          <w:b/>
          <w:color w:val="auto"/>
          <w:sz w:val="24"/>
          <w:szCs w:val="24"/>
          <w:highlight w:val="none"/>
        </w:rPr>
      </w:pPr>
      <w:r>
        <w:rPr>
          <w:rFonts w:ascii="黑体" w:hAnsi="黑体" w:eastAsia="黑体"/>
          <w:b/>
          <w:color w:val="auto"/>
          <w:sz w:val="24"/>
          <w:szCs w:val="24"/>
          <w:highlight w:val="none"/>
        </w:rPr>
        <w:t>2.</w:t>
      </w:r>
      <w:r>
        <w:rPr>
          <w:rFonts w:hint="eastAsia" w:ascii="黑体" w:hAnsi="黑体" w:eastAsia="黑体"/>
          <w:b/>
          <w:color w:val="auto"/>
          <w:sz w:val="24"/>
          <w:szCs w:val="24"/>
          <w:highlight w:val="none"/>
        </w:rPr>
        <w:t>5</w:t>
      </w:r>
      <w:r>
        <w:rPr>
          <w:rFonts w:ascii="黑体" w:hAnsi="黑体" w:eastAsia="黑体"/>
          <w:b/>
          <w:color w:val="auto"/>
          <w:sz w:val="24"/>
          <w:szCs w:val="24"/>
          <w:highlight w:val="none"/>
        </w:rPr>
        <w:t xml:space="preserve"> </w:t>
      </w:r>
      <w:r>
        <w:rPr>
          <w:rFonts w:hint="eastAsia" w:ascii="黑体" w:hAnsi="黑体" w:eastAsia="黑体"/>
          <w:b/>
          <w:color w:val="auto"/>
          <w:sz w:val="24"/>
          <w:szCs w:val="24"/>
          <w:highlight w:val="none"/>
        </w:rPr>
        <w:t>安</w:t>
      </w:r>
      <w:r>
        <w:rPr>
          <w:rFonts w:ascii="黑体" w:hAnsi="黑体" w:eastAsia="黑体"/>
          <w:b/>
          <w:color w:val="auto"/>
          <w:sz w:val="24"/>
          <w:szCs w:val="24"/>
          <w:highlight w:val="none"/>
        </w:rPr>
        <w:t>全</w:t>
      </w:r>
    </w:p>
    <w:p w14:paraId="174EE95A">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投标服务（及所涉货物材料设施）应符合国家、行业的各项安全标准，投标人对投标服务（及所涉货物材料设施）的安全性承担全部责任。服务期内不符合保障人身、财产安全的国家标准、行业标准的服务（及所涉货物材料设施），将依法承担民事及相应刑事责任。合同履行中的安全责任由中标人承担全部责任。</w:t>
      </w:r>
    </w:p>
    <w:p w14:paraId="136B23AE">
      <w:pPr>
        <w:widowControl w:val="0"/>
        <w:snapToGrid w:val="0"/>
        <w:spacing w:line="360" w:lineRule="auto"/>
        <w:ind w:firstLine="482" w:firstLineChars="200"/>
        <w:jc w:val="left"/>
        <w:rPr>
          <w:rFonts w:ascii="黑体" w:hAnsi="黑体" w:eastAsia="黑体"/>
          <w:b/>
          <w:color w:val="auto"/>
          <w:sz w:val="24"/>
          <w:szCs w:val="24"/>
          <w:highlight w:val="none"/>
        </w:rPr>
      </w:pPr>
      <w:r>
        <w:rPr>
          <w:rFonts w:ascii="黑体" w:hAnsi="黑体" w:eastAsia="黑体"/>
          <w:b/>
          <w:color w:val="auto"/>
          <w:sz w:val="24"/>
          <w:szCs w:val="24"/>
          <w:highlight w:val="none"/>
        </w:rPr>
        <w:t>2.</w:t>
      </w:r>
      <w:r>
        <w:rPr>
          <w:rFonts w:hint="eastAsia" w:ascii="黑体" w:hAnsi="黑体" w:eastAsia="黑体"/>
          <w:b/>
          <w:color w:val="auto"/>
          <w:sz w:val="24"/>
          <w:szCs w:val="24"/>
          <w:highlight w:val="none"/>
        </w:rPr>
        <w:t>6</w:t>
      </w:r>
      <w:r>
        <w:rPr>
          <w:rFonts w:ascii="黑体" w:hAnsi="黑体" w:eastAsia="黑体"/>
          <w:b/>
          <w:color w:val="auto"/>
          <w:sz w:val="24"/>
          <w:szCs w:val="24"/>
          <w:highlight w:val="none"/>
        </w:rPr>
        <w:t xml:space="preserve"> </w:t>
      </w:r>
      <w:r>
        <w:rPr>
          <w:rFonts w:hint="eastAsia" w:ascii="黑体" w:hAnsi="黑体" w:eastAsia="黑体"/>
          <w:b/>
          <w:color w:val="auto"/>
          <w:sz w:val="24"/>
          <w:szCs w:val="24"/>
          <w:highlight w:val="none"/>
          <w:lang w:eastAsia="zh-CN"/>
        </w:rPr>
        <w:t>《投标文件》</w:t>
      </w:r>
      <w:r>
        <w:rPr>
          <w:rFonts w:hint="eastAsia" w:ascii="黑体" w:hAnsi="黑体" w:eastAsia="黑体"/>
          <w:b/>
          <w:color w:val="auto"/>
          <w:sz w:val="24"/>
          <w:szCs w:val="24"/>
          <w:highlight w:val="none"/>
        </w:rPr>
        <w:t>对“具体服务（技术）要求”的</w:t>
      </w:r>
      <w:r>
        <w:rPr>
          <w:rFonts w:ascii="黑体" w:hAnsi="黑体" w:eastAsia="黑体"/>
          <w:b/>
          <w:color w:val="auto"/>
          <w:sz w:val="24"/>
          <w:szCs w:val="24"/>
          <w:highlight w:val="none"/>
        </w:rPr>
        <w:t>响应</w:t>
      </w:r>
    </w:p>
    <w:p w14:paraId="0665B5F8">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“2.4 标段（包）内容（具体范围、数量），具体服务（技术）要求”为采购需求的基础性要求，服务内容应当明确。《投标文件》技术参数抄袭《招标文件》“具体服务（技术）要求”，投标服务内容不明确的、或与采购需求不一致的，评标委员会有权按照实质性判断原则评定其为无效投标。</w:t>
      </w:r>
    </w:p>
    <w:p w14:paraId="2ECEBFF6">
      <w:pPr>
        <w:widowControl w:val="0"/>
        <w:snapToGrid w:val="0"/>
        <w:spacing w:line="360" w:lineRule="auto"/>
        <w:ind w:firstLine="482" w:firstLineChars="200"/>
        <w:jc w:val="left"/>
        <w:rPr>
          <w:rFonts w:ascii="黑体" w:hAnsi="黑体" w:eastAsia="黑体"/>
          <w:b/>
          <w:color w:val="auto"/>
          <w:sz w:val="24"/>
          <w:szCs w:val="24"/>
          <w:highlight w:val="none"/>
        </w:rPr>
      </w:pPr>
      <w:r>
        <w:rPr>
          <w:rFonts w:ascii="黑体" w:hAnsi="黑体" w:eastAsia="黑体"/>
          <w:b/>
          <w:color w:val="auto"/>
          <w:sz w:val="24"/>
          <w:szCs w:val="24"/>
          <w:highlight w:val="none"/>
        </w:rPr>
        <w:t>2.</w:t>
      </w:r>
      <w:r>
        <w:rPr>
          <w:rFonts w:hint="eastAsia" w:ascii="黑体" w:hAnsi="黑体" w:eastAsia="黑体"/>
          <w:b/>
          <w:color w:val="auto"/>
          <w:sz w:val="24"/>
          <w:szCs w:val="24"/>
          <w:highlight w:val="none"/>
        </w:rPr>
        <w:t>7</w:t>
      </w:r>
      <w:r>
        <w:rPr>
          <w:rFonts w:hint="eastAsia" w:ascii="黑体" w:hAnsi="黑体" w:eastAsia="黑体"/>
          <w:b/>
          <w:color w:val="auto"/>
          <w:sz w:val="24"/>
          <w:szCs w:val="24"/>
          <w:highlight w:val="none"/>
          <w:lang w:val="en-US" w:eastAsia="zh-CN"/>
        </w:rPr>
        <w:t xml:space="preserve"> </w:t>
      </w:r>
      <w:r>
        <w:rPr>
          <w:rFonts w:hint="eastAsia" w:ascii="黑体" w:hAnsi="黑体" w:eastAsia="黑体"/>
          <w:b/>
          <w:color w:val="auto"/>
          <w:sz w:val="24"/>
          <w:szCs w:val="24"/>
          <w:highlight w:val="none"/>
        </w:rPr>
        <w:t>技术偏离</w:t>
      </w:r>
    </w:p>
    <w:p w14:paraId="5A021FEE">
      <w:pPr>
        <w:widowControl w:val="0"/>
        <w:snapToGrid w:val="0"/>
        <w:spacing w:line="360" w:lineRule="auto"/>
        <w:ind w:firstLine="482" w:firstLineChars="200"/>
        <w:jc w:val="left"/>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2.7.1 ★不接受负偏差，低于“具体服务（技术）要求”的、为无效投标。</w:t>
      </w:r>
    </w:p>
    <w:p w14:paraId="39CD1643">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2.7.2 《投标文件》对技术偏差的描述要求：见第三章“投标人须知”3.7.3项。</w:t>
      </w:r>
    </w:p>
    <w:p w14:paraId="2998C682">
      <w:pPr>
        <w:widowControl w:val="0"/>
        <w:snapToGrid w:val="0"/>
        <w:spacing w:line="360" w:lineRule="auto"/>
        <w:ind w:firstLine="482" w:firstLineChars="200"/>
        <w:jc w:val="left"/>
        <w:rPr>
          <w:rFonts w:ascii="黑体" w:hAnsi="黑体" w:eastAsia="黑体"/>
          <w:b/>
          <w:color w:val="auto"/>
          <w:sz w:val="24"/>
          <w:szCs w:val="24"/>
          <w:highlight w:val="none"/>
        </w:rPr>
      </w:pPr>
      <w:r>
        <w:rPr>
          <w:rFonts w:ascii="黑体" w:hAnsi="黑体" w:eastAsia="黑体"/>
          <w:b/>
          <w:color w:val="auto"/>
          <w:sz w:val="24"/>
          <w:szCs w:val="24"/>
          <w:highlight w:val="none"/>
        </w:rPr>
        <w:t>2.</w:t>
      </w:r>
      <w:r>
        <w:rPr>
          <w:rFonts w:hint="eastAsia" w:ascii="黑体" w:hAnsi="黑体" w:eastAsia="黑体"/>
          <w:b/>
          <w:color w:val="auto"/>
          <w:sz w:val="24"/>
          <w:szCs w:val="24"/>
          <w:highlight w:val="none"/>
          <w:lang w:val="en-US" w:eastAsia="zh-CN"/>
        </w:rPr>
        <w:t xml:space="preserve">8 </w:t>
      </w:r>
      <w:r>
        <w:rPr>
          <w:rFonts w:hint="eastAsia" w:ascii="黑体" w:hAnsi="黑体" w:eastAsia="黑体"/>
          <w:b/>
          <w:color w:val="auto"/>
          <w:sz w:val="24"/>
          <w:szCs w:val="24"/>
          <w:highlight w:val="none"/>
        </w:rPr>
        <w:t>保险</w:t>
      </w:r>
    </w:p>
    <w:p w14:paraId="0B413C32">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投标人应遵循国家相关保险的规定，依照法规规定，根据项目属性需要，办理货物设施等的财产保险、危险作业人员的工伤和意外伤害保险、设计和工程保险、第三方责任险，相关保险费用及相应责任由中标人承担。</w:t>
      </w:r>
    </w:p>
    <w:p w14:paraId="21FE9829">
      <w:pPr>
        <w:widowControl w:val="0"/>
        <w:snapToGrid w:val="0"/>
        <w:spacing w:line="360" w:lineRule="auto"/>
        <w:ind w:firstLine="482" w:firstLineChars="200"/>
        <w:jc w:val="left"/>
        <w:rPr>
          <w:rFonts w:ascii="黑体" w:hAnsi="黑体" w:eastAsia="黑体"/>
          <w:b/>
          <w:color w:val="auto"/>
          <w:sz w:val="24"/>
          <w:szCs w:val="24"/>
          <w:highlight w:val="none"/>
        </w:rPr>
      </w:pPr>
      <w:r>
        <w:rPr>
          <w:rFonts w:ascii="黑体" w:hAnsi="黑体" w:eastAsia="黑体"/>
          <w:b/>
          <w:color w:val="auto"/>
          <w:sz w:val="24"/>
          <w:szCs w:val="24"/>
          <w:highlight w:val="none"/>
        </w:rPr>
        <w:t>2.</w:t>
      </w:r>
      <w:r>
        <w:rPr>
          <w:rFonts w:hint="eastAsia" w:ascii="黑体" w:hAnsi="黑体" w:eastAsia="黑体"/>
          <w:b/>
          <w:color w:val="auto"/>
          <w:sz w:val="24"/>
          <w:szCs w:val="24"/>
          <w:highlight w:val="none"/>
          <w:lang w:val="en-US" w:eastAsia="zh-CN"/>
        </w:rPr>
        <w:t>9</w:t>
      </w:r>
      <w:r>
        <w:rPr>
          <w:rFonts w:ascii="黑体" w:hAnsi="黑体" w:eastAsia="黑体"/>
          <w:b/>
          <w:color w:val="auto"/>
          <w:sz w:val="24"/>
          <w:szCs w:val="24"/>
          <w:highlight w:val="none"/>
        </w:rPr>
        <w:t xml:space="preserve"> </w:t>
      </w:r>
      <w:r>
        <w:rPr>
          <w:rFonts w:hint="eastAsia" w:ascii="黑体" w:hAnsi="黑体" w:eastAsia="黑体"/>
          <w:b/>
          <w:color w:val="auto"/>
          <w:sz w:val="24"/>
          <w:szCs w:val="24"/>
          <w:highlight w:val="none"/>
        </w:rPr>
        <w:t>采购标的的验收标准</w:t>
      </w:r>
    </w:p>
    <w:p w14:paraId="500FC084">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zh-CN" w:eastAsia="zh-CN"/>
        </w:rPr>
        <w:t>见第三章“投标人须知”第9条“验收”条款。</w:t>
      </w:r>
    </w:p>
    <w:p w14:paraId="22394F23">
      <w:pPr>
        <w:pStyle w:val="3"/>
        <w:ind w:left="0" w:leftChars="0" w:firstLine="0" w:firstLineChars="0"/>
        <w:rPr>
          <w:rFonts w:hint="default"/>
          <w:color w:val="auto"/>
          <w:highlight w:val="none"/>
          <w:lang w:val="en-US" w:eastAsia="zh-CN"/>
        </w:rPr>
      </w:pPr>
    </w:p>
    <w:p w14:paraId="4C1C671A">
      <w:pPr>
        <w:widowControl w:val="0"/>
        <w:snapToGrid w:val="0"/>
        <w:spacing w:line="360" w:lineRule="auto"/>
        <w:ind w:firstLine="422" w:firstLineChars="150"/>
        <w:jc w:val="left"/>
        <w:outlineLvl w:val="1"/>
        <w:rPr>
          <w:rFonts w:ascii="黑体" w:hAnsi="黑体" w:eastAsia="黑体"/>
          <w:b/>
          <w:color w:val="auto"/>
          <w:sz w:val="28"/>
          <w:highlight w:val="none"/>
        </w:rPr>
      </w:pPr>
      <w:bookmarkStart w:id="14" w:name="_Toc20305"/>
      <w:bookmarkStart w:id="15" w:name="_Toc65676676"/>
      <w:r>
        <w:rPr>
          <w:rFonts w:hint="eastAsia" w:ascii="黑体" w:hAnsi="黑体" w:eastAsia="黑体"/>
          <w:b/>
          <w:color w:val="auto"/>
          <w:sz w:val="28"/>
          <w:highlight w:val="none"/>
        </w:rPr>
        <w:t>3</w:t>
      </w:r>
      <w:r>
        <w:rPr>
          <w:rFonts w:ascii="黑体" w:hAnsi="黑体" w:eastAsia="黑体"/>
          <w:b/>
          <w:color w:val="auto"/>
          <w:sz w:val="28"/>
          <w:highlight w:val="none"/>
        </w:rPr>
        <w:t xml:space="preserve">. </w:t>
      </w:r>
      <w:r>
        <w:rPr>
          <w:rFonts w:hint="eastAsia" w:ascii="黑体" w:hAnsi="黑体" w:eastAsia="黑体"/>
          <w:b/>
          <w:color w:val="auto"/>
          <w:sz w:val="28"/>
          <w:highlight w:val="none"/>
        </w:rPr>
        <w:t>项目其他要求</w:t>
      </w:r>
      <w:bookmarkEnd w:id="14"/>
      <w:bookmarkEnd w:id="15"/>
    </w:p>
    <w:p w14:paraId="550F9BD6">
      <w:pPr>
        <w:widowControl w:val="0"/>
        <w:snapToGrid w:val="0"/>
        <w:spacing w:line="360" w:lineRule="auto"/>
        <w:ind w:firstLine="482" w:firstLineChars="200"/>
        <w:jc w:val="left"/>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3.1 安阳新型化工产业园区铜冶片区管理委员会安阳新型化工产业园区铜冶片区服务外包项目的中小企业划分标准所属行业为：租赁和商务服务业。</w:t>
      </w:r>
    </w:p>
    <w:p w14:paraId="00FAA947">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提醒：投标人按照《招标文件》中标明的服务项目的所属行业、按该行业所对应的中小企业划分标准，作为服务的承接商（供应商）是否属于中小企业的判断标准。</w:t>
      </w:r>
    </w:p>
    <w:p w14:paraId="51B39CB8">
      <w:pPr>
        <w:widowControl w:val="0"/>
        <w:snapToGrid w:val="0"/>
        <w:spacing w:line="360" w:lineRule="auto"/>
        <w:ind w:firstLine="480" w:firstLineChars="20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投标人不应按照自身的行业属性作为中小企业的判断标准（应按《招标文件》标明的所属行业进行判断）。</w:t>
      </w:r>
    </w:p>
    <w:p w14:paraId="1304B4E0">
      <w:bookmarkStart w:id="16" w:name="_GoBack"/>
      <w:bookmarkEnd w:id="16"/>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886ACF"/>
    <w:rsid w:val="08886A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57" w:lineRule="atLeast"/>
      <w:jc w:val="both"/>
      <w:textAlignment w:val="baseline"/>
    </w:pPr>
    <w:rPr>
      <w:rFonts w:ascii="Times New Roman" w:hAnsi="Times New Roman" w:eastAsia="宋体" w:cs="Times New Roman"/>
      <w:color w:val="000000"/>
      <w:sz w:val="21"/>
      <w:u w:color="000000"/>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Plain Text"/>
    <w:basedOn w:val="1"/>
    <w:next w:val="3"/>
    <w:qFormat/>
    <w:uiPriority w:val="99"/>
    <w:pPr>
      <w:widowControl w:val="0"/>
      <w:spacing w:line="240" w:lineRule="auto"/>
      <w:textAlignment w:val="auto"/>
    </w:pPr>
    <w:rPr>
      <w:rFonts w:ascii="宋体" w:hAnsi="Courier New"/>
    </w:rPr>
  </w:style>
  <w:style w:type="paragraph" w:styleId="3">
    <w:name w:val="Body Text Indent 2"/>
    <w:basedOn w:val="1"/>
    <w:next w:val="4"/>
    <w:qFormat/>
    <w:uiPriority w:val="0"/>
    <w:pPr>
      <w:spacing w:line="480" w:lineRule="auto"/>
      <w:ind w:firstLine="480" w:firstLineChars="200"/>
    </w:pPr>
    <w:rPr>
      <w:rFonts w:ascii="仿宋_GB2312" w:hAnsi="宋体" w:eastAsia="仿宋_GB2312"/>
      <w:sz w:val="24"/>
      <w:szCs w:val="24"/>
    </w:rPr>
  </w:style>
  <w:style w:type="paragraph" w:customStyle="1" w:styleId="4">
    <w:name w:val="z正文"/>
    <w:basedOn w:val="2"/>
    <w:autoRedefine/>
    <w:qFormat/>
    <w:uiPriority w:val="0"/>
    <w:pPr>
      <w:tabs>
        <w:tab w:val="left" w:pos="525"/>
      </w:tabs>
      <w:snapToGrid w:val="0"/>
      <w:spacing w:line="360" w:lineRule="auto"/>
    </w:pPr>
    <w:rPr>
      <w:rFonts w:ascii="Times New Roman" w:hAnsi="宋体"/>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2026-07-24T03:17:00Z</dcterms:created>
  <dc:creator>Administrator</dc:creator>
  <cp:lastModifiedBy>Administrator</cp:lastModifiedBy>
  <dcterms:modified xsi:type="dcterms:W3CDTF">2026-07-24T03:17:27Z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C20CE80ADD5B4BCD9B4BECD2D170E6CC_11</vt:lpwstr>
  </property>
  <property fmtid="{D5CDD505-2E9C-101B-9397-08002B2CF9AE}" pid="4" name="KSOTemplateDocerSaveRecord">
    <vt:lpwstr>eyJoZGlkIjoiYzRlYzE4NmFkNWE4NGFlNjlkMjJmNTIzODdmN2JjZGIiLCJ1c2VySWQiOiI0Mjg5NzQzNDUifQ==</vt:lpwstr>
  </property>
</Properties>
</file>