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98C54F">
      <w:pPr>
        <w:widowControl w:val="0"/>
        <w:snapToGrid w:val="0"/>
        <w:spacing w:line="560" w:lineRule="exact"/>
        <w:ind w:firstLine="241" w:firstLineChars="50"/>
        <w:jc w:val="center"/>
        <w:rPr>
          <w:rFonts w:eastAsia="黑体"/>
          <w:b/>
          <w:color w:val="auto"/>
          <w:spacing w:val="40"/>
          <w:sz w:val="40"/>
          <w:szCs w:val="40"/>
          <w:highlight w:val="none"/>
        </w:rPr>
      </w:pPr>
    </w:p>
    <w:p w14:paraId="7CACCFB1">
      <w:pPr>
        <w:widowControl w:val="0"/>
        <w:snapToGrid w:val="0"/>
        <w:spacing w:line="560" w:lineRule="exact"/>
        <w:ind w:firstLine="241" w:firstLineChars="50"/>
        <w:jc w:val="center"/>
        <w:rPr>
          <w:rFonts w:eastAsia="黑体"/>
          <w:b/>
          <w:color w:val="auto"/>
          <w:spacing w:val="40"/>
          <w:sz w:val="40"/>
          <w:szCs w:val="40"/>
          <w:highlight w:val="none"/>
        </w:rPr>
      </w:pPr>
    </w:p>
    <w:p w14:paraId="699D56B6">
      <w:pPr>
        <w:widowControl w:val="0"/>
        <w:snapToGrid w:val="0"/>
        <w:spacing w:line="560" w:lineRule="exact"/>
        <w:ind w:firstLine="241" w:firstLineChars="50"/>
        <w:jc w:val="center"/>
        <w:rPr>
          <w:rFonts w:eastAsia="黑体"/>
          <w:b/>
          <w:color w:val="auto"/>
          <w:spacing w:val="40"/>
          <w:sz w:val="40"/>
          <w:szCs w:val="40"/>
          <w:highlight w:val="none"/>
        </w:rPr>
      </w:pPr>
    </w:p>
    <w:p w14:paraId="0443A137">
      <w:pPr>
        <w:widowControl w:val="0"/>
        <w:snapToGrid w:val="0"/>
        <w:spacing w:line="560" w:lineRule="exact"/>
        <w:ind w:firstLine="221" w:firstLineChars="50"/>
        <w:jc w:val="center"/>
        <w:rPr>
          <w:rFonts w:hint="eastAsia" w:ascii="黑体" w:eastAsia="黑体"/>
          <w:b/>
          <w:color w:val="auto"/>
          <w:spacing w:val="40"/>
          <w:sz w:val="44"/>
          <w:szCs w:val="44"/>
          <w:highlight w:val="none"/>
          <w:lang w:eastAsia="zh-CN"/>
        </w:rPr>
      </w:pPr>
      <w:r>
        <w:rPr>
          <w:rFonts w:hint="eastAsia" w:ascii="黑体" w:eastAsia="黑体"/>
          <w:b/>
          <w:color w:val="auto"/>
          <w:sz w:val="44"/>
          <w:szCs w:val="44"/>
          <w:highlight w:val="none"/>
          <w:lang w:eastAsia="zh-CN"/>
        </w:rPr>
        <w:t>安阳县公安局机房UPS电源、通信设备建设项目</w:t>
      </w:r>
    </w:p>
    <w:p w14:paraId="71951C91">
      <w:pPr>
        <w:widowControl w:val="0"/>
        <w:snapToGrid w:val="0"/>
        <w:spacing w:before="240" w:beforeLines="100" w:line="560" w:lineRule="exact"/>
        <w:jc w:val="center"/>
        <w:rPr>
          <w:rFonts w:eastAsia="黑体"/>
          <w:b/>
          <w:color w:val="auto"/>
          <w:sz w:val="44"/>
          <w:highlight w:val="none"/>
        </w:rPr>
      </w:pPr>
    </w:p>
    <w:p w14:paraId="49BFBB28">
      <w:pPr>
        <w:widowControl w:val="0"/>
        <w:snapToGrid w:val="0"/>
        <w:spacing w:before="240" w:beforeLines="100" w:line="240" w:lineRule="auto"/>
        <w:jc w:val="center"/>
        <w:rPr>
          <w:rFonts w:eastAsia="黑体"/>
          <w:b/>
          <w:color w:val="auto"/>
          <w:sz w:val="44"/>
          <w:highlight w:val="none"/>
        </w:rPr>
      </w:pPr>
    </w:p>
    <w:p w14:paraId="1705B27C">
      <w:pPr>
        <w:widowControl w:val="0"/>
        <w:snapToGrid w:val="0"/>
        <w:spacing w:before="240" w:beforeLines="100" w:line="240" w:lineRule="auto"/>
        <w:jc w:val="center"/>
        <w:rPr>
          <w:rFonts w:eastAsia="黑体"/>
          <w:b/>
          <w:color w:val="auto"/>
          <w:sz w:val="44"/>
          <w:highlight w:val="none"/>
        </w:rPr>
      </w:pPr>
    </w:p>
    <w:p w14:paraId="7527F41A">
      <w:pPr>
        <w:widowControl w:val="0"/>
        <w:snapToGrid w:val="0"/>
        <w:spacing w:before="240" w:beforeLines="100" w:line="240" w:lineRule="auto"/>
        <w:jc w:val="center"/>
        <w:rPr>
          <w:rFonts w:ascii="华文新魏" w:hAnsi="微软雅黑" w:eastAsia="华文新魏"/>
          <w:b/>
          <w:color w:val="auto"/>
          <w:sz w:val="116"/>
          <w:szCs w:val="116"/>
          <w:highlight w:val="none"/>
        </w:rPr>
      </w:pPr>
      <w:r>
        <w:rPr>
          <w:rFonts w:hint="eastAsia" w:ascii="华文新魏" w:hAnsi="微软雅黑" w:eastAsia="华文新魏"/>
          <w:b/>
          <w:color w:val="auto"/>
          <w:sz w:val="116"/>
          <w:szCs w:val="116"/>
          <w:highlight w:val="none"/>
        </w:rPr>
        <w:t>谈</w:t>
      </w:r>
      <w:r>
        <w:rPr>
          <w:rFonts w:ascii="华文新魏" w:hAnsi="微软雅黑" w:eastAsia="华文新魏"/>
          <w:b/>
          <w:color w:val="auto"/>
          <w:sz w:val="116"/>
          <w:szCs w:val="116"/>
          <w:highlight w:val="none"/>
        </w:rPr>
        <w:t xml:space="preserve"> </w:t>
      </w:r>
      <w:r>
        <w:rPr>
          <w:rFonts w:hint="eastAsia" w:ascii="华文新魏" w:hAnsi="微软雅黑" w:eastAsia="华文新魏"/>
          <w:b/>
          <w:color w:val="auto"/>
          <w:sz w:val="116"/>
          <w:szCs w:val="116"/>
          <w:highlight w:val="none"/>
        </w:rPr>
        <w:t>判</w:t>
      </w:r>
      <w:r>
        <w:rPr>
          <w:rFonts w:ascii="华文新魏" w:hAnsi="微软雅黑" w:eastAsia="华文新魏"/>
          <w:b/>
          <w:color w:val="auto"/>
          <w:sz w:val="116"/>
          <w:szCs w:val="116"/>
          <w:highlight w:val="none"/>
        </w:rPr>
        <w:t xml:space="preserve"> </w:t>
      </w:r>
      <w:r>
        <w:rPr>
          <w:rFonts w:hint="eastAsia" w:ascii="华文新魏" w:hAnsi="微软雅黑" w:eastAsia="华文新魏"/>
          <w:b/>
          <w:color w:val="auto"/>
          <w:sz w:val="116"/>
          <w:szCs w:val="116"/>
          <w:highlight w:val="none"/>
        </w:rPr>
        <w:t>文</w:t>
      </w:r>
      <w:r>
        <w:rPr>
          <w:rFonts w:ascii="华文新魏" w:hAnsi="微软雅黑" w:eastAsia="华文新魏"/>
          <w:b/>
          <w:color w:val="auto"/>
          <w:sz w:val="116"/>
          <w:szCs w:val="116"/>
          <w:highlight w:val="none"/>
        </w:rPr>
        <w:t xml:space="preserve"> </w:t>
      </w:r>
      <w:r>
        <w:rPr>
          <w:rFonts w:hint="eastAsia" w:ascii="华文新魏" w:hAnsi="微软雅黑" w:eastAsia="华文新魏"/>
          <w:b/>
          <w:color w:val="auto"/>
          <w:sz w:val="116"/>
          <w:szCs w:val="116"/>
          <w:highlight w:val="none"/>
        </w:rPr>
        <w:t>件</w:t>
      </w:r>
    </w:p>
    <w:p w14:paraId="59C58115">
      <w:pPr>
        <w:widowControl w:val="0"/>
        <w:snapToGrid w:val="0"/>
        <w:spacing w:before="240" w:beforeLines="100" w:line="560" w:lineRule="exact"/>
        <w:jc w:val="center"/>
        <w:rPr>
          <w:rFonts w:ascii="宋体" w:hAnsi="宋体"/>
          <w:color w:val="auto"/>
          <w:sz w:val="32"/>
          <w:szCs w:val="32"/>
          <w:highlight w:val="none"/>
        </w:rPr>
      </w:pPr>
      <w:r>
        <w:rPr>
          <w:rFonts w:hint="eastAsia" w:ascii="宋体" w:hAnsi="宋体"/>
          <w:color w:val="auto"/>
          <w:sz w:val="32"/>
          <w:szCs w:val="32"/>
          <w:highlight w:val="none"/>
        </w:rPr>
        <w:t>项目编号：安县竞谈采购-2026-18</w:t>
      </w:r>
      <w:r>
        <w:rPr>
          <w:rFonts w:ascii="宋体" w:hAnsi="宋体"/>
          <w:color w:val="auto"/>
          <w:sz w:val="32"/>
          <w:szCs w:val="32"/>
          <w:highlight w:val="none"/>
        </w:rPr>
        <w:t xml:space="preserve"> </w:t>
      </w:r>
    </w:p>
    <w:p w14:paraId="23238596">
      <w:pPr>
        <w:widowControl w:val="0"/>
        <w:snapToGrid w:val="0"/>
        <w:spacing w:before="240" w:beforeLines="100" w:line="560" w:lineRule="exact"/>
        <w:jc w:val="center"/>
        <w:rPr>
          <w:rFonts w:eastAsia="黑体"/>
          <w:b/>
          <w:color w:val="auto"/>
          <w:sz w:val="44"/>
          <w:highlight w:val="none"/>
        </w:rPr>
      </w:pPr>
    </w:p>
    <w:p w14:paraId="75255D86">
      <w:pPr>
        <w:widowControl w:val="0"/>
        <w:snapToGrid w:val="0"/>
        <w:spacing w:before="240" w:beforeLines="100" w:line="560" w:lineRule="exact"/>
        <w:jc w:val="center"/>
        <w:rPr>
          <w:rFonts w:eastAsia="黑体"/>
          <w:b/>
          <w:color w:val="auto"/>
          <w:sz w:val="44"/>
          <w:highlight w:val="none"/>
        </w:rPr>
      </w:pPr>
    </w:p>
    <w:p w14:paraId="6455554E">
      <w:pPr>
        <w:widowControl w:val="0"/>
        <w:snapToGrid w:val="0"/>
        <w:spacing w:before="240" w:beforeLines="100" w:line="560" w:lineRule="exact"/>
        <w:jc w:val="center"/>
        <w:rPr>
          <w:rFonts w:eastAsia="黑体"/>
          <w:b/>
          <w:color w:val="auto"/>
          <w:sz w:val="44"/>
          <w:highlight w:val="none"/>
        </w:rPr>
      </w:pPr>
    </w:p>
    <w:p w14:paraId="50E456C3">
      <w:pPr>
        <w:widowControl w:val="0"/>
        <w:snapToGrid w:val="0"/>
        <w:spacing w:before="240" w:beforeLines="100" w:line="560" w:lineRule="exact"/>
        <w:rPr>
          <w:rFonts w:eastAsia="黑体"/>
          <w:b/>
          <w:color w:val="auto"/>
          <w:sz w:val="44"/>
          <w:highlight w:val="none"/>
        </w:rPr>
      </w:pPr>
    </w:p>
    <w:p w14:paraId="07166E51">
      <w:pPr>
        <w:widowControl w:val="0"/>
        <w:snapToGrid w:val="0"/>
        <w:spacing w:line="660" w:lineRule="exact"/>
        <w:ind w:firstLine="540" w:firstLineChars="168"/>
        <w:rPr>
          <w:rFonts w:hint="eastAsia" w:ascii="黑体" w:hAnsi="黑体" w:eastAsia="黑体"/>
          <w:b/>
          <w:color w:val="auto"/>
          <w:sz w:val="32"/>
          <w:szCs w:val="32"/>
          <w:highlight w:val="none"/>
          <w:lang w:eastAsia="zh-CN"/>
        </w:rPr>
      </w:pPr>
      <w:r>
        <w:rPr>
          <w:rFonts w:hint="eastAsia" w:ascii="黑体" w:hAnsi="黑体" w:eastAsia="黑体"/>
          <w:b/>
          <w:color w:val="auto"/>
          <w:sz w:val="32"/>
          <w:szCs w:val="32"/>
          <w:highlight w:val="none"/>
        </w:rPr>
        <w:t>采购人：</w:t>
      </w:r>
      <w:r>
        <w:rPr>
          <w:rFonts w:hint="eastAsia" w:ascii="黑体" w:hAnsi="黑体" w:eastAsia="黑体"/>
          <w:b/>
          <w:color w:val="auto"/>
          <w:sz w:val="32"/>
          <w:szCs w:val="32"/>
          <w:highlight w:val="none"/>
          <w:lang w:eastAsia="zh-CN"/>
        </w:rPr>
        <w:t>安阳县公安局</w:t>
      </w:r>
    </w:p>
    <w:p w14:paraId="37BE4900">
      <w:pPr>
        <w:widowControl w:val="0"/>
        <w:snapToGrid w:val="0"/>
        <w:spacing w:line="660" w:lineRule="exact"/>
        <w:ind w:firstLine="540" w:firstLineChars="168"/>
        <w:rPr>
          <w:rFonts w:ascii="黑体" w:hAnsi="黑体" w:eastAsia="黑体"/>
          <w:b/>
          <w:color w:val="auto"/>
          <w:sz w:val="32"/>
          <w:szCs w:val="32"/>
          <w:highlight w:val="none"/>
        </w:rPr>
        <w:sectPr>
          <w:footerReference r:id="rId8" w:type="first"/>
          <w:headerReference r:id="rId5" w:type="default"/>
          <w:footerReference r:id="rId6" w:type="default"/>
          <w:footerReference r:id="rId7" w:type="even"/>
          <w:pgSz w:w="11905" w:h="16837"/>
          <w:pgMar w:top="1418" w:right="1106" w:bottom="1418" w:left="1418" w:header="567" w:footer="567" w:gutter="0"/>
          <w:pgNumType w:fmt="numberInDash" w:start="0"/>
          <w:cols w:space="720" w:num="1"/>
          <w:titlePg/>
        </w:sectPr>
      </w:pPr>
      <w:r>
        <w:rPr>
          <w:rFonts w:hint="eastAsia" w:ascii="黑体" w:hAnsi="黑体" w:eastAsia="黑体"/>
          <w:b/>
          <w:color w:val="auto"/>
          <w:sz w:val="32"/>
          <w:szCs w:val="32"/>
          <w:highlight w:val="none"/>
        </w:rPr>
        <w:t>代理机构：安阳市方正招标采购服务有限责任公司</w:t>
      </w:r>
    </w:p>
    <w:p w14:paraId="05F6DA49">
      <w:pPr>
        <w:widowControl w:val="0"/>
        <w:snapToGrid w:val="0"/>
        <w:spacing w:line="660" w:lineRule="exact"/>
        <w:ind w:firstLine="540" w:firstLineChars="168"/>
        <w:rPr>
          <w:rFonts w:ascii="黑体" w:hAnsi="黑体" w:eastAsia="黑体"/>
          <w:b/>
          <w:color w:val="auto"/>
          <w:sz w:val="32"/>
          <w:szCs w:val="32"/>
          <w:highlight w:val="none"/>
        </w:rPr>
      </w:pPr>
    </w:p>
    <w:p w14:paraId="1CED23B8">
      <w:pPr>
        <w:pStyle w:val="49"/>
        <w:jc w:val="center"/>
        <w:rPr>
          <w:rFonts w:ascii="黑体" w:hAnsi="黑体" w:eastAsia="黑体"/>
          <w:color w:val="auto"/>
          <w:sz w:val="36"/>
          <w:szCs w:val="36"/>
          <w:highlight w:val="none"/>
          <w:lang w:val="zh-CN"/>
        </w:rPr>
      </w:pPr>
      <w:r>
        <w:rPr>
          <w:rFonts w:hint="eastAsia" w:ascii="黑体" w:hAnsi="黑体" w:eastAsia="黑体"/>
          <w:color w:val="auto"/>
          <w:sz w:val="36"/>
          <w:szCs w:val="36"/>
          <w:highlight w:val="none"/>
          <w:lang w:val="zh-CN"/>
        </w:rPr>
        <w:t>目录</w:t>
      </w:r>
    </w:p>
    <w:p w14:paraId="0F6DD036">
      <w:pPr>
        <w:pStyle w:val="12"/>
        <w:tabs>
          <w:tab w:val="right" w:leader="dot" w:pos="9381"/>
        </w:tabs>
        <w:rPr>
          <w:color w:val="auto"/>
          <w:highlight w:val="none"/>
        </w:rPr>
      </w:pPr>
      <w:r>
        <w:rPr>
          <w:color w:val="auto"/>
          <w:highlight w:val="none"/>
        </w:rPr>
        <w:fldChar w:fldCharType="begin"/>
      </w:r>
      <w:r>
        <w:rPr>
          <w:color w:val="auto"/>
          <w:highlight w:val="none"/>
        </w:rPr>
        <w:instrText xml:space="preserve"> TOC \o "1-3" \h \z \u </w:instrText>
      </w:r>
      <w:r>
        <w:rPr>
          <w:color w:val="auto"/>
          <w:highlight w:val="none"/>
        </w:rPr>
        <w:fldChar w:fldCharType="separate"/>
      </w:r>
      <w:r>
        <w:rPr>
          <w:color w:val="auto"/>
          <w:highlight w:val="none"/>
        </w:rPr>
        <w:fldChar w:fldCharType="begin"/>
      </w:r>
      <w:r>
        <w:rPr>
          <w:color w:val="auto"/>
          <w:highlight w:val="none"/>
        </w:rPr>
        <w:instrText xml:space="preserve"> HYPERLINK \l _Toc17682 </w:instrText>
      </w:r>
      <w:r>
        <w:rPr>
          <w:color w:val="auto"/>
          <w:highlight w:val="none"/>
        </w:rPr>
        <w:fldChar w:fldCharType="separate"/>
      </w:r>
      <w:r>
        <w:rPr>
          <w:rFonts w:hint="eastAsia" w:eastAsia="黑体"/>
          <w:color w:val="auto"/>
          <w:szCs w:val="36"/>
          <w:highlight w:val="none"/>
        </w:rPr>
        <w:t>第一章</w:t>
      </w:r>
      <w:r>
        <w:rPr>
          <w:rFonts w:eastAsia="黑体"/>
          <w:color w:val="auto"/>
          <w:szCs w:val="36"/>
          <w:highlight w:val="none"/>
        </w:rPr>
        <w:t xml:space="preserve"> </w:t>
      </w:r>
      <w:r>
        <w:rPr>
          <w:rFonts w:hint="eastAsia" w:eastAsia="黑体"/>
          <w:color w:val="auto"/>
          <w:szCs w:val="36"/>
          <w:highlight w:val="none"/>
        </w:rPr>
        <w:t>谈判公告</w:t>
      </w:r>
      <w:r>
        <w:rPr>
          <w:color w:val="auto"/>
          <w:highlight w:val="none"/>
        </w:rPr>
        <w:tab/>
      </w:r>
      <w:r>
        <w:rPr>
          <w:color w:val="auto"/>
          <w:highlight w:val="none"/>
        </w:rPr>
        <w:fldChar w:fldCharType="begin"/>
      </w:r>
      <w:r>
        <w:rPr>
          <w:color w:val="auto"/>
          <w:highlight w:val="none"/>
        </w:rPr>
        <w:instrText xml:space="preserve"> PAGEREF _Toc17682 \h </w:instrText>
      </w:r>
      <w:r>
        <w:rPr>
          <w:color w:val="auto"/>
          <w:highlight w:val="none"/>
        </w:rPr>
        <w:fldChar w:fldCharType="separate"/>
      </w:r>
      <w:r>
        <w:rPr>
          <w:color w:val="auto"/>
          <w:highlight w:val="none"/>
        </w:rPr>
        <w:t>1</w:t>
      </w:r>
      <w:r>
        <w:rPr>
          <w:color w:val="auto"/>
          <w:highlight w:val="none"/>
        </w:rPr>
        <w:fldChar w:fldCharType="end"/>
      </w:r>
      <w:r>
        <w:rPr>
          <w:color w:val="auto"/>
          <w:highlight w:val="none"/>
        </w:rPr>
        <w:fldChar w:fldCharType="end"/>
      </w:r>
    </w:p>
    <w:p w14:paraId="5F9BA97B">
      <w:pPr>
        <w:pStyle w:val="12"/>
        <w:tabs>
          <w:tab w:val="right" w:leader="dot" w:pos="9381"/>
        </w:tabs>
        <w:rPr>
          <w:color w:val="auto"/>
          <w:highlight w:val="none"/>
        </w:rPr>
      </w:pPr>
      <w:r>
        <w:rPr>
          <w:color w:val="auto"/>
          <w:highlight w:val="none"/>
        </w:rPr>
        <w:fldChar w:fldCharType="begin"/>
      </w:r>
      <w:r>
        <w:rPr>
          <w:color w:val="auto"/>
          <w:highlight w:val="none"/>
        </w:rPr>
        <w:instrText xml:space="preserve"> HYPERLINK \l _Toc21645 </w:instrText>
      </w:r>
      <w:r>
        <w:rPr>
          <w:color w:val="auto"/>
          <w:highlight w:val="none"/>
        </w:rPr>
        <w:fldChar w:fldCharType="separate"/>
      </w:r>
      <w:r>
        <w:rPr>
          <w:rFonts w:hint="eastAsia" w:eastAsia="黑体"/>
          <w:color w:val="auto"/>
          <w:szCs w:val="36"/>
          <w:highlight w:val="none"/>
        </w:rPr>
        <w:t>第二章 采购项目及技术服务要求</w:t>
      </w:r>
      <w:r>
        <w:rPr>
          <w:color w:val="auto"/>
          <w:highlight w:val="none"/>
        </w:rPr>
        <w:tab/>
      </w:r>
      <w:r>
        <w:rPr>
          <w:color w:val="auto"/>
          <w:highlight w:val="none"/>
        </w:rPr>
        <w:fldChar w:fldCharType="begin"/>
      </w:r>
      <w:r>
        <w:rPr>
          <w:color w:val="auto"/>
          <w:highlight w:val="none"/>
        </w:rPr>
        <w:instrText xml:space="preserve"> PAGEREF _Toc21645 \h </w:instrText>
      </w:r>
      <w:r>
        <w:rPr>
          <w:color w:val="auto"/>
          <w:highlight w:val="none"/>
        </w:rPr>
        <w:fldChar w:fldCharType="separate"/>
      </w:r>
      <w:r>
        <w:rPr>
          <w:color w:val="auto"/>
          <w:highlight w:val="none"/>
        </w:rPr>
        <w:t>7</w:t>
      </w:r>
      <w:r>
        <w:rPr>
          <w:color w:val="auto"/>
          <w:highlight w:val="none"/>
        </w:rPr>
        <w:fldChar w:fldCharType="end"/>
      </w:r>
      <w:r>
        <w:rPr>
          <w:color w:val="auto"/>
          <w:highlight w:val="none"/>
        </w:rPr>
        <w:fldChar w:fldCharType="end"/>
      </w:r>
    </w:p>
    <w:p w14:paraId="60C20E86">
      <w:pPr>
        <w:pStyle w:val="13"/>
        <w:tabs>
          <w:tab w:val="right" w:leader="dot" w:pos="9381"/>
        </w:tabs>
        <w:rPr>
          <w:color w:val="auto"/>
          <w:highlight w:val="none"/>
        </w:rPr>
      </w:pPr>
      <w:r>
        <w:rPr>
          <w:color w:val="auto"/>
          <w:highlight w:val="none"/>
        </w:rPr>
        <w:fldChar w:fldCharType="begin"/>
      </w:r>
      <w:r>
        <w:rPr>
          <w:color w:val="auto"/>
          <w:highlight w:val="none"/>
        </w:rPr>
        <w:instrText xml:space="preserve"> HYPERLINK \l _Toc25189 </w:instrText>
      </w:r>
      <w:r>
        <w:rPr>
          <w:color w:val="auto"/>
          <w:highlight w:val="none"/>
        </w:rPr>
        <w:fldChar w:fldCharType="separate"/>
      </w:r>
      <w:r>
        <w:rPr>
          <w:rFonts w:ascii="黑体" w:hAnsi="黑体" w:eastAsia="黑体"/>
          <w:color w:val="auto"/>
          <w:highlight w:val="none"/>
        </w:rPr>
        <w:t xml:space="preserve">1. </w:t>
      </w:r>
      <w:r>
        <w:rPr>
          <w:rFonts w:hint="eastAsia" w:ascii="黑体" w:hAnsi="黑体" w:eastAsia="黑体"/>
          <w:color w:val="auto"/>
          <w:highlight w:val="none"/>
        </w:rPr>
        <w:t>采购项目、标段（包）划分、投标报价</w:t>
      </w:r>
      <w:r>
        <w:rPr>
          <w:color w:val="auto"/>
          <w:highlight w:val="none"/>
        </w:rPr>
        <w:tab/>
      </w:r>
      <w:r>
        <w:rPr>
          <w:color w:val="auto"/>
          <w:highlight w:val="none"/>
        </w:rPr>
        <w:fldChar w:fldCharType="begin"/>
      </w:r>
      <w:r>
        <w:rPr>
          <w:color w:val="auto"/>
          <w:highlight w:val="none"/>
        </w:rPr>
        <w:instrText xml:space="preserve"> PAGEREF _Toc25189 \h </w:instrText>
      </w:r>
      <w:r>
        <w:rPr>
          <w:color w:val="auto"/>
          <w:highlight w:val="none"/>
        </w:rPr>
        <w:fldChar w:fldCharType="separate"/>
      </w:r>
      <w:r>
        <w:rPr>
          <w:color w:val="auto"/>
          <w:highlight w:val="none"/>
        </w:rPr>
        <w:t>7</w:t>
      </w:r>
      <w:r>
        <w:rPr>
          <w:color w:val="auto"/>
          <w:highlight w:val="none"/>
        </w:rPr>
        <w:fldChar w:fldCharType="end"/>
      </w:r>
      <w:r>
        <w:rPr>
          <w:color w:val="auto"/>
          <w:highlight w:val="none"/>
        </w:rPr>
        <w:fldChar w:fldCharType="end"/>
      </w:r>
    </w:p>
    <w:p w14:paraId="4D2E463E">
      <w:pPr>
        <w:pStyle w:val="13"/>
        <w:tabs>
          <w:tab w:val="right" w:leader="dot" w:pos="9381"/>
        </w:tabs>
        <w:rPr>
          <w:color w:val="auto"/>
          <w:highlight w:val="none"/>
        </w:rPr>
      </w:pPr>
      <w:r>
        <w:rPr>
          <w:color w:val="auto"/>
          <w:highlight w:val="none"/>
        </w:rPr>
        <w:fldChar w:fldCharType="begin"/>
      </w:r>
      <w:r>
        <w:rPr>
          <w:color w:val="auto"/>
          <w:highlight w:val="none"/>
        </w:rPr>
        <w:instrText xml:space="preserve"> HYPERLINK \l _Toc31985 </w:instrText>
      </w:r>
      <w:r>
        <w:rPr>
          <w:color w:val="auto"/>
          <w:highlight w:val="none"/>
        </w:rPr>
        <w:fldChar w:fldCharType="separate"/>
      </w:r>
      <w:r>
        <w:rPr>
          <w:rFonts w:ascii="黑体" w:hAnsi="黑体" w:eastAsia="黑体"/>
          <w:color w:val="auto"/>
          <w:highlight w:val="none"/>
        </w:rPr>
        <w:t xml:space="preserve">2. </w:t>
      </w:r>
      <w:r>
        <w:rPr>
          <w:rFonts w:hint="eastAsia" w:ascii="黑体" w:hAnsi="黑体" w:eastAsia="黑体"/>
          <w:color w:val="auto"/>
          <w:highlight w:val="none"/>
        </w:rPr>
        <w:t>标段（包）内容（范围）及基本技术要求</w:t>
      </w:r>
      <w:r>
        <w:rPr>
          <w:color w:val="auto"/>
          <w:highlight w:val="none"/>
        </w:rPr>
        <w:tab/>
      </w:r>
      <w:r>
        <w:rPr>
          <w:color w:val="auto"/>
          <w:highlight w:val="none"/>
        </w:rPr>
        <w:fldChar w:fldCharType="begin"/>
      </w:r>
      <w:r>
        <w:rPr>
          <w:color w:val="auto"/>
          <w:highlight w:val="none"/>
        </w:rPr>
        <w:instrText xml:space="preserve"> PAGEREF _Toc31985 \h </w:instrText>
      </w:r>
      <w:r>
        <w:rPr>
          <w:color w:val="auto"/>
          <w:highlight w:val="none"/>
        </w:rPr>
        <w:fldChar w:fldCharType="separate"/>
      </w:r>
      <w:r>
        <w:rPr>
          <w:color w:val="auto"/>
          <w:highlight w:val="none"/>
        </w:rPr>
        <w:t>7</w:t>
      </w:r>
      <w:r>
        <w:rPr>
          <w:color w:val="auto"/>
          <w:highlight w:val="none"/>
        </w:rPr>
        <w:fldChar w:fldCharType="end"/>
      </w:r>
      <w:r>
        <w:rPr>
          <w:color w:val="auto"/>
          <w:highlight w:val="none"/>
        </w:rPr>
        <w:fldChar w:fldCharType="end"/>
      </w:r>
    </w:p>
    <w:p w14:paraId="388D88DF">
      <w:pPr>
        <w:pStyle w:val="13"/>
        <w:tabs>
          <w:tab w:val="right" w:leader="dot" w:pos="9381"/>
        </w:tabs>
        <w:rPr>
          <w:color w:val="auto"/>
          <w:highlight w:val="none"/>
        </w:rPr>
      </w:pPr>
      <w:r>
        <w:rPr>
          <w:color w:val="auto"/>
          <w:highlight w:val="none"/>
        </w:rPr>
        <w:fldChar w:fldCharType="begin"/>
      </w:r>
      <w:r>
        <w:rPr>
          <w:color w:val="auto"/>
          <w:highlight w:val="none"/>
        </w:rPr>
        <w:instrText xml:space="preserve"> HYPERLINK \l _Toc13891 </w:instrText>
      </w:r>
      <w:r>
        <w:rPr>
          <w:color w:val="auto"/>
          <w:highlight w:val="none"/>
        </w:rPr>
        <w:fldChar w:fldCharType="separate"/>
      </w:r>
      <w:r>
        <w:rPr>
          <w:rFonts w:hint="eastAsia" w:ascii="黑体" w:hAnsi="黑体" w:eastAsia="黑体"/>
          <w:color w:val="auto"/>
          <w:szCs w:val="24"/>
          <w:highlight w:val="none"/>
        </w:rPr>
        <w:t xml:space="preserve">2.8 </w:t>
      </w:r>
      <w:r>
        <w:rPr>
          <w:rFonts w:ascii="黑体" w:hAnsi="黑体" w:eastAsia="黑体"/>
          <w:color w:val="auto"/>
          <w:szCs w:val="24"/>
          <w:highlight w:val="none"/>
        </w:rPr>
        <w:t xml:space="preserve"> </w:t>
      </w:r>
      <w:r>
        <w:rPr>
          <w:rFonts w:hint="eastAsia" w:ascii="黑体" w:hAnsi="黑体" w:eastAsia="黑体"/>
          <w:color w:val="auto"/>
          <w:szCs w:val="24"/>
          <w:highlight w:val="none"/>
        </w:rPr>
        <w:t>售后服务的基本条款（采购标的需满足的服务标准、期限、效率等要求）</w:t>
      </w:r>
      <w:r>
        <w:rPr>
          <w:color w:val="auto"/>
          <w:highlight w:val="none"/>
        </w:rPr>
        <w:tab/>
      </w:r>
      <w:r>
        <w:rPr>
          <w:color w:val="auto"/>
          <w:highlight w:val="none"/>
        </w:rPr>
        <w:fldChar w:fldCharType="begin"/>
      </w:r>
      <w:r>
        <w:rPr>
          <w:color w:val="auto"/>
          <w:highlight w:val="none"/>
        </w:rPr>
        <w:instrText xml:space="preserve"> PAGEREF _Toc13891 \h </w:instrText>
      </w:r>
      <w:r>
        <w:rPr>
          <w:color w:val="auto"/>
          <w:highlight w:val="none"/>
        </w:rPr>
        <w:fldChar w:fldCharType="separate"/>
      </w:r>
      <w:r>
        <w:rPr>
          <w:color w:val="auto"/>
          <w:highlight w:val="none"/>
        </w:rPr>
        <w:t>16</w:t>
      </w:r>
      <w:r>
        <w:rPr>
          <w:color w:val="auto"/>
          <w:highlight w:val="none"/>
        </w:rPr>
        <w:fldChar w:fldCharType="end"/>
      </w:r>
      <w:r>
        <w:rPr>
          <w:color w:val="auto"/>
          <w:highlight w:val="none"/>
        </w:rPr>
        <w:fldChar w:fldCharType="end"/>
      </w:r>
    </w:p>
    <w:p w14:paraId="0B415567">
      <w:pPr>
        <w:pStyle w:val="13"/>
        <w:tabs>
          <w:tab w:val="right" w:leader="dot" w:pos="9381"/>
        </w:tabs>
        <w:rPr>
          <w:color w:val="auto"/>
          <w:highlight w:val="none"/>
        </w:rPr>
      </w:pPr>
      <w:r>
        <w:rPr>
          <w:color w:val="auto"/>
          <w:highlight w:val="none"/>
        </w:rPr>
        <w:fldChar w:fldCharType="begin"/>
      </w:r>
      <w:r>
        <w:rPr>
          <w:color w:val="auto"/>
          <w:highlight w:val="none"/>
        </w:rPr>
        <w:instrText xml:space="preserve"> HYPERLINK \l _Toc12252 </w:instrText>
      </w:r>
      <w:r>
        <w:rPr>
          <w:color w:val="auto"/>
          <w:highlight w:val="none"/>
        </w:rPr>
        <w:fldChar w:fldCharType="separate"/>
      </w:r>
      <w:r>
        <w:rPr>
          <w:rFonts w:ascii="黑体" w:hAnsi="黑体" w:eastAsia="黑体"/>
          <w:color w:val="auto"/>
          <w:highlight w:val="none"/>
        </w:rPr>
        <w:t xml:space="preserve">3. </w:t>
      </w:r>
      <w:r>
        <w:rPr>
          <w:rFonts w:hint="eastAsia" w:ascii="黑体" w:hAnsi="黑体" w:eastAsia="黑体"/>
          <w:color w:val="auto"/>
          <w:highlight w:val="none"/>
        </w:rPr>
        <w:t>项目其他要求</w:t>
      </w:r>
      <w:r>
        <w:rPr>
          <w:color w:val="auto"/>
          <w:highlight w:val="none"/>
        </w:rPr>
        <w:tab/>
      </w:r>
      <w:r>
        <w:rPr>
          <w:color w:val="auto"/>
          <w:highlight w:val="none"/>
        </w:rPr>
        <w:fldChar w:fldCharType="begin"/>
      </w:r>
      <w:r>
        <w:rPr>
          <w:color w:val="auto"/>
          <w:highlight w:val="none"/>
        </w:rPr>
        <w:instrText xml:space="preserve"> PAGEREF _Toc12252 \h </w:instrText>
      </w:r>
      <w:r>
        <w:rPr>
          <w:color w:val="auto"/>
          <w:highlight w:val="none"/>
        </w:rPr>
        <w:fldChar w:fldCharType="separate"/>
      </w:r>
      <w:r>
        <w:rPr>
          <w:color w:val="auto"/>
          <w:highlight w:val="none"/>
        </w:rPr>
        <w:t>17</w:t>
      </w:r>
      <w:r>
        <w:rPr>
          <w:color w:val="auto"/>
          <w:highlight w:val="none"/>
        </w:rPr>
        <w:fldChar w:fldCharType="end"/>
      </w:r>
      <w:r>
        <w:rPr>
          <w:color w:val="auto"/>
          <w:highlight w:val="none"/>
        </w:rPr>
        <w:fldChar w:fldCharType="end"/>
      </w:r>
    </w:p>
    <w:p w14:paraId="292885B8">
      <w:pPr>
        <w:pStyle w:val="12"/>
        <w:tabs>
          <w:tab w:val="right" w:leader="dot" w:pos="9381"/>
        </w:tabs>
        <w:rPr>
          <w:color w:val="auto"/>
          <w:highlight w:val="none"/>
        </w:rPr>
      </w:pPr>
      <w:r>
        <w:rPr>
          <w:color w:val="auto"/>
          <w:highlight w:val="none"/>
        </w:rPr>
        <w:fldChar w:fldCharType="begin"/>
      </w:r>
      <w:r>
        <w:rPr>
          <w:color w:val="auto"/>
          <w:highlight w:val="none"/>
        </w:rPr>
        <w:instrText xml:space="preserve"> HYPERLINK \l _Toc20754 </w:instrText>
      </w:r>
      <w:r>
        <w:rPr>
          <w:color w:val="auto"/>
          <w:highlight w:val="none"/>
        </w:rPr>
        <w:fldChar w:fldCharType="separate"/>
      </w:r>
      <w:r>
        <w:rPr>
          <w:rFonts w:hint="eastAsia" w:eastAsia="黑体"/>
          <w:color w:val="auto"/>
          <w:szCs w:val="36"/>
          <w:highlight w:val="none"/>
        </w:rPr>
        <w:t>第三章 投标人须知</w:t>
      </w:r>
      <w:r>
        <w:rPr>
          <w:color w:val="auto"/>
          <w:highlight w:val="none"/>
        </w:rPr>
        <w:tab/>
      </w:r>
      <w:r>
        <w:rPr>
          <w:color w:val="auto"/>
          <w:highlight w:val="none"/>
        </w:rPr>
        <w:fldChar w:fldCharType="begin"/>
      </w:r>
      <w:r>
        <w:rPr>
          <w:color w:val="auto"/>
          <w:highlight w:val="none"/>
        </w:rPr>
        <w:instrText xml:space="preserve"> PAGEREF _Toc20754 \h </w:instrText>
      </w:r>
      <w:r>
        <w:rPr>
          <w:color w:val="auto"/>
          <w:highlight w:val="none"/>
        </w:rPr>
        <w:fldChar w:fldCharType="separate"/>
      </w:r>
      <w:r>
        <w:rPr>
          <w:color w:val="auto"/>
          <w:highlight w:val="none"/>
        </w:rPr>
        <w:t>18</w:t>
      </w:r>
      <w:r>
        <w:rPr>
          <w:color w:val="auto"/>
          <w:highlight w:val="none"/>
        </w:rPr>
        <w:fldChar w:fldCharType="end"/>
      </w:r>
      <w:r>
        <w:rPr>
          <w:color w:val="auto"/>
          <w:highlight w:val="none"/>
        </w:rPr>
        <w:fldChar w:fldCharType="end"/>
      </w:r>
    </w:p>
    <w:p w14:paraId="6504E351">
      <w:pPr>
        <w:pStyle w:val="13"/>
        <w:tabs>
          <w:tab w:val="right" w:leader="dot" w:pos="9381"/>
        </w:tabs>
        <w:rPr>
          <w:color w:val="auto"/>
          <w:highlight w:val="none"/>
        </w:rPr>
      </w:pPr>
      <w:r>
        <w:rPr>
          <w:color w:val="auto"/>
          <w:highlight w:val="none"/>
        </w:rPr>
        <w:fldChar w:fldCharType="begin"/>
      </w:r>
      <w:r>
        <w:rPr>
          <w:color w:val="auto"/>
          <w:highlight w:val="none"/>
        </w:rPr>
        <w:instrText xml:space="preserve"> HYPERLINK \l _Toc1887 </w:instrText>
      </w:r>
      <w:r>
        <w:rPr>
          <w:color w:val="auto"/>
          <w:highlight w:val="none"/>
        </w:rPr>
        <w:fldChar w:fldCharType="separate"/>
      </w:r>
      <w:r>
        <w:rPr>
          <w:rFonts w:hint="eastAsia" w:eastAsia="黑体"/>
          <w:color w:val="auto"/>
          <w:szCs w:val="28"/>
          <w:highlight w:val="none"/>
        </w:rPr>
        <w:t>投标人须知前附表</w:t>
      </w:r>
      <w:r>
        <w:rPr>
          <w:color w:val="auto"/>
          <w:highlight w:val="none"/>
        </w:rPr>
        <w:tab/>
      </w:r>
      <w:r>
        <w:rPr>
          <w:color w:val="auto"/>
          <w:highlight w:val="none"/>
        </w:rPr>
        <w:fldChar w:fldCharType="begin"/>
      </w:r>
      <w:r>
        <w:rPr>
          <w:color w:val="auto"/>
          <w:highlight w:val="none"/>
        </w:rPr>
        <w:instrText xml:space="preserve"> PAGEREF _Toc1887 \h </w:instrText>
      </w:r>
      <w:r>
        <w:rPr>
          <w:color w:val="auto"/>
          <w:highlight w:val="none"/>
        </w:rPr>
        <w:fldChar w:fldCharType="separate"/>
      </w:r>
      <w:r>
        <w:rPr>
          <w:color w:val="auto"/>
          <w:highlight w:val="none"/>
        </w:rPr>
        <w:t>18</w:t>
      </w:r>
      <w:r>
        <w:rPr>
          <w:color w:val="auto"/>
          <w:highlight w:val="none"/>
        </w:rPr>
        <w:fldChar w:fldCharType="end"/>
      </w:r>
      <w:r>
        <w:rPr>
          <w:color w:val="auto"/>
          <w:highlight w:val="none"/>
        </w:rPr>
        <w:fldChar w:fldCharType="end"/>
      </w:r>
    </w:p>
    <w:p w14:paraId="7C7152CC">
      <w:pPr>
        <w:pStyle w:val="13"/>
        <w:tabs>
          <w:tab w:val="right" w:leader="dot" w:pos="9381"/>
        </w:tabs>
        <w:rPr>
          <w:color w:val="auto"/>
          <w:highlight w:val="none"/>
        </w:rPr>
      </w:pPr>
      <w:r>
        <w:rPr>
          <w:color w:val="auto"/>
          <w:highlight w:val="none"/>
        </w:rPr>
        <w:fldChar w:fldCharType="begin"/>
      </w:r>
      <w:r>
        <w:rPr>
          <w:color w:val="auto"/>
          <w:highlight w:val="none"/>
        </w:rPr>
        <w:instrText xml:space="preserve"> HYPERLINK \l _Toc2779 </w:instrText>
      </w:r>
      <w:r>
        <w:rPr>
          <w:color w:val="auto"/>
          <w:highlight w:val="none"/>
        </w:rPr>
        <w:fldChar w:fldCharType="separate"/>
      </w:r>
      <w:r>
        <w:rPr>
          <w:rFonts w:ascii="黑体" w:hAnsi="黑体" w:eastAsia="黑体" w:cs="楷体_GB2312"/>
          <w:bCs/>
          <w:color w:val="auto"/>
          <w:szCs w:val="28"/>
          <w:highlight w:val="none"/>
          <w:lang w:val="zh-CN"/>
        </w:rPr>
        <w:t xml:space="preserve">1. </w:t>
      </w:r>
      <w:r>
        <w:rPr>
          <w:rFonts w:hint="eastAsia" w:ascii="黑体" w:hAnsi="黑体" w:eastAsia="黑体" w:cs="楷体_GB2312"/>
          <w:bCs/>
          <w:color w:val="auto"/>
          <w:szCs w:val="28"/>
          <w:highlight w:val="none"/>
          <w:lang w:val="zh-CN"/>
        </w:rPr>
        <w:t>总则</w:t>
      </w:r>
      <w:r>
        <w:rPr>
          <w:color w:val="auto"/>
          <w:highlight w:val="none"/>
        </w:rPr>
        <w:tab/>
      </w:r>
      <w:r>
        <w:rPr>
          <w:color w:val="auto"/>
          <w:highlight w:val="none"/>
        </w:rPr>
        <w:fldChar w:fldCharType="begin"/>
      </w:r>
      <w:r>
        <w:rPr>
          <w:color w:val="auto"/>
          <w:highlight w:val="none"/>
        </w:rPr>
        <w:instrText xml:space="preserve"> PAGEREF _Toc2779 \h </w:instrText>
      </w:r>
      <w:r>
        <w:rPr>
          <w:color w:val="auto"/>
          <w:highlight w:val="none"/>
        </w:rPr>
        <w:fldChar w:fldCharType="separate"/>
      </w:r>
      <w:r>
        <w:rPr>
          <w:color w:val="auto"/>
          <w:highlight w:val="none"/>
        </w:rPr>
        <w:t>21</w:t>
      </w:r>
      <w:r>
        <w:rPr>
          <w:color w:val="auto"/>
          <w:highlight w:val="none"/>
        </w:rPr>
        <w:fldChar w:fldCharType="end"/>
      </w:r>
      <w:r>
        <w:rPr>
          <w:color w:val="auto"/>
          <w:highlight w:val="none"/>
        </w:rPr>
        <w:fldChar w:fldCharType="end"/>
      </w:r>
    </w:p>
    <w:p w14:paraId="41FC16F6">
      <w:pPr>
        <w:pStyle w:val="13"/>
        <w:tabs>
          <w:tab w:val="right" w:leader="dot" w:pos="9381"/>
        </w:tabs>
        <w:rPr>
          <w:color w:val="auto"/>
          <w:highlight w:val="none"/>
        </w:rPr>
      </w:pPr>
      <w:r>
        <w:rPr>
          <w:color w:val="auto"/>
          <w:highlight w:val="none"/>
        </w:rPr>
        <w:fldChar w:fldCharType="begin"/>
      </w:r>
      <w:r>
        <w:rPr>
          <w:color w:val="auto"/>
          <w:highlight w:val="none"/>
        </w:rPr>
        <w:instrText xml:space="preserve"> HYPERLINK \l _Toc28848 </w:instrText>
      </w:r>
      <w:r>
        <w:rPr>
          <w:color w:val="auto"/>
          <w:highlight w:val="none"/>
        </w:rPr>
        <w:fldChar w:fldCharType="separate"/>
      </w:r>
      <w:r>
        <w:rPr>
          <w:rFonts w:ascii="黑体" w:hAnsi="黑体" w:eastAsia="黑体" w:cs="楷体_GB2312"/>
          <w:bCs/>
          <w:color w:val="auto"/>
          <w:szCs w:val="28"/>
          <w:highlight w:val="none"/>
          <w:lang w:val="zh-CN"/>
        </w:rPr>
        <w:t xml:space="preserve">2. </w:t>
      </w:r>
      <w:r>
        <w:rPr>
          <w:rFonts w:hint="eastAsia" w:ascii="黑体" w:hAnsi="黑体" w:eastAsia="黑体" w:cs="楷体_GB2312"/>
          <w:bCs/>
          <w:color w:val="auto"/>
          <w:szCs w:val="28"/>
          <w:highlight w:val="none"/>
          <w:lang w:val="zh-CN"/>
        </w:rPr>
        <w:t>谈判文件</w:t>
      </w:r>
      <w:r>
        <w:rPr>
          <w:color w:val="auto"/>
          <w:highlight w:val="none"/>
        </w:rPr>
        <w:tab/>
      </w:r>
      <w:r>
        <w:rPr>
          <w:color w:val="auto"/>
          <w:highlight w:val="none"/>
        </w:rPr>
        <w:fldChar w:fldCharType="begin"/>
      </w:r>
      <w:r>
        <w:rPr>
          <w:color w:val="auto"/>
          <w:highlight w:val="none"/>
        </w:rPr>
        <w:instrText xml:space="preserve"> PAGEREF _Toc28848 \h </w:instrText>
      </w:r>
      <w:r>
        <w:rPr>
          <w:color w:val="auto"/>
          <w:highlight w:val="none"/>
        </w:rPr>
        <w:fldChar w:fldCharType="separate"/>
      </w:r>
      <w:r>
        <w:rPr>
          <w:color w:val="auto"/>
          <w:highlight w:val="none"/>
        </w:rPr>
        <w:t>24</w:t>
      </w:r>
      <w:r>
        <w:rPr>
          <w:color w:val="auto"/>
          <w:highlight w:val="none"/>
        </w:rPr>
        <w:fldChar w:fldCharType="end"/>
      </w:r>
      <w:r>
        <w:rPr>
          <w:color w:val="auto"/>
          <w:highlight w:val="none"/>
        </w:rPr>
        <w:fldChar w:fldCharType="end"/>
      </w:r>
    </w:p>
    <w:p w14:paraId="67E010DA">
      <w:pPr>
        <w:pStyle w:val="13"/>
        <w:tabs>
          <w:tab w:val="right" w:leader="dot" w:pos="9381"/>
        </w:tabs>
        <w:rPr>
          <w:color w:val="auto"/>
          <w:highlight w:val="none"/>
        </w:rPr>
      </w:pPr>
      <w:r>
        <w:rPr>
          <w:color w:val="auto"/>
          <w:highlight w:val="none"/>
        </w:rPr>
        <w:fldChar w:fldCharType="begin"/>
      </w:r>
      <w:r>
        <w:rPr>
          <w:color w:val="auto"/>
          <w:highlight w:val="none"/>
        </w:rPr>
        <w:instrText xml:space="preserve"> HYPERLINK \l _Toc1029 </w:instrText>
      </w:r>
      <w:r>
        <w:rPr>
          <w:color w:val="auto"/>
          <w:highlight w:val="none"/>
        </w:rPr>
        <w:fldChar w:fldCharType="separate"/>
      </w:r>
      <w:r>
        <w:rPr>
          <w:rFonts w:ascii="黑体" w:hAnsi="黑体" w:eastAsia="黑体" w:cs="楷体_GB2312"/>
          <w:bCs/>
          <w:color w:val="auto"/>
          <w:szCs w:val="28"/>
          <w:highlight w:val="none"/>
          <w:lang w:val="zh-CN"/>
        </w:rPr>
        <w:t xml:space="preserve">3. </w:t>
      </w:r>
      <w:r>
        <w:rPr>
          <w:rFonts w:hint="eastAsia" w:ascii="黑体" w:hAnsi="黑体" w:eastAsia="黑体" w:cs="楷体_GB2312"/>
          <w:bCs/>
          <w:color w:val="auto"/>
          <w:szCs w:val="28"/>
          <w:highlight w:val="none"/>
          <w:lang w:val="zh-CN"/>
        </w:rPr>
        <w:t>投标文件（响应文件）</w:t>
      </w:r>
      <w:r>
        <w:rPr>
          <w:color w:val="auto"/>
          <w:highlight w:val="none"/>
        </w:rPr>
        <w:tab/>
      </w:r>
      <w:r>
        <w:rPr>
          <w:color w:val="auto"/>
          <w:highlight w:val="none"/>
        </w:rPr>
        <w:fldChar w:fldCharType="begin"/>
      </w:r>
      <w:r>
        <w:rPr>
          <w:color w:val="auto"/>
          <w:highlight w:val="none"/>
        </w:rPr>
        <w:instrText xml:space="preserve"> PAGEREF _Toc1029 \h </w:instrText>
      </w:r>
      <w:r>
        <w:rPr>
          <w:color w:val="auto"/>
          <w:highlight w:val="none"/>
        </w:rPr>
        <w:fldChar w:fldCharType="separate"/>
      </w:r>
      <w:r>
        <w:rPr>
          <w:color w:val="auto"/>
          <w:highlight w:val="none"/>
        </w:rPr>
        <w:t>25</w:t>
      </w:r>
      <w:r>
        <w:rPr>
          <w:color w:val="auto"/>
          <w:highlight w:val="none"/>
        </w:rPr>
        <w:fldChar w:fldCharType="end"/>
      </w:r>
      <w:r>
        <w:rPr>
          <w:color w:val="auto"/>
          <w:highlight w:val="none"/>
        </w:rPr>
        <w:fldChar w:fldCharType="end"/>
      </w:r>
    </w:p>
    <w:p w14:paraId="708AD4DC">
      <w:pPr>
        <w:pStyle w:val="13"/>
        <w:tabs>
          <w:tab w:val="right" w:leader="dot" w:pos="9381"/>
        </w:tabs>
        <w:rPr>
          <w:color w:val="auto"/>
          <w:highlight w:val="none"/>
        </w:rPr>
      </w:pPr>
      <w:r>
        <w:rPr>
          <w:color w:val="auto"/>
          <w:highlight w:val="none"/>
        </w:rPr>
        <w:fldChar w:fldCharType="begin"/>
      </w:r>
      <w:r>
        <w:rPr>
          <w:color w:val="auto"/>
          <w:highlight w:val="none"/>
        </w:rPr>
        <w:instrText xml:space="preserve"> HYPERLINK \l _Toc31357 </w:instrText>
      </w:r>
      <w:r>
        <w:rPr>
          <w:color w:val="auto"/>
          <w:highlight w:val="none"/>
        </w:rPr>
        <w:fldChar w:fldCharType="separate"/>
      </w:r>
      <w:r>
        <w:rPr>
          <w:rFonts w:ascii="黑体" w:hAnsi="黑体" w:eastAsia="黑体" w:cs="楷体_GB2312"/>
          <w:bCs/>
          <w:color w:val="auto"/>
          <w:szCs w:val="28"/>
          <w:highlight w:val="none"/>
          <w:lang w:val="zh-CN"/>
        </w:rPr>
        <w:t xml:space="preserve">4. </w:t>
      </w:r>
      <w:r>
        <w:rPr>
          <w:rFonts w:hint="eastAsia" w:ascii="黑体" w:hAnsi="黑体" w:eastAsia="黑体" w:cs="楷体_GB2312"/>
          <w:bCs/>
          <w:color w:val="auto"/>
          <w:szCs w:val="28"/>
          <w:highlight w:val="none"/>
          <w:lang w:val="zh-CN"/>
        </w:rPr>
        <w:t>投标（响应文件的递交）</w:t>
      </w:r>
      <w:r>
        <w:rPr>
          <w:color w:val="auto"/>
          <w:highlight w:val="none"/>
        </w:rPr>
        <w:tab/>
      </w:r>
      <w:r>
        <w:rPr>
          <w:color w:val="auto"/>
          <w:highlight w:val="none"/>
        </w:rPr>
        <w:fldChar w:fldCharType="begin"/>
      </w:r>
      <w:r>
        <w:rPr>
          <w:color w:val="auto"/>
          <w:highlight w:val="none"/>
        </w:rPr>
        <w:instrText xml:space="preserve"> PAGEREF _Toc31357 \h </w:instrText>
      </w:r>
      <w:r>
        <w:rPr>
          <w:color w:val="auto"/>
          <w:highlight w:val="none"/>
        </w:rPr>
        <w:fldChar w:fldCharType="separate"/>
      </w:r>
      <w:r>
        <w:rPr>
          <w:color w:val="auto"/>
          <w:highlight w:val="none"/>
        </w:rPr>
        <w:t>28</w:t>
      </w:r>
      <w:r>
        <w:rPr>
          <w:color w:val="auto"/>
          <w:highlight w:val="none"/>
        </w:rPr>
        <w:fldChar w:fldCharType="end"/>
      </w:r>
      <w:r>
        <w:rPr>
          <w:color w:val="auto"/>
          <w:highlight w:val="none"/>
        </w:rPr>
        <w:fldChar w:fldCharType="end"/>
      </w:r>
    </w:p>
    <w:p w14:paraId="045D056C">
      <w:pPr>
        <w:pStyle w:val="13"/>
        <w:tabs>
          <w:tab w:val="right" w:leader="dot" w:pos="9381"/>
        </w:tabs>
        <w:rPr>
          <w:color w:val="auto"/>
          <w:highlight w:val="none"/>
        </w:rPr>
      </w:pPr>
      <w:r>
        <w:rPr>
          <w:color w:val="auto"/>
          <w:highlight w:val="none"/>
        </w:rPr>
        <w:fldChar w:fldCharType="begin"/>
      </w:r>
      <w:r>
        <w:rPr>
          <w:color w:val="auto"/>
          <w:highlight w:val="none"/>
        </w:rPr>
        <w:instrText xml:space="preserve"> HYPERLINK \l _Toc18654 </w:instrText>
      </w:r>
      <w:r>
        <w:rPr>
          <w:color w:val="auto"/>
          <w:highlight w:val="none"/>
        </w:rPr>
        <w:fldChar w:fldCharType="separate"/>
      </w:r>
      <w:r>
        <w:rPr>
          <w:rFonts w:ascii="黑体" w:hAnsi="黑体" w:eastAsia="黑体" w:cs="楷体_GB2312"/>
          <w:bCs/>
          <w:color w:val="auto"/>
          <w:szCs w:val="28"/>
          <w:highlight w:val="none"/>
          <w:lang w:val="zh-CN"/>
        </w:rPr>
        <w:t xml:space="preserve">5. </w:t>
      </w:r>
      <w:r>
        <w:rPr>
          <w:rFonts w:hint="eastAsia" w:ascii="黑体" w:hAnsi="黑体" w:eastAsia="黑体" w:cs="楷体_GB2312"/>
          <w:bCs/>
          <w:color w:val="auto"/>
          <w:szCs w:val="28"/>
          <w:highlight w:val="none"/>
          <w:lang w:val="zh-CN"/>
        </w:rPr>
        <w:t>开标（响应文件的开启）</w:t>
      </w:r>
      <w:r>
        <w:rPr>
          <w:color w:val="auto"/>
          <w:highlight w:val="none"/>
        </w:rPr>
        <w:tab/>
      </w:r>
      <w:r>
        <w:rPr>
          <w:color w:val="auto"/>
          <w:highlight w:val="none"/>
        </w:rPr>
        <w:fldChar w:fldCharType="begin"/>
      </w:r>
      <w:r>
        <w:rPr>
          <w:color w:val="auto"/>
          <w:highlight w:val="none"/>
        </w:rPr>
        <w:instrText xml:space="preserve"> PAGEREF _Toc18654 \h </w:instrText>
      </w:r>
      <w:r>
        <w:rPr>
          <w:color w:val="auto"/>
          <w:highlight w:val="none"/>
        </w:rPr>
        <w:fldChar w:fldCharType="separate"/>
      </w:r>
      <w:r>
        <w:rPr>
          <w:color w:val="auto"/>
          <w:highlight w:val="none"/>
        </w:rPr>
        <w:t>29</w:t>
      </w:r>
      <w:r>
        <w:rPr>
          <w:color w:val="auto"/>
          <w:highlight w:val="none"/>
        </w:rPr>
        <w:fldChar w:fldCharType="end"/>
      </w:r>
      <w:r>
        <w:rPr>
          <w:color w:val="auto"/>
          <w:highlight w:val="none"/>
        </w:rPr>
        <w:fldChar w:fldCharType="end"/>
      </w:r>
    </w:p>
    <w:p w14:paraId="40CA297F">
      <w:pPr>
        <w:pStyle w:val="13"/>
        <w:tabs>
          <w:tab w:val="right" w:leader="dot" w:pos="9381"/>
        </w:tabs>
        <w:rPr>
          <w:color w:val="auto"/>
          <w:highlight w:val="none"/>
        </w:rPr>
      </w:pPr>
      <w:r>
        <w:rPr>
          <w:color w:val="auto"/>
          <w:highlight w:val="none"/>
        </w:rPr>
        <w:fldChar w:fldCharType="begin"/>
      </w:r>
      <w:r>
        <w:rPr>
          <w:color w:val="auto"/>
          <w:highlight w:val="none"/>
        </w:rPr>
        <w:instrText xml:space="preserve"> HYPERLINK \l _Toc16076 </w:instrText>
      </w:r>
      <w:r>
        <w:rPr>
          <w:color w:val="auto"/>
          <w:highlight w:val="none"/>
        </w:rPr>
        <w:fldChar w:fldCharType="separate"/>
      </w:r>
      <w:r>
        <w:rPr>
          <w:rFonts w:ascii="黑体" w:hAnsi="黑体" w:eastAsia="黑体" w:cs="楷体_GB2312"/>
          <w:bCs/>
          <w:color w:val="auto"/>
          <w:szCs w:val="28"/>
          <w:highlight w:val="none"/>
          <w:lang w:val="zh-CN"/>
        </w:rPr>
        <w:t xml:space="preserve">6. </w:t>
      </w:r>
      <w:r>
        <w:rPr>
          <w:rFonts w:hint="eastAsia" w:ascii="黑体" w:hAnsi="黑体" w:eastAsia="黑体" w:cs="楷体_GB2312"/>
          <w:bCs/>
          <w:color w:val="auto"/>
          <w:szCs w:val="28"/>
          <w:highlight w:val="none"/>
          <w:lang w:val="zh-CN"/>
        </w:rPr>
        <w:t>评审</w:t>
      </w:r>
      <w:r>
        <w:rPr>
          <w:color w:val="auto"/>
          <w:highlight w:val="none"/>
        </w:rPr>
        <w:tab/>
      </w:r>
      <w:r>
        <w:rPr>
          <w:color w:val="auto"/>
          <w:highlight w:val="none"/>
        </w:rPr>
        <w:fldChar w:fldCharType="begin"/>
      </w:r>
      <w:r>
        <w:rPr>
          <w:color w:val="auto"/>
          <w:highlight w:val="none"/>
        </w:rPr>
        <w:instrText xml:space="preserve"> PAGEREF _Toc16076 \h </w:instrText>
      </w:r>
      <w:r>
        <w:rPr>
          <w:color w:val="auto"/>
          <w:highlight w:val="none"/>
        </w:rPr>
        <w:fldChar w:fldCharType="separate"/>
      </w:r>
      <w:r>
        <w:rPr>
          <w:color w:val="auto"/>
          <w:highlight w:val="none"/>
        </w:rPr>
        <w:t>30</w:t>
      </w:r>
      <w:r>
        <w:rPr>
          <w:color w:val="auto"/>
          <w:highlight w:val="none"/>
        </w:rPr>
        <w:fldChar w:fldCharType="end"/>
      </w:r>
      <w:r>
        <w:rPr>
          <w:color w:val="auto"/>
          <w:highlight w:val="none"/>
        </w:rPr>
        <w:fldChar w:fldCharType="end"/>
      </w:r>
    </w:p>
    <w:p w14:paraId="3AE2C7A7">
      <w:pPr>
        <w:pStyle w:val="13"/>
        <w:tabs>
          <w:tab w:val="right" w:leader="dot" w:pos="9381"/>
        </w:tabs>
        <w:rPr>
          <w:color w:val="auto"/>
          <w:highlight w:val="none"/>
        </w:rPr>
      </w:pPr>
      <w:r>
        <w:rPr>
          <w:color w:val="auto"/>
          <w:highlight w:val="none"/>
        </w:rPr>
        <w:fldChar w:fldCharType="begin"/>
      </w:r>
      <w:r>
        <w:rPr>
          <w:color w:val="auto"/>
          <w:highlight w:val="none"/>
        </w:rPr>
        <w:instrText xml:space="preserve"> HYPERLINK \l _Toc5762 </w:instrText>
      </w:r>
      <w:r>
        <w:rPr>
          <w:color w:val="auto"/>
          <w:highlight w:val="none"/>
        </w:rPr>
        <w:fldChar w:fldCharType="separate"/>
      </w:r>
      <w:r>
        <w:rPr>
          <w:rFonts w:ascii="黑体" w:hAnsi="黑体" w:eastAsia="黑体" w:cs="楷体_GB2312"/>
          <w:bCs/>
          <w:color w:val="auto"/>
          <w:szCs w:val="28"/>
          <w:highlight w:val="none"/>
          <w:lang w:val="zh-CN"/>
        </w:rPr>
        <w:t xml:space="preserve">7. </w:t>
      </w:r>
      <w:r>
        <w:rPr>
          <w:rFonts w:hint="eastAsia" w:ascii="黑体" w:hAnsi="黑体" w:eastAsia="黑体" w:cs="楷体_GB2312"/>
          <w:bCs/>
          <w:color w:val="auto"/>
          <w:szCs w:val="28"/>
          <w:highlight w:val="none"/>
          <w:lang w:val="zh-CN"/>
        </w:rPr>
        <w:t>授予合同</w:t>
      </w:r>
      <w:r>
        <w:rPr>
          <w:color w:val="auto"/>
          <w:highlight w:val="none"/>
        </w:rPr>
        <w:tab/>
      </w:r>
      <w:r>
        <w:rPr>
          <w:color w:val="auto"/>
          <w:highlight w:val="none"/>
        </w:rPr>
        <w:fldChar w:fldCharType="begin"/>
      </w:r>
      <w:r>
        <w:rPr>
          <w:color w:val="auto"/>
          <w:highlight w:val="none"/>
        </w:rPr>
        <w:instrText xml:space="preserve"> PAGEREF _Toc5762 \h </w:instrText>
      </w:r>
      <w:r>
        <w:rPr>
          <w:color w:val="auto"/>
          <w:highlight w:val="none"/>
        </w:rPr>
        <w:fldChar w:fldCharType="separate"/>
      </w:r>
      <w:r>
        <w:rPr>
          <w:color w:val="auto"/>
          <w:highlight w:val="none"/>
        </w:rPr>
        <w:t>31</w:t>
      </w:r>
      <w:r>
        <w:rPr>
          <w:color w:val="auto"/>
          <w:highlight w:val="none"/>
        </w:rPr>
        <w:fldChar w:fldCharType="end"/>
      </w:r>
      <w:r>
        <w:rPr>
          <w:color w:val="auto"/>
          <w:highlight w:val="none"/>
        </w:rPr>
        <w:fldChar w:fldCharType="end"/>
      </w:r>
    </w:p>
    <w:p w14:paraId="5727DA0D">
      <w:pPr>
        <w:pStyle w:val="13"/>
        <w:tabs>
          <w:tab w:val="right" w:leader="dot" w:pos="9381"/>
        </w:tabs>
        <w:rPr>
          <w:color w:val="auto"/>
          <w:highlight w:val="none"/>
        </w:rPr>
      </w:pPr>
      <w:r>
        <w:rPr>
          <w:color w:val="auto"/>
          <w:highlight w:val="none"/>
        </w:rPr>
        <w:fldChar w:fldCharType="begin"/>
      </w:r>
      <w:r>
        <w:rPr>
          <w:color w:val="auto"/>
          <w:highlight w:val="none"/>
        </w:rPr>
        <w:instrText xml:space="preserve"> HYPERLINK \l _Toc3275 </w:instrText>
      </w:r>
      <w:r>
        <w:rPr>
          <w:color w:val="auto"/>
          <w:highlight w:val="none"/>
        </w:rPr>
        <w:fldChar w:fldCharType="separate"/>
      </w:r>
      <w:r>
        <w:rPr>
          <w:rFonts w:ascii="黑体" w:hAnsi="黑体" w:eastAsia="黑体" w:cs="楷体_GB2312"/>
          <w:bCs/>
          <w:color w:val="auto"/>
          <w:szCs w:val="28"/>
          <w:highlight w:val="none"/>
          <w:lang w:val="zh-CN"/>
        </w:rPr>
        <w:t xml:space="preserve">8. </w:t>
      </w:r>
      <w:r>
        <w:rPr>
          <w:rFonts w:hint="eastAsia" w:ascii="黑体" w:hAnsi="黑体" w:eastAsia="黑体" w:cs="楷体_GB2312"/>
          <w:bCs/>
          <w:color w:val="auto"/>
          <w:szCs w:val="28"/>
          <w:highlight w:val="none"/>
          <w:lang w:val="zh-CN"/>
        </w:rPr>
        <w:t>验收</w:t>
      </w:r>
      <w:r>
        <w:rPr>
          <w:color w:val="auto"/>
          <w:highlight w:val="none"/>
        </w:rPr>
        <w:tab/>
      </w:r>
      <w:r>
        <w:rPr>
          <w:color w:val="auto"/>
          <w:highlight w:val="none"/>
        </w:rPr>
        <w:fldChar w:fldCharType="begin"/>
      </w:r>
      <w:r>
        <w:rPr>
          <w:color w:val="auto"/>
          <w:highlight w:val="none"/>
        </w:rPr>
        <w:instrText xml:space="preserve"> PAGEREF _Toc3275 \h </w:instrText>
      </w:r>
      <w:r>
        <w:rPr>
          <w:color w:val="auto"/>
          <w:highlight w:val="none"/>
        </w:rPr>
        <w:fldChar w:fldCharType="separate"/>
      </w:r>
      <w:r>
        <w:rPr>
          <w:color w:val="auto"/>
          <w:highlight w:val="none"/>
        </w:rPr>
        <w:t>32</w:t>
      </w:r>
      <w:r>
        <w:rPr>
          <w:color w:val="auto"/>
          <w:highlight w:val="none"/>
        </w:rPr>
        <w:fldChar w:fldCharType="end"/>
      </w:r>
      <w:r>
        <w:rPr>
          <w:color w:val="auto"/>
          <w:highlight w:val="none"/>
        </w:rPr>
        <w:fldChar w:fldCharType="end"/>
      </w:r>
    </w:p>
    <w:p w14:paraId="28DEED35">
      <w:pPr>
        <w:pStyle w:val="13"/>
        <w:tabs>
          <w:tab w:val="right" w:leader="dot" w:pos="9381"/>
        </w:tabs>
        <w:rPr>
          <w:color w:val="auto"/>
          <w:highlight w:val="none"/>
        </w:rPr>
      </w:pPr>
      <w:r>
        <w:rPr>
          <w:color w:val="auto"/>
          <w:highlight w:val="none"/>
        </w:rPr>
        <w:fldChar w:fldCharType="begin"/>
      </w:r>
      <w:r>
        <w:rPr>
          <w:color w:val="auto"/>
          <w:highlight w:val="none"/>
        </w:rPr>
        <w:instrText xml:space="preserve"> HYPERLINK \l _Toc29664 </w:instrText>
      </w:r>
      <w:r>
        <w:rPr>
          <w:color w:val="auto"/>
          <w:highlight w:val="none"/>
        </w:rPr>
        <w:fldChar w:fldCharType="separate"/>
      </w:r>
      <w:r>
        <w:rPr>
          <w:rFonts w:ascii="黑体" w:hAnsi="黑体" w:eastAsia="黑体" w:cs="楷体_GB2312"/>
          <w:bCs/>
          <w:color w:val="auto"/>
          <w:szCs w:val="28"/>
          <w:highlight w:val="none"/>
          <w:lang w:val="zh-CN"/>
        </w:rPr>
        <w:t>9.</w:t>
      </w:r>
      <w:r>
        <w:rPr>
          <w:rFonts w:hint="eastAsia" w:ascii="黑体" w:hAnsi="黑体" w:eastAsia="黑体" w:cs="楷体_GB2312"/>
          <w:bCs/>
          <w:color w:val="auto"/>
          <w:szCs w:val="28"/>
          <w:highlight w:val="none"/>
          <w:lang w:val="zh-CN"/>
        </w:rPr>
        <w:t>付款</w:t>
      </w:r>
      <w:r>
        <w:rPr>
          <w:color w:val="auto"/>
          <w:highlight w:val="none"/>
        </w:rPr>
        <w:tab/>
      </w:r>
      <w:r>
        <w:rPr>
          <w:color w:val="auto"/>
          <w:highlight w:val="none"/>
        </w:rPr>
        <w:fldChar w:fldCharType="begin"/>
      </w:r>
      <w:r>
        <w:rPr>
          <w:color w:val="auto"/>
          <w:highlight w:val="none"/>
        </w:rPr>
        <w:instrText xml:space="preserve"> PAGEREF _Toc29664 \h </w:instrText>
      </w:r>
      <w:r>
        <w:rPr>
          <w:color w:val="auto"/>
          <w:highlight w:val="none"/>
        </w:rPr>
        <w:fldChar w:fldCharType="separate"/>
      </w:r>
      <w:r>
        <w:rPr>
          <w:color w:val="auto"/>
          <w:highlight w:val="none"/>
        </w:rPr>
        <w:t>33</w:t>
      </w:r>
      <w:r>
        <w:rPr>
          <w:color w:val="auto"/>
          <w:highlight w:val="none"/>
        </w:rPr>
        <w:fldChar w:fldCharType="end"/>
      </w:r>
      <w:r>
        <w:rPr>
          <w:color w:val="auto"/>
          <w:highlight w:val="none"/>
        </w:rPr>
        <w:fldChar w:fldCharType="end"/>
      </w:r>
    </w:p>
    <w:p w14:paraId="0174FCF0">
      <w:pPr>
        <w:pStyle w:val="13"/>
        <w:tabs>
          <w:tab w:val="right" w:leader="dot" w:pos="9381"/>
        </w:tabs>
        <w:rPr>
          <w:color w:val="auto"/>
          <w:highlight w:val="none"/>
        </w:rPr>
      </w:pPr>
      <w:r>
        <w:rPr>
          <w:color w:val="auto"/>
          <w:highlight w:val="none"/>
        </w:rPr>
        <w:fldChar w:fldCharType="begin"/>
      </w:r>
      <w:r>
        <w:rPr>
          <w:color w:val="auto"/>
          <w:highlight w:val="none"/>
        </w:rPr>
        <w:instrText xml:space="preserve"> HYPERLINK \l _Toc23108 </w:instrText>
      </w:r>
      <w:r>
        <w:rPr>
          <w:color w:val="auto"/>
          <w:highlight w:val="none"/>
        </w:rPr>
        <w:fldChar w:fldCharType="separate"/>
      </w:r>
      <w:r>
        <w:rPr>
          <w:rFonts w:ascii="黑体" w:hAnsi="黑体" w:eastAsia="黑体" w:cs="楷体_GB2312"/>
          <w:bCs/>
          <w:color w:val="auto"/>
          <w:szCs w:val="28"/>
          <w:highlight w:val="none"/>
          <w:lang w:val="zh-CN"/>
        </w:rPr>
        <w:t xml:space="preserve">10. </w:t>
      </w:r>
      <w:r>
        <w:rPr>
          <w:rFonts w:hint="eastAsia" w:ascii="黑体" w:hAnsi="黑体" w:eastAsia="黑体" w:cs="楷体_GB2312"/>
          <w:bCs/>
          <w:color w:val="auto"/>
          <w:szCs w:val="28"/>
          <w:highlight w:val="none"/>
          <w:lang w:val="zh-CN"/>
        </w:rPr>
        <w:t>其他</w:t>
      </w:r>
      <w:r>
        <w:rPr>
          <w:color w:val="auto"/>
          <w:highlight w:val="none"/>
        </w:rPr>
        <w:tab/>
      </w:r>
      <w:r>
        <w:rPr>
          <w:color w:val="auto"/>
          <w:highlight w:val="none"/>
        </w:rPr>
        <w:fldChar w:fldCharType="begin"/>
      </w:r>
      <w:r>
        <w:rPr>
          <w:color w:val="auto"/>
          <w:highlight w:val="none"/>
        </w:rPr>
        <w:instrText xml:space="preserve"> PAGEREF _Toc23108 \h </w:instrText>
      </w:r>
      <w:r>
        <w:rPr>
          <w:color w:val="auto"/>
          <w:highlight w:val="none"/>
        </w:rPr>
        <w:fldChar w:fldCharType="separate"/>
      </w:r>
      <w:r>
        <w:rPr>
          <w:color w:val="auto"/>
          <w:highlight w:val="none"/>
        </w:rPr>
        <w:t>33</w:t>
      </w:r>
      <w:r>
        <w:rPr>
          <w:color w:val="auto"/>
          <w:highlight w:val="none"/>
        </w:rPr>
        <w:fldChar w:fldCharType="end"/>
      </w:r>
      <w:r>
        <w:rPr>
          <w:color w:val="auto"/>
          <w:highlight w:val="none"/>
        </w:rPr>
        <w:fldChar w:fldCharType="end"/>
      </w:r>
    </w:p>
    <w:p w14:paraId="373C9331">
      <w:pPr>
        <w:pStyle w:val="13"/>
        <w:tabs>
          <w:tab w:val="right" w:leader="dot" w:pos="9381"/>
        </w:tabs>
        <w:rPr>
          <w:color w:val="auto"/>
          <w:highlight w:val="none"/>
        </w:rPr>
      </w:pPr>
      <w:r>
        <w:rPr>
          <w:color w:val="auto"/>
          <w:highlight w:val="none"/>
        </w:rPr>
        <w:fldChar w:fldCharType="begin"/>
      </w:r>
      <w:r>
        <w:rPr>
          <w:color w:val="auto"/>
          <w:highlight w:val="none"/>
        </w:rPr>
        <w:instrText xml:space="preserve"> HYPERLINK \l _Toc10211 </w:instrText>
      </w:r>
      <w:r>
        <w:rPr>
          <w:color w:val="auto"/>
          <w:highlight w:val="none"/>
        </w:rPr>
        <w:fldChar w:fldCharType="separate"/>
      </w:r>
      <w:r>
        <w:rPr>
          <w:rFonts w:hint="eastAsia" w:ascii="黑体" w:hAnsi="黑体" w:eastAsia="黑体" w:cs="楷体_GB2312"/>
          <w:bCs/>
          <w:color w:val="auto"/>
          <w:szCs w:val="28"/>
          <w:highlight w:val="none"/>
          <w:lang w:val="zh-CN"/>
        </w:rPr>
        <w:t>11. 河南省政府采购合同融资政策告知函</w:t>
      </w:r>
      <w:r>
        <w:rPr>
          <w:color w:val="auto"/>
          <w:highlight w:val="none"/>
        </w:rPr>
        <w:tab/>
      </w:r>
      <w:r>
        <w:rPr>
          <w:color w:val="auto"/>
          <w:highlight w:val="none"/>
        </w:rPr>
        <w:fldChar w:fldCharType="begin"/>
      </w:r>
      <w:r>
        <w:rPr>
          <w:color w:val="auto"/>
          <w:highlight w:val="none"/>
        </w:rPr>
        <w:instrText xml:space="preserve"> PAGEREF _Toc10211 \h </w:instrText>
      </w:r>
      <w:r>
        <w:rPr>
          <w:color w:val="auto"/>
          <w:highlight w:val="none"/>
        </w:rPr>
        <w:fldChar w:fldCharType="separate"/>
      </w:r>
      <w:r>
        <w:rPr>
          <w:color w:val="auto"/>
          <w:highlight w:val="none"/>
        </w:rPr>
        <w:t>34</w:t>
      </w:r>
      <w:r>
        <w:rPr>
          <w:color w:val="auto"/>
          <w:highlight w:val="none"/>
        </w:rPr>
        <w:fldChar w:fldCharType="end"/>
      </w:r>
      <w:r>
        <w:rPr>
          <w:color w:val="auto"/>
          <w:highlight w:val="none"/>
        </w:rPr>
        <w:fldChar w:fldCharType="end"/>
      </w:r>
    </w:p>
    <w:p w14:paraId="4C864554">
      <w:pPr>
        <w:pStyle w:val="12"/>
        <w:tabs>
          <w:tab w:val="right" w:leader="dot" w:pos="9381"/>
        </w:tabs>
        <w:rPr>
          <w:color w:val="auto"/>
          <w:highlight w:val="none"/>
        </w:rPr>
      </w:pPr>
      <w:r>
        <w:rPr>
          <w:color w:val="auto"/>
          <w:highlight w:val="none"/>
        </w:rPr>
        <w:fldChar w:fldCharType="begin"/>
      </w:r>
      <w:r>
        <w:rPr>
          <w:color w:val="auto"/>
          <w:highlight w:val="none"/>
        </w:rPr>
        <w:instrText xml:space="preserve"> HYPERLINK \l _Toc400 </w:instrText>
      </w:r>
      <w:r>
        <w:rPr>
          <w:color w:val="auto"/>
          <w:highlight w:val="none"/>
        </w:rPr>
        <w:fldChar w:fldCharType="separate"/>
      </w:r>
      <w:r>
        <w:rPr>
          <w:rFonts w:hint="eastAsia" w:ascii="黑体" w:hAnsi="黑体" w:eastAsia="黑体"/>
          <w:color w:val="auto"/>
          <w:szCs w:val="36"/>
          <w:highlight w:val="none"/>
          <w:lang w:val="zh-CN"/>
        </w:rPr>
        <w:t>第四章 评审办法</w:t>
      </w:r>
      <w:r>
        <w:rPr>
          <w:color w:val="auto"/>
          <w:highlight w:val="none"/>
        </w:rPr>
        <w:tab/>
      </w:r>
      <w:r>
        <w:rPr>
          <w:color w:val="auto"/>
          <w:highlight w:val="none"/>
        </w:rPr>
        <w:fldChar w:fldCharType="begin"/>
      </w:r>
      <w:r>
        <w:rPr>
          <w:color w:val="auto"/>
          <w:highlight w:val="none"/>
        </w:rPr>
        <w:instrText xml:space="preserve"> PAGEREF _Toc400 \h </w:instrText>
      </w:r>
      <w:r>
        <w:rPr>
          <w:color w:val="auto"/>
          <w:highlight w:val="none"/>
        </w:rPr>
        <w:fldChar w:fldCharType="separate"/>
      </w:r>
      <w:r>
        <w:rPr>
          <w:color w:val="auto"/>
          <w:highlight w:val="none"/>
        </w:rPr>
        <w:t>35</w:t>
      </w:r>
      <w:r>
        <w:rPr>
          <w:color w:val="auto"/>
          <w:highlight w:val="none"/>
        </w:rPr>
        <w:fldChar w:fldCharType="end"/>
      </w:r>
      <w:r>
        <w:rPr>
          <w:color w:val="auto"/>
          <w:highlight w:val="none"/>
        </w:rPr>
        <w:fldChar w:fldCharType="end"/>
      </w:r>
    </w:p>
    <w:p w14:paraId="2D51633F">
      <w:pPr>
        <w:pStyle w:val="13"/>
        <w:tabs>
          <w:tab w:val="right" w:leader="dot" w:pos="9381"/>
        </w:tabs>
        <w:rPr>
          <w:color w:val="auto"/>
          <w:highlight w:val="none"/>
        </w:rPr>
      </w:pPr>
      <w:r>
        <w:rPr>
          <w:color w:val="auto"/>
          <w:highlight w:val="none"/>
        </w:rPr>
        <w:fldChar w:fldCharType="begin"/>
      </w:r>
      <w:r>
        <w:rPr>
          <w:color w:val="auto"/>
          <w:highlight w:val="none"/>
        </w:rPr>
        <w:instrText xml:space="preserve"> HYPERLINK \l _Toc7705 </w:instrText>
      </w:r>
      <w:r>
        <w:rPr>
          <w:color w:val="auto"/>
          <w:highlight w:val="none"/>
        </w:rPr>
        <w:fldChar w:fldCharType="separate"/>
      </w:r>
      <w:r>
        <w:rPr>
          <w:rFonts w:hint="eastAsia" w:ascii="黑体" w:hAnsi="黑体" w:eastAsia="黑体"/>
          <w:color w:val="auto"/>
          <w:szCs w:val="28"/>
          <w:highlight w:val="none"/>
        </w:rPr>
        <w:t>评审办法前附表</w:t>
      </w:r>
      <w:r>
        <w:rPr>
          <w:color w:val="auto"/>
          <w:highlight w:val="none"/>
        </w:rPr>
        <w:tab/>
      </w:r>
      <w:r>
        <w:rPr>
          <w:color w:val="auto"/>
          <w:highlight w:val="none"/>
        </w:rPr>
        <w:fldChar w:fldCharType="begin"/>
      </w:r>
      <w:r>
        <w:rPr>
          <w:color w:val="auto"/>
          <w:highlight w:val="none"/>
        </w:rPr>
        <w:instrText xml:space="preserve"> PAGEREF _Toc7705 \h </w:instrText>
      </w:r>
      <w:r>
        <w:rPr>
          <w:color w:val="auto"/>
          <w:highlight w:val="none"/>
        </w:rPr>
        <w:fldChar w:fldCharType="separate"/>
      </w:r>
      <w:r>
        <w:rPr>
          <w:color w:val="auto"/>
          <w:highlight w:val="none"/>
        </w:rPr>
        <w:t>35</w:t>
      </w:r>
      <w:r>
        <w:rPr>
          <w:color w:val="auto"/>
          <w:highlight w:val="none"/>
        </w:rPr>
        <w:fldChar w:fldCharType="end"/>
      </w:r>
      <w:r>
        <w:rPr>
          <w:color w:val="auto"/>
          <w:highlight w:val="none"/>
        </w:rPr>
        <w:fldChar w:fldCharType="end"/>
      </w:r>
    </w:p>
    <w:p w14:paraId="772A2D4E">
      <w:pPr>
        <w:pStyle w:val="13"/>
        <w:tabs>
          <w:tab w:val="right" w:leader="dot" w:pos="9381"/>
        </w:tabs>
        <w:rPr>
          <w:color w:val="auto"/>
          <w:highlight w:val="none"/>
        </w:rPr>
      </w:pPr>
      <w:r>
        <w:rPr>
          <w:color w:val="auto"/>
          <w:highlight w:val="none"/>
        </w:rPr>
        <w:fldChar w:fldCharType="begin"/>
      </w:r>
      <w:r>
        <w:rPr>
          <w:color w:val="auto"/>
          <w:highlight w:val="none"/>
        </w:rPr>
        <w:instrText xml:space="preserve"> HYPERLINK \l _Toc14397 </w:instrText>
      </w:r>
      <w:r>
        <w:rPr>
          <w:color w:val="auto"/>
          <w:highlight w:val="none"/>
        </w:rPr>
        <w:fldChar w:fldCharType="separate"/>
      </w:r>
      <w:r>
        <w:rPr>
          <w:rFonts w:ascii="黑体" w:hAnsi="黑体" w:eastAsia="黑体" w:cs="楷体_GB2312"/>
          <w:bCs/>
          <w:color w:val="auto"/>
          <w:szCs w:val="28"/>
          <w:highlight w:val="none"/>
          <w:lang w:val="zh-CN"/>
        </w:rPr>
        <w:t xml:space="preserve">1. </w:t>
      </w:r>
      <w:r>
        <w:rPr>
          <w:rFonts w:hint="eastAsia" w:ascii="黑体" w:hAnsi="黑体" w:eastAsia="黑体" w:cs="楷体_GB2312"/>
          <w:bCs/>
          <w:color w:val="auto"/>
          <w:szCs w:val="28"/>
          <w:highlight w:val="none"/>
          <w:lang w:val="zh-CN"/>
        </w:rPr>
        <w:t>评审方法（评定成交的标准）</w:t>
      </w:r>
      <w:r>
        <w:rPr>
          <w:color w:val="auto"/>
          <w:highlight w:val="none"/>
        </w:rPr>
        <w:tab/>
      </w:r>
      <w:r>
        <w:rPr>
          <w:color w:val="auto"/>
          <w:highlight w:val="none"/>
        </w:rPr>
        <w:fldChar w:fldCharType="begin"/>
      </w:r>
      <w:r>
        <w:rPr>
          <w:color w:val="auto"/>
          <w:highlight w:val="none"/>
        </w:rPr>
        <w:instrText xml:space="preserve"> PAGEREF _Toc14397 \h </w:instrText>
      </w:r>
      <w:r>
        <w:rPr>
          <w:color w:val="auto"/>
          <w:highlight w:val="none"/>
        </w:rPr>
        <w:fldChar w:fldCharType="separate"/>
      </w:r>
      <w:r>
        <w:rPr>
          <w:color w:val="auto"/>
          <w:highlight w:val="none"/>
        </w:rPr>
        <w:t>36</w:t>
      </w:r>
      <w:r>
        <w:rPr>
          <w:color w:val="auto"/>
          <w:highlight w:val="none"/>
        </w:rPr>
        <w:fldChar w:fldCharType="end"/>
      </w:r>
      <w:r>
        <w:rPr>
          <w:color w:val="auto"/>
          <w:highlight w:val="none"/>
        </w:rPr>
        <w:fldChar w:fldCharType="end"/>
      </w:r>
    </w:p>
    <w:p w14:paraId="7E161E7B">
      <w:pPr>
        <w:pStyle w:val="13"/>
        <w:tabs>
          <w:tab w:val="right" w:leader="dot" w:pos="9381"/>
        </w:tabs>
        <w:rPr>
          <w:color w:val="auto"/>
          <w:highlight w:val="none"/>
        </w:rPr>
      </w:pPr>
      <w:r>
        <w:rPr>
          <w:color w:val="auto"/>
          <w:highlight w:val="none"/>
        </w:rPr>
        <w:fldChar w:fldCharType="begin"/>
      </w:r>
      <w:r>
        <w:rPr>
          <w:color w:val="auto"/>
          <w:highlight w:val="none"/>
        </w:rPr>
        <w:instrText xml:space="preserve"> HYPERLINK \l _Toc5446 </w:instrText>
      </w:r>
      <w:r>
        <w:rPr>
          <w:color w:val="auto"/>
          <w:highlight w:val="none"/>
        </w:rPr>
        <w:fldChar w:fldCharType="separate"/>
      </w:r>
      <w:r>
        <w:rPr>
          <w:rFonts w:ascii="黑体" w:hAnsi="黑体" w:eastAsia="黑体" w:cs="楷体_GB2312"/>
          <w:bCs/>
          <w:color w:val="auto"/>
          <w:szCs w:val="28"/>
          <w:highlight w:val="none"/>
          <w:lang w:val="zh-CN"/>
        </w:rPr>
        <w:t xml:space="preserve">2. </w:t>
      </w:r>
      <w:r>
        <w:rPr>
          <w:rFonts w:hint="eastAsia" w:ascii="黑体" w:hAnsi="黑体" w:eastAsia="黑体" w:cs="楷体_GB2312"/>
          <w:bCs/>
          <w:color w:val="auto"/>
          <w:szCs w:val="28"/>
          <w:highlight w:val="none"/>
          <w:lang w:val="zh-CN"/>
        </w:rPr>
        <w:t>评审标准</w:t>
      </w:r>
      <w:r>
        <w:rPr>
          <w:color w:val="auto"/>
          <w:highlight w:val="none"/>
        </w:rPr>
        <w:tab/>
      </w:r>
      <w:r>
        <w:rPr>
          <w:color w:val="auto"/>
          <w:highlight w:val="none"/>
        </w:rPr>
        <w:fldChar w:fldCharType="begin"/>
      </w:r>
      <w:r>
        <w:rPr>
          <w:color w:val="auto"/>
          <w:highlight w:val="none"/>
        </w:rPr>
        <w:instrText xml:space="preserve"> PAGEREF _Toc5446 \h </w:instrText>
      </w:r>
      <w:r>
        <w:rPr>
          <w:color w:val="auto"/>
          <w:highlight w:val="none"/>
        </w:rPr>
        <w:fldChar w:fldCharType="separate"/>
      </w:r>
      <w:r>
        <w:rPr>
          <w:color w:val="auto"/>
          <w:highlight w:val="none"/>
        </w:rPr>
        <w:t>36</w:t>
      </w:r>
      <w:r>
        <w:rPr>
          <w:color w:val="auto"/>
          <w:highlight w:val="none"/>
        </w:rPr>
        <w:fldChar w:fldCharType="end"/>
      </w:r>
      <w:r>
        <w:rPr>
          <w:color w:val="auto"/>
          <w:highlight w:val="none"/>
        </w:rPr>
        <w:fldChar w:fldCharType="end"/>
      </w:r>
    </w:p>
    <w:p w14:paraId="69BD13A8">
      <w:pPr>
        <w:pStyle w:val="13"/>
        <w:tabs>
          <w:tab w:val="right" w:leader="dot" w:pos="9381"/>
        </w:tabs>
        <w:rPr>
          <w:color w:val="auto"/>
          <w:highlight w:val="none"/>
        </w:rPr>
      </w:pPr>
      <w:r>
        <w:rPr>
          <w:color w:val="auto"/>
          <w:highlight w:val="none"/>
        </w:rPr>
        <w:fldChar w:fldCharType="begin"/>
      </w:r>
      <w:r>
        <w:rPr>
          <w:color w:val="auto"/>
          <w:highlight w:val="none"/>
        </w:rPr>
        <w:instrText xml:space="preserve"> HYPERLINK \l _Toc19393 </w:instrText>
      </w:r>
      <w:r>
        <w:rPr>
          <w:color w:val="auto"/>
          <w:highlight w:val="none"/>
        </w:rPr>
        <w:fldChar w:fldCharType="separate"/>
      </w:r>
      <w:r>
        <w:rPr>
          <w:rFonts w:ascii="黑体" w:hAnsi="黑体" w:eastAsia="黑体" w:cs="楷体_GB2312"/>
          <w:bCs/>
          <w:color w:val="auto"/>
          <w:szCs w:val="28"/>
          <w:highlight w:val="none"/>
          <w:lang w:val="zh-CN"/>
        </w:rPr>
        <w:t xml:space="preserve">3. </w:t>
      </w:r>
      <w:r>
        <w:rPr>
          <w:rFonts w:hint="eastAsia" w:ascii="黑体" w:hAnsi="黑体" w:eastAsia="黑体" w:cs="楷体_GB2312"/>
          <w:bCs/>
          <w:color w:val="auto"/>
          <w:szCs w:val="28"/>
          <w:highlight w:val="none"/>
          <w:lang w:val="zh-CN"/>
        </w:rPr>
        <w:t>评审程序</w:t>
      </w:r>
      <w:r>
        <w:rPr>
          <w:color w:val="auto"/>
          <w:highlight w:val="none"/>
        </w:rPr>
        <w:tab/>
      </w:r>
      <w:r>
        <w:rPr>
          <w:color w:val="auto"/>
          <w:highlight w:val="none"/>
        </w:rPr>
        <w:fldChar w:fldCharType="begin"/>
      </w:r>
      <w:r>
        <w:rPr>
          <w:color w:val="auto"/>
          <w:highlight w:val="none"/>
        </w:rPr>
        <w:instrText xml:space="preserve"> PAGEREF _Toc19393 \h </w:instrText>
      </w:r>
      <w:r>
        <w:rPr>
          <w:color w:val="auto"/>
          <w:highlight w:val="none"/>
        </w:rPr>
        <w:fldChar w:fldCharType="separate"/>
      </w:r>
      <w:r>
        <w:rPr>
          <w:color w:val="auto"/>
          <w:highlight w:val="none"/>
        </w:rPr>
        <w:t>36</w:t>
      </w:r>
      <w:r>
        <w:rPr>
          <w:color w:val="auto"/>
          <w:highlight w:val="none"/>
        </w:rPr>
        <w:fldChar w:fldCharType="end"/>
      </w:r>
      <w:r>
        <w:rPr>
          <w:color w:val="auto"/>
          <w:highlight w:val="none"/>
        </w:rPr>
        <w:fldChar w:fldCharType="end"/>
      </w:r>
    </w:p>
    <w:p w14:paraId="199D1858">
      <w:pPr>
        <w:pStyle w:val="13"/>
        <w:tabs>
          <w:tab w:val="right" w:leader="dot" w:pos="9381"/>
        </w:tabs>
        <w:rPr>
          <w:color w:val="auto"/>
          <w:highlight w:val="none"/>
        </w:rPr>
      </w:pPr>
      <w:r>
        <w:rPr>
          <w:color w:val="auto"/>
          <w:highlight w:val="none"/>
        </w:rPr>
        <w:fldChar w:fldCharType="begin"/>
      </w:r>
      <w:r>
        <w:rPr>
          <w:color w:val="auto"/>
          <w:highlight w:val="none"/>
        </w:rPr>
        <w:instrText xml:space="preserve"> HYPERLINK \l _Toc4028 </w:instrText>
      </w:r>
      <w:r>
        <w:rPr>
          <w:color w:val="auto"/>
          <w:highlight w:val="none"/>
        </w:rPr>
        <w:fldChar w:fldCharType="separate"/>
      </w:r>
      <w:r>
        <w:rPr>
          <w:rFonts w:ascii="黑体" w:hAnsi="黑体" w:eastAsia="黑体" w:cs="楷体_GB2312"/>
          <w:bCs/>
          <w:color w:val="auto"/>
          <w:szCs w:val="28"/>
          <w:highlight w:val="none"/>
          <w:lang w:val="zh-CN"/>
        </w:rPr>
        <w:t xml:space="preserve">4. </w:t>
      </w:r>
      <w:r>
        <w:rPr>
          <w:rFonts w:hint="eastAsia" w:ascii="黑体" w:hAnsi="黑体" w:eastAsia="黑体" w:cs="楷体_GB2312"/>
          <w:bCs/>
          <w:color w:val="auto"/>
          <w:szCs w:val="28"/>
          <w:highlight w:val="none"/>
          <w:lang w:val="zh-CN"/>
        </w:rPr>
        <w:t>政府采购促进中小企业发展扶持政策</w:t>
      </w:r>
      <w:r>
        <w:rPr>
          <w:color w:val="auto"/>
          <w:highlight w:val="none"/>
        </w:rPr>
        <w:tab/>
      </w:r>
      <w:r>
        <w:rPr>
          <w:color w:val="auto"/>
          <w:highlight w:val="none"/>
        </w:rPr>
        <w:fldChar w:fldCharType="begin"/>
      </w:r>
      <w:r>
        <w:rPr>
          <w:color w:val="auto"/>
          <w:highlight w:val="none"/>
        </w:rPr>
        <w:instrText xml:space="preserve"> PAGEREF _Toc4028 \h </w:instrText>
      </w:r>
      <w:r>
        <w:rPr>
          <w:color w:val="auto"/>
          <w:highlight w:val="none"/>
        </w:rPr>
        <w:fldChar w:fldCharType="separate"/>
      </w:r>
      <w:r>
        <w:rPr>
          <w:color w:val="auto"/>
          <w:highlight w:val="none"/>
        </w:rPr>
        <w:t>41</w:t>
      </w:r>
      <w:r>
        <w:rPr>
          <w:color w:val="auto"/>
          <w:highlight w:val="none"/>
        </w:rPr>
        <w:fldChar w:fldCharType="end"/>
      </w:r>
      <w:r>
        <w:rPr>
          <w:color w:val="auto"/>
          <w:highlight w:val="none"/>
        </w:rPr>
        <w:fldChar w:fldCharType="end"/>
      </w:r>
    </w:p>
    <w:p w14:paraId="083F1C3C">
      <w:pPr>
        <w:pStyle w:val="13"/>
        <w:tabs>
          <w:tab w:val="right" w:leader="dot" w:pos="9381"/>
        </w:tabs>
        <w:rPr>
          <w:color w:val="auto"/>
          <w:highlight w:val="none"/>
        </w:rPr>
      </w:pPr>
      <w:r>
        <w:rPr>
          <w:color w:val="auto"/>
          <w:highlight w:val="none"/>
        </w:rPr>
        <w:fldChar w:fldCharType="begin"/>
      </w:r>
      <w:r>
        <w:rPr>
          <w:color w:val="auto"/>
          <w:highlight w:val="none"/>
        </w:rPr>
        <w:instrText xml:space="preserve"> HYPERLINK \l _Toc23796 </w:instrText>
      </w:r>
      <w:r>
        <w:rPr>
          <w:color w:val="auto"/>
          <w:highlight w:val="none"/>
        </w:rPr>
        <w:fldChar w:fldCharType="separate"/>
      </w:r>
      <w:r>
        <w:rPr>
          <w:rFonts w:hint="eastAsia" w:ascii="黑体" w:hAnsi="黑体" w:eastAsia="黑体" w:cs="楷体_GB2312"/>
          <w:bCs/>
          <w:color w:val="auto"/>
          <w:szCs w:val="28"/>
          <w:highlight w:val="none"/>
          <w:lang w:val="zh-CN"/>
        </w:rPr>
        <w:t>5. 对本国产品的支持政策</w:t>
      </w:r>
      <w:r>
        <w:rPr>
          <w:color w:val="auto"/>
          <w:highlight w:val="none"/>
        </w:rPr>
        <w:tab/>
      </w:r>
      <w:r>
        <w:rPr>
          <w:color w:val="auto"/>
          <w:highlight w:val="none"/>
        </w:rPr>
        <w:fldChar w:fldCharType="begin"/>
      </w:r>
      <w:r>
        <w:rPr>
          <w:color w:val="auto"/>
          <w:highlight w:val="none"/>
        </w:rPr>
        <w:instrText xml:space="preserve"> PAGEREF _Toc23796 \h </w:instrText>
      </w:r>
      <w:r>
        <w:rPr>
          <w:color w:val="auto"/>
          <w:highlight w:val="none"/>
        </w:rPr>
        <w:fldChar w:fldCharType="separate"/>
      </w:r>
      <w:r>
        <w:rPr>
          <w:color w:val="auto"/>
          <w:highlight w:val="none"/>
        </w:rPr>
        <w:t>44</w:t>
      </w:r>
      <w:r>
        <w:rPr>
          <w:color w:val="auto"/>
          <w:highlight w:val="none"/>
        </w:rPr>
        <w:fldChar w:fldCharType="end"/>
      </w:r>
      <w:r>
        <w:rPr>
          <w:color w:val="auto"/>
          <w:highlight w:val="none"/>
        </w:rPr>
        <w:fldChar w:fldCharType="end"/>
      </w:r>
    </w:p>
    <w:p w14:paraId="52D6CBCF">
      <w:pPr>
        <w:pStyle w:val="13"/>
        <w:tabs>
          <w:tab w:val="right" w:leader="dot" w:pos="9381"/>
        </w:tabs>
        <w:rPr>
          <w:color w:val="auto"/>
          <w:highlight w:val="none"/>
        </w:rPr>
      </w:pPr>
      <w:r>
        <w:rPr>
          <w:color w:val="auto"/>
          <w:highlight w:val="none"/>
        </w:rPr>
        <w:fldChar w:fldCharType="begin"/>
      </w:r>
      <w:r>
        <w:rPr>
          <w:color w:val="auto"/>
          <w:highlight w:val="none"/>
        </w:rPr>
        <w:instrText xml:space="preserve"> HYPERLINK \l _Toc31619 </w:instrText>
      </w:r>
      <w:r>
        <w:rPr>
          <w:color w:val="auto"/>
          <w:highlight w:val="none"/>
        </w:rPr>
        <w:fldChar w:fldCharType="separate"/>
      </w:r>
      <w:r>
        <w:rPr>
          <w:rFonts w:hint="eastAsia" w:ascii="黑体" w:hAnsi="黑体" w:eastAsia="黑体" w:cs="楷体_GB2312"/>
          <w:bCs/>
          <w:color w:val="auto"/>
          <w:szCs w:val="28"/>
          <w:highlight w:val="none"/>
          <w:lang w:val="zh-CN"/>
        </w:rPr>
        <w:t>6</w:t>
      </w:r>
      <w:r>
        <w:rPr>
          <w:rFonts w:hint="eastAsia" w:ascii="黑体" w:hAnsi="黑体" w:eastAsia="黑体" w:cs="楷体_GB2312"/>
          <w:bCs/>
          <w:color w:val="auto"/>
          <w:szCs w:val="28"/>
          <w:highlight w:val="none"/>
          <w:lang w:val="en-US" w:eastAsia="zh-CN"/>
        </w:rPr>
        <w:t>.</w:t>
      </w:r>
      <w:r>
        <w:rPr>
          <w:rFonts w:hint="eastAsia" w:ascii="黑体" w:hAnsi="黑体" w:eastAsia="黑体" w:cs="楷体_GB2312"/>
          <w:bCs/>
          <w:color w:val="auto"/>
          <w:szCs w:val="28"/>
          <w:highlight w:val="none"/>
          <w:lang w:val="zh-CN"/>
        </w:rPr>
        <w:t>异常低价审查</w:t>
      </w:r>
      <w:r>
        <w:rPr>
          <w:color w:val="auto"/>
          <w:highlight w:val="none"/>
        </w:rPr>
        <w:tab/>
      </w:r>
      <w:r>
        <w:rPr>
          <w:color w:val="auto"/>
          <w:highlight w:val="none"/>
        </w:rPr>
        <w:fldChar w:fldCharType="begin"/>
      </w:r>
      <w:r>
        <w:rPr>
          <w:color w:val="auto"/>
          <w:highlight w:val="none"/>
        </w:rPr>
        <w:instrText xml:space="preserve"> PAGEREF _Toc31619 \h </w:instrText>
      </w:r>
      <w:r>
        <w:rPr>
          <w:color w:val="auto"/>
          <w:highlight w:val="none"/>
        </w:rPr>
        <w:fldChar w:fldCharType="separate"/>
      </w:r>
      <w:r>
        <w:rPr>
          <w:color w:val="auto"/>
          <w:highlight w:val="none"/>
        </w:rPr>
        <w:t>44</w:t>
      </w:r>
      <w:r>
        <w:rPr>
          <w:color w:val="auto"/>
          <w:highlight w:val="none"/>
        </w:rPr>
        <w:fldChar w:fldCharType="end"/>
      </w:r>
      <w:r>
        <w:rPr>
          <w:color w:val="auto"/>
          <w:highlight w:val="none"/>
        </w:rPr>
        <w:fldChar w:fldCharType="end"/>
      </w:r>
    </w:p>
    <w:p w14:paraId="290DA6A4">
      <w:pPr>
        <w:pStyle w:val="12"/>
        <w:tabs>
          <w:tab w:val="right" w:leader="dot" w:pos="9381"/>
        </w:tabs>
        <w:rPr>
          <w:color w:val="auto"/>
          <w:highlight w:val="none"/>
        </w:rPr>
      </w:pPr>
      <w:r>
        <w:rPr>
          <w:color w:val="auto"/>
          <w:highlight w:val="none"/>
        </w:rPr>
        <w:fldChar w:fldCharType="begin"/>
      </w:r>
      <w:r>
        <w:rPr>
          <w:color w:val="auto"/>
          <w:highlight w:val="none"/>
        </w:rPr>
        <w:instrText xml:space="preserve"> HYPERLINK \l _Toc22564 </w:instrText>
      </w:r>
      <w:r>
        <w:rPr>
          <w:color w:val="auto"/>
          <w:highlight w:val="none"/>
        </w:rPr>
        <w:fldChar w:fldCharType="separate"/>
      </w:r>
      <w:r>
        <w:rPr>
          <w:rFonts w:hint="eastAsia" w:ascii="黑体" w:eastAsia="黑体"/>
          <w:color w:val="auto"/>
          <w:szCs w:val="36"/>
          <w:highlight w:val="none"/>
        </w:rPr>
        <w:t>第五章 合同主要条款</w:t>
      </w:r>
      <w:r>
        <w:rPr>
          <w:color w:val="auto"/>
          <w:highlight w:val="none"/>
        </w:rPr>
        <w:tab/>
      </w:r>
      <w:r>
        <w:rPr>
          <w:color w:val="auto"/>
          <w:highlight w:val="none"/>
        </w:rPr>
        <w:fldChar w:fldCharType="begin"/>
      </w:r>
      <w:r>
        <w:rPr>
          <w:color w:val="auto"/>
          <w:highlight w:val="none"/>
        </w:rPr>
        <w:instrText xml:space="preserve"> PAGEREF _Toc22564 \h </w:instrText>
      </w:r>
      <w:r>
        <w:rPr>
          <w:color w:val="auto"/>
          <w:highlight w:val="none"/>
        </w:rPr>
        <w:fldChar w:fldCharType="separate"/>
      </w:r>
      <w:r>
        <w:rPr>
          <w:color w:val="auto"/>
          <w:highlight w:val="none"/>
        </w:rPr>
        <w:t>46</w:t>
      </w:r>
      <w:r>
        <w:rPr>
          <w:color w:val="auto"/>
          <w:highlight w:val="none"/>
        </w:rPr>
        <w:fldChar w:fldCharType="end"/>
      </w:r>
      <w:r>
        <w:rPr>
          <w:color w:val="auto"/>
          <w:highlight w:val="none"/>
        </w:rPr>
        <w:fldChar w:fldCharType="end"/>
      </w:r>
    </w:p>
    <w:p w14:paraId="1A703D62">
      <w:pPr>
        <w:pStyle w:val="12"/>
        <w:tabs>
          <w:tab w:val="right" w:leader="dot" w:pos="9381"/>
        </w:tabs>
        <w:rPr>
          <w:color w:val="auto"/>
          <w:highlight w:val="none"/>
        </w:rPr>
      </w:pPr>
      <w:r>
        <w:rPr>
          <w:color w:val="auto"/>
          <w:highlight w:val="none"/>
        </w:rPr>
        <w:fldChar w:fldCharType="begin"/>
      </w:r>
      <w:r>
        <w:rPr>
          <w:color w:val="auto"/>
          <w:highlight w:val="none"/>
        </w:rPr>
        <w:instrText xml:space="preserve"> HYPERLINK \l _Toc24465 </w:instrText>
      </w:r>
      <w:r>
        <w:rPr>
          <w:color w:val="auto"/>
          <w:highlight w:val="none"/>
        </w:rPr>
        <w:fldChar w:fldCharType="separate"/>
      </w:r>
      <w:r>
        <w:rPr>
          <w:rFonts w:hint="eastAsia" w:ascii="黑体" w:hAnsi="黑体" w:eastAsia="黑体"/>
          <w:color w:val="auto"/>
          <w:szCs w:val="36"/>
          <w:highlight w:val="none"/>
          <w:lang w:val="zh-CN"/>
        </w:rPr>
        <w:t>第六章 投标文件格式</w:t>
      </w:r>
      <w:r>
        <w:rPr>
          <w:color w:val="auto"/>
          <w:highlight w:val="none"/>
        </w:rPr>
        <w:tab/>
      </w:r>
      <w:r>
        <w:rPr>
          <w:color w:val="auto"/>
          <w:highlight w:val="none"/>
        </w:rPr>
        <w:fldChar w:fldCharType="begin"/>
      </w:r>
      <w:r>
        <w:rPr>
          <w:color w:val="auto"/>
          <w:highlight w:val="none"/>
        </w:rPr>
        <w:instrText xml:space="preserve"> PAGEREF _Toc24465 \h </w:instrText>
      </w:r>
      <w:r>
        <w:rPr>
          <w:color w:val="auto"/>
          <w:highlight w:val="none"/>
        </w:rPr>
        <w:fldChar w:fldCharType="separate"/>
      </w:r>
      <w:r>
        <w:rPr>
          <w:color w:val="auto"/>
          <w:highlight w:val="none"/>
        </w:rPr>
        <w:t>- 61 -</w:t>
      </w:r>
      <w:r>
        <w:rPr>
          <w:color w:val="auto"/>
          <w:highlight w:val="none"/>
        </w:rPr>
        <w:fldChar w:fldCharType="end"/>
      </w:r>
      <w:r>
        <w:rPr>
          <w:color w:val="auto"/>
          <w:highlight w:val="none"/>
        </w:rPr>
        <w:fldChar w:fldCharType="end"/>
      </w:r>
    </w:p>
    <w:p w14:paraId="3C944024">
      <w:pPr>
        <w:rPr>
          <w:color w:val="auto"/>
          <w:highlight w:val="none"/>
        </w:rPr>
      </w:pPr>
      <w:r>
        <w:rPr>
          <w:color w:val="auto"/>
          <w:highlight w:val="none"/>
        </w:rPr>
        <w:fldChar w:fldCharType="end"/>
      </w:r>
    </w:p>
    <w:p w14:paraId="0C8A8E93">
      <w:pPr>
        <w:widowControl w:val="0"/>
        <w:snapToGrid w:val="0"/>
        <w:spacing w:line="660" w:lineRule="exact"/>
        <w:ind w:firstLine="607" w:firstLineChars="168"/>
        <w:rPr>
          <w:rFonts w:ascii="黑体" w:hAnsi="黑体" w:eastAsia="黑体"/>
          <w:b/>
          <w:color w:val="auto"/>
          <w:sz w:val="36"/>
          <w:szCs w:val="36"/>
          <w:highlight w:val="none"/>
        </w:rPr>
      </w:pPr>
    </w:p>
    <w:p w14:paraId="7536353A">
      <w:pPr>
        <w:widowControl w:val="0"/>
        <w:snapToGrid w:val="0"/>
        <w:spacing w:line="560" w:lineRule="exact"/>
        <w:ind w:firstLine="181" w:firstLineChars="50"/>
        <w:rPr>
          <w:rFonts w:ascii="黑体" w:eastAsia="黑体"/>
          <w:b/>
          <w:color w:val="auto"/>
          <w:sz w:val="36"/>
          <w:szCs w:val="36"/>
          <w:highlight w:val="none"/>
        </w:rPr>
        <w:sectPr>
          <w:pgSz w:w="11905" w:h="16837"/>
          <w:pgMar w:top="1418" w:right="1106" w:bottom="1418" w:left="1418" w:header="567" w:footer="567" w:gutter="0"/>
          <w:pgNumType w:fmt="numberInDash" w:start="0"/>
          <w:cols w:space="720" w:num="1"/>
          <w:titlePg/>
        </w:sectPr>
      </w:pPr>
    </w:p>
    <w:p w14:paraId="4A2FA0A0">
      <w:pPr>
        <w:widowControl w:val="0"/>
        <w:snapToGrid w:val="0"/>
        <w:spacing w:line="560" w:lineRule="exact"/>
        <w:jc w:val="left"/>
        <w:rPr>
          <w:rFonts w:ascii="宋体"/>
          <w:b/>
          <w:color w:val="auto"/>
          <w:sz w:val="24"/>
          <w:szCs w:val="24"/>
          <w:highlight w:val="none"/>
        </w:rPr>
      </w:pPr>
    </w:p>
    <w:p w14:paraId="3645E994">
      <w:pPr>
        <w:widowControl w:val="0"/>
        <w:snapToGrid w:val="0"/>
        <w:spacing w:line="560" w:lineRule="exact"/>
        <w:jc w:val="center"/>
        <w:outlineLvl w:val="0"/>
        <w:rPr>
          <w:color w:val="auto"/>
          <w:sz w:val="36"/>
          <w:szCs w:val="36"/>
          <w:highlight w:val="none"/>
        </w:rPr>
      </w:pPr>
      <w:bookmarkStart w:id="0" w:name="_Toc17682"/>
      <w:r>
        <w:rPr>
          <w:rFonts w:hint="eastAsia" w:eastAsia="黑体"/>
          <w:b/>
          <w:color w:val="auto"/>
          <w:sz w:val="36"/>
          <w:szCs w:val="36"/>
          <w:highlight w:val="none"/>
        </w:rPr>
        <w:t>第一章</w:t>
      </w:r>
      <w:r>
        <w:rPr>
          <w:rFonts w:eastAsia="黑体"/>
          <w:b/>
          <w:color w:val="auto"/>
          <w:sz w:val="36"/>
          <w:szCs w:val="36"/>
          <w:highlight w:val="none"/>
        </w:rPr>
        <w:t xml:space="preserve"> </w:t>
      </w:r>
      <w:r>
        <w:rPr>
          <w:rFonts w:hint="eastAsia" w:eastAsia="黑体"/>
          <w:b/>
          <w:color w:val="auto"/>
          <w:sz w:val="36"/>
          <w:szCs w:val="36"/>
          <w:highlight w:val="none"/>
        </w:rPr>
        <w:t>谈判公告</w:t>
      </w:r>
      <w:bookmarkEnd w:id="0"/>
    </w:p>
    <w:p w14:paraId="7AB74A91">
      <w:pPr>
        <w:widowControl w:val="0"/>
        <w:adjustRightInd w:val="0"/>
        <w:snapToGrid w:val="0"/>
        <w:spacing w:line="360" w:lineRule="auto"/>
        <w:ind w:firstLine="632" w:firstLineChars="225"/>
        <w:jc w:val="left"/>
        <w:rPr>
          <w:rFonts w:ascii="黑体" w:hAnsi="黑体" w:eastAsia="黑体"/>
          <w:b/>
          <w:color w:val="auto"/>
          <w:sz w:val="28"/>
          <w:szCs w:val="28"/>
          <w:highlight w:val="none"/>
        </w:rPr>
      </w:pPr>
    </w:p>
    <w:p w14:paraId="288E808B">
      <w:pPr>
        <w:widowControl w:val="0"/>
        <w:adjustRightInd w:val="0"/>
        <w:snapToGrid w:val="0"/>
        <w:spacing w:line="360" w:lineRule="auto"/>
        <w:ind w:firstLine="632" w:firstLineChars="225"/>
        <w:jc w:val="left"/>
        <w:rPr>
          <w:rFonts w:ascii="黑体" w:hAnsi="黑体" w:eastAsia="黑体"/>
          <w:b/>
          <w:color w:val="auto"/>
          <w:sz w:val="28"/>
          <w:szCs w:val="28"/>
          <w:highlight w:val="none"/>
        </w:rPr>
      </w:pPr>
      <w:r>
        <w:rPr>
          <w:rFonts w:hint="eastAsia" w:ascii="黑体" w:hAnsi="黑体" w:eastAsia="黑体"/>
          <w:b/>
          <w:color w:val="auto"/>
          <w:sz w:val="28"/>
          <w:szCs w:val="28"/>
          <w:highlight w:val="none"/>
        </w:rPr>
        <w:t>1.项目基本情况</w:t>
      </w:r>
    </w:p>
    <w:p w14:paraId="30A2D259">
      <w:pPr>
        <w:widowControl w:val="0"/>
        <w:adjustRightInd w:val="0"/>
        <w:snapToGrid w:val="0"/>
        <w:spacing w:line="360" w:lineRule="auto"/>
        <w:ind w:firstLine="540" w:firstLineChars="225"/>
        <w:jc w:val="left"/>
        <w:rPr>
          <w:rFonts w:ascii="宋体" w:hAnsi="宋体"/>
          <w:color w:val="auto"/>
          <w:sz w:val="24"/>
          <w:szCs w:val="24"/>
          <w:highlight w:val="none"/>
        </w:rPr>
      </w:pPr>
      <w:r>
        <w:rPr>
          <w:rFonts w:ascii="宋体" w:hAnsi="宋体"/>
          <w:color w:val="auto"/>
          <w:sz w:val="24"/>
          <w:szCs w:val="24"/>
          <w:highlight w:val="none"/>
        </w:rPr>
        <w:t>1.1</w:t>
      </w:r>
      <w:r>
        <w:rPr>
          <w:rFonts w:hint="eastAsia" w:ascii="宋体" w:hAnsi="宋体"/>
          <w:color w:val="auto"/>
          <w:sz w:val="24"/>
          <w:szCs w:val="24"/>
          <w:highlight w:val="none"/>
        </w:rPr>
        <w:t>项目编号：安县竞谈采购-2026-18</w:t>
      </w:r>
      <w:r>
        <w:rPr>
          <w:rFonts w:ascii="宋体" w:hAnsi="宋体"/>
          <w:color w:val="auto"/>
          <w:sz w:val="24"/>
          <w:szCs w:val="24"/>
          <w:highlight w:val="none"/>
        </w:rPr>
        <w:t xml:space="preserve"> </w:t>
      </w:r>
    </w:p>
    <w:p w14:paraId="0B67A33B">
      <w:pPr>
        <w:widowControl w:val="0"/>
        <w:adjustRightInd w:val="0"/>
        <w:snapToGrid w:val="0"/>
        <w:spacing w:line="360" w:lineRule="auto"/>
        <w:ind w:firstLine="540" w:firstLineChars="225"/>
        <w:jc w:val="left"/>
        <w:rPr>
          <w:rFonts w:hint="eastAsia"/>
          <w:color w:val="auto"/>
          <w:sz w:val="24"/>
          <w:szCs w:val="24"/>
          <w:highlight w:val="none"/>
          <w:lang w:eastAsia="zh-CN"/>
        </w:rPr>
      </w:pPr>
      <w:r>
        <w:rPr>
          <w:rFonts w:ascii="宋体" w:hAnsi="宋体"/>
          <w:color w:val="auto"/>
          <w:sz w:val="24"/>
          <w:szCs w:val="24"/>
          <w:highlight w:val="none"/>
        </w:rPr>
        <w:t>1.2</w:t>
      </w:r>
      <w:r>
        <w:rPr>
          <w:rFonts w:hint="eastAsia" w:ascii="宋体" w:hAnsi="宋体"/>
          <w:color w:val="auto"/>
          <w:sz w:val="24"/>
          <w:szCs w:val="24"/>
          <w:highlight w:val="none"/>
        </w:rPr>
        <w:t>项目名称：</w:t>
      </w:r>
      <w:r>
        <w:rPr>
          <w:rFonts w:hint="eastAsia"/>
          <w:color w:val="auto"/>
          <w:sz w:val="24"/>
          <w:szCs w:val="24"/>
          <w:highlight w:val="none"/>
          <w:lang w:eastAsia="zh-CN"/>
        </w:rPr>
        <w:t>安阳县公安局机房UPS电源、通信设备建设项目</w:t>
      </w:r>
    </w:p>
    <w:p w14:paraId="7189B161">
      <w:pPr>
        <w:widowControl w:val="0"/>
        <w:adjustRightInd w:val="0"/>
        <w:snapToGrid w:val="0"/>
        <w:spacing w:line="360" w:lineRule="auto"/>
        <w:ind w:firstLine="540" w:firstLineChars="225"/>
        <w:jc w:val="left"/>
        <w:rPr>
          <w:rFonts w:ascii="宋体" w:hAnsi="宋体"/>
          <w:color w:val="auto"/>
          <w:sz w:val="24"/>
          <w:szCs w:val="24"/>
          <w:highlight w:val="none"/>
        </w:rPr>
      </w:pPr>
      <w:r>
        <w:rPr>
          <w:rFonts w:hint="eastAsia" w:ascii="宋体" w:hAnsi="宋体"/>
          <w:color w:val="auto"/>
          <w:sz w:val="24"/>
          <w:szCs w:val="24"/>
          <w:highlight w:val="none"/>
        </w:rPr>
        <w:t>1.3采购方式：竞争性谈判</w:t>
      </w:r>
    </w:p>
    <w:p w14:paraId="05E1283E">
      <w:pPr>
        <w:widowControl w:val="0"/>
        <w:adjustRightInd w:val="0"/>
        <w:snapToGrid w:val="0"/>
        <w:spacing w:line="360" w:lineRule="auto"/>
        <w:ind w:firstLine="540" w:firstLineChars="225"/>
        <w:jc w:val="left"/>
        <w:rPr>
          <w:rFonts w:ascii="宋体" w:hAnsi="宋体"/>
          <w:color w:val="auto"/>
          <w:sz w:val="24"/>
          <w:szCs w:val="24"/>
          <w:highlight w:val="none"/>
        </w:rPr>
      </w:pPr>
      <w:r>
        <w:rPr>
          <w:rFonts w:ascii="宋体" w:hAnsi="宋体"/>
          <w:color w:val="auto"/>
          <w:sz w:val="24"/>
          <w:szCs w:val="24"/>
          <w:highlight w:val="none"/>
        </w:rPr>
        <w:t>1.</w:t>
      </w:r>
      <w:r>
        <w:rPr>
          <w:rFonts w:hint="eastAsia" w:ascii="宋体" w:hAnsi="宋体"/>
          <w:color w:val="auto"/>
          <w:sz w:val="24"/>
          <w:szCs w:val="24"/>
          <w:highlight w:val="none"/>
        </w:rPr>
        <w:t>4预算金额：</w:t>
      </w:r>
      <w:r>
        <w:rPr>
          <w:rFonts w:hint="eastAsia" w:ascii="宋体" w:hAnsi="宋体"/>
          <w:color w:val="auto"/>
          <w:sz w:val="24"/>
          <w:szCs w:val="24"/>
          <w:highlight w:val="none"/>
          <w:lang w:val="en-US" w:eastAsia="zh-CN"/>
        </w:rPr>
        <w:t>588120</w:t>
      </w:r>
      <w:r>
        <w:rPr>
          <w:rFonts w:hint="eastAsia" w:ascii="宋体" w:hAnsi="宋体"/>
          <w:color w:val="auto"/>
          <w:sz w:val="24"/>
          <w:szCs w:val="24"/>
          <w:highlight w:val="none"/>
        </w:rPr>
        <w:t>元</w:t>
      </w:r>
      <w:r>
        <w:rPr>
          <w:rFonts w:ascii="宋体" w:hAnsi="宋体"/>
          <w:color w:val="auto"/>
          <w:sz w:val="24"/>
          <w:szCs w:val="24"/>
          <w:highlight w:val="none"/>
        </w:rPr>
        <w:t xml:space="preserve"> </w:t>
      </w:r>
    </w:p>
    <w:p w14:paraId="718CAF3B">
      <w:pPr>
        <w:adjustRightInd w:val="0"/>
        <w:snapToGrid w:val="0"/>
        <w:spacing w:line="360" w:lineRule="auto"/>
        <w:ind w:firstLine="540" w:firstLineChars="225"/>
        <w:rPr>
          <w:rFonts w:ascii="宋体"/>
          <w:b/>
          <w:color w:val="auto"/>
          <w:szCs w:val="21"/>
          <w:highlight w:val="none"/>
        </w:rPr>
      </w:pPr>
      <w:r>
        <w:rPr>
          <w:rFonts w:hint="eastAsia" w:ascii="宋体" w:hAnsi="宋体"/>
          <w:color w:val="auto"/>
          <w:sz w:val="24"/>
          <w:szCs w:val="24"/>
          <w:highlight w:val="none"/>
        </w:rPr>
        <w:t>1.5采购需求：公安信息网UPS电源、“雪亮工程”视频专网UPS电源</w:t>
      </w:r>
      <w:r>
        <w:rPr>
          <w:rFonts w:hint="eastAsia" w:ascii="宋体" w:hAnsi="宋体"/>
          <w:color w:val="auto"/>
          <w:sz w:val="24"/>
          <w:szCs w:val="24"/>
          <w:highlight w:val="none"/>
          <w:lang w:eastAsia="zh-CN"/>
        </w:rPr>
        <w:t>、公安网服务器等</w:t>
      </w:r>
      <w:r>
        <w:rPr>
          <w:rFonts w:hint="eastAsia" w:ascii="宋体" w:hAnsi="宋体"/>
          <w:color w:val="auto"/>
          <w:sz w:val="24"/>
          <w:szCs w:val="24"/>
          <w:highlight w:val="none"/>
        </w:rPr>
        <w:t>，技术参数详见《谈判文件》“基本技术要求”</w:t>
      </w:r>
    </w:p>
    <w:p w14:paraId="37EF54FE">
      <w:pPr>
        <w:adjustRightInd w:val="0"/>
        <w:snapToGrid w:val="0"/>
        <w:spacing w:line="360" w:lineRule="auto"/>
        <w:ind w:firstLine="540" w:firstLineChars="225"/>
        <w:rPr>
          <w:color w:val="auto"/>
          <w:sz w:val="24"/>
          <w:szCs w:val="24"/>
          <w:highlight w:val="none"/>
        </w:rPr>
      </w:pPr>
      <w:r>
        <w:rPr>
          <w:rFonts w:hint="eastAsia" w:ascii="宋体" w:hAnsi="宋体"/>
          <w:color w:val="auto"/>
          <w:sz w:val="24"/>
          <w:szCs w:val="24"/>
          <w:highlight w:val="none"/>
        </w:rPr>
        <w:t>1.6合同履行期限：</w:t>
      </w:r>
      <w:r>
        <w:rPr>
          <w:rFonts w:hint="eastAsia"/>
          <w:color w:val="auto"/>
          <w:sz w:val="24"/>
          <w:szCs w:val="24"/>
          <w:highlight w:val="none"/>
        </w:rPr>
        <w:t>合同签订日起</w:t>
      </w:r>
      <w:r>
        <w:rPr>
          <w:rFonts w:hint="eastAsia" w:ascii="宋体" w:hAnsi="宋体"/>
          <w:color w:val="auto"/>
          <w:sz w:val="24"/>
          <w:szCs w:val="24"/>
          <w:highlight w:val="none"/>
          <w:lang w:val="en-US" w:eastAsia="zh-CN"/>
        </w:rPr>
        <w:t>30</w:t>
      </w:r>
      <w:r>
        <w:rPr>
          <w:rFonts w:hint="eastAsia" w:ascii="宋体" w:hAnsi="宋体"/>
          <w:color w:val="auto"/>
          <w:sz w:val="24"/>
          <w:szCs w:val="24"/>
          <w:highlight w:val="none"/>
        </w:rPr>
        <w:t>日内</w:t>
      </w:r>
    </w:p>
    <w:p w14:paraId="453FD3AC">
      <w:pPr>
        <w:widowControl w:val="0"/>
        <w:adjustRightInd w:val="0"/>
        <w:snapToGrid w:val="0"/>
        <w:spacing w:line="360" w:lineRule="auto"/>
        <w:ind w:firstLine="540" w:firstLineChars="225"/>
        <w:jc w:val="left"/>
        <w:rPr>
          <w:rFonts w:ascii="宋体" w:hAnsi="宋体"/>
          <w:color w:val="auto"/>
          <w:sz w:val="24"/>
          <w:szCs w:val="24"/>
          <w:highlight w:val="none"/>
        </w:rPr>
      </w:pPr>
      <w:r>
        <w:rPr>
          <w:rFonts w:hint="eastAsia" w:ascii="宋体" w:hAnsi="宋体"/>
          <w:color w:val="auto"/>
          <w:sz w:val="24"/>
          <w:szCs w:val="24"/>
          <w:highlight w:val="none"/>
        </w:rPr>
        <w:t>1.7本项目（是/否）接受联合体投标：</w:t>
      </w:r>
      <w:r>
        <w:rPr>
          <w:rFonts w:hint="eastAsia" w:ascii="宋体" w:hAnsi="宋体" w:cs="楷体_GB2312"/>
          <w:color w:val="auto"/>
          <w:sz w:val="24"/>
          <w:highlight w:val="none"/>
          <w:lang w:val="zh-CN"/>
        </w:rPr>
        <w:t>否</w:t>
      </w:r>
    </w:p>
    <w:p w14:paraId="6ECBBBDC">
      <w:pPr>
        <w:widowControl w:val="0"/>
        <w:adjustRightInd w:val="0"/>
        <w:snapToGrid w:val="0"/>
        <w:spacing w:line="360" w:lineRule="auto"/>
        <w:ind w:firstLine="540" w:firstLineChars="225"/>
        <w:jc w:val="left"/>
        <w:rPr>
          <w:rFonts w:ascii="宋体" w:hAnsi="宋体"/>
          <w:color w:val="auto"/>
          <w:sz w:val="24"/>
          <w:szCs w:val="24"/>
          <w:highlight w:val="none"/>
        </w:rPr>
      </w:pPr>
      <w:r>
        <w:rPr>
          <w:rFonts w:hint="eastAsia" w:ascii="宋体" w:hAnsi="宋体"/>
          <w:color w:val="auto"/>
          <w:sz w:val="24"/>
          <w:szCs w:val="24"/>
          <w:highlight w:val="none"/>
        </w:rPr>
        <w:t>1.8是否接受进口产品：</w:t>
      </w:r>
      <w:r>
        <w:rPr>
          <w:rFonts w:hint="eastAsia" w:ascii="宋体" w:hAnsi="宋体" w:cs="楷体_GB2312"/>
          <w:color w:val="auto"/>
          <w:sz w:val="24"/>
          <w:highlight w:val="none"/>
          <w:lang w:val="zh-CN"/>
        </w:rPr>
        <w:t>否</w:t>
      </w:r>
    </w:p>
    <w:p w14:paraId="29AE9855">
      <w:pPr>
        <w:widowControl w:val="0"/>
        <w:snapToGrid w:val="0"/>
        <w:spacing w:line="360" w:lineRule="auto"/>
        <w:ind w:firstLine="566"/>
        <w:rPr>
          <w:color w:val="auto"/>
          <w:sz w:val="28"/>
          <w:szCs w:val="28"/>
          <w:highlight w:val="none"/>
        </w:rPr>
      </w:pPr>
    </w:p>
    <w:p w14:paraId="686B70E2">
      <w:pPr>
        <w:widowControl w:val="0"/>
        <w:snapToGrid w:val="0"/>
        <w:spacing w:line="360" w:lineRule="auto"/>
        <w:ind w:firstLine="562" w:firstLineChars="200"/>
        <w:rPr>
          <w:rFonts w:ascii="黑体" w:hAnsi="黑体" w:eastAsia="黑体"/>
          <w:b/>
          <w:color w:val="auto"/>
          <w:sz w:val="28"/>
          <w:szCs w:val="28"/>
          <w:highlight w:val="none"/>
        </w:rPr>
      </w:pPr>
      <w:bookmarkStart w:id="1" w:name="_Toc35393622"/>
      <w:bookmarkStart w:id="2" w:name="_Toc28359080"/>
      <w:bookmarkStart w:id="3" w:name="_Toc35393791"/>
      <w:bookmarkStart w:id="4" w:name="_Toc28359003"/>
      <w:r>
        <w:rPr>
          <w:rFonts w:hint="eastAsia" w:ascii="黑体" w:hAnsi="黑体" w:eastAsia="黑体"/>
          <w:b/>
          <w:color w:val="auto"/>
          <w:sz w:val="28"/>
          <w:szCs w:val="28"/>
          <w:highlight w:val="none"/>
        </w:rPr>
        <w:t>2.申请人的资格要求：</w:t>
      </w:r>
      <w:bookmarkEnd w:id="1"/>
      <w:bookmarkEnd w:id="2"/>
      <w:bookmarkEnd w:id="3"/>
      <w:bookmarkEnd w:id="4"/>
    </w:p>
    <w:p w14:paraId="0D239EA7">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2.1满足《中华人民共和国政府采购法》第二十二条规定；</w:t>
      </w:r>
    </w:p>
    <w:p w14:paraId="7A09FD54">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2.2落实政府采购政策需满足的资格要求：无专项资格要求。</w:t>
      </w:r>
    </w:p>
    <w:p w14:paraId="0C422E99">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2.3本项目的特定资格要求：</w:t>
      </w:r>
    </w:p>
    <w:p w14:paraId="23AF6853">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2.3.1《政府采购法》第二十二条第一款--法定基本资格条件需提供的相关资格证明材料（文件）：</w:t>
      </w:r>
    </w:p>
    <w:p w14:paraId="64DFC57C">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（1）具有独立承担民事责任的能力。■提供营业执照或事业单位法人证书，■提供税务登记证（三证合一的只需提供三证合一的营业执照）。</w:t>
      </w:r>
    </w:p>
    <w:p w14:paraId="77739B70">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2）具有良好的商业信誉和健全的财务会计制度，有依法缴纳税收和社会保障资金的良好记录。■提供银行出具的近1年内资信证明（法人为基本开户行）、或2024年度以来（任一年度）经审计的财务报告、或银行（保险公司）出具的投标担保函；■提供近12个月内（任意1个月）已依法缴纳税收的凭据；■提供近12个月内（任意1个月）已依法缴纳社会保险的凭据。</w:t>
      </w:r>
    </w:p>
    <w:p w14:paraId="6DA85852">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依法免税或不需要缴纳社会保障资金的供应商，应提供相应证明文件。</w:t>
      </w:r>
    </w:p>
    <w:p w14:paraId="24FC02B1">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3）具备履行合同所必需的设备和专业技术能力。■提供相关设备或设施的购置发票或单据（任一），■专业人员用工合同（任一人），或技术人员的职称证书或职业（执业）资格证或等级证书等相关证书（任一人）等的证明材料。</w:t>
      </w:r>
    </w:p>
    <w:p w14:paraId="0AFB9E03">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（4）参加政府采购活动前3年内在经营活动中没有重大违法记录。■提供供应商书面声明；供应商自行承诺并承担后果，声明函不实的，按《政府采购法》有关提供虚假材料的有关规定给予处罚。</w:t>
      </w:r>
    </w:p>
    <w:p w14:paraId="5F0A5C8D">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2.3.2对供应商的限制性规定</w:t>
      </w:r>
    </w:p>
    <w:p w14:paraId="5FB48462">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1）供应商应当无不良信用记录。(在“信用中国”&lt;www.creditchina.gov.cn&gt;网站的“失信被执行人”和“重大税收违法失信主体”及“中国政府采购网”&lt;www.ccgp.gov.cn&gt;网站的“政府采购严重违法失信行为记录名单”均未列入)</w:t>
      </w:r>
    </w:p>
    <w:p w14:paraId="6B66FBE4">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供应商递交《投标文件》后，采购人或者采购代理机构将按以上信用信息查询渠道在解密《投标文件》之前对参加本项目的供应商信用记录进行查询，供应商有上述任一不良信用记录的，其投标将被拒绝、为无效投标。查询的网页内容将以截图或者拍照作为证据留存。</w:t>
      </w:r>
    </w:p>
    <w:p w14:paraId="28F9A418">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2）单位负责人为同一人或者存在直接控股、管理关系的不同供应商，不得参加本合同项下的政府采购活动。供应商自行承诺并承担后果，承诺书不实的，按《政府采购法》有关提供虚假材料的有关规定给予处罚。</w:t>
      </w:r>
    </w:p>
    <w:p w14:paraId="03878369">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3）为本采购项目提供整体设计、规范编制或者项目管理、监理、检测等服务的供应商，不得再参加本采购项目。供应商自行承诺并承担后果，承诺书不实的，按《政府采购法》有关提供虚假材料的有关规定给予处罚。</w:t>
      </w:r>
    </w:p>
    <w:p w14:paraId="0A5443E0">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2.3.3项目的特定资格要求：</w:t>
      </w:r>
    </w:p>
    <w:p w14:paraId="6C213B1B">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（1）具备法律、行政法规规定的其他条件。</w:t>
      </w:r>
    </w:p>
    <w:p w14:paraId="20A6243B">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（2）本项目（是/否）接受联合体投标：同“项目基本情况”1.7款要求。</w:t>
      </w:r>
    </w:p>
    <w:p w14:paraId="14FC9A27">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注：（1）所有证照均应为有效的证照；文中“近”、“前”指距投标截止时间。</w:t>
      </w:r>
    </w:p>
    <w:p w14:paraId="2344D9E2">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（2）资格证明材料（文件）应附于投标文件中并经投标人电子签章。投标人对资格证明文件真实性有效合规承担责任，提供虚假材料的为无效投标并将进一步追究其责任。</w:t>
      </w:r>
    </w:p>
    <w:p w14:paraId="09EA0E0A">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（3）本项目采取资格后审，开标后，将由谈判小组对投标人的资格证明材料（文件）进行资格审核，未按要求逐一提供、或资格审查不合格的为无效投标，投标人应自负其风险费用。</w:t>
      </w:r>
    </w:p>
    <w:p w14:paraId="07067279">
      <w:pPr>
        <w:pStyle w:val="15"/>
        <w:shd w:val="clear" w:color="auto" w:fill="FFFFFF"/>
        <w:adjustRightInd w:val="0"/>
        <w:spacing w:before="50" w:beforeAutospacing="0" w:after="0" w:afterAutospacing="0" w:line="300" w:lineRule="auto"/>
        <w:ind w:firstLine="542" w:firstLineChars="225"/>
        <w:rPr>
          <w:b/>
          <w:color w:val="auto"/>
          <w:highlight w:val="none"/>
        </w:rPr>
      </w:pPr>
    </w:p>
    <w:p w14:paraId="68B83451">
      <w:pPr>
        <w:widowControl w:val="0"/>
        <w:snapToGrid w:val="0"/>
        <w:spacing w:line="360" w:lineRule="auto"/>
        <w:ind w:firstLine="562" w:firstLineChars="200"/>
        <w:rPr>
          <w:rFonts w:ascii="黑体" w:hAnsi="黑体" w:eastAsia="黑体"/>
          <w:b/>
          <w:color w:val="auto"/>
          <w:sz w:val="28"/>
          <w:szCs w:val="28"/>
          <w:highlight w:val="none"/>
        </w:rPr>
      </w:pPr>
      <w:r>
        <w:rPr>
          <w:rFonts w:ascii="黑体" w:hAnsi="黑体" w:eastAsia="黑体"/>
          <w:b/>
          <w:color w:val="auto"/>
          <w:sz w:val="28"/>
          <w:szCs w:val="28"/>
          <w:highlight w:val="none"/>
        </w:rPr>
        <w:t>3</w:t>
      </w:r>
      <w:r>
        <w:rPr>
          <w:rFonts w:hint="eastAsia" w:ascii="黑体" w:hAnsi="黑体" w:eastAsia="黑体"/>
          <w:b/>
          <w:color w:val="auto"/>
          <w:sz w:val="28"/>
          <w:szCs w:val="28"/>
          <w:highlight w:val="none"/>
        </w:rPr>
        <w:t>．获取谈判文件</w:t>
      </w:r>
    </w:p>
    <w:p w14:paraId="704D9E38">
      <w:pPr>
        <w:snapToGrid w:val="0"/>
        <w:spacing w:line="360" w:lineRule="auto"/>
        <w:ind w:firstLine="540" w:firstLineChars="225"/>
        <w:jc w:val="left"/>
        <w:rPr>
          <w:rFonts w:ascii="宋体" w:hAnsi="宋体"/>
          <w:color w:val="auto"/>
          <w:sz w:val="24"/>
          <w:szCs w:val="24"/>
          <w:highlight w:val="none"/>
        </w:rPr>
      </w:pPr>
      <w:r>
        <w:rPr>
          <w:rFonts w:hint="eastAsia" w:ascii="宋体" w:hAnsi="宋体"/>
          <w:color w:val="auto"/>
          <w:sz w:val="24"/>
          <w:szCs w:val="24"/>
          <w:highlight w:val="none"/>
        </w:rPr>
        <w:t>3.1</w:t>
      </w:r>
      <w:r>
        <w:rPr>
          <w:rFonts w:hint="eastAsia"/>
          <w:color w:val="auto"/>
          <w:sz w:val="24"/>
          <w:szCs w:val="24"/>
          <w:highlight w:val="none"/>
        </w:rPr>
        <w:t>时间：</w:t>
      </w:r>
      <w:r>
        <w:rPr>
          <w:rFonts w:hint="eastAsia"/>
          <w:color w:val="auto"/>
          <w:sz w:val="24"/>
          <w:szCs w:val="24"/>
          <w:highlight w:val="none"/>
          <w:u w:val="single"/>
        </w:rPr>
        <w:t>2026</w:t>
      </w:r>
      <w:r>
        <w:rPr>
          <w:rFonts w:hint="eastAsia"/>
          <w:color w:val="auto"/>
          <w:sz w:val="24"/>
          <w:szCs w:val="24"/>
          <w:highlight w:val="none"/>
        </w:rPr>
        <w:t>年</w:t>
      </w:r>
      <w:r>
        <w:rPr>
          <w:rFonts w:hint="eastAsia"/>
          <w:color w:val="auto"/>
          <w:sz w:val="24"/>
          <w:szCs w:val="24"/>
          <w:highlight w:val="none"/>
          <w:u w:val="single"/>
          <w:lang w:val="en-US" w:eastAsia="zh-CN"/>
        </w:rPr>
        <w:t>7</w:t>
      </w:r>
      <w:r>
        <w:rPr>
          <w:rFonts w:hint="eastAsia"/>
          <w:color w:val="auto"/>
          <w:sz w:val="24"/>
          <w:szCs w:val="24"/>
          <w:highlight w:val="none"/>
        </w:rPr>
        <w:t>月</w:t>
      </w:r>
      <w:r>
        <w:rPr>
          <w:rFonts w:hint="eastAsia"/>
          <w:color w:val="auto"/>
          <w:sz w:val="24"/>
          <w:szCs w:val="24"/>
          <w:highlight w:val="none"/>
          <w:u w:val="single"/>
          <w:lang w:val="en-US" w:eastAsia="zh-CN"/>
        </w:rPr>
        <w:t>27</w:t>
      </w:r>
      <w:r>
        <w:rPr>
          <w:rFonts w:hint="eastAsia"/>
          <w:color w:val="auto"/>
          <w:sz w:val="24"/>
          <w:szCs w:val="24"/>
          <w:highlight w:val="none"/>
        </w:rPr>
        <w:t>日至</w:t>
      </w:r>
      <w:r>
        <w:rPr>
          <w:rFonts w:hint="eastAsia"/>
          <w:color w:val="auto"/>
          <w:sz w:val="24"/>
          <w:szCs w:val="24"/>
          <w:highlight w:val="none"/>
          <w:u w:val="single"/>
        </w:rPr>
        <w:t>2026</w:t>
      </w:r>
      <w:r>
        <w:rPr>
          <w:rFonts w:hint="eastAsia"/>
          <w:color w:val="auto"/>
          <w:sz w:val="24"/>
          <w:szCs w:val="24"/>
          <w:highlight w:val="none"/>
        </w:rPr>
        <w:t>年</w:t>
      </w:r>
      <w:r>
        <w:rPr>
          <w:rFonts w:hint="eastAsia"/>
          <w:color w:val="auto"/>
          <w:sz w:val="24"/>
          <w:szCs w:val="24"/>
          <w:highlight w:val="none"/>
          <w:u w:val="single"/>
          <w:lang w:val="en-US" w:eastAsia="zh-CN"/>
        </w:rPr>
        <w:t>7</w:t>
      </w:r>
      <w:r>
        <w:rPr>
          <w:rFonts w:hint="eastAsia"/>
          <w:color w:val="auto"/>
          <w:sz w:val="24"/>
          <w:szCs w:val="24"/>
          <w:highlight w:val="none"/>
        </w:rPr>
        <w:t>月</w:t>
      </w:r>
      <w:r>
        <w:rPr>
          <w:rFonts w:hint="eastAsia"/>
          <w:color w:val="auto"/>
          <w:sz w:val="24"/>
          <w:szCs w:val="24"/>
          <w:highlight w:val="none"/>
          <w:u w:val="single"/>
          <w:lang w:val="en-US" w:eastAsia="zh-CN"/>
        </w:rPr>
        <w:t>30</w:t>
      </w:r>
      <w:r>
        <w:rPr>
          <w:rFonts w:hint="eastAsia"/>
          <w:color w:val="auto"/>
          <w:sz w:val="24"/>
          <w:szCs w:val="24"/>
          <w:highlight w:val="none"/>
        </w:rPr>
        <w:t>日，每天上午</w:t>
      </w:r>
      <w:r>
        <w:rPr>
          <w:rFonts w:hint="eastAsia"/>
          <w:color w:val="auto"/>
          <w:sz w:val="24"/>
          <w:szCs w:val="24"/>
          <w:highlight w:val="none"/>
          <w:u w:val="single"/>
        </w:rPr>
        <w:t>00：00</w:t>
      </w:r>
      <w:r>
        <w:rPr>
          <w:rFonts w:hint="eastAsia"/>
          <w:color w:val="auto"/>
          <w:sz w:val="24"/>
          <w:szCs w:val="24"/>
          <w:highlight w:val="none"/>
        </w:rPr>
        <w:t>至</w:t>
      </w:r>
      <w:r>
        <w:rPr>
          <w:rFonts w:hint="eastAsia"/>
          <w:color w:val="auto"/>
          <w:sz w:val="24"/>
          <w:szCs w:val="24"/>
          <w:highlight w:val="none"/>
          <w:u w:val="single"/>
        </w:rPr>
        <w:t>12：00</w:t>
      </w:r>
      <w:r>
        <w:rPr>
          <w:rFonts w:hint="eastAsia"/>
          <w:color w:val="auto"/>
          <w:sz w:val="24"/>
          <w:szCs w:val="24"/>
          <w:highlight w:val="none"/>
        </w:rPr>
        <w:t>，下午</w:t>
      </w:r>
      <w:r>
        <w:rPr>
          <w:rFonts w:hint="eastAsia"/>
          <w:color w:val="auto"/>
          <w:sz w:val="24"/>
          <w:szCs w:val="24"/>
          <w:highlight w:val="none"/>
          <w:u w:val="single"/>
        </w:rPr>
        <w:t>12：00</w:t>
      </w:r>
      <w:r>
        <w:rPr>
          <w:rFonts w:hint="eastAsia"/>
          <w:color w:val="auto"/>
          <w:sz w:val="24"/>
          <w:szCs w:val="24"/>
          <w:highlight w:val="none"/>
        </w:rPr>
        <w:t>至</w:t>
      </w:r>
      <w:r>
        <w:rPr>
          <w:rFonts w:hint="eastAsia"/>
          <w:color w:val="auto"/>
          <w:sz w:val="24"/>
          <w:szCs w:val="24"/>
          <w:highlight w:val="none"/>
          <w:u w:val="single"/>
        </w:rPr>
        <w:t>23：59</w:t>
      </w:r>
      <w:r>
        <w:rPr>
          <w:rFonts w:hint="eastAsia"/>
          <w:color w:val="auto"/>
          <w:sz w:val="24"/>
          <w:szCs w:val="24"/>
          <w:highlight w:val="none"/>
        </w:rPr>
        <w:t>（北京时间，</w:t>
      </w:r>
      <w:r>
        <w:rPr>
          <w:color w:val="auto"/>
          <w:sz w:val="24"/>
          <w:szCs w:val="24"/>
          <w:highlight w:val="none"/>
        </w:rPr>
        <w:t>法定节假日</w:t>
      </w:r>
      <w:r>
        <w:rPr>
          <w:rFonts w:hint="eastAsia"/>
          <w:color w:val="auto"/>
          <w:sz w:val="24"/>
          <w:szCs w:val="24"/>
          <w:highlight w:val="none"/>
        </w:rPr>
        <w:t>除外）</w:t>
      </w:r>
    </w:p>
    <w:p w14:paraId="28083834">
      <w:pPr>
        <w:widowControl w:val="0"/>
        <w:snapToGrid w:val="0"/>
        <w:spacing w:line="360" w:lineRule="auto"/>
        <w:ind w:left="55" w:leftChars="26" w:firstLine="472" w:firstLineChars="225"/>
        <w:rPr>
          <w:rFonts w:ascii="宋体" w:hAnsi="宋体"/>
          <w:b/>
          <w:color w:val="auto"/>
          <w:sz w:val="24"/>
          <w:szCs w:val="24"/>
          <w:highlight w:val="none"/>
        </w:rPr>
      </w:pPr>
      <w:r>
        <w:rPr>
          <w:rFonts w:hint="eastAsia"/>
          <w:color w:val="auto"/>
          <w:highlight w:val="none"/>
        </w:rPr>
        <w:t>3.2地点：</w:t>
      </w:r>
      <w:r>
        <w:rPr>
          <w:rFonts w:hint="eastAsia"/>
          <w:b/>
          <w:bCs/>
          <w:color w:val="auto"/>
          <w:sz w:val="24"/>
          <w:szCs w:val="24"/>
          <w:highlight w:val="none"/>
        </w:rPr>
        <w:t>登陆安阳县公共资源交易分中心网站（</w:t>
      </w:r>
      <w:r>
        <w:rPr>
          <w:b/>
          <w:bCs/>
          <w:color w:val="auto"/>
          <w:sz w:val="24"/>
          <w:szCs w:val="24"/>
          <w:highlight w:val="none"/>
        </w:rPr>
        <w:t>https</w:t>
      </w:r>
      <w:r>
        <w:rPr>
          <w:rFonts w:hint="eastAsia"/>
          <w:b/>
          <w:bCs/>
          <w:color w:val="auto"/>
          <w:sz w:val="24"/>
          <w:szCs w:val="24"/>
          <w:highlight w:val="none"/>
        </w:rPr>
        <w:t>：</w:t>
      </w:r>
      <w:r>
        <w:rPr>
          <w:b/>
          <w:bCs/>
          <w:color w:val="auto"/>
          <w:sz w:val="24"/>
          <w:szCs w:val="24"/>
          <w:highlight w:val="none"/>
        </w:rPr>
        <w:t>//ggzy.anyang.gov.cn/ayxggzy/</w:t>
      </w:r>
      <w:r>
        <w:rPr>
          <w:rFonts w:hint="eastAsia"/>
          <w:b/>
          <w:bCs/>
          <w:color w:val="auto"/>
          <w:sz w:val="24"/>
          <w:szCs w:val="24"/>
          <w:highlight w:val="none"/>
        </w:rPr>
        <w:t>），在【交易主体登录】入口完成注册。凭数字证书下载谈判文件及其它资料。</w:t>
      </w:r>
    </w:p>
    <w:p w14:paraId="6170418F">
      <w:pPr>
        <w:spacing w:line="360" w:lineRule="auto"/>
        <w:ind w:firstLine="540"/>
        <w:rPr>
          <w:b/>
          <w:bCs/>
          <w:color w:val="auto"/>
          <w:sz w:val="24"/>
          <w:szCs w:val="24"/>
          <w:highlight w:val="none"/>
        </w:rPr>
      </w:pPr>
      <w:r>
        <w:rPr>
          <w:rFonts w:hint="eastAsia" w:ascii="宋体" w:hAnsi="宋体"/>
          <w:color w:val="auto"/>
          <w:sz w:val="24"/>
          <w:szCs w:val="24"/>
          <w:highlight w:val="none"/>
        </w:rPr>
        <w:t>3.3方式：</w:t>
      </w:r>
      <w:r>
        <w:rPr>
          <w:rFonts w:hint="eastAsia"/>
          <w:b/>
          <w:bCs/>
          <w:color w:val="auto"/>
          <w:sz w:val="24"/>
          <w:szCs w:val="24"/>
          <w:highlight w:val="none"/>
        </w:rPr>
        <w:t>网上</w:t>
      </w:r>
      <w:r>
        <w:rPr>
          <w:b/>
          <w:bCs/>
          <w:color w:val="auto"/>
          <w:sz w:val="24"/>
          <w:szCs w:val="24"/>
          <w:highlight w:val="none"/>
        </w:rPr>
        <w:t>下载</w:t>
      </w:r>
      <w:r>
        <w:rPr>
          <w:rFonts w:hint="eastAsia"/>
          <w:b/>
          <w:bCs/>
          <w:color w:val="auto"/>
          <w:sz w:val="24"/>
          <w:szCs w:val="24"/>
          <w:highlight w:val="none"/>
        </w:rPr>
        <w:t>；</w:t>
      </w:r>
    </w:p>
    <w:p w14:paraId="3893398B">
      <w:pPr>
        <w:spacing w:line="360" w:lineRule="auto"/>
        <w:ind w:firstLine="540"/>
        <w:rPr>
          <w:b/>
          <w:bCs/>
          <w:color w:val="auto"/>
          <w:sz w:val="24"/>
          <w:szCs w:val="24"/>
          <w:highlight w:val="none"/>
        </w:rPr>
      </w:pPr>
      <w:r>
        <w:rPr>
          <w:rFonts w:hint="eastAsia"/>
          <w:b/>
          <w:bCs/>
          <w:color w:val="auto"/>
          <w:sz w:val="24"/>
          <w:szCs w:val="24"/>
          <w:highlight w:val="none"/>
        </w:rPr>
        <w:t>具体流程请查询安阳县公共资源交易分中心网站-服务指南-操作手册-《安阳市公共资源交易系统投标人（供应商）操作手册》。</w:t>
      </w:r>
      <w:r>
        <w:rPr>
          <w:b/>
          <w:bCs/>
          <w:color w:val="auto"/>
          <w:sz w:val="24"/>
          <w:szCs w:val="24"/>
          <w:highlight w:val="none"/>
        </w:rPr>
        <w:t>如有技术问题请咨询</w:t>
      </w:r>
      <w:r>
        <w:rPr>
          <w:rFonts w:hint="eastAsia"/>
          <w:b/>
          <w:bCs/>
          <w:color w:val="auto"/>
          <w:sz w:val="24"/>
          <w:szCs w:val="24"/>
          <w:highlight w:val="none"/>
        </w:rPr>
        <w:t>400-998-0000、0372-3387739。</w:t>
      </w:r>
    </w:p>
    <w:p w14:paraId="6A8339B0">
      <w:pPr>
        <w:spacing w:line="360" w:lineRule="auto"/>
        <w:ind w:firstLine="540"/>
        <w:rPr>
          <w:rFonts w:ascii="宋体" w:hAnsi="宋体" w:cs="宋体"/>
          <w:color w:val="auto"/>
          <w:sz w:val="24"/>
          <w:szCs w:val="24"/>
          <w:highlight w:val="none"/>
        </w:rPr>
      </w:pPr>
      <w:r>
        <w:rPr>
          <w:rFonts w:hint="eastAsia" w:ascii="宋体" w:hAnsi="宋体"/>
          <w:color w:val="auto"/>
          <w:sz w:val="24"/>
          <w:szCs w:val="24"/>
          <w:highlight w:val="none"/>
        </w:rPr>
        <w:t>3.4售价：</w:t>
      </w:r>
      <w:r>
        <w:rPr>
          <w:rFonts w:hint="eastAsia" w:ascii="宋体" w:hAnsi="宋体" w:cs="宋体"/>
          <w:color w:val="auto"/>
          <w:sz w:val="24"/>
          <w:szCs w:val="24"/>
          <w:highlight w:val="none"/>
        </w:rPr>
        <w:t>0元</w:t>
      </w:r>
    </w:p>
    <w:p w14:paraId="6E0741AD">
      <w:pPr>
        <w:widowControl w:val="0"/>
        <w:snapToGrid w:val="0"/>
        <w:spacing w:line="360" w:lineRule="auto"/>
        <w:rPr>
          <w:rFonts w:ascii="黑体" w:hAnsi="黑体" w:eastAsia="黑体"/>
          <w:b/>
          <w:color w:val="auto"/>
          <w:sz w:val="28"/>
          <w:szCs w:val="28"/>
          <w:highlight w:val="none"/>
        </w:rPr>
      </w:pPr>
    </w:p>
    <w:p w14:paraId="1253B2D2">
      <w:pPr>
        <w:widowControl w:val="0"/>
        <w:snapToGrid w:val="0"/>
        <w:spacing w:line="360" w:lineRule="auto"/>
        <w:ind w:firstLine="562" w:firstLineChars="200"/>
        <w:rPr>
          <w:rFonts w:ascii="黑体" w:hAnsi="黑体" w:eastAsia="黑体"/>
          <w:b/>
          <w:color w:val="auto"/>
          <w:sz w:val="28"/>
          <w:szCs w:val="28"/>
          <w:highlight w:val="none"/>
        </w:rPr>
      </w:pPr>
      <w:r>
        <w:rPr>
          <w:rFonts w:ascii="黑体" w:hAnsi="黑体" w:eastAsia="黑体"/>
          <w:b/>
          <w:color w:val="auto"/>
          <w:sz w:val="28"/>
          <w:szCs w:val="28"/>
          <w:highlight w:val="none"/>
        </w:rPr>
        <w:t>4</w:t>
      </w:r>
      <w:r>
        <w:rPr>
          <w:rFonts w:hint="eastAsia" w:ascii="黑体" w:hAnsi="黑体" w:eastAsia="黑体"/>
          <w:b/>
          <w:color w:val="auto"/>
          <w:sz w:val="28"/>
          <w:szCs w:val="28"/>
          <w:highlight w:val="none"/>
        </w:rPr>
        <w:t>．响应文件提交</w:t>
      </w:r>
    </w:p>
    <w:p w14:paraId="62AABE49">
      <w:pPr>
        <w:snapToGrid w:val="0"/>
        <w:spacing w:line="360" w:lineRule="auto"/>
        <w:ind w:firstLine="540" w:firstLineChars="225"/>
        <w:jc w:val="left"/>
        <w:rPr>
          <w:rFonts w:ascii="宋体" w:hAnsi="宋体"/>
          <w:color w:val="auto"/>
          <w:sz w:val="24"/>
          <w:szCs w:val="24"/>
          <w:highlight w:val="none"/>
        </w:rPr>
      </w:pPr>
      <w:r>
        <w:rPr>
          <w:rFonts w:hint="eastAsia" w:ascii="宋体" w:hAnsi="宋体"/>
          <w:color w:val="auto"/>
          <w:sz w:val="24"/>
          <w:szCs w:val="24"/>
          <w:highlight w:val="none"/>
        </w:rPr>
        <w:t>4.1截止时间：2026年</w:t>
      </w:r>
      <w:r>
        <w:rPr>
          <w:rFonts w:hint="eastAsia" w:ascii="宋体" w:hAnsi="宋体"/>
          <w:color w:val="auto"/>
          <w:sz w:val="24"/>
          <w:szCs w:val="24"/>
          <w:highlight w:val="none"/>
          <w:lang w:val="en-US" w:eastAsia="zh-CN"/>
        </w:rPr>
        <w:t>8</w:t>
      </w:r>
      <w:r>
        <w:rPr>
          <w:rFonts w:hint="eastAsia" w:ascii="宋体" w:hAnsi="宋体"/>
          <w:color w:val="auto"/>
          <w:sz w:val="24"/>
          <w:szCs w:val="24"/>
          <w:highlight w:val="none"/>
        </w:rPr>
        <w:t>月</w:t>
      </w:r>
      <w:r>
        <w:rPr>
          <w:rFonts w:hint="eastAsia" w:ascii="宋体" w:hAnsi="宋体"/>
          <w:color w:val="auto"/>
          <w:sz w:val="24"/>
          <w:szCs w:val="24"/>
          <w:highlight w:val="none"/>
          <w:lang w:val="en-US" w:eastAsia="zh-CN"/>
        </w:rPr>
        <w:t>3</w:t>
      </w:r>
      <w:r>
        <w:rPr>
          <w:rFonts w:hint="eastAsia" w:ascii="宋体" w:hAnsi="宋体"/>
          <w:color w:val="auto"/>
          <w:sz w:val="24"/>
          <w:szCs w:val="24"/>
          <w:highlight w:val="none"/>
        </w:rPr>
        <w:t>日09时00分（北京时间）</w:t>
      </w:r>
    </w:p>
    <w:p w14:paraId="05103DB2">
      <w:pPr>
        <w:snapToGrid w:val="0"/>
        <w:spacing w:line="360" w:lineRule="auto"/>
        <w:ind w:firstLine="540" w:firstLineChars="225"/>
        <w:jc w:val="left"/>
        <w:rPr>
          <w:rFonts w:ascii="宋体" w:hAnsi="宋体"/>
          <w:color w:val="auto"/>
          <w:sz w:val="24"/>
          <w:szCs w:val="24"/>
          <w:highlight w:val="none"/>
        </w:rPr>
      </w:pPr>
      <w:r>
        <w:rPr>
          <w:rFonts w:hint="eastAsia" w:ascii="宋体" w:hAnsi="宋体"/>
          <w:color w:val="auto"/>
          <w:sz w:val="24"/>
          <w:szCs w:val="24"/>
          <w:highlight w:val="none"/>
        </w:rPr>
        <w:t>4.2地点：于安阳县公共资源交易平台网</w:t>
      </w:r>
      <w:r>
        <w:rPr>
          <w:rFonts w:ascii="宋体" w:hAnsi="宋体"/>
          <w:color w:val="auto"/>
          <w:sz w:val="24"/>
          <w:szCs w:val="24"/>
          <w:highlight w:val="none"/>
        </w:rPr>
        <w:t>上</w:t>
      </w:r>
      <w:r>
        <w:rPr>
          <w:rFonts w:hint="eastAsia" w:ascii="宋体" w:hAnsi="宋体"/>
          <w:color w:val="auto"/>
          <w:sz w:val="24"/>
          <w:szCs w:val="24"/>
          <w:highlight w:val="none"/>
        </w:rPr>
        <w:t>上传</w:t>
      </w:r>
      <w:r>
        <w:rPr>
          <w:rFonts w:ascii="宋体" w:hAnsi="宋体"/>
          <w:color w:val="auto"/>
          <w:sz w:val="24"/>
          <w:szCs w:val="24"/>
          <w:highlight w:val="none"/>
        </w:rPr>
        <w:t>递</w:t>
      </w:r>
      <w:r>
        <w:rPr>
          <w:rFonts w:hint="eastAsia" w:ascii="宋体" w:hAnsi="宋体"/>
          <w:color w:val="auto"/>
          <w:sz w:val="24"/>
          <w:szCs w:val="24"/>
          <w:highlight w:val="none"/>
        </w:rPr>
        <w:t>交、</w:t>
      </w:r>
      <w:r>
        <w:rPr>
          <w:rFonts w:ascii="宋体" w:hAnsi="宋体"/>
          <w:color w:val="auto"/>
          <w:sz w:val="24"/>
          <w:szCs w:val="24"/>
          <w:highlight w:val="none"/>
        </w:rPr>
        <w:t>并</w:t>
      </w:r>
      <w:r>
        <w:rPr>
          <w:rFonts w:hint="eastAsia" w:ascii="宋体" w:hAnsi="宋体"/>
          <w:color w:val="auto"/>
          <w:sz w:val="24"/>
          <w:szCs w:val="24"/>
          <w:highlight w:val="none"/>
        </w:rPr>
        <w:t>由投标人</w:t>
      </w:r>
      <w:r>
        <w:rPr>
          <w:rFonts w:ascii="宋体" w:hAnsi="宋体"/>
          <w:color w:val="auto"/>
          <w:sz w:val="24"/>
          <w:szCs w:val="24"/>
          <w:highlight w:val="none"/>
        </w:rPr>
        <w:t>在规定时间</w:t>
      </w:r>
      <w:r>
        <w:rPr>
          <w:rFonts w:hint="eastAsia" w:ascii="宋体" w:hAnsi="宋体"/>
          <w:color w:val="auto"/>
          <w:sz w:val="24"/>
          <w:szCs w:val="24"/>
          <w:highlight w:val="none"/>
        </w:rPr>
        <w:t>远程解密。</w:t>
      </w:r>
    </w:p>
    <w:p w14:paraId="7D0F838D">
      <w:pPr>
        <w:snapToGrid w:val="0"/>
        <w:spacing w:line="360" w:lineRule="auto"/>
        <w:ind w:firstLine="472" w:firstLineChars="225"/>
        <w:jc w:val="left"/>
        <w:rPr>
          <w:rFonts w:ascii="微软雅黑" w:hAnsi="微软雅黑" w:eastAsia="微软雅黑"/>
          <w:color w:val="auto"/>
          <w:szCs w:val="21"/>
          <w:highlight w:val="none"/>
        </w:rPr>
      </w:pPr>
    </w:p>
    <w:p w14:paraId="2A470CAA">
      <w:pPr>
        <w:widowControl w:val="0"/>
        <w:snapToGrid w:val="0"/>
        <w:spacing w:line="360" w:lineRule="auto"/>
        <w:ind w:firstLine="562" w:firstLineChars="200"/>
        <w:rPr>
          <w:rFonts w:ascii="黑体" w:hAnsi="黑体" w:eastAsia="黑体"/>
          <w:b/>
          <w:color w:val="auto"/>
          <w:sz w:val="28"/>
          <w:szCs w:val="28"/>
          <w:highlight w:val="none"/>
        </w:rPr>
      </w:pPr>
      <w:r>
        <w:rPr>
          <w:rFonts w:hint="eastAsia" w:ascii="黑体" w:hAnsi="黑体" w:eastAsia="黑体"/>
          <w:b/>
          <w:color w:val="auto"/>
          <w:sz w:val="28"/>
          <w:szCs w:val="28"/>
          <w:highlight w:val="none"/>
        </w:rPr>
        <w:t>5.响应文件开启</w:t>
      </w:r>
    </w:p>
    <w:p w14:paraId="50ED6754">
      <w:pPr>
        <w:snapToGrid w:val="0"/>
        <w:spacing w:line="360" w:lineRule="auto"/>
        <w:ind w:firstLine="540" w:firstLineChars="225"/>
        <w:jc w:val="left"/>
        <w:rPr>
          <w:rFonts w:ascii="宋体" w:hAnsi="宋体"/>
          <w:color w:val="auto"/>
          <w:sz w:val="24"/>
          <w:szCs w:val="24"/>
          <w:highlight w:val="none"/>
        </w:rPr>
      </w:pPr>
      <w:r>
        <w:rPr>
          <w:rFonts w:hint="eastAsia" w:ascii="宋体" w:hAnsi="宋体"/>
          <w:color w:val="auto"/>
          <w:sz w:val="24"/>
          <w:szCs w:val="24"/>
          <w:highlight w:val="none"/>
        </w:rPr>
        <w:t>5.1时间：2026年</w:t>
      </w:r>
      <w:r>
        <w:rPr>
          <w:rFonts w:hint="eastAsia" w:ascii="宋体" w:hAnsi="宋体"/>
          <w:color w:val="auto"/>
          <w:sz w:val="24"/>
          <w:szCs w:val="24"/>
          <w:highlight w:val="none"/>
          <w:lang w:val="en-US" w:eastAsia="zh-CN"/>
        </w:rPr>
        <w:t>8</w:t>
      </w:r>
      <w:r>
        <w:rPr>
          <w:rFonts w:hint="eastAsia" w:ascii="宋体" w:hAnsi="宋体"/>
          <w:color w:val="auto"/>
          <w:sz w:val="24"/>
          <w:szCs w:val="24"/>
          <w:highlight w:val="none"/>
        </w:rPr>
        <w:t>月</w:t>
      </w:r>
      <w:r>
        <w:rPr>
          <w:rFonts w:hint="eastAsia" w:ascii="宋体" w:hAnsi="宋体"/>
          <w:color w:val="auto"/>
          <w:sz w:val="24"/>
          <w:szCs w:val="24"/>
          <w:highlight w:val="none"/>
          <w:lang w:val="en-US" w:eastAsia="zh-CN"/>
        </w:rPr>
        <w:t>3</w:t>
      </w:r>
      <w:r>
        <w:rPr>
          <w:rFonts w:hint="eastAsia" w:ascii="宋体" w:hAnsi="宋体"/>
          <w:color w:val="auto"/>
          <w:sz w:val="24"/>
          <w:szCs w:val="24"/>
          <w:highlight w:val="none"/>
        </w:rPr>
        <w:t>日09时00分（北京时间）</w:t>
      </w:r>
    </w:p>
    <w:p w14:paraId="543F9458">
      <w:pPr>
        <w:snapToGrid w:val="0"/>
        <w:spacing w:line="360" w:lineRule="auto"/>
        <w:ind w:firstLine="540" w:firstLineChars="225"/>
        <w:jc w:val="left"/>
        <w:rPr>
          <w:rFonts w:ascii="宋体" w:hAnsi="宋体"/>
          <w:color w:val="auto"/>
          <w:sz w:val="24"/>
          <w:szCs w:val="24"/>
          <w:highlight w:val="none"/>
        </w:rPr>
      </w:pPr>
      <w:r>
        <w:rPr>
          <w:rFonts w:hint="eastAsia" w:ascii="宋体" w:hAnsi="宋体"/>
          <w:color w:val="auto"/>
          <w:sz w:val="24"/>
          <w:szCs w:val="24"/>
          <w:highlight w:val="none"/>
        </w:rPr>
        <w:t>5.2地点（管理员网上操作地点）：安阳县公共资源交易分中心第</w:t>
      </w:r>
      <w:r>
        <w:rPr>
          <w:rFonts w:hint="eastAsia" w:ascii="宋体" w:hAnsi="宋体"/>
          <w:color w:val="auto"/>
          <w:sz w:val="24"/>
          <w:szCs w:val="24"/>
          <w:highlight w:val="none"/>
          <w:lang w:val="en-US" w:eastAsia="zh-CN"/>
        </w:rPr>
        <w:t>一</w:t>
      </w:r>
      <w:r>
        <w:rPr>
          <w:rFonts w:hint="eastAsia" w:ascii="宋体" w:hAnsi="宋体"/>
          <w:color w:val="auto"/>
          <w:sz w:val="24"/>
          <w:szCs w:val="24"/>
          <w:highlight w:val="none"/>
        </w:rPr>
        <w:t>开标厅（安阳市文明大道东段—安阳市城乡一体化示范区管委会院内）。</w:t>
      </w:r>
    </w:p>
    <w:p w14:paraId="1BC6E5AA">
      <w:pPr>
        <w:snapToGrid w:val="0"/>
        <w:spacing w:line="360" w:lineRule="auto"/>
        <w:ind w:firstLine="540" w:firstLineChars="225"/>
        <w:jc w:val="left"/>
        <w:rPr>
          <w:rFonts w:ascii="宋体" w:hAnsi="宋体"/>
          <w:color w:val="auto"/>
          <w:sz w:val="24"/>
          <w:szCs w:val="24"/>
          <w:highlight w:val="none"/>
        </w:rPr>
      </w:pPr>
      <w:r>
        <w:rPr>
          <w:rFonts w:hint="eastAsia" w:ascii="宋体" w:hAnsi="宋体"/>
          <w:color w:val="auto"/>
          <w:sz w:val="24"/>
          <w:szCs w:val="24"/>
          <w:highlight w:val="none"/>
        </w:rPr>
        <w:t>5.3本项目采用远程不见面交易的模式，开标当日，投标人无需到开标现场参加开标会议，投标人应当在投标截止时间前，使用IE浏览器登录到安阳市公共资源交易不见面开标大厅，点击右上方【登录】按钮进入，在线准时参加开标活动并进行投标文件解密等。因投标人原因未能解密、解密失败或解密超时的将被拒绝。</w:t>
      </w:r>
    </w:p>
    <w:p w14:paraId="00CD15F6">
      <w:pPr>
        <w:snapToGrid w:val="0"/>
        <w:spacing w:line="360" w:lineRule="auto"/>
        <w:ind w:firstLine="540" w:firstLineChars="225"/>
        <w:jc w:val="left"/>
        <w:rPr>
          <w:rFonts w:ascii="宋体" w:hAnsi="宋体"/>
          <w:color w:val="auto"/>
          <w:sz w:val="24"/>
          <w:szCs w:val="24"/>
          <w:highlight w:val="none"/>
        </w:rPr>
      </w:pPr>
    </w:p>
    <w:p w14:paraId="1C6CD8D4">
      <w:pPr>
        <w:widowControl w:val="0"/>
        <w:snapToGrid w:val="0"/>
        <w:spacing w:line="360" w:lineRule="auto"/>
        <w:ind w:firstLine="562" w:firstLineChars="200"/>
        <w:rPr>
          <w:rFonts w:ascii="黑体" w:hAnsi="黑体" w:eastAsia="黑体"/>
          <w:b/>
          <w:color w:val="auto"/>
          <w:sz w:val="28"/>
          <w:szCs w:val="28"/>
          <w:highlight w:val="none"/>
        </w:rPr>
      </w:pPr>
      <w:r>
        <w:rPr>
          <w:rFonts w:hint="eastAsia" w:ascii="黑体" w:hAnsi="黑体" w:eastAsia="黑体"/>
          <w:b/>
          <w:color w:val="auto"/>
          <w:sz w:val="28"/>
          <w:szCs w:val="28"/>
          <w:highlight w:val="none"/>
        </w:rPr>
        <w:t>6.</w:t>
      </w:r>
      <w:r>
        <w:rPr>
          <w:rFonts w:hint="eastAsia"/>
          <w:color w:val="auto"/>
          <w:highlight w:val="none"/>
        </w:rPr>
        <w:t xml:space="preserve"> </w:t>
      </w:r>
      <w:r>
        <w:rPr>
          <w:rFonts w:hint="eastAsia" w:ascii="黑体" w:hAnsi="黑体" w:eastAsia="黑体"/>
          <w:b/>
          <w:color w:val="auto"/>
          <w:sz w:val="28"/>
          <w:szCs w:val="28"/>
          <w:highlight w:val="none"/>
        </w:rPr>
        <w:t>发布公告的媒介及公告期限</w:t>
      </w:r>
    </w:p>
    <w:p w14:paraId="305D0918">
      <w:pPr>
        <w:widowControl w:val="0"/>
        <w:adjustRightInd w:val="0"/>
        <w:snapToGrid w:val="0"/>
        <w:spacing w:line="360" w:lineRule="auto"/>
        <w:ind w:firstLine="540" w:firstLineChars="225"/>
        <w:rPr>
          <w:rFonts w:ascii="宋体" w:hAnsi="宋体"/>
          <w:color w:val="auto"/>
          <w:sz w:val="24"/>
          <w:szCs w:val="24"/>
          <w:highlight w:val="none"/>
        </w:rPr>
      </w:pPr>
      <w:r>
        <w:rPr>
          <w:rFonts w:hint="eastAsia" w:ascii="宋体" w:hAnsi="宋体"/>
          <w:color w:val="auto"/>
          <w:sz w:val="24"/>
          <w:szCs w:val="24"/>
          <w:highlight w:val="none"/>
        </w:rPr>
        <w:t>本项目在“河南省政府采购网（安阳市政府采购网）”、“</w:t>
      </w:r>
      <w:r>
        <w:rPr>
          <w:rFonts w:hint="eastAsia" w:ascii="宋体" w:hAnsi="宋体" w:cs="宋体"/>
          <w:color w:val="auto"/>
          <w:sz w:val="24"/>
          <w:szCs w:val="24"/>
          <w:highlight w:val="none"/>
        </w:rPr>
        <w:t>全国公共资源交易平台（河南省·安阳县）</w:t>
      </w:r>
      <w:r>
        <w:rPr>
          <w:rFonts w:hint="eastAsia"/>
          <w:color w:val="auto"/>
          <w:sz w:val="24"/>
          <w:szCs w:val="24"/>
          <w:highlight w:val="none"/>
        </w:rPr>
        <w:t>安阳县公共资源交易分中心</w:t>
      </w:r>
      <w:r>
        <w:rPr>
          <w:rFonts w:hint="eastAsia" w:ascii="宋体" w:hAnsi="宋体"/>
          <w:color w:val="auto"/>
          <w:sz w:val="24"/>
          <w:szCs w:val="24"/>
          <w:highlight w:val="none"/>
        </w:rPr>
        <w:t>”、“安阳招标采购网”网站上同期发布。公告期限为三个工作日</w:t>
      </w:r>
      <w:r>
        <w:rPr>
          <w:rFonts w:hint="eastAsia" w:ascii="宋体" w:hAnsi="宋体" w:cs="宋体"/>
          <w:color w:val="auto"/>
          <w:sz w:val="24"/>
          <w:szCs w:val="24"/>
          <w:highlight w:val="none"/>
        </w:rPr>
        <w:t>。</w:t>
      </w:r>
    </w:p>
    <w:p w14:paraId="28C47A88">
      <w:pPr>
        <w:widowControl w:val="0"/>
        <w:tabs>
          <w:tab w:val="left" w:pos="39"/>
          <w:tab w:val="left" w:pos="96"/>
        </w:tabs>
        <w:snapToGrid w:val="0"/>
        <w:spacing w:line="360" w:lineRule="auto"/>
        <w:ind w:firstLine="566" w:firstLineChars="236"/>
        <w:rPr>
          <w:rFonts w:ascii="宋体" w:hAnsi="宋体" w:cs="宋体"/>
          <w:color w:val="auto"/>
          <w:sz w:val="24"/>
          <w:szCs w:val="24"/>
          <w:highlight w:val="none"/>
        </w:rPr>
      </w:pPr>
    </w:p>
    <w:p w14:paraId="42956377">
      <w:pPr>
        <w:widowControl w:val="0"/>
        <w:tabs>
          <w:tab w:val="left" w:pos="39"/>
          <w:tab w:val="left" w:pos="96"/>
        </w:tabs>
        <w:snapToGrid w:val="0"/>
        <w:spacing w:line="360" w:lineRule="auto"/>
        <w:ind w:firstLine="663" w:firstLineChars="236"/>
        <w:rPr>
          <w:rFonts w:ascii="黑体" w:hAnsi="黑体" w:eastAsia="黑体"/>
          <w:b/>
          <w:color w:val="auto"/>
          <w:sz w:val="28"/>
          <w:szCs w:val="28"/>
          <w:highlight w:val="none"/>
        </w:rPr>
      </w:pPr>
      <w:r>
        <w:rPr>
          <w:rFonts w:hint="eastAsia" w:ascii="黑体" w:hAnsi="黑体" w:eastAsia="黑体"/>
          <w:b/>
          <w:color w:val="auto"/>
          <w:sz w:val="28"/>
          <w:szCs w:val="28"/>
          <w:highlight w:val="none"/>
        </w:rPr>
        <w:t>7. 其他补充事宜</w:t>
      </w:r>
    </w:p>
    <w:p w14:paraId="70C67DB9">
      <w:pPr>
        <w:widowControl w:val="0"/>
        <w:snapToGrid w:val="0"/>
        <w:spacing w:line="360" w:lineRule="auto"/>
        <w:ind w:firstLine="540" w:firstLineChars="225"/>
        <w:jc w:val="left"/>
        <w:rPr>
          <w:color w:val="auto"/>
          <w:sz w:val="24"/>
          <w:szCs w:val="24"/>
          <w:highlight w:val="none"/>
        </w:rPr>
      </w:pPr>
      <w:r>
        <w:rPr>
          <w:rFonts w:hint="eastAsia" w:ascii="宋体" w:hAnsi="宋体"/>
          <w:color w:val="auto"/>
          <w:sz w:val="24"/>
          <w:szCs w:val="24"/>
          <w:highlight w:val="none"/>
        </w:rPr>
        <w:t>7.1项目落实的政府采购政策：</w:t>
      </w:r>
      <w:r>
        <w:rPr>
          <w:rFonts w:hint="eastAsia"/>
          <w:color w:val="auto"/>
          <w:sz w:val="24"/>
          <w:szCs w:val="24"/>
          <w:highlight w:val="none"/>
        </w:rPr>
        <w:t>强制节能产品强制采购、节能产品、环境标志产品优先采购、促进中小企业发展扶持政策、进口产品政策、信息安全产品、社会信用体系建设、促进残疾人就业、支持监狱企业发展、</w:t>
      </w:r>
      <w:r>
        <w:rPr>
          <w:rFonts w:hint="eastAsia" w:ascii="宋体" w:hAnsi="宋体"/>
          <w:color w:val="auto"/>
          <w:sz w:val="24"/>
          <w:szCs w:val="24"/>
          <w:highlight w:val="none"/>
        </w:rPr>
        <w:t>支持绿色建筑、绿色建材，支持不发达、少数民族地区的企业，促进自主创新产业发展，支持脱贫攻坚、本国产品的支持政策等</w:t>
      </w:r>
      <w:r>
        <w:rPr>
          <w:rFonts w:hint="eastAsia"/>
          <w:color w:val="auto"/>
          <w:sz w:val="24"/>
          <w:szCs w:val="24"/>
          <w:highlight w:val="none"/>
        </w:rPr>
        <w:t>。</w:t>
      </w:r>
    </w:p>
    <w:p w14:paraId="3D5AF1F3">
      <w:pPr>
        <w:widowControl w:val="0"/>
        <w:snapToGrid w:val="0"/>
        <w:spacing w:line="360" w:lineRule="auto"/>
        <w:ind w:firstLine="540" w:firstLineChars="225"/>
        <w:jc w:val="left"/>
        <w:rPr>
          <w:rFonts w:ascii="宋体" w:hAnsi="宋体"/>
          <w:color w:val="auto"/>
          <w:sz w:val="24"/>
          <w:szCs w:val="24"/>
          <w:highlight w:val="none"/>
        </w:rPr>
      </w:pPr>
      <w:r>
        <w:rPr>
          <w:rFonts w:hint="eastAsia" w:ascii="宋体" w:hAnsi="宋体"/>
          <w:color w:val="auto"/>
          <w:sz w:val="24"/>
          <w:szCs w:val="24"/>
          <w:highlight w:val="none"/>
        </w:rPr>
        <w:t>7.2政府采购合同融资</w:t>
      </w:r>
    </w:p>
    <w:p w14:paraId="765D1401">
      <w:pPr>
        <w:widowControl w:val="0"/>
        <w:adjustRightInd w:val="0"/>
        <w:snapToGrid w:val="0"/>
        <w:spacing w:line="360" w:lineRule="auto"/>
        <w:ind w:firstLine="540" w:firstLineChars="225"/>
        <w:rPr>
          <w:rFonts w:ascii="宋体" w:hAnsi="宋体"/>
          <w:color w:val="auto"/>
          <w:sz w:val="24"/>
          <w:szCs w:val="24"/>
          <w:highlight w:val="none"/>
        </w:rPr>
      </w:pPr>
      <w:r>
        <w:rPr>
          <w:rFonts w:hint="eastAsia" w:ascii="宋体" w:hAnsi="宋体"/>
          <w:color w:val="auto"/>
          <w:sz w:val="24"/>
          <w:szCs w:val="24"/>
          <w:highlight w:val="none"/>
        </w:rPr>
        <w:t>根据豫财购〔2017〕10号和安财购〔2017〕7号文要求，参加政府采购项目的中小微企业供应商，持中标（成交）通知书可向金融机构申请合同融资，详情请登录安阳市政府采购网，进入网站飘窗或业务指南窗口了解金融机构提供的融资服务内容。</w:t>
      </w:r>
    </w:p>
    <w:p w14:paraId="311DA968">
      <w:pPr>
        <w:pStyle w:val="15"/>
        <w:shd w:val="clear" w:color="auto" w:fill="FFFFFF"/>
        <w:adjustRightInd w:val="0"/>
        <w:spacing w:before="50" w:beforeAutospacing="0" w:after="0" w:afterAutospacing="0" w:line="300" w:lineRule="auto"/>
        <w:ind w:firstLine="540" w:firstLineChars="225"/>
        <w:rPr>
          <w:rFonts w:cs="Times New Roman"/>
          <w:color w:val="auto"/>
          <w:highlight w:val="none"/>
        </w:rPr>
      </w:pPr>
      <w:r>
        <w:rPr>
          <w:rFonts w:hint="eastAsia"/>
          <w:color w:val="auto"/>
          <w:highlight w:val="none"/>
        </w:rPr>
        <w:t>7.3</w:t>
      </w:r>
      <w:r>
        <w:rPr>
          <w:rFonts w:hint="eastAsia" w:cs="Times New Roman"/>
          <w:color w:val="auto"/>
          <w:highlight w:val="none"/>
        </w:rPr>
        <w:t>网</w:t>
      </w:r>
      <w:r>
        <w:rPr>
          <w:rFonts w:cs="Times New Roman"/>
          <w:color w:val="auto"/>
          <w:highlight w:val="none"/>
        </w:rPr>
        <w:t>上</w:t>
      </w:r>
      <w:r>
        <w:rPr>
          <w:rFonts w:hint="eastAsia" w:cs="Times New Roman"/>
          <w:color w:val="auto"/>
          <w:highlight w:val="none"/>
        </w:rPr>
        <w:t>电子交易系</w:t>
      </w:r>
      <w:r>
        <w:rPr>
          <w:rFonts w:cs="Times New Roman"/>
          <w:color w:val="auto"/>
          <w:highlight w:val="none"/>
        </w:rPr>
        <w:t>统</w:t>
      </w:r>
      <w:r>
        <w:rPr>
          <w:rFonts w:hint="eastAsia" w:cs="Times New Roman"/>
          <w:color w:val="auto"/>
          <w:highlight w:val="none"/>
        </w:rPr>
        <w:t>网</w:t>
      </w:r>
      <w:r>
        <w:rPr>
          <w:rFonts w:cs="Times New Roman"/>
          <w:color w:val="auto"/>
          <w:highlight w:val="none"/>
        </w:rPr>
        <w:t>址</w:t>
      </w:r>
    </w:p>
    <w:p w14:paraId="6A9BFA4A">
      <w:pPr>
        <w:widowControl w:val="0"/>
        <w:adjustRightInd w:val="0"/>
        <w:snapToGrid w:val="0"/>
        <w:spacing w:line="360" w:lineRule="auto"/>
        <w:ind w:firstLine="542" w:firstLineChars="225"/>
        <w:rPr>
          <w:rFonts w:ascii="宋体" w:hAnsi="宋体"/>
          <w:b/>
          <w:color w:val="auto"/>
          <w:sz w:val="24"/>
          <w:szCs w:val="24"/>
          <w:highlight w:val="none"/>
        </w:rPr>
      </w:pPr>
      <w:r>
        <w:rPr>
          <w:rFonts w:ascii="宋体" w:hAnsi="宋体"/>
          <w:b/>
          <w:color w:val="auto"/>
          <w:sz w:val="24"/>
          <w:szCs w:val="24"/>
          <w:highlight w:val="none"/>
        </w:rPr>
        <w:t>7.</w:t>
      </w:r>
      <w:r>
        <w:rPr>
          <w:rFonts w:hint="eastAsia" w:ascii="宋体" w:hAnsi="宋体"/>
          <w:b/>
          <w:color w:val="auto"/>
          <w:sz w:val="24"/>
          <w:szCs w:val="24"/>
          <w:highlight w:val="none"/>
        </w:rPr>
        <w:t>3.</w:t>
      </w:r>
      <w:r>
        <w:rPr>
          <w:rFonts w:ascii="宋体" w:hAnsi="宋体"/>
          <w:b/>
          <w:color w:val="auto"/>
          <w:sz w:val="24"/>
          <w:szCs w:val="24"/>
          <w:highlight w:val="none"/>
        </w:rPr>
        <w:t>1</w:t>
      </w:r>
      <w:r>
        <w:rPr>
          <w:rFonts w:hint="eastAsia" w:ascii="宋体" w:hAnsi="宋体"/>
          <w:b/>
          <w:color w:val="auto"/>
          <w:sz w:val="24"/>
          <w:szCs w:val="24"/>
          <w:highlight w:val="none"/>
        </w:rPr>
        <w:t xml:space="preserve"> 全国公共资源交易平台（</w:t>
      </w:r>
      <w:r>
        <w:rPr>
          <w:rFonts w:hint="eastAsia" w:ascii="宋体" w:hAnsi="宋体" w:cs="宋体"/>
          <w:b/>
          <w:color w:val="auto"/>
          <w:sz w:val="24"/>
          <w:szCs w:val="24"/>
          <w:highlight w:val="none"/>
        </w:rPr>
        <w:t>河南省·安阳县</w:t>
      </w:r>
      <w:r>
        <w:rPr>
          <w:rFonts w:hint="eastAsia" w:ascii="宋体" w:hAnsi="宋体"/>
          <w:b/>
          <w:color w:val="auto"/>
          <w:sz w:val="24"/>
          <w:szCs w:val="24"/>
          <w:highlight w:val="none"/>
        </w:rPr>
        <w:t>）</w:t>
      </w:r>
      <w:r>
        <w:rPr>
          <w:rFonts w:ascii="宋体" w:hAnsi="宋体"/>
          <w:b/>
          <w:color w:val="auto"/>
          <w:sz w:val="24"/>
          <w:szCs w:val="24"/>
          <w:highlight w:val="none"/>
        </w:rPr>
        <w:t>https</w:t>
      </w:r>
      <w:r>
        <w:rPr>
          <w:rFonts w:hint="eastAsia" w:ascii="宋体" w:hAnsi="宋体"/>
          <w:b/>
          <w:color w:val="auto"/>
          <w:sz w:val="24"/>
          <w:szCs w:val="24"/>
          <w:highlight w:val="none"/>
        </w:rPr>
        <w:t>：</w:t>
      </w:r>
      <w:r>
        <w:rPr>
          <w:rFonts w:ascii="宋体" w:hAnsi="宋体"/>
          <w:b/>
          <w:color w:val="auto"/>
          <w:sz w:val="24"/>
          <w:szCs w:val="24"/>
          <w:highlight w:val="none"/>
        </w:rPr>
        <w:t>//ggzy.anyang.gov.cn/ayxggzy/</w:t>
      </w:r>
      <w:r>
        <w:rPr>
          <w:rFonts w:hint="eastAsia" w:ascii="宋体" w:hAnsi="宋体"/>
          <w:b/>
          <w:color w:val="auto"/>
          <w:sz w:val="24"/>
          <w:szCs w:val="24"/>
          <w:highlight w:val="none"/>
        </w:rPr>
        <w:t>谈判文件简称“安阳县公共资源交易平台”</w:t>
      </w:r>
    </w:p>
    <w:p w14:paraId="0F2B93E6">
      <w:pPr>
        <w:widowControl w:val="0"/>
        <w:tabs>
          <w:tab w:val="left" w:pos="39"/>
          <w:tab w:val="left" w:pos="96"/>
        </w:tabs>
        <w:snapToGrid w:val="0"/>
        <w:spacing w:line="360" w:lineRule="auto"/>
        <w:ind w:firstLine="602" w:firstLineChars="250"/>
        <w:rPr>
          <w:rFonts w:ascii="宋体"/>
          <w:b/>
          <w:color w:val="auto"/>
          <w:sz w:val="24"/>
          <w:szCs w:val="24"/>
          <w:highlight w:val="none"/>
        </w:rPr>
      </w:pPr>
      <w:r>
        <w:rPr>
          <w:rFonts w:ascii="宋体" w:hAnsi="宋体"/>
          <w:b/>
          <w:color w:val="auto"/>
          <w:sz w:val="24"/>
          <w:szCs w:val="24"/>
          <w:highlight w:val="none"/>
        </w:rPr>
        <w:t>7.</w:t>
      </w:r>
      <w:r>
        <w:rPr>
          <w:rFonts w:hint="eastAsia" w:ascii="宋体" w:hAnsi="宋体"/>
          <w:b/>
          <w:color w:val="auto"/>
          <w:sz w:val="24"/>
          <w:szCs w:val="24"/>
          <w:highlight w:val="none"/>
        </w:rPr>
        <w:t>3.</w:t>
      </w:r>
      <w:r>
        <w:rPr>
          <w:rFonts w:ascii="宋体" w:hAnsi="宋体"/>
          <w:b/>
          <w:color w:val="auto"/>
          <w:sz w:val="24"/>
          <w:szCs w:val="24"/>
          <w:highlight w:val="none"/>
        </w:rPr>
        <w:t>2</w:t>
      </w:r>
      <w:r>
        <w:rPr>
          <w:rFonts w:hint="eastAsia" w:ascii="宋体"/>
          <w:b/>
          <w:color w:val="auto"/>
          <w:sz w:val="24"/>
          <w:szCs w:val="24"/>
          <w:highlight w:val="none"/>
        </w:rPr>
        <w:t>投标文件制作软件：</w:t>
      </w:r>
      <w:r>
        <w:rPr>
          <w:rFonts w:hint="eastAsia" w:ascii="宋体" w:hAnsi="宋体"/>
          <w:b/>
          <w:color w:val="auto"/>
          <w:sz w:val="24"/>
          <w:szCs w:val="24"/>
          <w:highlight w:val="none"/>
        </w:rPr>
        <w:t>在安阳县公共资源交易平台内进行下载</w:t>
      </w:r>
      <w:r>
        <w:rPr>
          <w:rFonts w:hint="eastAsia" w:ascii="宋体"/>
          <w:b/>
          <w:color w:val="auto"/>
          <w:sz w:val="24"/>
          <w:szCs w:val="24"/>
          <w:highlight w:val="none"/>
        </w:rPr>
        <w:t>、并安装投标文件制作工具，查看</w:t>
      </w:r>
      <w:r>
        <w:rPr>
          <w:rFonts w:hint="eastAsia" w:ascii="宋体" w:hAnsi="宋体"/>
          <w:b/>
          <w:color w:val="auto"/>
          <w:sz w:val="24"/>
          <w:szCs w:val="24"/>
          <w:highlight w:val="none"/>
        </w:rPr>
        <w:t>谈判</w:t>
      </w:r>
      <w:r>
        <w:rPr>
          <w:rFonts w:hint="eastAsia" w:ascii="宋体"/>
          <w:b/>
          <w:color w:val="auto"/>
          <w:sz w:val="24"/>
          <w:szCs w:val="24"/>
          <w:highlight w:val="none"/>
        </w:rPr>
        <w:t>文件和制作电子投标文件。</w:t>
      </w:r>
    </w:p>
    <w:p w14:paraId="4C266F6E">
      <w:pPr>
        <w:widowControl w:val="0"/>
        <w:snapToGrid w:val="0"/>
        <w:spacing w:line="360" w:lineRule="auto"/>
        <w:jc w:val="left"/>
        <w:rPr>
          <w:rFonts w:ascii="黑体" w:hAnsi="黑体" w:eastAsia="黑体"/>
          <w:b/>
          <w:color w:val="auto"/>
          <w:sz w:val="28"/>
          <w:szCs w:val="28"/>
          <w:highlight w:val="none"/>
        </w:rPr>
      </w:pPr>
    </w:p>
    <w:p w14:paraId="1D36D871">
      <w:pPr>
        <w:widowControl w:val="0"/>
        <w:snapToGrid w:val="0"/>
        <w:spacing w:line="360" w:lineRule="auto"/>
        <w:ind w:firstLine="562" w:firstLineChars="200"/>
        <w:rPr>
          <w:rFonts w:ascii="黑体" w:hAnsi="黑体" w:eastAsia="黑体"/>
          <w:b/>
          <w:color w:val="auto"/>
          <w:sz w:val="28"/>
          <w:szCs w:val="28"/>
          <w:highlight w:val="none"/>
        </w:rPr>
      </w:pPr>
      <w:bookmarkStart w:id="5" w:name="_Toc28359085"/>
      <w:bookmarkStart w:id="6" w:name="_Toc35393627"/>
      <w:bookmarkStart w:id="7" w:name="_Toc35393796"/>
      <w:bookmarkStart w:id="8" w:name="_Toc28359008"/>
      <w:r>
        <w:rPr>
          <w:rFonts w:hint="eastAsia" w:ascii="黑体" w:hAnsi="黑体" w:eastAsia="黑体"/>
          <w:b/>
          <w:color w:val="auto"/>
          <w:sz w:val="28"/>
          <w:szCs w:val="28"/>
          <w:highlight w:val="none"/>
        </w:rPr>
        <w:t>8.凡对本次采购提出询问，请按</w:t>
      </w:r>
      <w:r>
        <w:rPr>
          <w:rFonts w:ascii="黑体" w:hAnsi="黑体" w:eastAsia="黑体"/>
          <w:b/>
          <w:color w:val="auto"/>
          <w:sz w:val="28"/>
          <w:szCs w:val="28"/>
          <w:highlight w:val="none"/>
        </w:rPr>
        <w:t>以下方式</w:t>
      </w:r>
      <w:r>
        <w:rPr>
          <w:rFonts w:hint="eastAsia" w:ascii="黑体" w:hAnsi="黑体" w:eastAsia="黑体"/>
          <w:b/>
          <w:color w:val="auto"/>
          <w:sz w:val="28"/>
          <w:szCs w:val="28"/>
          <w:highlight w:val="none"/>
        </w:rPr>
        <w:t>联系。</w:t>
      </w:r>
      <w:bookmarkEnd w:id="5"/>
      <w:bookmarkEnd w:id="6"/>
      <w:bookmarkEnd w:id="7"/>
      <w:bookmarkEnd w:id="8"/>
    </w:p>
    <w:p w14:paraId="6EF20274">
      <w:pPr>
        <w:ind w:firstLine="600" w:firstLineChars="250"/>
        <w:jc w:val="left"/>
        <w:rPr>
          <w:rFonts w:ascii="宋体" w:hAnsi="宋体"/>
          <w:color w:val="auto"/>
          <w:sz w:val="24"/>
          <w:szCs w:val="24"/>
          <w:highlight w:val="none"/>
        </w:rPr>
      </w:pPr>
      <w:r>
        <w:rPr>
          <w:rFonts w:hint="eastAsia" w:ascii="宋体" w:hAnsi="宋体" w:cs="宋体"/>
          <w:color w:val="auto"/>
          <w:sz w:val="24"/>
          <w:szCs w:val="24"/>
          <w:highlight w:val="none"/>
        </w:rPr>
        <w:t>8.1采购人信息</w:t>
      </w:r>
    </w:p>
    <w:p w14:paraId="686D5DB7">
      <w:pPr>
        <w:spacing w:line="360" w:lineRule="auto"/>
        <w:ind w:left="1079" w:leftChars="371" w:hanging="300" w:hangingChars="125"/>
        <w:jc w:val="left"/>
        <w:rPr>
          <w:rFonts w:ascii="宋体" w:hAnsi="宋体"/>
          <w:color w:val="auto"/>
          <w:sz w:val="24"/>
          <w:szCs w:val="24"/>
          <w:highlight w:val="none"/>
        </w:rPr>
      </w:pPr>
      <w:r>
        <w:rPr>
          <w:rFonts w:hint="eastAsia" w:ascii="宋体" w:hAnsi="宋体"/>
          <w:color w:val="auto"/>
          <w:sz w:val="24"/>
          <w:szCs w:val="24"/>
          <w:highlight w:val="none"/>
        </w:rPr>
        <w:t>名 称：</w:t>
      </w:r>
      <w:bookmarkStart w:id="9" w:name="OLE_LINK5"/>
      <w:r>
        <w:rPr>
          <w:rFonts w:hint="eastAsia" w:ascii="宋体" w:hAnsi="宋体"/>
          <w:color w:val="auto"/>
          <w:sz w:val="24"/>
          <w:szCs w:val="24"/>
          <w:highlight w:val="none"/>
        </w:rPr>
        <w:t>安阳县公安局</w:t>
      </w:r>
      <w:bookmarkEnd w:id="9"/>
    </w:p>
    <w:p w14:paraId="4FBF311F">
      <w:pPr>
        <w:spacing w:line="360" w:lineRule="auto"/>
        <w:ind w:left="1079" w:leftChars="371" w:hanging="300" w:hangingChars="125"/>
        <w:jc w:val="left"/>
        <w:rPr>
          <w:rFonts w:ascii="宋体" w:hAnsi="宋体"/>
          <w:color w:val="auto"/>
          <w:sz w:val="24"/>
          <w:szCs w:val="24"/>
          <w:highlight w:val="none"/>
        </w:rPr>
      </w:pPr>
      <w:r>
        <w:rPr>
          <w:rFonts w:hint="eastAsia" w:ascii="宋体" w:hAnsi="宋体"/>
          <w:color w:val="auto"/>
          <w:sz w:val="24"/>
          <w:szCs w:val="24"/>
          <w:highlight w:val="none"/>
        </w:rPr>
        <w:t>地址：安阳市示范区锦泰东大街东段</w:t>
      </w:r>
    </w:p>
    <w:p w14:paraId="7CC9F59A">
      <w:pPr>
        <w:spacing w:line="360" w:lineRule="auto"/>
        <w:ind w:left="1079" w:leftChars="371" w:hanging="300" w:hangingChars="125"/>
        <w:jc w:val="left"/>
        <w:rPr>
          <w:rFonts w:hint="eastAsia" w:ascii="宋体" w:hAnsi="宋体"/>
          <w:color w:val="auto"/>
          <w:sz w:val="24"/>
          <w:szCs w:val="24"/>
          <w:highlight w:val="none"/>
          <w:lang w:val="en-US" w:eastAsia="zh-CN"/>
        </w:rPr>
      </w:pPr>
      <w:r>
        <w:rPr>
          <w:rFonts w:hint="eastAsia" w:ascii="宋体" w:hAnsi="宋体"/>
          <w:color w:val="auto"/>
          <w:sz w:val="24"/>
          <w:szCs w:val="24"/>
          <w:highlight w:val="none"/>
        </w:rPr>
        <w:t>联系人：</w:t>
      </w:r>
      <w:r>
        <w:rPr>
          <w:rFonts w:hint="eastAsia" w:ascii="宋体" w:hAnsi="宋体"/>
          <w:color w:val="auto"/>
          <w:sz w:val="24"/>
          <w:szCs w:val="24"/>
          <w:highlight w:val="none"/>
          <w:lang w:val="en-US" w:eastAsia="zh-CN"/>
        </w:rPr>
        <w:t>丁强</w:t>
      </w:r>
    </w:p>
    <w:p w14:paraId="40EEB6FE">
      <w:pPr>
        <w:spacing w:line="360" w:lineRule="auto"/>
        <w:ind w:left="1079" w:leftChars="371" w:hanging="300" w:hangingChars="125"/>
        <w:jc w:val="left"/>
        <w:rPr>
          <w:rFonts w:ascii="宋体" w:hAnsi="宋体"/>
          <w:color w:val="auto"/>
          <w:sz w:val="24"/>
          <w:szCs w:val="24"/>
          <w:highlight w:val="none"/>
        </w:rPr>
      </w:pPr>
      <w:r>
        <w:rPr>
          <w:rFonts w:hint="eastAsia" w:ascii="宋体" w:hAnsi="宋体"/>
          <w:color w:val="auto"/>
          <w:sz w:val="24"/>
          <w:szCs w:val="24"/>
          <w:highlight w:val="none"/>
          <w:lang w:val="en-US" w:eastAsia="zh-CN"/>
        </w:rPr>
        <w:t>电话：18603726981</w:t>
      </w:r>
      <w:r>
        <w:rPr>
          <w:rFonts w:hint="eastAsia" w:ascii="宋体" w:hAnsi="宋体"/>
          <w:color w:val="auto"/>
          <w:sz w:val="24"/>
          <w:szCs w:val="24"/>
          <w:highlight w:val="none"/>
        </w:rPr>
        <w:t xml:space="preserve">　 </w:t>
      </w:r>
      <w:bookmarkStart w:id="10" w:name="_Toc28359086"/>
      <w:bookmarkStart w:id="11" w:name="_Toc28359009"/>
    </w:p>
    <w:p w14:paraId="25607DF2">
      <w:pPr>
        <w:spacing w:line="360" w:lineRule="auto"/>
        <w:ind w:firstLine="480" w:firstLineChars="200"/>
        <w:jc w:val="left"/>
        <w:rPr>
          <w:rFonts w:ascii="宋体" w:hAnsi="宋体"/>
          <w:color w:val="auto"/>
          <w:sz w:val="24"/>
          <w:szCs w:val="24"/>
          <w:highlight w:val="none"/>
        </w:rPr>
      </w:pPr>
      <w:r>
        <w:rPr>
          <w:rFonts w:hint="eastAsia" w:ascii="宋体" w:hAnsi="宋体" w:cs="宋体"/>
          <w:color w:val="auto"/>
          <w:sz w:val="24"/>
          <w:szCs w:val="24"/>
          <w:highlight w:val="none"/>
        </w:rPr>
        <w:t>8.2采购代理机构信息</w:t>
      </w:r>
      <w:bookmarkEnd w:id="10"/>
      <w:bookmarkEnd w:id="11"/>
    </w:p>
    <w:p w14:paraId="2FBBF427">
      <w:pPr>
        <w:spacing w:line="360" w:lineRule="auto"/>
        <w:ind w:firstLine="720" w:firstLineChars="300"/>
        <w:rPr>
          <w:rFonts w:ascii="宋体" w:hAnsi="宋体"/>
          <w:color w:val="auto"/>
          <w:sz w:val="24"/>
          <w:szCs w:val="24"/>
          <w:highlight w:val="none"/>
        </w:rPr>
      </w:pPr>
      <w:r>
        <w:rPr>
          <w:rFonts w:hint="eastAsia" w:ascii="宋体" w:hAnsi="宋体"/>
          <w:color w:val="auto"/>
          <w:sz w:val="24"/>
          <w:szCs w:val="24"/>
          <w:highlight w:val="none"/>
        </w:rPr>
        <w:t>名 称：安阳市方正招标采购服务有限责任公司  　</w:t>
      </w:r>
    </w:p>
    <w:p w14:paraId="095B0741">
      <w:pPr>
        <w:spacing w:line="360" w:lineRule="auto"/>
        <w:ind w:left="1678" w:leftChars="342" w:hanging="960" w:hangingChars="400"/>
        <w:rPr>
          <w:rFonts w:ascii="宋体" w:hAnsi="宋体"/>
          <w:color w:val="auto"/>
          <w:sz w:val="24"/>
          <w:szCs w:val="24"/>
          <w:highlight w:val="none"/>
        </w:rPr>
      </w:pPr>
      <w:r>
        <w:rPr>
          <w:rFonts w:hint="eastAsia" w:ascii="宋体" w:hAnsi="宋体"/>
          <w:color w:val="auto"/>
          <w:sz w:val="24"/>
          <w:szCs w:val="24"/>
          <w:highlight w:val="none"/>
        </w:rPr>
        <w:t>地　址：安阳市安钢大道39号（人民大道北地下道口南侧、安阳粮食产业集团-后院办公楼五楼）　</w:t>
      </w:r>
    </w:p>
    <w:p w14:paraId="44B74EDB">
      <w:pPr>
        <w:spacing w:line="360" w:lineRule="auto"/>
        <w:ind w:firstLine="720" w:firstLineChars="300"/>
        <w:rPr>
          <w:rFonts w:ascii="宋体" w:hAnsi="宋体"/>
          <w:color w:val="auto"/>
          <w:sz w:val="24"/>
          <w:szCs w:val="24"/>
          <w:highlight w:val="none"/>
        </w:rPr>
      </w:pPr>
      <w:r>
        <w:rPr>
          <w:rFonts w:hint="eastAsia" w:ascii="宋体" w:hAnsi="宋体"/>
          <w:color w:val="auto"/>
          <w:sz w:val="24"/>
          <w:szCs w:val="24"/>
          <w:highlight w:val="none"/>
        </w:rPr>
        <w:t>联系人：</w:t>
      </w:r>
      <w:r>
        <w:rPr>
          <w:rFonts w:hint="eastAsia" w:ascii="宋体" w:hAnsi="宋体"/>
          <w:color w:val="auto"/>
          <w:sz w:val="24"/>
          <w:szCs w:val="24"/>
          <w:highlight w:val="none"/>
          <w:lang w:eastAsia="zh-CN"/>
        </w:rPr>
        <w:t>白杨</w:t>
      </w:r>
      <w:r>
        <w:rPr>
          <w:rFonts w:hint="eastAsia" w:ascii="宋体" w:hAnsi="宋体"/>
          <w:color w:val="auto"/>
          <w:sz w:val="24"/>
          <w:szCs w:val="24"/>
          <w:highlight w:val="none"/>
        </w:rPr>
        <w:t xml:space="preserve">  </w:t>
      </w:r>
    </w:p>
    <w:p w14:paraId="7F24E685">
      <w:pPr>
        <w:spacing w:line="360" w:lineRule="auto"/>
        <w:ind w:firstLine="720" w:firstLineChars="300"/>
        <w:rPr>
          <w:rFonts w:ascii="宋体" w:hAnsi="宋体"/>
          <w:color w:val="auto"/>
          <w:sz w:val="24"/>
          <w:szCs w:val="24"/>
          <w:highlight w:val="none"/>
        </w:rPr>
      </w:pPr>
      <w:r>
        <w:rPr>
          <w:rFonts w:hint="eastAsia" w:ascii="宋体" w:hAnsi="宋体"/>
          <w:color w:val="auto"/>
          <w:sz w:val="24"/>
          <w:szCs w:val="24"/>
          <w:highlight w:val="none"/>
        </w:rPr>
        <w:t>联系方式：</w:t>
      </w:r>
      <w:bookmarkStart w:id="12" w:name="_Toc28359087"/>
      <w:bookmarkStart w:id="13" w:name="_Toc28359010"/>
      <w:r>
        <w:rPr>
          <w:rFonts w:hint="eastAsia" w:ascii="宋体" w:hAnsi="宋体"/>
          <w:color w:val="auto"/>
          <w:sz w:val="24"/>
          <w:szCs w:val="24"/>
          <w:highlight w:val="none"/>
        </w:rPr>
        <w:t>0372-2283981、2283982   财务部咨询电话：0372-2283983　</w:t>
      </w:r>
    </w:p>
    <w:p w14:paraId="62479855">
      <w:pPr>
        <w:spacing w:line="360" w:lineRule="auto"/>
        <w:ind w:firstLine="480" w:firstLineChars="200"/>
        <w:rPr>
          <w:rFonts w:ascii="宋体" w:hAnsi="宋体"/>
          <w:color w:val="auto"/>
          <w:sz w:val="24"/>
          <w:szCs w:val="24"/>
          <w:highlight w:val="none"/>
        </w:rPr>
      </w:pPr>
      <w:r>
        <w:rPr>
          <w:rFonts w:hint="eastAsia" w:ascii="宋体" w:hAnsi="宋体" w:cs="宋体"/>
          <w:color w:val="auto"/>
          <w:sz w:val="24"/>
          <w:szCs w:val="24"/>
          <w:highlight w:val="none"/>
        </w:rPr>
        <w:t>8.3项目</w:t>
      </w:r>
      <w:r>
        <w:rPr>
          <w:rFonts w:ascii="宋体" w:hAnsi="宋体" w:cs="宋体"/>
          <w:color w:val="auto"/>
          <w:sz w:val="24"/>
          <w:szCs w:val="24"/>
          <w:highlight w:val="none"/>
        </w:rPr>
        <w:t>联系方式</w:t>
      </w:r>
      <w:bookmarkEnd w:id="12"/>
      <w:bookmarkEnd w:id="13"/>
    </w:p>
    <w:p w14:paraId="02301D4D">
      <w:pPr>
        <w:pStyle w:val="7"/>
        <w:spacing w:line="360" w:lineRule="auto"/>
        <w:ind w:firstLine="720" w:firstLineChars="300"/>
        <w:rPr>
          <w:rFonts w:hAnsi="宋体"/>
          <w:color w:val="auto"/>
          <w:sz w:val="24"/>
          <w:szCs w:val="24"/>
          <w:highlight w:val="none"/>
        </w:rPr>
      </w:pPr>
      <w:r>
        <w:rPr>
          <w:rFonts w:hint="eastAsia" w:hAnsi="宋体"/>
          <w:color w:val="auto"/>
          <w:sz w:val="24"/>
          <w:szCs w:val="24"/>
          <w:highlight w:val="none"/>
        </w:rPr>
        <w:t>项目联系人：</w:t>
      </w:r>
      <w:r>
        <w:rPr>
          <w:rFonts w:hint="eastAsia" w:hAnsi="宋体"/>
          <w:color w:val="auto"/>
          <w:sz w:val="24"/>
          <w:szCs w:val="24"/>
          <w:highlight w:val="none"/>
          <w:lang w:eastAsia="zh-CN"/>
        </w:rPr>
        <w:t>白杨</w:t>
      </w:r>
      <w:r>
        <w:rPr>
          <w:rFonts w:hint="eastAsia" w:hAnsi="宋体"/>
          <w:color w:val="auto"/>
          <w:sz w:val="24"/>
          <w:szCs w:val="24"/>
          <w:highlight w:val="none"/>
        </w:rPr>
        <w:t xml:space="preserve">  </w:t>
      </w:r>
    </w:p>
    <w:p w14:paraId="028FDEEE">
      <w:pPr>
        <w:spacing w:line="360" w:lineRule="auto"/>
        <w:ind w:firstLine="720" w:firstLineChars="300"/>
        <w:rPr>
          <w:rFonts w:ascii="宋体" w:hAnsi="宋体"/>
          <w:color w:val="auto"/>
          <w:sz w:val="24"/>
          <w:szCs w:val="24"/>
          <w:highlight w:val="none"/>
        </w:rPr>
      </w:pPr>
      <w:r>
        <w:rPr>
          <w:rFonts w:hint="eastAsia" w:ascii="宋体" w:hAnsi="宋体"/>
          <w:color w:val="auto"/>
          <w:sz w:val="24"/>
          <w:szCs w:val="24"/>
          <w:highlight w:val="none"/>
        </w:rPr>
        <w:t>联系方式：0372-2283981、2283982　</w:t>
      </w:r>
    </w:p>
    <w:p w14:paraId="10C848A8">
      <w:pPr>
        <w:pStyle w:val="15"/>
        <w:shd w:val="clear" w:color="auto" w:fill="FFFFFF"/>
        <w:adjustRightInd w:val="0"/>
        <w:spacing w:before="50" w:beforeAutospacing="0" w:after="0" w:afterAutospacing="0" w:line="300" w:lineRule="auto"/>
        <w:rPr>
          <w:color w:val="auto"/>
          <w:highlight w:val="none"/>
        </w:rPr>
      </w:pPr>
    </w:p>
    <w:p w14:paraId="530B1DBD">
      <w:pPr>
        <w:widowControl w:val="0"/>
        <w:snapToGrid w:val="0"/>
        <w:spacing w:line="360" w:lineRule="auto"/>
        <w:ind w:firstLine="562" w:firstLineChars="200"/>
        <w:rPr>
          <w:rFonts w:ascii="黑体" w:hAnsi="黑体" w:eastAsia="黑体"/>
          <w:b/>
          <w:color w:val="auto"/>
          <w:sz w:val="28"/>
          <w:szCs w:val="28"/>
          <w:highlight w:val="none"/>
        </w:rPr>
      </w:pPr>
      <w:r>
        <w:rPr>
          <w:rFonts w:hint="eastAsia" w:ascii="黑体" w:hAnsi="黑体" w:eastAsia="黑体"/>
          <w:b/>
          <w:color w:val="auto"/>
          <w:sz w:val="28"/>
          <w:szCs w:val="28"/>
          <w:highlight w:val="none"/>
        </w:rPr>
        <w:t>9</w:t>
      </w:r>
      <w:r>
        <w:rPr>
          <w:rFonts w:ascii="黑体" w:hAnsi="黑体" w:eastAsia="黑体"/>
          <w:b/>
          <w:color w:val="auto"/>
          <w:sz w:val="28"/>
          <w:szCs w:val="28"/>
          <w:highlight w:val="none"/>
        </w:rPr>
        <w:t>.</w:t>
      </w:r>
      <w:r>
        <w:rPr>
          <w:rFonts w:hint="eastAsia" w:ascii="黑体" w:hAnsi="黑体" w:eastAsia="黑体"/>
          <w:b/>
          <w:color w:val="auto"/>
          <w:sz w:val="28"/>
          <w:szCs w:val="28"/>
          <w:highlight w:val="none"/>
        </w:rPr>
        <w:t>网</w:t>
      </w:r>
      <w:r>
        <w:rPr>
          <w:rFonts w:ascii="黑体" w:hAnsi="黑体" w:eastAsia="黑体"/>
          <w:b/>
          <w:color w:val="auto"/>
          <w:sz w:val="28"/>
          <w:szCs w:val="28"/>
          <w:highlight w:val="none"/>
        </w:rPr>
        <w:t>上</w:t>
      </w:r>
      <w:r>
        <w:rPr>
          <w:rFonts w:hint="eastAsia" w:ascii="黑体" w:hAnsi="黑体" w:eastAsia="黑体"/>
          <w:b/>
          <w:color w:val="auto"/>
          <w:sz w:val="28"/>
          <w:szCs w:val="28"/>
          <w:highlight w:val="none"/>
        </w:rPr>
        <w:t>电子交易提示：</w:t>
      </w:r>
      <w:r>
        <w:rPr>
          <w:rFonts w:ascii="黑体" w:hAnsi="黑体" w:eastAsia="黑体"/>
          <w:b/>
          <w:color w:val="auto"/>
          <w:sz w:val="28"/>
          <w:szCs w:val="28"/>
          <w:highlight w:val="none"/>
        </w:rPr>
        <w:t xml:space="preserve"> </w:t>
      </w:r>
    </w:p>
    <w:p w14:paraId="3EFAA1AD">
      <w:pPr>
        <w:widowControl w:val="0"/>
        <w:tabs>
          <w:tab w:val="left" w:pos="39"/>
          <w:tab w:val="left" w:pos="96"/>
        </w:tabs>
        <w:snapToGrid w:val="0"/>
        <w:spacing w:line="360" w:lineRule="auto"/>
        <w:ind w:firstLine="540" w:firstLineChars="225"/>
        <w:rPr>
          <w:rFonts w:ascii="宋体" w:hAnsi="宋体"/>
          <w:color w:val="auto"/>
          <w:sz w:val="24"/>
          <w:szCs w:val="24"/>
          <w:highlight w:val="none"/>
        </w:rPr>
      </w:pPr>
      <w:r>
        <w:rPr>
          <w:rFonts w:hint="eastAsia" w:ascii="宋体" w:hAnsi="宋体"/>
          <w:color w:val="auto"/>
          <w:sz w:val="24"/>
          <w:szCs w:val="24"/>
          <w:highlight w:val="none"/>
        </w:rPr>
        <w:t>9</w:t>
      </w:r>
      <w:r>
        <w:rPr>
          <w:rFonts w:ascii="宋体" w:hAnsi="宋体"/>
          <w:color w:val="auto"/>
          <w:sz w:val="24"/>
          <w:szCs w:val="24"/>
          <w:highlight w:val="none"/>
        </w:rPr>
        <w:t>.1</w:t>
      </w:r>
      <w:r>
        <w:rPr>
          <w:rFonts w:hint="eastAsia" w:ascii="宋体" w:hAnsi="宋体"/>
          <w:color w:val="auto"/>
          <w:sz w:val="24"/>
          <w:szCs w:val="24"/>
          <w:highlight w:val="none"/>
        </w:rPr>
        <w:t xml:space="preserve"> 注</w:t>
      </w:r>
      <w:r>
        <w:rPr>
          <w:rFonts w:ascii="宋体" w:hAnsi="宋体"/>
          <w:color w:val="auto"/>
          <w:sz w:val="24"/>
          <w:szCs w:val="24"/>
          <w:highlight w:val="none"/>
        </w:rPr>
        <w:t>册</w:t>
      </w:r>
      <w:r>
        <w:rPr>
          <w:rFonts w:hint="eastAsia" w:ascii="宋体" w:hAnsi="宋体"/>
          <w:color w:val="auto"/>
          <w:sz w:val="24"/>
          <w:szCs w:val="24"/>
          <w:highlight w:val="none"/>
        </w:rPr>
        <w:t>：投标人完成注</w:t>
      </w:r>
      <w:r>
        <w:rPr>
          <w:rFonts w:ascii="宋体" w:hAnsi="宋体"/>
          <w:color w:val="auto"/>
          <w:sz w:val="24"/>
          <w:szCs w:val="24"/>
          <w:highlight w:val="none"/>
        </w:rPr>
        <w:t>册</w:t>
      </w:r>
      <w:r>
        <w:rPr>
          <w:rFonts w:hint="eastAsia" w:ascii="宋体" w:hAnsi="宋体"/>
          <w:color w:val="auto"/>
          <w:sz w:val="24"/>
          <w:szCs w:val="24"/>
          <w:highlight w:val="none"/>
        </w:rPr>
        <w:t>、办理数字证书后</w:t>
      </w:r>
      <w:r>
        <w:rPr>
          <w:rFonts w:ascii="宋体" w:hAnsi="宋体"/>
          <w:color w:val="auto"/>
          <w:sz w:val="24"/>
          <w:szCs w:val="24"/>
          <w:highlight w:val="none"/>
        </w:rPr>
        <w:t>，方可</w:t>
      </w:r>
      <w:r>
        <w:rPr>
          <w:rFonts w:hint="eastAsia" w:ascii="宋体" w:hAnsi="宋体"/>
          <w:color w:val="auto"/>
          <w:sz w:val="24"/>
          <w:szCs w:val="24"/>
          <w:highlight w:val="none"/>
        </w:rPr>
        <w:t>获</w:t>
      </w:r>
      <w:r>
        <w:rPr>
          <w:rFonts w:ascii="宋体" w:hAnsi="宋体"/>
          <w:color w:val="auto"/>
          <w:sz w:val="24"/>
          <w:szCs w:val="24"/>
          <w:highlight w:val="none"/>
        </w:rPr>
        <w:t>取谈判文件、</w:t>
      </w:r>
      <w:r>
        <w:rPr>
          <w:rFonts w:hint="eastAsia" w:ascii="宋体" w:hAnsi="宋体"/>
          <w:color w:val="auto"/>
          <w:sz w:val="24"/>
          <w:szCs w:val="24"/>
          <w:highlight w:val="none"/>
        </w:rPr>
        <w:t>参</w:t>
      </w:r>
      <w:r>
        <w:rPr>
          <w:rFonts w:ascii="宋体" w:hAnsi="宋体"/>
          <w:color w:val="auto"/>
          <w:sz w:val="24"/>
          <w:szCs w:val="24"/>
          <w:highlight w:val="none"/>
        </w:rPr>
        <w:t>加</w:t>
      </w:r>
      <w:r>
        <w:rPr>
          <w:rFonts w:hint="eastAsia" w:ascii="宋体" w:hAnsi="宋体"/>
          <w:color w:val="auto"/>
          <w:sz w:val="24"/>
          <w:szCs w:val="24"/>
          <w:highlight w:val="none"/>
        </w:rPr>
        <w:t>投标等网上电子交易。</w:t>
      </w:r>
    </w:p>
    <w:p w14:paraId="2B14D405">
      <w:pPr>
        <w:widowControl w:val="0"/>
        <w:tabs>
          <w:tab w:val="left" w:pos="39"/>
          <w:tab w:val="left" w:pos="96"/>
        </w:tabs>
        <w:snapToGrid w:val="0"/>
        <w:spacing w:line="360" w:lineRule="auto"/>
        <w:ind w:firstLine="540" w:firstLineChars="225"/>
        <w:rPr>
          <w:rFonts w:ascii="宋体" w:hAnsi="宋体"/>
          <w:color w:val="auto"/>
          <w:sz w:val="24"/>
          <w:szCs w:val="24"/>
          <w:highlight w:val="none"/>
        </w:rPr>
      </w:pPr>
      <w:r>
        <w:rPr>
          <w:rFonts w:hint="eastAsia" w:ascii="宋体" w:hAnsi="宋体"/>
          <w:color w:val="auto"/>
          <w:sz w:val="24"/>
          <w:szCs w:val="24"/>
          <w:highlight w:val="none"/>
        </w:rPr>
        <w:t>9.2 获取谈判文件：</w:t>
      </w:r>
      <w:r>
        <w:rPr>
          <w:rFonts w:ascii="宋体" w:hAnsi="宋体"/>
          <w:color w:val="auto"/>
          <w:sz w:val="24"/>
          <w:szCs w:val="24"/>
          <w:highlight w:val="none"/>
        </w:rPr>
        <w:t>按</w:t>
      </w:r>
      <w:r>
        <w:rPr>
          <w:rFonts w:hint="eastAsia" w:ascii="宋体" w:hAnsi="宋体"/>
          <w:color w:val="auto"/>
          <w:sz w:val="24"/>
          <w:szCs w:val="24"/>
          <w:highlight w:val="none"/>
        </w:rPr>
        <w:t>本</w:t>
      </w:r>
      <w:r>
        <w:rPr>
          <w:rFonts w:ascii="宋体" w:hAnsi="宋体"/>
          <w:color w:val="auto"/>
          <w:sz w:val="24"/>
          <w:szCs w:val="24"/>
          <w:highlight w:val="none"/>
        </w:rPr>
        <w:t>章第</w:t>
      </w:r>
      <w:r>
        <w:rPr>
          <w:rFonts w:hint="eastAsia" w:ascii="宋体" w:hAnsi="宋体"/>
          <w:color w:val="auto"/>
          <w:sz w:val="24"/>
          <w:szCs w:val="24"/>
          <w:highlight w:val="none"/>
        </w:rPr>
        <w:t>3条</w:t>
      </w:r>
      <w:r>
        <w:rPr>
          <w:rFonts w:ascii="宋体" w:hAnsi="宋体"/>
          <w:color w:val="auto"/>
          <w:sz w:val="24"/>
          <w:szCs w:val="24"/>
          <w:highlight w:val="none"/>
        </w:rPr>
        <w:t>“</w:t>
      </w:r>
      <w:r>
        <w:rPr>
          <w:rFonts w:hint="eastAsia" w:ascii="宋体" w:hAnsi="宋体"/>
          <w:color w:val="auto"/>
          <w:sz w:val="24"/>
          <w:szCs w:val="24"/>
          <w:highlight w:val="none"/>
        </w:rPr>
        <w:t>获取谈判文件</w:t>
      </w:r>
      <w:r>
        <w:rPr>
          <w:rFonts w:ascii="宋体" w:hAnsi="宋体"/>
          <w:color w:val="auto"/>
          <w:sz w:val="24"/>
          <w:szCs w:val="24"/>
          <w:highlight w:val="none"/>
        </w:rPr>
        <w:t>”</w:t>
      </w:r>
      <w:r>
        <w:rPr>
          <w:rFonts w:hint="eastAsia" w:ascii="宋体" w:hAnsi="宋体"/>
          <w:color w:val="auto"/>
          <w:sz w:val="24"/>
          <w:szCs w:val="24"/>
          <w:highlight w:val="none"/>
        </w:rPr>
        <w:t>办</w:t>
      </w:r>
      <w:r>
        <w:rPr>
          <w:rFonts w:ascii="宋体" w:hAnsi="宋体"/>
          <w:color w:val="auto"/>
          <w:sz w:val="24"/>
          <w:szCs w:val="24"/>
          <w:highlight w:val="none"/>
        </w:rPr>
        <w:t>理。</w:t>
      </w:r>
    </w:p>
    <w:p w14:paraId="37D2E82F">
      <w:pPr>
        <w:widowControl w:val="0"/>
        <w:tabs>
          <w:tab w:val="left" w:pos="39"/>
          <w:tab w:val="left" w:pos="96"/>
        </w:tabs>
        <w:snapToGrid w:val="0"/>
        <w:spacing w:line="360" w:lineRule="auto"/>
        <w:ind w:firstLine="540" w:firstLineChars="225"/>
        <w:rPr>
          <w:rFonts w:ascii="黑体" w:hAnsi="黑体" w:eastAsia="黑体" w:cs="楷体_GB2312"/>
          <w:b/>
          <w:color w:val="auto"/>
          <w:sz w:val="24"/>
          <w:highlight w:val="none"/>
          <w:lang w:val="zh-CN"/>
        </w:rPr>
      </w:pPr>
      <w:r>
        <w:rPr>
          <w:rFonts w:hint="eastAsia" w:ascii="宋体" w:hAnsi="宋体"/>
          <w:color w:val="auto"/>
          <w:sz w:val="24"/>
          <w:szCs w:val="24"/>
          <w:highlight w:val="none"/>
        </w:rPr>
        <w:t>9.3 谈判文件的澄清与修改或延期的</w:t>
      </w:r>
      <w:r>
        <w:rPr>
          <w:rFonts w:ascii="宋体" w:hAnsi="宋体"/>
          <w:color w:val="auto"/>
          <w:sz w:val="24"/>
          <w:szCs w:val="24"/>
          <w:highlight w:val="none"/>
        </w:rPr>
        <w:t>通知</w:t>
      </w:r>
      <w:r>
        <w:rPr>
          <w:rFonts w:hint="eastAsia" w:ascii="宋体" w:hAnsi="宋体"/>
          <w:color w:val="auto"/>
          <w:sz w:val="24"/>
          <w:szCs w:val="24"/>
          <w:highlight w:val="none"/>
        </w:rPr>
        <w:t>：</w:t>
      </w:r>
      <w:r>
        <w:rPr>
          <w:rFonts w:ascii="宋体" w:hAnsi="宋体"/>
          <w:color w:val="auto"/>
          <w:sz w:val="24"/>
          <w:szCs w:val="24"/>
          <w:highlight w:val="none"/>
        </w:rPr>
        <w:t>按</w:t>
      </w:r>
      <w:r>
        <w:rPr>
          <w:rFonts w:hint="eastAsia" w:ascii="宋体" w:hAnsi="宋体"/>
          <w:color w:val="auto"/>
          <w:sz w:val="24"/>
          <w:szCs w:val="24"/>
          <w:highlight w:val="none"/>
        </w:rPr>
        <w:t>《</w:t>
      </w:r>
      <w:r>
        <w:rPr>
          <w:rFonts w:ascii="宋体" w:hAnsi="宋体"/>
          <w:color w:val="auto"/>
          <w:sz w:val="24"/>
          <w:szCs w:val="24"/>
          <w:highlight w:val="none"/>
        </w:rPr>
        <w:t>谈判文件</w:t>
      </w:r>
      <w:r>
        <w:rPr>
          <w:rFonts w:hint="eastAsia" w:ascii="宋体" w:hAnsi="宋体"/>
          <w:color w:val="auto"/>
          <w:sz w:val="24"/>
          <w:szCs w:val="24"/>
          <w:highlight w:val="none"/>
        </w:rPr>
        <w:t>》</w:t>
      </w:r>
      <w:r>
        <w:rPr>
          <w:rFonts w:ascii="宋体" w:hAnsi="宋体"/>
          <w:color w:val="auto"/>
          <w:sz w:val="24"/>
          <w:szCs w:val="24"/>
          <w:highlight w:val="none"/>
        </w:rPr>
        <w:t>第三</w:t>
      </w:r>
      <w:r>
        <w:rPr>
          <w:rFonts w:hint="eastAsia" w:ascii="宋体" w:hAnsi="宋体"/>
          <w:color w:val="auto"/>
          <w:sz w:val="24"/>
          <w:szCs w:val="24"/>
          <w:highlight w:val="none"/>
        </w:rPr>
        <w:t>章“投</w:t>
      </w:r>
      <w:r>
        <w:rPr>
          <w:rFonts w:ascii="宋体" w:hAnsi="宋体"/>
          <w:color w:val="auto"/>
          <w:sz w:val="24"/>
          <w:szCs w:val="24"/>
          <w:highlight w:val="none"/>
        </w:rPr>
        <w:t>标人须知”</w:t>
      </w:r>
      <w:r>
        <w:rPr>
          <w:rFonts w:hint="eastAsia" w:ascii="宋体" w:hAnsi="宋体"/>
          <w:color w:val="auto"/>
          <w:sz w:val="24"/>
          <w:szCs w:val="24"/>
          <w:highlight w:val="none"/>
        </w:rPr>
        <w:t>第</w:t>
      </w:r>
      <w:r>
        <w:rPr>
          <w:rFonts w:ascii="宋体" w:hAnsi="宋体"/>
          <w:color w:val="auto"/>
          <w:sz w:val="24"/>
          <w:szCs w:val="24"/>
          <w:highlight w:val="none"/>
        </w:rPr>
        <w:t>2</w:t>
      </w:r>
      <w:r>
        <w:rPr>
          <w:rFonts w:hint="eastAsia" w:ascii="宋体" w:hAnsi="宋体"/>
          <w:color w:val="auto"/>
          <w:sz w:val="24"/>
          <w:szCs w:val="24"/>
          <w:highlight w:val="none"/>
        </w:rPr>
        <w:t>条“2.4 谈判文件的澄清、修改、补充的通知，及相应时间变更</w:t>
      </w:r>
      <w:r>
        <w:rPr>
          <w:rFonts w:ascii="宋体" w:hAnsi="宋体"/>
          <w:color w:val="auto"/>
          <w:sz w:val="24"/>
          <w:szCs w:val="24"/>
          <w:highlight w:val="none"/>
        </w:rPr>
        <w:t>”执行</w:t>
      </w:r>
      <w:r>
        <w:rPr>
          <w:rFonts w:hint="eastAsia" w:ascii="宋体" w:hAnsi="宋体"/>
          <w:color w:val="auto"/>
          <w:sz w:val="24"/>
          <w:szCs w:val="24"/>
          <w:highlight w:val="none"/>
        </w:rPr>
        <w:t>。</w:t>
      </w:r>
      <w:r>
        <w:rPr>
          <w:rFonts w:hint="eastAsia" w:ascii="黑体" w:hAnsi="黑体" w:eastAsia="黑体" w:cs="楷体_GB2312"/>
          <w:b/>
          <w:color w:val="auto"/>
          <w:sz w:val="24"/>
          <w:highlight w:val="none"/>
          <w:lang w:val="zh-CN"/>
        </w:rPr>
        <w:t>不</w:t>
      </w:r>
      <w:r>
        <w:rPr>
          <w:rFonts w:ascii="黑体" w:hAnsi="黑体" w:eastAsia="黑体" w:cs="楷体_GB2312"/>
          <w:b/>
          <w:color w:val="auto"/>
          <w:sz w:val="24"/>
          <w:highlight w:val="none"/>
          <w:lang w:val="zh-CN"/>
        </w:rPr>
        <w:t>另行通知。</w:t>
      </w:r>
    </w:p>
    <w:p w14:paraId="3291B5EF">
      <w:pPr>
        <w:widowControl w:val="0"/>
        <w:tabs>
          <w:tab w:val="left" w:pos="39"/>
          <w:tab w:val="left" w:pos="96"/>
        </w:tabs>
        <w:snapToGrid w:val="0"/>
        <w:spacing w:line="360" w:lineRule="auto"/>
        <w:ind w:firstLine="540" w:firstLineChars="225"/>
        <w:rPr>
          <w:rFonts w:ascii="黑体" w:hAnsi="黑体" w:eastAsia="黑体" w:cs="楷体_GB2312"/>
          <w:b/>
          <w:color w:val="auto"/>
          <w:sz w:val="24"/>
          <w:highlight w:val="none"/>
          <w:lang w:val="zh-CN"/>
        </w:rPr>
      </w:pPr>
      <w:r>
        <w:rPr>
          <w:rFonts w:hint="eastAsia" w:ascii="宋体" w:hAnsi="宋体"/>
          <w:color w:val="auto"/>
          <w:sz w:val="24"/>
          <w:szCs w:val="24"/>
          <w:highlight w:val="none"/>
        </w:rPr>
        <w:t>9</w:t>
      </w:r>
      <w:r>
        <w:rPr>
          <w:rFonts w:ascii="宋体" w:hAnsi="宋体"/>
          <w:color w:val="auto"/>
          <w:sz w:val="24"/>
          <w:szCs w:val="24"/>
          <w:highlight w:val="none"/>
        </w:rPr>
        <w:t>.4</w:t>
      </w:r>
      <w:r>
        <w:rPr>
          <w:rFonts w:hint="eastAsia" w:ascii="宋体" w:hAnsi="宋体"/>
          <w:color w:val="auto"/>
          <w:sz w:val="24"/>
          <w:szCs w:val="24"/>
          <w:highlight w:val="none"/>
        </w:rPr>
        <w:t xml:space="preserve"> 响应文件编制：在安阳县公共资源交易中心网站下载并安装投标文件制作工具、进行编制，按《谈判文件》第三章“投标人须知”第3条第</w:t>
      </w:r>
      <w:r>
        <w:rPr>
          <w:rFonts w:ascii="宋体" w:hAnsi="宋体"/>
          <w:color w:val="auto"/>
          <w:sz w:val="24"/>
          <w:szCs w:val="24"/>
          <w:highlight w:val="none"/>
        </w:rPr>
        <w:t>7</w:t>
      </w:r>
      <w:r>
        <w:rPr>
          <w:rFonts w:hint="eastAsia" w:ascii="宋体" w:hAnsi="宋体"/>
          <w:color w:val="auto"/>
          <w:sz w:val="24"/>
          <w:szCs w:val="24"/>
          <w:highlight w:val="none"/>
        </w:rPr>
        <w:t>款“</w:t>
      </w:r>
      <w:r>
        <w:rPr>
          <w:rFonts w:ascii="宋体" w:hAnsi="宋体"/>
          <w:color w:val="auto"/>
          <w:sz w:val="24"/>
          <w:szCs w:val="24"/>
          <w:highlight w:val="none"/>
        </w:rPr>
        <w:t>3.7</w:t>
      </w:r>
      <w:r>
        <w:rPr>
          <w:rFonts w:hint="eastAsia" w:ascii="宋体" w:hAnsi="宋体"/>
          <w:color w:val="auto"/>
          <w:sz w:val="24"/>
          <w:szCs w:val="24"/>
          <w:highlight w:val="none"/>
        </w:rPr>
        <w:t>投标文件的编制”执行，</w:t>
      </w:r>
      <w:r>
        <w:rPr>
          <w:rFonts w:hint="eastAsia" w:ascii="黑体" w:hAnsi="黑体" w:eastAsia="黑体" w:cs="楷体_GB2312"/>
          <w:b/>
          <w:color w:val="auto"/>
          <w:sz w:val="24"/>
          <w:highlight w:val="none"/>
          <w:lang w:val="zh-CN"/>
        </w:rPr>
        <w:t>否则将会评定为无效投标。</w:t>
      </w:r>
    </w:p>
    <w:p w14:paraId="0C43B4EA">
      <w:pPr>
        <w:widowControl w:val="0"/>
        <w:tabs>
          <w:tab w:val="left" w:pos="39"/>
          <w:tab w:val="left" w:pos="96"/>
        </w:tabs>
        <w:snapToGrid w:val="0"/>
        <w:spacing w:line="360" w:lineRule="auto"/>
        <w:ind w:firstLine="540" w:firstLineChars="225"/>
        <w:rPr>
          <w:rFonts w:ascii="宋体" w:hAnsi="宋体"/>
          <w:color w:val="auto"/>
          <w:sz w:val="24"/>
          <w:szCs w:val="24"/>
          <w:highlight w:val="none"/>
        </w:rPr>
      </w:pPr>
      <w:r>
        <w:rPr>
          <w:rFonts w:hint="eastAsia" w:ascii="宋体"/>
          <w:color w:val="auto"/>
          <w:sz w:val="24"/>
          <w:szCs w:val="24"/>
          <w:highlight w:val="none"/>
        </w:rPr>
        <w:t>9.5 响应文件递交：</w:t>
      </w:r>
      <w:r>
        <w:rPr>
          <w:rFonts w:hint="eastAsia" w:ascii="宋体" w:hAnsi="宋体"/>
          <w:color w:val="auto"/>
          <w:sz w:val="24"/>
          <w:szCs w:val="24"/>
          <w:highlight w:val="none"/>
        </w:rPr>
        <w:t>投标人应在投标截止时间前上传加密的电子投标文件（*.aytf）到安阳县公共资源交易平台，</w:t>
      </w:r>
      <w:r>
        <w:rPr>
          <w:rFonts w:ascii="宋体" w:hAnsi="宋体"/>
          <w:color w:val="auto"/>
          <w:sz w:val="24"/>
          <w:szCs w:val="24"/>
          <w:highlight w:val="none"/>
        </w:rPr>
        <w:t>按</w:t>
      </w:r>
      <w:r>
        <w:rPr>
          <w:rFonts w:hint="eastAsia" w:ascii="宋体" w:hAnsi="宋体"/>
          <w:color w:val="auto"/>
          <w:sz w:val="24"/>
          <w:szCs w:val="24"/>
          <w:highlight w:val="none"/>
        </w:rPr>
        <w:t>《</w:t>
      </w:r>
      <w:r>
        <w:rPr>
          <w:rFonts w:ascii="宋体" w:hAnsi="宋体"/>
          <w:color w:val="auto"/>
          <w:sz w:val="24"/>
          <w:szCs w:val="24"/>
          <w:highlight w:val="none"/>
        </w:rPr>
        <w:t>谈判文件</w:t>
      </w:r>
      <w:r>
        <w:rPr>
          <w:rFonts w:hint="eastAsia" w:ascii="宋体" w:hAnsi="宋体"/>
          <w:color w:val="auto"/>
          <w:sz w:val="24"/>
          <w:szCs w:val="24"/>
          <w:highlight w:val="none"/>
        </w:rPr>
        <w:t>》</w:t>
      </w:r>
      <w:r>
        <w:rPr>
          <w:rFonts w:ascii="宋体" w:hAnsi="宋体"/>
          <w:color w:val="auto"/>
          <w:sz w:val="24"/>
          <w:szCs w:val="24"/>
          <w:highlight w:val="none"/>
        </w:rPr>
        <w:t>第三</w:t>
      </w:r>
      <w:r>
        <w:rPr>
          <w:rFonts w:hint="eastAsia" w:ascii="宋体" w:hAnsi="宋体"/>
          <w:color w:val="auto"/>
          <w:sz w:val="24"/>
          <w:szCs w:val="24"/>
          <w:highlight w:val="none"/>
        </w:rPr>
        <w:t>章“投</w:t>
      </w:r>
      <w:r>
        <w:rPr>
          <w:rFonts w:ascii="宋体" w:hAnsi="宋体"/>
          <w:color w:val="auto"/>
          <w:sz w:val="24"/>
          <w:szCs w:val="24"/>
          <w:highlight w:val="none"/>
        </w:rPr>
        <w:t>标人须知”</w:t>
      </w:r>
      <w:r>
        <w:rPr>
          <w:rFonts w:hint="eastAsia" w:ascii="宋体" w:hAnsi="宋体"/>
          <w:color w:val="auto"/>
          <w:sz w:val="24"/>
          <w:szCs w:val="24"/>
          <w:highlight w:val="none"/>
        </w:rPr>
        <w:t>第</w:t>
      </w:r>
      <w:r>
        <w:rPr>
          <w:rFonts w:ascii="宋体" w:hAnsi="宋体"/>
          <w:color w:val="auto"/>
          <w:sz w:val="24"/>
          <w:szCs w:val="24"/>
          <w:highlight w:val="none"/>
        </w:rPr>
        <w:t>4</w:t>
      </w:r>
      <w:r>
        <w:rPr>
          <w:rFonts w:hint="eastAsia" w:ascii="宋体" w:hAnsi="宋体"/>
          <w:color w:val="auto"/>
          <w:sz w:val="24"/>
          <w:szCs w:val="24"/>
          <w:highlight w:val="none"/>
        </w:rPr>
        <w:t>条</w:t>
      </w:r>
      <w:r>
        <w:rPr>
          <w:rFonts w:ascii="宋体" w:hAnsi="宋体"/>
          <w:color w:val="auto"/>
          <w:sz w:val="24"/>
          <w:szCs w:val="24"/>
          <w:highlight w:val="none"/>
        </w:rPr>
        <w:t xml:space="preserve"> “</w:t>
      </w:r>
      <w:r>
        <w:rPr>
          <w:rFonts w:hint="eastAsia" w:ascii="宋体" w:hAnsi="宋体"/>
          <w:color w:val="auto"/>
          <w:sz w:val="24"/>
          <w:szCs w:val="24"/>
          <w:highlight w:val="none"/>
        </w:rPr>
        <w:t>4. 投标（响应文件的递交）”</w:t>
      </w:r>
      <w:r>
        <w:rPr>
          <w:rFonts w:ascii="宋体" w:hAnsi="宋体"/>
          <w:color w:val="auto"/>
          <w:sz w:val="24"/>
          <w:szCs w:val="24"/>
          <w:highlight w:val="none"/>
        </w:rPr>
        <w:t>执行，</w:t>
      </w:r>
      <w:r>
        <w:rPr>
          <w:rFonts w:hint="eastAsia" w:ascii="黑体" w:hAnsi="黑体" w:eastAsia="黑体" w:cs="楷体_GB2312"/>
          <w:b/>
          <w:color w:val="auto"/>
          <w:sz w:val="24"/>
          <w:highlight w:val="none"/>
          <w:lang w:val="zh-CN"/>
        </w:rPr>
        <w:t>否</w:t>
      </w:r>
      <w:r>
        <w:rPr>
          <w:rFonts w:ascii="黑体" w:hAnsi="黑体" w:eastAsia="黑体" w:cs="楷体_GB2312"/>
          <w:b/>
          <w:color w:val="auto"/>
          <w:sz w:val="24"/>
          <w:highlight w:val="none"/>
          <w:lang w:val="zh-CN"/>
        </w:rPr>
        <w:t>则将会</w:t>
      </w:r>
      <w:r>
        <w:rPr>
          <w:rFonts w:hint="eastAsia" w:ascii="黑体" w:hAnsi="黑体" w:eastAsia="黑体" w:cs="楷体_GB2312"/>
          <w:b/>
          <w:color w:val="auto"/>
          <w:sz w:val="24"/>
          <w:highlight w:val="none"/>
          <w:lang w:val="zh-CN"/>
        </w:rPr>
        <w:t>评</w:t>
      </w:r>
      <w:r>
        <w:rPr>
          <w:rFonts w:ascii="黑体" w:hAnsi="黑体" w:eastAsia="黑体" w:cs="楷体_GB2312"/>
          <w:b/>
          <w:color w:val="auto"/>
          <w:sz w:val="24"/>
          <w:highlight w:val="none"/>
          <w:lang w:val="zh-CN"/>
        </w:rPr>
        <w:t>定为无效投标。</w:t>
      </w:r>
    </w:p>
    <w:p w14:paraId="707C50FF">
      <w:pPr>
        <w:widowControl w:val="0"/>
        <w:tabs>
          <w:tab w:val="left" w:pos="39"/>
          <w:tab w:val="left" w:pos="96"/>
        </w:tabs>
        <w:snapToGrid w:val="0"/>
        <w:spacing w:line="360" w:lineRule="auto"/>
        <w:ind w:firstLine="480" w:firstLineChars="200"/>
        <w:rPr>
          <w:rFonts w:ascii="宋体"/>
          <w:color w:val="auto"/>
          <w:sz w:val="24"/>
          <w:szCs w:val="24"/>
          <w:highlight w:val="none"/>
        </w:rPr>
      </w:pPr>
      <w:r>
        <w:rPr>
          <w:rFonts w:hint="eastAsia" w:ascii="宋体"/>
          <w:color w:val="auto"/>
          <w:sz w:val="24"/>
          <w:szCs w:val="24"/>
          <w:highlight w:val="none"/>
        </w:rPr>
        <w:t>9</w:t>
      </w:r>
      <w:r>
        <w:rPr>
          <w:rFonts w:ascii="宋体"/>
          <w:color w:val="auto"/>
          <w:sz w:val="24"/>
          <w:szCs w:val="24"/>
          <w:highlight w:val="none"/>
        </w:rPr>
        <w:t>.</w:t>
      </w:r>
      <w:r>
        <w:rPr>
          <w:rFonts w:hint="eastAsia" w:ascii="宋体"/>
          <w:color w:val="auto"/>
          <w:sz w:val="24"/>
          <w:szCs w:val="24"/>
          <w:highlight w:val="none"/>
        </w:rPr>
        <w:t>6 响应文件</w:t>
      </w:r>
      <w:r>
        <w:rPr>
          <w:rFonts w:hint="eastAsia" w:ascii="宋体" w:hAnsi="宋体"/>
          <w:color w:val="auto"/>
          <w:sz w:val="24"/>
          <w:szCs w:val="24"/>
          <w:highlight w:val="none"/>
        </w:rPr>
        <w:t>解密</w:t>
      </w:r>
      <w:r>
        <w:rPr>
          <w:rFonts w:hint="eastAsia" w:ascii="宋体"/>
          <w:color w:val="auto"/>
          <w:sz w:val="24"/>
          <w:szCs w:val="24"/>
          <w:highlight w:val="none"/>
        </w:rPr>
        <w:t>：</w:t>
      </w:r>
      <w:r>
        <w:rPr>
          <w:bCs/>
          <w:color w:val="auto"/>
          <w:sz w:val="24"/>
          <w:szCs w:val="24"/>
          <w:highlight w:val="none"/>
        </w:rPr>
        <w:t>本项目采用远程不见面交易的模式，开标当日，投标人无需到开标现场参加开标会议，投标人应当在投标截止时间前，使用IE浏览器登录到安阳市公共资源交易不见面开标大厅，点击右上方【登录】按钮进入，在线准时参加开标活动并进行投标文件解密等。</w:t>
      </w:r>
      <w:r>
        <w:rPr>
          <w:rFonts w:ascii="宋体" w:hAnsi="宋体"/>
          <w:color w:val="auto"/>
          <w:sz w:val="24"/>
          <w:szCs w:val="24"/>
          <w:highlight w:val="none"/>
        </w:rPr>
        <w:t>按</w:t>
      </w:r>
      <w:r>
        <w:rPr>
          <w:rFonts w:hint="eastAsia" w:ascii="宋体" w:hAnsi="宋体"/>
          <w:color w:val="auto"/>
          <w:sz w:val="24"/>
          <w:szCs w:val="24"/>
          <w:highlight w:val="none"/>
        </w:rPr>
        <w:t>《</w:t>
      </w:r>
      <w:r>
        <w:rPr>
          <w:rFonts w:ascii="宋体" w:hAnsi="宋体"/>
          <w:color w:val="auto"/>
          <w:sz w:val="24"/>
          <w:szCs w:val="24"/>
          <w:highlight w:val="none"/>
        </w:rPr>
        <w:t>谈判文件</w:t>
      </w:r>
      <w:r>
        <w:rPr>
          <w:rFonts w:hint="eastAsia" w:ascii="宋体" w:hAnsi="宋体"/>
          <w:color w:val="auto"/>
          <w:sz w:val="24"/>
          <w:szCs w:val="24"/>
          <w:highlight w:val="none"/>
        </w:rPr>
        <w:t>》</w:t>
      </w:r>
      <w:r>
        <w:rPr>
          <w:rFonts w:ascii="宋体" w:hAnsi="宋体"/>
          <w:color w:val="auto"/>
          <w:sz w:val="24"/>
          <w:szCs w:val="24"/>
          <w:highlight w:val="none"/>
        </w:rPr>
        <w:t>第三</w:t>
      </w:r>
      <w:r>
        <w:rPr>
          <w:rFonts w:hint="eastAsia" w:ascii="宋体" w:hAnsi="宋体"/>
          <w:color w:val="auto"/>
          <w:sz w:val="24"/>
          <w:szCs w:val="24"/>
          <w:highlight w:val="none"/>
        </w:rPr>
        <w:t>章“投</w:t>
      </w:r>
      <w:r>
        <w:rPr>
          <w:rFonts w:ascii="宋体" w:hAnsi="宋体"/>
          <w:color w:val="auto"/>
          <w:sz w:val="24"/>
          <w:szCs w:val="24"/>
          <w:highlight w:val="none"/>
        </w:rPr>
        <w:t>标人须知”</w:t>
      </w:r>
      <w:r>
        <w:rPr>
          <w:rFonts w:hint="eastAsia" w:ascii="宋体" w:hAnsi="宋体"/>
          <w:color w:val="auto"/>
          <w:sz w:val="24"/>
          <w:szCs w:val="24"/>
          <w:highlight w:val="none"/>
        </w:rPr>
        <w:t>第</w:t>
      </w:r>
      <w:r>
        <w:rPr>
          <w:rFonts w:ascii="宋体" w:hAnsi="宋体"/>
          <w:color w:val="auto"/>
          <w:sz w:val="24"/>
          <w:szCs w:val="24"/>
          <w:highlight w:val="none"/>
        </w:rPr>
        <w:t>5</w:t>
      </w:r>
      <w:r>
        <w:rPr>
          <w:rFonts w:hint="eastAsia" w:ascii="宋体" w:hAnsi="宋体"/>
          <w:color w:val="auto"/>
          <w:sz w:val="24"/>
          <w:szCs w:val="24"/>
          <w:highlight w:val="none"/>
        </w:rPr>
        <w:t>条</w:t>
      </w:r>
      <w:r>
        <w:rPr>
          <w:rFonts w:ascii="宋体" w:hAnsi="宋体"/>
          <w:color w:val="auto"/>
          <w:sz w:val="24"/>
          <w:szCs w:val="24"/>
          <w:highlight w:val="none"/>
        </w:rPr>
        <w:t xml:space="preserve">“5 </w:t>
      </w:r>
      <w:r>
        <w:rPr>
          <w:rFonts w:hint="eastAsia" w:ascii="宋体"/>
          <w:color w:val="auto"/>
          <w:sz w:val="24"/>
          <w:szCs w:val="24"/>
          <w:highlight w:val="none"/>
        </w:rPr>
        <w:t>开标（响应文件的开启）</w:t>
      </w:r>
      <w:r>
        <w:rPr>
          <w:rFonts w:hint="eastAsia" w:ascii="宋体" w:hAnsi="宋体"/>
          <w:color w:val="auto"/>
          <w:sz w:val="24"/>
          <w:szCs w:val="24"/>
          <w:highlight w:val="none"/>
        </w:rPr>
        <w:t>”</w:t>
      </w:r>
      <w:r>
        <w:rPr>
          <w:rFonts w:ascii="宋体" w:hAnsi="宋体"/>
          <w:color w:val="auto"/>
          <w:sz w:val="24"/>
          <w:szCs w:val="24"/>
          <w:highlight w:val="none"/>
        </w:rPr>
        <w:t>执行，</w:t>
      </w:r>
      <w:r>
        <w:rPr>
          <w:rFonts w:hint="eastAsia" w:ascii="宋体" w:hAnsi="宋体" w:cs="楷体_GB2312"/>
          <w:color w:val="auto"/>
          <w:sz w:val="24"/>
          <w:highlight w:val="none"/>
          <w:lang w:val="zh-CN"/>
        </w:rPr>
        <w:t>否</w:t>
      </w:r>
      <w:r>
        <w:rPr>
          <w:rFonts w:ascii="宋体" w:hAnsi="宋体" w:cs="楷体_GB2312"/>
          <w:color w:val="auto"/>
          <w:sz w:val="24"/>
          <w:highlight w:val="none"/>
          <w:lang w:val="zh-CN"/>
        </w:rPr>
        <w:t>则</w:t>
      </w:r>
      <w:r>
        <w:rPr>
          <w:rFonts w:hint="eastAsia" w:ascii="宋体" w:hAnsi="宋体" w:cs="楷体_GB2312"/>
          <w:color w:val="auto"/>
          <w:sz w:val="24"/>
          <w:highlight w:val="none"/>
          <w:lang w:val="zh-CN"/>
        </w:rPr>
        <w:t>其投标将不能被接受</w:t>
      </w:r>
      <w:r>
        <w:rPr>
          <w:rFonts w:ascii="宋体" w:hAnsi="宋体" w:cs="楷体_GB2312"/>
          <w:color w:val="auto"/>
          <w:sz w:val="24"/>
          <w:highlight w:val="none"/>
          <w:lang w:val="zh-CN"/>
        </w:rPr>
        <w:t>。</w:t>
      </w:r>
    </w:p>
    <w:p w14:paraId="07EC103A">
      <w:pPr>
        <w:widowControl w:val="0"/>
        <w:tabs>
          <w:tab w:val="left" w:pos="39"/>
          <w:tab w:val="left" w:pos="96"/>
        </w:tabs>
        <w:snapToGrid w:val="0"/>
        <w:spacing w:line="360" w:lineRule="auto"/>
        <w:ind w:firstLine="480" w:firstLineChars="200"/>
        <w:rPr>
          <w:rFonts w:ascii="黑体" w:hAnsi="黑体" w:eastAsia="黑体" w:cs="楷体_GB2312"/>
          <w:b/>
          <w:color w:val="auto"/>
          <w:sz w:val="24"/>
          <w:highlight w:val="none"/>
          <w:lang w:val="zh-CN"/>
        </w:rPr>
      </w:pPr>
      <w:r>
        <w:rPr>
          <w:rFonts w:hint="eastAsia" w:ascii="宋体" w:hAnsi="宋体"/>
          <w:color w:val="auto"/>
          <w:sz w:val="24"/>
          <w:szCs w:val="24"/>
          <w:highlight w:val="none"/>
        </w:rPr>
        <w:t>9</w:t>
      </w:r>
      <w:r>
        <w:rPr>
          <w:rFonts w:ascii="宋体" w:hAnsi="宋体"/>
          <w:color w:val="auto"/>
          <w:sz w:val="24"/>
          <w:szCs w:val="24"/>
          <w:highlight w:val="none"/>
        </w:rPr>
        <w:t>.</w:t>
      </w:r>
      <w:r>
        <w:rPr>
          <w:rFonts w:hint="eastAsia" w:ascii="宋体" w:hAnsi="宋体"/>
          <w:color w:val="auto"/>
          <w:sz w:val="24"/>
          <w:szCs w:val="24"/>
          <w:highlight w:val="none"/>
        </w:rPr>
        <w:t>7</w:t>
      </w:r>
      <w:r>
        <w:rPr>
          <w:rFonts w:ascii="宋体" w:hAnsi="宋体"/>
          <w:color w:val="auto"/>
          <w:sz w:val="24"/>
          <w:szCs w:val="24"/>
          <w:highlight w:val="none"/>
        </w:rPr>
        <w:t xml:space="preserve"> </w:t>
      </w:r>
      <w:r>
        <w:rPr>
          <w:rFonts w:hint="eastAsia" w:ascii="宋体" w:hAnsi="宋体"/>
          <w:color w:val="auto"/>
          <w:sz w:val="24"/>
          <w:szCs w:val="24"/>
          <w:highlight w:val="none"/>
        </w:rPr>
        <w:t>谈</w:t>
      </w:r>
      <w:r>
        <w:rPr>
          <w:rFonts w:ascii="宋体" w:hAnsi="宋体"/>
          <w:color w:val="auto"/>
          <w:sz w:val="24"/>
          <w:szCs w:val="24"/>
          <w:highlight w:val="none"/>
        </w:rPr>
        <w:t>判：</w:t>
      </w:r>
      <w:r>
        <w:rPr>
          <w:rFonts w:hint="eastAsia" w:ascii="宋体" w:hAnsi="宋体"/>
          <w:color w:val="auto"/>
          <w:sz w:val="24"/>
          <w:highlight w:val="none"/>
        </w:rPr>
        <w:t>时刻关注电子开标室并及时澄清，有</w:t>
      </w:r>
      <w:r>
        <w:rPr>
          <w:rFonts w:ascii="宋体" w:hAnsi="宋体"/>
          <w:color w:val="auto"/>
          <w:sz w:val="24"/>
          <w:highlight w:val="none"/>
        </w:rPr>
        <w:t>效投标人在规定时间进行</w:t>
      </w:r>
      <w:r>
        <w:rPr>
          <w:rFonts w:hint="eastAsia" w:ascii="宋体" w:hAnsi="宋体"/>
          <w:color w:val="auto"/>
          <w:sz w:val="24"/>
          <w:highlight w:val="none"/>
        </w:rPr>
        <w:t>最后报价</w:t>
      </w:r>
      <w:r>
        <w:rPr>
          <w:rFonts w:ascii="宋体" w:hAnsi="宋体"/>
          <w:color w:val="auto"/>
          <w:sz w:val="24"/>
          <w:highlight w:val="none"/>
        </w:rPr>
        <w:t>，</w:t>
      </w:r>
      <w:r>
        <w:rPr>
          <w:rFonts w:ascii="宋体" w:hAnsi="宋体"/>
          <w:color w:val="auto"/>
          <w:sz w:val="24"/>
          <w:szCs w:val="24"/>
          <w:highlight w:val="none"/>
        </w:rPr>
        <w:t>按</w:t>
      </w:r>
      <w:r>
        <w:rPr>
          <w:rFonts w:hint="eastAsia" w:ascii="宋体" w:hAnsi="宋体"/>
          <w:color w:val="auto"/>
          <w:sz w:val="24"/>
          <w:szCs w:val="24"/>
          <w:highlight w:val="none"/>
        </w:rPr>
        <w:t>《</w:t>
      </w:r>
      <w:r>
        <w:rPr>
          <w:rFonts w:ascii="宋体" w:hAnsi="宋体"/>
          <w:color w:val="auto"/>
          <w:sz w:val="24"/>
          <w:szCs w:val="24"/>
          <w:highlight w:val="none"/>
        </w:rPr>
        <w:t>谈判文件</w:t>
      </w:r>
      <w:r>
        <w:rPr>
          <w:rFonts w:hint="eastAsia" w:ascii="宋体" w:hAnsi="宋体"/>
          <w:color w:val="auto"/>
          <w:sz w:val="24"/>
          <w:szCs w:val="24"/>
          <w:highlight w:val="none"/>
        </w:rPr>
        <w:t>》第四章“评审办法”</w:t>
      </w:r>
      <w:r>
        <w:rPr>
          <w:rFonts w:ascii="宋体" w:hAnsi="宋体"/>
          <w:color w:val="auto"/>
          <w:sz w:val="24"/>
          <w:szCs w:val="24"/>
          <w:highlight w:val="none"/>
        </w:rPr>
        <w:t>执行，</w:t>
      </w:r>
      <w:r>
        <w:rPr>
          <w:rFonts w:hint="eastAsia" w:ascii="黑体" w:hAnsi="黑体" w:eastAsia="黑体" w:cs="楷体_GB2312"/>
          <w:b/>
          <w:color w:val="auto"/>
          <w:sz w:val="24"/>
          <w:highlight w:val="none"/>
          <w:lang w:val="zh-CN"/>
        </w:rPr>
        <w:t>否</w:t>
      </w:r>
      <w:r>
        <w:rPr>
          <w:rFonts w:ascii="黑体" w:hAnsi="黑体" w:eastAsia="黑体" w:cs="楷体_GB2312"/>
          <w:b/>
          <w:color w:val="auto"/>
          <w:sz w:val="24"/>
          <w:highlight w:val="none"/>
          <w:lang w:val="zh-CN"/>
        </w:rPr>
        <w:t>则将会</w:t>
      </w:r>
      <w:r>
        <w:rPr>
          <w:rFonts w:hint="eastAsia" w:ascii="黑体" w:hAnsi="黑体" w:eastAsia="黑体" w:cs="楷体_GB2312"/>
          <w:b/>
          <w:color w:val="auto"/>
          <w:sz w:val="24"/>
          <w:highlight w:val="none"/>
          <w:lang w:val="zh-CN"/>
        </w:rPr>
        <w:t>评</w:t>
      </w:r>
      <w:r>
        <w:rPr>
          <w:rFonts w:ascii="黑体" w:hAnsi="黑体" w:eastAsia="黑体" w:cs="楷体_GB2312"/>
          <w:b/>
          <w:color w:val="auto"/>
          <w:sz w:val="24"/>
          <w:highlight w:val="none"/>
          <w:lang w:val="zh-CN"/>
        </w:rPr>
        <w:t>定为无效投标。</w:t>
      </w:r>
    </w:p>
    <w:p w14:paraId="060AB686">
      <w:pPr>
        <w:widowControl w:val="0"/>
        <w:tabs>
          <w:tab w:val="left" w:pos="39"/>
          <w:tab w:val="left" w:pos="96"/>
        </w:tabs>
        <w:snapToGrid w:val="0"/>
        <w:spacing w:line="360" w:lineRule="auto"/>
        <w:ind w:firstLine="540" w:firstLineChars="225"/>
        <w:rPr>
          <w:rFonts w:ascii="宋体" w:hAnsi="宋体" w:cs="楷体_GB2312"/>
          <w:color w:val="auto"/>
          <w:sz w:val="24"/>
          <w:highlight w:val="none"/>
          <w:lang w:val="zh-CN"/>
        </w:rPr>
      </w:pPr>
      <w:r>
        <w:rPr>
          <w:rFonts w:hint="eastAsia" w:ascii="宋体" w:hAnsi="宋体" w:cs="楷体_GB2312"/>
          <w:color w:val="auto"/>
          <w:sz w:val="24"/>
          <w:highlight w:val="none"/>
          <w:lang w:val="zh-CN"/>
        </w:rPr>
        <w:t>9.8锁名称变更或者延期可能会导致开标过程无法正常解密标书。开标过程中解密必须使用生成标书时使用的CA锁，丢失、变更、延期都会导致无法解密。如无待开标解密项目，变更或者延期不影响正常的业务操作，但需要注意如下事项：</w:t>
      </w:r>
    </w:p>
    <w:p w14:paraId="5199A177">
      <w:pPr>
        <w:widowControl w:val="0"/>
        <w:tabs>
          <w:tab w:val="left" w:pos="39"/>
          <w:tab w:val="left" w:pos="96"/>
        </w:tabs>
        <w:snapToGrid w:val="0"/>
        <w:spacing w:line="360" w:lineRule="auto"/>
        <w:ind w:firstLine="540" w:firstLineChars="225"/>
        <w:rPr>
          <w:rFonts w:ascii="宋体" w:hAnsi="宋体" w:cs="楷体_GB2312"/>
          <w:color w:val="auto"/>
          <w:sz w:val="24"/>
          <w:highlight w:val="none"/>
          <w:lang w:val="zh-CN"/>
        </w:rPr>
      </w:pPr>
      <w:r>
        <w:rPr>
          <w:rFonts w:hint="eastAsia" w:ascii="宋体" w:hAnsi="宋体" w:cs="楷体_GB2312"/>
          <w:color w:val="auto"/>
          <w:sz w:val="24"/>
          <w:highlight w:val="none"/>
          <w:lang w:val="zh-CN"/>
        </w:rPr>
        <w:t>①锁名称变更前建议先在交易系统修改单位名称为最新的，变更完成后再变更锁名称，以免因名称不一致无法正常登录系统。</w:t>
      </w:r>
    </w:p>
    <w:p w14:paraId="07C2D71F">
      <w:pPr>
        <w:widowControl w:val="0"/>
        <w:tabs>
          <w:tab w:val="left" w:pos="39"/>
          <w:tab w:val="left" w:pos="96"/>
        </w:tabs>
        <w:snapToGrid w:val="0"/>
        <w:spacing w:line="360" w:lineRule="auto"/>
        <w:ind w:firstLine="540" w:firstLineChars="225"/>
        <w:rPr>
          <w:rFonts w:ascii="宋体" w:hAnsi="宋体"/>
          <w:color w:val="auto"/>
          <w:sz w:val="24"/>
          <w:szCs w:val="24"/>
          <w:highlight w:val="none"/>
        </w:rPr>
      </w:pPr>
      <w:r>
        <w:rPr>
          <w:rFonts w:hint="eastAsia" w:ascii="宋体" w:hAnsi="宋体" w:cs="楷体_GB2312"/>
          <w:color w:val="auto"/>
          <w:sz w:val="24"/>
          <w:highlight w:val="none"/>
          <w:lang w:val="zh-CN"/>
        </w:rPr>
        <w:t>②锁延期之后序列号可能会发生改变（视不同CA而定），变更后需要重新进行绑定。</w:t>
      </w:r>
    </w:p>
    <w:p w14:paraId="06E3AA5C">
      <w:pPr>
        <w:widowControl w:val="0"/>
        <w:tabs>
          <w:tab w:val="left" w:pos="39"/>
          <w:tab w:val="left" w:pos="96"/>
        </w:tabs>
        <w:snapToGrid w:val="0"/>
        <w:spacing w:line="360" w:lineRule="auto"/>
        <w:ind w:firstLine="540" w:firstLineChars="225"/>
        <w:rPr>
          <w:rFonts w:ascii="宋体" w:hAnsi="宋体"/>
          <w:color w:val="auto"/>
          <w:sz w:val="24"/>
          <w:szCs w:val="24"/>
          <w:highlight w:val="none"/>
        </w:rPr>
      </w:pPr>
      <w:r>
        <w:rPr>
          <w:rFonts w:hint="eastAsia" w:ascii="宋体" w:hAnsi="宋体"/>
          <w:color w:val="auto"/>
          <w:sz w:val="24"/>
          <w:szCs w:val="24"/>
          <w:highlight w:val="none"/>
        </w:rPr>
        <w:t>9.9政府采购电子交易中，投标人网上电子交易的系统操作规则应以安阳市公共资源交易平台即时发布的相关规则为准。</w:t>
      </w:r>
    </w:p>
    <w:p w14:paraId="2F73FDD9">
      <w:pPr>
        <w:widowControl w:val="0"/>
        <w:tabs>
          <w:tab w:val="left" w:pos="39"/>
          <w:tab w:val="left" w:pos="96"/>
        </w:tabs>
        <w:snapToGrid w:val="0"/>
        <w:spacing w:line="360" w:lineRule="auto"/>
        <w:ind w:firstLine="540" w:firstLineChars="225"/>
        <w:rPr>
          <w:rFonts w:ascii="宋体"/>
          <w:color w:val="auto"/>
          <w:sz w:val="24"/>
          <w:szCs w:val="24"/>
          <w:highlight w:val="none"/>
        </w:rPr>
      </w:pPr>
      <w:r>
        <w:rPr>
          <w:rFonts w:hint="eastAsia" w:ascii="宋体" w:hAnsi="宋体"/>
          <w:color w:val="auto"/>
          <w:sz w:val="24"/>
          <w:szCs w:val="24"/>
          <w:highlight w:val="none"/>
        </w:rPr>
        <w:t>9.10 望投标人充分熟悉网上电子交易操作流程、以便有效投标。</w:t>
      </w:r>
    </w:p>
    <w:p w14:paraId="43ECE7B1">
      <w:pPr>
        <w:widowControl w:val="0"/>
        <w:tabs>
          <w:tab w:val="left" w:pos="39"/>
          <w:tab w:val="left" w:pos="96"/>
        </w:tabs>
        <w:snapToGrid w:val="0"/>
        <w:spacing w:line="360" w:lineRule="auto"/>
        <w:ind w:firstLine="540" w:firstLineChars="225"/>
        <w:rPr>
          <w:rFonts w:ascii="宋体" w:hAnsi="宋体"/>
          <w:color w:val="auto"/>
          <w:sz w:val="24"/>
          <w:szCs w:val="24"/>
          <w:highlight w:val="none"/>
        </w:rPr>
      </w:pPr>
      <w:r>
        <w:rPr>
          <w:rFonts w:hint="eastAsia"/>
          <w:bCs/>
          <w:color w:val="auto"/>
          <w:sz w:val="24"/>
          <w:szCs w:val="24"/>
          <w:highlight w:val="none"/>
        </w:rPr>
        <w:t>9.11 如遇到网上系统操作等技术问题请咨询</w:t>
      </w:r>
      <w:r>
        <w:rPr>
          <w:rFonts w:hint="eastAsia" w:ascii="宋体" w:hAnsi="宋体"/>
          <w:color w:val="auto"/>
          <w:sz w:val="24"/>
          <w:szCs w:val="24"/>
          <w:highlight w:val="none"/>
        </w:rPr>
        <w:t>400-998-0000、0372-3387739。</w:t>
      </w:r>
    </w:p>
    <w:p w14:paraId="5C942D2C">
      <w:pPr>
        <w:widowControl w:val="0"/>
        <w:tabs>
          <w:tab w:val="left" w:pos="39"/>
          <w:tab w:val="left" w:pos="96"/>
        </w:tabs>
        <w:snapToGrid w:val="0"/>
        <w:spacing w:line="360" w:lineRule="auto"/>
        <w:ind w:firstLine="540" w:firstLineChars="225"/>
        <w:rPr>
          <w:rFonts w:ascii="宋体"/>
          <w:color w:val="auto"/>
          <w:sz w:val="24"/>
          <w:szCs w:val="24"/>
          <w:highlight w:val="none"/>
        </w:rPr>
      </w:pPr>
    </w:p>
    <w:p w14:paraId="5F60E990">
      <w:pPr>
        <w:widowControl w:val="0"/>
        <w:tabs>
          <w:tab w:val="left" w:pos="39"/>
          <w:tab w:val="left" w:pos="96"/>
        </w:tabs>
        <w:snapToGrid w:val="0"/>
        <w:spacing w:line="360" w:lineRule="auto"/>
        <w:ind w:firstLine="5220" w:firstLineChars="2175"/>
        <w:jc w:val="right"/>
        <w:rPr>
          <w:rFonts w:ascii="宋体"/>
          <w:color w:val="auto"/>
          <w:sz w:val="24"/>
          <w:szCs w:val="24"/>
          <w:highlight w:val="none"/>
        </w:rPr>
      </w:pPr>
      <w:r>
        <w:rPr>
          <w:rFonts w:hint="eastAsia" w:ascii="宋体"/>
          <w:color w:val="auto"/>
          <w:sz w:val="24"/>
          <w:szCs w:val="24"/>
          <w:highlight w:val="none"/>
        </w:rPr>
        <w:t>安阳市方正招标采购服务有限责任公司</w:t>
      </w:r>
    </w:p>
    <w:p w14:paraId="3709059C">
      <w:pPr>
        <w:widowControl w:val="0"/>
        <w:tabs>
          <w:tab w:val="left" w:pos="39"/>
          <w:tab w:val="left" w:pos="96"/>
        </w:tabs>
        <w:snapToGrid w:val="0"/>
        <w:spacing w:line="360" w:lineRule="auto"/>
        <w:ind w:firstLine="540" w:firstLineChars="225"/>
        <w:jc w:val="right"/>
        <w:rPr>
          <w:rFonts w:ascii="宋体"/>
          <w:color w:val="auto"/>
          <w:sz w:val="24"/>
          <w:szCs w:val="24"/>
          <w:highlight w:val="none"/>
        </w:rPr>
      </w:pPr>
      <w:r>
        <w:rPr>
          <w:rFonts w:hint="eastAsia" w:ascii="宋体"/>
          <w:color w:val="auto"/>
          <w:sz w:val="24"/>
          <w:szCs w:val="24"/>
          <w:highlight w:val="none"/>
        </w:rPr>
        <w:t>二〇二六年</w:t>
      </w:r>
      <w:r>
        <w:rPr>
          <w:rFonts w:hint="eastAsia" w:ascii="宋体"/>
          <w:color w:val="auto"/>
          <w:sz w:val="24"/>
          <w:szCs w:val="24"/>
          <w:highlight w:val="none"/>
          <w:lang w:val="en-US" w:eastAsia="zh-CN"/>
        </w:rPr>
        <w:t>七</w:t>
      </w:r>
      <w:r>
        <w:rPr>
          <w:rFonts w:hint="eastAsia" w:ascii="宋体"/>
          <w:color w:val="auto"/>
          <w:sz w:val="24"/>
          <w:szCs w:val="24"/>
          <w:highlight w:val="none"/>
        </w:rPr>
        <w:t>月</w:t>
      </w:r>
      <w:r>
        <w:rPr>
          <w:rFonts w:hint="eastAsia" w:ascii="宋体"/>
          <w:color w:val="auto"/>
          <w:sz w:val="24"/>
          <w:szCs w:val="24"/>
          <w:highlight w:val="none"/>
          <w:lang w:val="en-US" w:eastAsia="zh-CN"/>
        </w:rPr>
        <w:t>二十四</w:t>
      </w:r>
      <w:r>
        <w:rPr>
          <w:rFonts w:hint="eastAsia" w:ascii="宋体"/>
          <w:color w:val="auto"/>
          <w:sz w:val="24"/>
          <w:szCs w:val="24"/>
          <w:highlight w:val="none"/>
        </w:rPr>
        <w:t>日</w:t>
      </w:r>
    </w:p>
    <w:p w14:paraId="13D17166">
      <w:pPr>
        <w:widowControl w:val="0"/>
        <w:tabs>
          <w:tab w:val="left" w:pos="39"/>
          <w:tab w:val="left" w:pos="96"/>
        </w:tabs>
        <w:snapToGrid w:val="0"/>
        <w:spacing w:line="360" w:lineRule="auto"/>
        <w:ind w:firstLine="630" w:firstLineChars="225"/>
        <w:rPr>
          <w:rFonts w:ascii="宋体" w:hAnsi="宋体"/>
          <w:color w:val="auto"/>
          <w:sz w:val="24"/>
          <w:szCs w:val="24"/>
          <w:highlight w:val="none"/>
        </w:rPr>
      </w:pPr>
      <w:r>
        <w:rPr>
          <w:rFonts w:eastAsia="微软雅黑"/>
          <w:color w:val="auto"/>
          <w:sz w:val="28"/>
          <w:szCs w:val="28"/>
          <w:highlight w:val="none"/>
        </w:rPr>
        <w:br w:type="page"/>
      </w:r>
    </w:p>
    <w:p w14:paraId="0919B098">
      <w:pPr>
        <w:widowControl w:val="0"/>
        <w:snapToGrid w:val="0"/>
        <w:spacing w:line="360" w:lineRule="auto"/>
        <w:jc w:val="center"/>
        <w:outlineLvl w:val="0"/>
        <w:rPr>
          <w:rFonts w:eastAsia="微软雅黑"/>
          <w:color w:val="auto"/>
          <w:sz w:val="36"/>
          <w:szCs w:val="36"/>
          <w:highlight w:val="none"/>
        </w:rPr>
      </w:pPr>
      <w:bookmarkStart w:id="14" w:name="_Toc21645"/>
      <w:r>
        <w:rPr>
          <w:rFonts w:hint="eastAsia" w:eastAsia="黑体"/>
          <w:b/>
          <w:color w:val="auto"/>
          <w:sz w:val="36"/>
          <w:szCs w:val="36"/>
          <w:highlight w:val="none"/>
        </w:rPr>
        <w:t>第二章 采购项目及技术服务要求</w:t>
      </w:r>
      <w:bookmarkEnd w:id="14"/>
    </w:p>
    <w:p w14:paraId="1F853A80">
      <w:pPr>
        <w:widowControl w:val="0"/>
        <w:snapToGrid w:val="0"/>
        <w:spacing w:line="360" w:lineRule="auto"/>
        <w:jc w:val="center"/>
        <w:rPr>
          <w:b/>
          <w:color w:val="auto"/>
          <w:sz w:val="28"/>
          <w:highlight w:val="none"/>
        </w:rPr>
      </w:pPr>
    </w:p>
    <w:p w14:paraId="0CF93D54">
      <w:pPr>
        <w:widowControl w:val="0"/>
        <w:snapToGrid w:val="0"/>
        <w:spacing w:line="360" w:lineRule="auto"/>
        <w:ind w:firstLine="422" w:firstLineChars="150"/>
        <w:jc w:val="left"/>
        <w:outlineLvl w:val="1"/>
        <w:rPr>
          <w:rFonts w:ascii="黑体" w:hAnsi="黑体" w:eastAsia="黑体"/>
          <w:b/>
          <w:color w:val="auto"/>
          <w:sz w:val="28"/>
          <w:highlight w:val="none"/>
        </w:rPr>
      </w:pPr>
      <w:bookmarkStart w:id="15" w:name="_Toc25189"/>
      <w:r>
        <w:rPr>
          <w:rFonts w:ascii="黑体" w:hAnsi="黑体" w:eastAsia="黑体"/>
          <w:b/>
          <w:color w:val="auto"/>
          <w:sz w:val="28"/>
          <w:highlight w:val="none"/>
        </w:rPr>
        <w:t xml:space="preserve">1. </w:t>
      </w:r>
      <w:r>
        <w:rPr>
          <w:rFonts w:hint="eastAsia" w:ascii="黑体" w:hAnsi="黑体" w:eastAsia="黑体"/>
          <w:b/>
          <w:color w:val="auto"/>
          <w:sz w:val="28"/>
          <w:highlight w:val="none"/>
        </w:rPr>
        <w:t>采购项目、标段（包）划分、投标报价</w:t>
      </w:r>
      <w:bookmarkEnd w:id="15"/>
    </w:p>
    <w:p w14:paraId="360CBBE7">
      <w:pPr>
        <w:widowControl w:val="0"/>
        <w:snapToGrid w:val="0"/>
        <w:spacing w:line="360" w:lineRule="auto"/>
        <w:ind w:firstLine="482" w:firstLineChars="200"/>
        <w:jc w:val="left"/>
        <w:rPr>
          <w:color w:val="auto"/>
          <w:sz w:val="24"/>
          <w:szCs w:val="24"/>
          <w:highlight w:val="none"/>
        </w:rPr>
      </w:pPr>
      <w:r>
        <w:rPr>
          <w:rFonts w:ascii="黑体" w:hAnsi="黑体" w:eastAsia="黑体"/>
          <w:b/>
          <w:color w:val="auto"/>
          <w:sz w:val="24"/>
          <w:szCs w:val="24"/>
          <w:highlight w:val="none"/>
        </w:rPr>
        <w:t>1.1</w:t>
      </w:r>
      <w:r>
        <w:rPr>
          <w:rFonts w:hint="eastAsia" w:ascii="黑体" w:hAnsi="黑体" w:eastAsia="黑体"/>
          <w:b/>
          <w:color w:val="auto"/>
          <w:sz w:val="24"/>
          <w:szCs w:val="24"/>
          <w:highlight w:val="none"/>
        </w:rPr>
        <w:t>采购项目名称</w:t>
      </w:r>
      <w:r>
        <w:rPr>
          <w:rFonts w:hint="eastAsia"/>
          <w:color w:val="auto"/>
          <w:sz w:val="24"/>
          <w:szCs w:val="24"/>
          <w:highlight w:val="none"/>
        </w:rPr>
        <w:t>：</w:t>
      </w:r>
      <w:r>
        <w:rPr>
          <w:rFonts w:hint="eastAsia"/>
          <w:color w:val="auto"/>
          <w:sz w:val="24"/>
          <w:szCs w:val="24"/>
          <w:highlight w:val="none"/>
          <w:lang w:eastAsia="zh-CN"/>
        </w:rPr>
        <w:t>安阳县公安局机房 UPS 电源、通信设备建设项目</w:t>
      </w:r>
    </w:p>
    <w:p w14:paraId="7470C64C">
      <w:pPr>
        <w:widowControl w:val="0"/>
        <w:snapToGrid w:val="0"/>
        <w:spacing w:line="360" w:lineRule="auto"/>
        <w:ind w:firstLine="482" w:firstLineChars="200"/>
        <w:jc w:val="left"/>
        <w:rPr>
          <w:rFonts w:ascii="宋体" w:hAnsi="宋体"/>
          <w:color w:val="auto"/>
          <w:sz w:val="24"/>
          <w:szCs w:val="24"/>
          <w:highlight w:val="none"/>
        </w:rPr>
      </w:pPr>
      <w:r>
        <w:rPr>
          <w:rFonts w:ascii="黑体" w:hAnsi="黑体" w:eastAsia="黑体"/>
          <w:b/>
          <w:color w:val="auto"/>
          <w:sz w:val="24"/>
          <w:szCs w:val="24"/>
          <w:highlight w:val="none"/>
        </w:rPr>
        <w:t xml:space="preserve">1.2 </w:t>
      </w:r>
      <w:r>
        <w:rPr>
          <w:rFonts w:hint="eastAsia" w:ascii="黑体" w:hAnsi="黑体" w:eastAsia="黑体"/>
          <w:b/>
          <w:color w:val="auto"/>
          <w:sz w:val="24"/>
          <w:szCs w:val="24"/>
          <w:highlight w:val="none"/>
        </w:rPr>
        <w:t>标段（包）划分及其交验期交验地点</w:t>
      </w:r>
      <w:r>
        <w:rPr>
          <w:rFonts w:hint="eastAsia"/>
          <w:color w:val="auto"/>
          <w:sz w:val="24"/>
          <w:szCs w:val="24"/>
          <w:highlight w:val="none"/>
        </w:rPr>
        <w:t>：</w:t>
      </w:r>
      <w:r>
        <w:rPr>
          <w:rFonts w:hint="eastAsia" w:ascii="宋体" w:hAnsi="宋体"/>
          <w:color w:val="auto"/>
          <w:sz w:val="24"/>
          <w:szCs w:val="24"/>
          <w:highlight w:val="none"/>
        </w:rPr>
        <w:t>本次采购项目划分为</w:t>
      </w:r>
      <w:r>
        <w:rPr>
          <w:rFonts w:hint="eastAsia" w:ascii="宋体" w:hAnsi="宋体"/>
          <w:color w:val="auto"/>
          <w:sz w:val="24"/>
          <w:szCs w:val="24"/>
          <w:highlight w:val="none"/>
          <w:lang w:val="en-US" w:eastAsia="zh-CN"/>
        </w:rPr>
        <w:t>1</w:t>
      </w:r>
      <w:r>
        <w:rPr>
          <w:rFonts w:hint="eastAsia" w:ascii="宋体" w:hAnsi="宋体"/>
          <w:color w:val="auto"/>
          <w:sz w:val="24"/>
          <w:szCs w:val="24"/>
          <w:highlight w:val="none"/>
        </w:rPr>
        <w:t>个标段（包）。</w:t>
      </w:r>
    </w:p>
    <w:tbl>
      <w:tblPr>
        <w:tblStyle w:val="16"/>
        <w:tblW w:w="96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01"/>
        <w:gridCol w:w="1800"/>
        <w:gridCol w:w="2717"/>
        <w:gridCol w:w="1833"/>
        <w:gridCol w:w="1228"/>
      </w:tblGrid>
      <w:tr w14:paraId="02444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9679" w:type="dxa"/>
            <w:gridSpan w:val="5"/>
            <w:vAlign w:val="center"/>
          </w:tcPr>
          <w:p w14:paraId="7B1CEAE7">
            <w:pPr>
              <w:widowControl w:val="0"/>
              <w:snapToGrid w:val="0"/>
              <w:spacing w:line="240" w:lineRule="auto"/>
              <w:jc w:val="center"/>
              <w:rPr>
                <w:rFonts w:ascii="宋体" w:hAnsi="宋体"/>
                <w:b/>
                <w:color w:val="auto"/>
                <w:sz w:val="24"/>
                <w:szCs w:val="24"/>
                <w:highlight w:val="none"/>
              </w:rPr>
            </w:pPr>
            <w:r>
              <w:rPr>
                <w:rFonts w:hint="eastAsia" w:ascii="宋体" w:hAnsi="宋体"/>
                <w:b/>
                <w:color w:val="auto"/>
                <w:sz w:val="24"/>
                <w:szCs w:val="24"/>
                <w:highlight w:val="none"/>
              </w:rPr>
              <w:t>标段（包）一览表</w:t>
            </w:r>
          </w:p>
        </w:tc>
      </w:tr>
      <w:tr w14:paraId="1507F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2101" w:type="dxa"/>
            <w:vAlign w:val="center"/>
          </w:tcPr>
          <w:p w14:paraId="387BC979">
            <w:pPr>
              <w:widowControl w:val="0"/>
              <w:snapToGrid w:val="0"/>
              <w:spacing w:line="240" w:lineRule="auto"/>
              <w:jc w:val="center"/>
              <w:rPr>
                <w:rFonts w:ascii="宋体" w:hAnsi="宋体"/>
                <w:b/>
                <w:color w:val="auto"/>
                <w:sz w:val="24"/>
                <w:szCs w:val="24"/>
                <w:highlight w:val="none"/>
              </w:rPr>
            </w:pPr>
            <w:r>
              <w:rPr>
                <w:rFonts w:hint="eastAsia" w:ascii="宋体" w:hAnsi="宋体"/>
                <w:b/>
                <w:color w:val="auto"/>
                <w:sz w:val="24"/>
                <w:szCs w:val="24"/>
                <w:highlight w:val="none"/>
              </w:rPr>
              <w:t>项目名称</w:t>
            </w:r>
          </w:p>
        </w:tc>
        <w:tc>
          <w:tcPr>
            <w:tcW w:w="1800" w:type="dxa"/>
            <w:vAlign w:val="center"/>
          </w:tcPr>
          <w:p w14:paraId="534E98E6">
            <w:pPr>
              <w:widowControl w:val="0"/>
              <w:snapToGrid w:val="0"/>
              <w:spacing w:line="240" w:lineRule="auto"/>
              <w:jc w:val="center"/>
              <w:rPr>
                <w:rFonts w:ascii="宋体" w:hAnsi="宋体"/>
                <w:b/>
                <w:color w:val="auto"/>
                <w:sz w:val="24"/>
                <w:szCs w:val="24"/>
                <w:highlight w:val="none"/>
              </w:rPr>
            </w:pPr>
            <w:r>
              <w:rPr>
                <w:rFonts w:hint="eastAsia" w:ascii="宋体" w:hAnsi="宋体"/>
                <w:b/>
                <w:color w:val="auto"/>
                <w:sz w:val="24"/>
                <w:szCs w:val="24"/>
                <w:highlight w:val="none"/>
              </w:rPr>
              <w:t>标段（包）名称</w:t>
            </w:r>
          </w:p>
        </w:tc>
        <w:tc>
          <w:tcPr>
            <w:tcW w:w="2717" w:type="dxa"/>
            <w:vAlign w:val="center"/>
          </w:tcPr>
          <w:p w14:paraId="2FA4FEAC">
            <w:pPr>
              <w:widowControl w:val="0"/>
              <w:snapToGrid w:val="0"/>
              <w:spacing w:line="240" w:lineRule="auto"/>
              <w:jc w:val="center"/>
              <w:rPr>
                <w:rFonts w:ascii="宋体" w:hAnsi="宋体"/>
                <w:b/>
                <w:color w:val="auto"/>
                <w:sz w:val="24"/>
                <w:szCs w:val="24"/>
                <w:highlight w:val="none"/>
              </w:rPr>
            </w:pPr>
            <w:r>
              <w:rPr>
                <w:rFonts w:hint="eastAsia" w:ascii="宋体" w:hAnsi="宋体"/>
                <w:b/>
                <w:color w:val="auto"/>
                <w:sz w:val="24"/>
                <w:szCs w:val="24"/>
                <w:highlight w:val="none"/>
              </w:rPr>
              <w:t>标段（包）内容（范围）</w:t>
            </w:r>
          </w:p>
        </w:tc>
        <w:tc>
          <w:tcPr>
            <w:tcW w:w="1833" w:type="dxa"/>
            <w:vAlign w:val="center"/>
          </w:tcPr>
          <w:p w14:paraId="5A04618B">
            <w:pPr>
              <w:widowControl w:val="0"/>
              <w:snapToGrid w:val="0"/>
              <w:spacing w:line="240" w:lineRule="auto"/>
              <w:jc w:val="center"/>
              <w:rPr>
                <w:rFonts w:ascii="宋体" w:hAnsi="宋体"/>
                <w:b/>
                <w:color w:val="auto"/>
                <w:sz w:val="24"/>
                <w:szCs w:val="24"/>
                <w:highlight w:val="none"/>
              </w:rPr>
            </w:pPr>
            <w:r>
              <w:rPr>
                <w:rFonts w:hint="eastAsia" w:ascii="宋体" w:hAnsi="宋体"/>
                <w:b/>
                <w:color w:val="auto"/>
                <w:sz w:val="24"/>
                <w:szCs w:val="24"/>
                <w:highlight w:val="none"/>
              </w:rPr>
              <w:t>合同履行期限</w:t>
            </w:r>
          </w:p>
          <w:p w14:paraId="53140650">
            <w:pPr>
              <w:widowControl w:val="0"/>
              <w:snapToGrid w:val="0"/>
              <w:spacing w:line="240" w:lineRule="auto"/>
              <w:jc w:val="center"/>
              <w:rPr>
                <w:rFonts w:ascii="宋体" w:hAnsi="宋体"/>
                <w:b/>
                <w:color w:val="auto"/>
                <w:sz w:val="24"/>
                <w:szCs w:val="24"/>
                <w:highlight w:val="none"/>
              </w:rPr>
            </w:pPr>
            <w:r>
              <w:rPr>
                <w:rFonts w:hint="eastAsia" w:ascii="宋体" w:hAnsi="宋体"/>
                <w:b/>
                <w:color w:val="auto"/>
                <w:sz w:val="24"/>
                <w:szCs w:val="24"/>
                <w:highlight w:val="none"/>
              </w:rPr>
              <w:t>（交验期）</w:t>
            </w:r>
          </w:p>
        </w:tc>
        <w:tc>
          <w:tcPr>
            <w:tcW w:w="1228" w:type="dxa"/>
            <w:vAlign w:val="center"/>
          </w:tcPr>
          <w:p w14:paraId="1A14464B">
            <w:pPr>
              <w:widowControl w:val="0"/>
              <w:snapToGrid w:val="0"/>
              <w:spacing w:line="240" w:lineRule="auto"/>
              <w:jc w:val="center"/>
              <w:rPr>
                <w:rFonts w:ascii="宋体" w:hAnsi="宋体"/>
                <w:b/>
                <w:color w:val="auto"/>
                <w:sz w:val="24"/>
                <w:szCs w:val="24"/>
                <w:highlight w:val="none"/>
              </w:rPr>
            </w:pPr>
            <w:r>
              <w:rPr>
                <w:rFonts w:hint="eastAsia" w:ascii="宋体" w:hAnsi="宋体"/>
                <w:b/>
                <w:color w:val="auto"/>
                <w:sz w:val="24"/>
                <w:szCs w:val="24"/>
                <w:highlight w:val="none"/>
              </w:rPr>
              <w:t>交验地点</w:t>
            </w:r>
          </w:p>
        </w:tc>
      </w:tr>
      <w:tr w14:paraId="16966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2101" w:type="dxa"/>
            <w:vAlign w:val="center"/>
          </w:tcPr>
          <w:p w14:paraId="4FCCE9D1">
            <w:pPr>
              <w:widowControl w:val="0"/>
              <w:snapToGrid w:val="0"/>
              <w:spacing w:line="240" w:lineRule="auto"/>
              <w:rPr>
                <w:rFonts w:ascii="宋体" w:hAnsi="宋体"/>
                <w:color w:val="auto"/>
                <w:sz w:val="24"/>
                <w:szCs w:val="24"/>
                <w:highlight w:val="none"/>
              </w:rPr>
            </w:pPr>
            <w:r>
              <w:rPr>
                <w:rFonts w:hint="eastAsia"/>
                <w:color w:val="auto"/>
                <w:sz w:val="24"/>
                <w:szCs w:val="24"/>
                <w:highlight w:val="none"/>
                <w:lang w:eastAsia="zh-CN"/>
              </w:rPr>
              <w:t>安阳县公安局机房 UPS 电源、通信设备建设项目</w:t>
            </w:r>
          </w:p>
        </w:tc>
        <w:tc>
          <w:tcPr>
            <w:tcW w:w="1800" w:type="dxa"/>
            <w:vAlign w:val="center"/>
          </w:tcPr>
          <w:p w14:paraId="6E020833">
            <w:pPr>
              <w:widowControl w:val="0"/>
              <w:snapToGrid w:val="0"/>
              <w:spacing w:line="240" w:lineRule="auto"/>
              <w:rPr>
                <w:rFonts w:hint="default" w:ascii="宋体" w:hAnsi="宋体" w:eastAsia="宋体"/>
                <w:color w:val="auto"/>
                <w:sz w:val="24"/>
                <w:szCs w:val="24"/>
                <w:highlight w:val="none"/>
                <w:lang w:val="en-US" w:eastAsia="zh-CN"/>
              </w:rPr>
            </w:pPr>
            <w:r>
              <w:rPr>
                <w:rFonts w:hint="eastAsia" w:ascii="宋体" w:hAnsi="宋体"/>
                <w:color w:val="auto"/>
                <w:sz w:val="24"/>
                <w:szCs w:val="24"/>
                <w:highlight w:val="none"/>
                <w:lang w:eastAsia="zh-CN"/>
              </w:rPr>
              <w:t>同项目名称</w:t>
            </w:r>
          </w:p>
        </w:tc>
        <w:tc>
          <w:tcPr>
            <w:tcW w:w="2717" w:type="dxa"/>
            <w:vAlign w:val="center"/>
          </w:tcPr>
          <w:p w14:paraId="0EDB3F84">
            <w:pPr>
              <w:widowControl w:val="0"/>
              <w:snapToGrid w:val="0"/>
              <w:spacing w:line="240" w:lineRule="auto"/>
              <w:rPr>
                <w:rFonts w:ascii="宋体" w:hAnsi="宋体"/>
                <w:color w:val="auto"/>
                <w:sz w:val="24"/>
                <w:szCs w:val="24"/>
                <w:highlight w:val="none"/>
              </w:rPr>
            </w:pPr>
            <w:r>
              <w:rPr>
                <w:rFonts w:hint="eastAsia" w:ascii="宋体" w:hAnsi="宋体"/>
                <w:color w:val="auto"/>
                <w:sz w:val="24"/>
                <w:szCs w:val="24"/>
                <w:highlight w:val="none"/>
              </w:rPr>
              <w:t>见“第二章第</w:t>
            </w:r>
            <w:r>
              <w:rPr>
                <w:rFonts w:ascii="宋体" w:hAnsi="宋体"/>
                <w:color w:val="auto"/>
                <w:sz w:val="24"/>
                <w:szCs w:val="24"/>
                <w:highlight w:val="none"/>
              </w:rPr>
              <w:t>2</w:t>
            </w:r>
            <w:r>
              <w:rPr>
                <w:rFonts w:hint="eastAsia" w:ascii="宋体" w:hAnsi="宋体"/>
                <w:color w:val="auto"/>
                <w:sz w:val="24"/>
                <w:szCs w:val="24"/>
                <w:highlight w:val="none"/>
              </w:rPr>
              <w:t>条：标段（包）内容（范围）及基本技术要求”</w:t>
            </w:r>
          </w:p>
        </w:tc>
        <w:tc>
          <w:tcPr>
            <w:tcW w:w="1833" w:type="dxa"/>
            <w:vAlign w:val="center"/>
          </w:tcPr>
          <w:p w14:paraId="40C19F5E">
            <w:pPr>
              <w:rPr>
                <w:color w:val="auto"/>
                <w:highlight w:val="none"/>
              </w:rPr>
            </w:pPr>
            <w:r>
              <w:rPr>
                <w:rFonts w:hint="eastAsia"/>
                <w:color w:val="auto"/>
                <w:sz w:val="24"/>
                <w:szCs w:val="24"/>
                <w:highlight w:val="none"/>
              </w:rPr>
              <w:t>见谈判公告</w:t>
            </w:r>
            <w:r>
              <w:rPr>
                <w:color w:val="auto"/>
                <w:sz w:val="24"/>
                <w:szCs w:val="24"/>
                <w:highlight w:val="none"/>
              </w:rPr>
              <w:t>1.6</w:t>
            </w:r>
          </w:p>
        </w:tc>
        <w:tc>
          <w:tcPr>
            <w:tcW w:w="1228" w:type="dxa"/>
            <w:vAlign w:val="center"/>
          </w:tcPr>
          <w:p w14:paraId="108BDADA">
            <w:pPr>
              <w:widowControl w:val="0"/>
              <w:snapToGrid w:val="0"/>
              <w:spacing w:line="240" w:lineRule="auto"/>
              <w:rPr>
                <w:rFonts w:ascii="宋体" w:hAnsi="宋体"/>
                <w:color w:val="auto"/>
                <w:sz w:val="24"/>
                <w:szCs w:val="24"/>
                <w:highlight w:val="none"/>
              </w:rPr>
            </w:pPr>
            <w:r>
              <w:rPr>
                <w:rFonts w:hint="eastAsia" w:ascii="宋体" w:hAnsi="宋体"/>
                <w:color w:val="auto"/>
                <w:sz w:val="24"/>
                <w:szCs w:val="24"/>
                <w:highlight w:val="none"/>
              </w:rPr>
              <w:t>采购人指定地点</w:t>
            </w:r>
          </w:p>
        </w:tc>
      </w:tr>
    </w:tbl>
    <w:p w14:paraId="78AC3B05">
      <w:pPr>
        <w:widowControl w:val="0"/>
        <w:snapToGrid w:val="0"/>
        <w:spacing w:line="360" w:lineRule="auto"/>
        <w:ind w:firstLine="482" w:firstLineChars="200"/>
        <w:jc w:val="left"/>
        <w:rPr>
          <w:rFonts w:ascii="宋体" w:hAnsi="宋体"/>
          <w:color w:val="auto"/>
          <w:sz w:val="24"/>
          <w:szCs w:val="24"/>
          <w:highlight w:val="none"/>
        </w:rPr>
      </w:pPr>
      <w:r>
        <w:rPr>
          <w:rFonts w:ascii="宋体" w:hAnsi="宋体"/>
          <w:b/>
          <w:color w:val="auto"/>
          <w:sz w:val="24"/>
          <w:szCs w:val="24"/>
          <w:highlight w:val="none"/>
        </w:rPr>
        <w:t xml:space="preserve">1.3 </w:t>
      </w:r>
      <w:r>
        <w:rPr>
          <w:rFonts w:hint="eastAsia" w:ascii="宋体" w:hAnsi="宋体"/>
          <w:b/>
          <w:color w:val="auto"/>
          <w:sz w:val="24"/>
          <w:szCs w:val="24"/>
          <w:highlight w:val="none"/>
        </w:rPr>
        <w:t>投标报价（价格构成）</w:t>
      </w:r>
    </w:p>
    <w:p w14:paraId="1287B83E">
      <w:pPr>
        <w:widowControl w:val="0"/>
        <w:snapToGrid w:val="0"/>
        <w:spacing w:line="360" w:lineRule="auto"/>
        <w:ind w:firstLine="480" w:firstLineChars="200"/>
        <w:jc w:val="left"/>
        <w:rPr>
          <w:rFonts w:ascii="宋体" w:hAnsi="宋体"/>
          <w:color w:val="auto"/>
          <w:sz w:val="24"/>
          <w:szCs w:val="24"/>
          <w:highlight w:val="none"/>
        </w:rPr>
      </w:pPr>
      <w:r>
        <w:rPr>
          <w:rFonts w:hint="eastAsia" w:ascii="宋体" w:hAnsi="宋体"/>
          <w:color w:val="auto"/>
          <w:sz w:val="24"/>
          <w:szCs w:val="24"/>
          <w:highlight w:val="none"/>
        </w:rPr>
        <w:t>1.3.1 投标人的投标报价应为达到正常使用条件下的目的地交验价，包括产品价款、相关税款、备品备件价、易损件价、专用工具价、售后及技术服务费、知识产权（如有）、保险（如需）、货物包装、安装调试费、系统对接费、培训费及运送到安阳地区指定地点的运杂费、装卸费等与采购项目相关的、必须的款项及费用（包括未列明而完成交验所必须的所有产品、材料、工具、费用）。成交价格在成交合同范围内固定不变。</w:t>
      </w:r>
    </w:p>
    <w:p w14:paraId="71D62218">
      <w:pPr>
        <w:widowControl w:val="0"/>
        <w:snapToGrid w:val="0"/>
        <w:spacing w:line="360" w:lineRule="auto"/>
        <w:ind w:firstLine="480" w:firstLineChars="200"/>
        <w:jc w:val="left"/>
        <w:rPr>
          <w:rFonts w:ascii="宋体" w:hAnsi="宋体"/>
          <w:color w:val="auto"/>
          <w:sz w:val="24"/>
          <w:szCs w:val="24"/>
          <w:highlight w:val="none"/>
        </w:rPr>
      </w:pPr>
      <w:r>
        <w:rPr>
          <w:rFonts w:ascii="宋体" w:hAnsi="宋体"/>
          <w:color w:val="auto"/>
          <w:sz w:val="24"/>
          <w:szCs w:val="24"/>
          <w:highlight w:val="none"/>
        </w:rPr>
        <w:t>1.3.2</w:t>
      </w:r>
      <w:r>
        <w:rPr>
          <w:rFonts w:hint="eastAsia" w:ascii="宋体" w:hAnsi="宋体"/>
          <w:color w:val="auto"/>
          <w:sz w:val="24"/>
          <w:szCs w:val="24"/>
          <w:highlight w:val="none"/>
        </w:rPr>
        <w:t>本次竞争性谈判共二次报价（含系统中开标一览表报价共二次价格谈判）。谈判小组未对谈判文件作优化变更增加的，谈判中的报价均不应超过前次报价，投标人擅自调高报价的，谈判小组将按二次报价中的最低报价作为有效报价。投标人拒绝接受上述意见的，谈判小组将视为变相在提交投标文件（响应文件）截止时间后撤回投标文件（响应文件），并评定其为无效投标。依据谈判文件“第三章</w:t>
      </w:r>
      <w:r>
        <w:rPr>
          <w:rFonts w:hint="eastAsia" w:ascii="宋体" w:hAnsi="宋体" w:cs="楷体_GB2312"/>
          <w:color w:val="auto"/>
          <w:sz w:val="24"/>
          <w:szCs w:val="22"/>
          <w:highlight w:val="none"/>
        </w:rPr>
        <w:t>3.5.5 违背承诺的责任追究措施</w:t>
      </w:r>
      <w:r>
        <w:rPr>
          <w:rFonts w:hint="eastAsia" w:ascii="宋体" w:hAnsi="宋体"/>
          <w:color w:val="auto"/>
          <w:sz w:val="24"/>
          <w:szCs w:val="24"/>
          <w:highlight w:val="none"/>
        </w:rPr>
        <w:t>”，投标人</w:t>
      </w:r>
      <w:r>
        <w:rPr>
          <w:rFonts w:hint="eastAsia" w:ascii="宋体" w:hAnsi="宋体" w:cs="楷体_GB2312"/>
          <w:color w:val="auto"/>
          <w:sz w:val="24"/>
          <w:szCs w:val="22"/>
          <w:highlight w:val="none"/>
        </w:rPr>
        <w:t>承担相应法律责任及违约责任。</w:t>
      </w:r>
    </w:p>
    <w:p w14:paraId="3CE44211">
      <w:pPr>
        <w:autoSpaceDE w:val="0"/>
        <w:autoSpaceDN w:val="0"/>
        <w:adjustRightInd w:val="0"/>
        <w:snapToGrid w:val="0"/>
        <w:spacing w:before="156" w:beforeLines="50" w:line="300" w:lineRule="auto"/>
        <w:ind w:firstLine="569" w:firstLineChars="236"/>
        <w:jc w:val="left"/>
        <w:rPr>
          <w:rFonts w:ascii="宋体" w:hAnsi="宋体"/>
          <w:b/>
          <w:color w:val="auto"/>
          <w:sz w:val="24"/>
          <w:szCs w:val="24"/>
          <w:highlight w:val="none"/>
        </w:rPr>
      </w:pPr>
      <w:r>
        <w:rPr>
          <w:rFonts w:hint="eastAsia" w:ascii="宋体" w:hAnsi="宋体"/>
          <w:b/>
          <w:color w:val="auto"/>
          <w:sz w:val="24"/>
          <w:szCs w:val="24"/>
          <w:highlight w:val="none"/>
        </w:rPr>
        <w:t>价</w:t>
      </w:r>
      <w:r>
        <w:rPr>
          <w:rFonts w:ascii="宋体" w:hAnsi="宋体"/>
          <w:b/>
          <w:color w:val="auto"/>
          <w:sz w:val="24"/>
          <w:szCs w:val="24"/>
          <w:highlight w:val="none"/>
        </w:rPr>
        <w:t>格谈</w:t>
      </w:r>
      <w:r>
        <w:rPr>
          <w:rFonts w:hint="eastAsia" w:ascii="宋体" w:hAnsi="宋体"/>
          <w:b/>
          <w:color w:val="auto"/>
          <w:sz w:val="24"/>
          <w:szCs w:val="24"/>
          <w:highlight w:val="none"/>
        </w:rPr>
        <w:t>判</w:t>
      </w:r>
      <w:r>
        <w:rPr>
          <w:rFonts w:ascii="宋体" w:hAnsi="宋体"/>
          <w:b/>
          <w:color w:val="auto"/>
          <w:sz w:val="24"/>
          <w:szCs w:val="24"/>
          <w:highlight w:val="none"/>
        </w:rPr>
        <w:t>规</w:t>
      </w:r>
      <w:r>
        <w:rPr>
          <w:rFonts w:hint="eastAsia" w:ascii="宋体" w:hAnsi="宋体"/>
          <w:b/>
          <w:color w:val="auto"/>
          <w:sz w:val="24"/>
          <w:szCs w:val="24"/>
          <w:highlight w:val="none"/>
        </w:rPr>
        <w:t>则</w:t>
      </w:r>
      <w:r>
        <w:rPr>
          <w:rFonts w:ascii="宋体" w:hAnsi="宋体"/>
          <w:b/>
          <w:color w:val="auto"/>
          <w:sz w:val="24"/>
          <w:szCs w:val="24"/>
          <w:highlight w:val="none"/>
        </w:rPr>
        <w:t>详见第四章</w:t>
      </w:r>
      <w:r>
        <w:rPr>
          <w:rFonts w:hint="eastAsia" w:ascii="宋体" w:hAnsi="宋体"/>
          <w:b/>
          <w:color w:val="auto"/>
          <w:sz w:val="24"/>
          <w:szCs w:val="24"/>
          <w:highlight w:val="none"/>
        </w:rPr>
        <w:t>“评审办法”</w:t>
      </w:r>
      <w:r>
        <w:rPr>
          <w:rFonts w:ascii="宋体" w:hAnsi="宋体"/>
          <w:b/>
          <w:color w:val="auto"/>
          <w:sz w:val="24"/>
          <w:szCs w:val="24"/>
          <w:highlight w:val="none"/>
        </w:rPr>
        <w:t>第</w:t>
      </w:r>
      <w:r>
        <w:rPr>
          <w:rFonts w:hint="eastAsia" w:ascii="宋体" w:hAnsi="宋体"/>
          <w:b/>
          <w:color w:val="auto"/>
          <w:sz w:val="24"/>
          <w:szCs w:val="24"/>
          <w:highlight w:val="none"/>
        </w:rPr>
        <w:t>“</w:t>
      </w:r>
      <w:r>
        <w:rPr>
          <w:rFonts w:ascii="宋体" w:hAnsi="宋体"/>
          <w:b/>
          <w:color w:val="auto"/>
          <w:sz w:val="24"/>
          <w:szCs w:val="24"/>
          <w:highlight w:val="none"/>
        </w:rPr>
        <w:t xml:space="preserve">3.5.7 </w:t>
      </w:r>
      <w:r>
        <w:rPr>
          <w:rFonts w:hint="eastAsia" w:ascii="宋体" w:hAnsi="宋体"/>
          <w:b/>
          <w:color w:val="auto"/>
          <w:sz w:val="24"/>
          <w:szCs w:val="24"/>
          <w:highlight w:val="none"/>
        </w:rPr>
        <w:t>价格谈判”</w:t>
      </w:r>
      <w:r>
        <w:rPr>
          <w:rFonts w:ascii="宋体" w:hAnsi="宋体"/>
          <w:b/>
          <w:color w:val="auto"/>
          <w:sz w:val="24"/>
          <w:szCs w:val="24"/>
          <w:highlight w:val="none"/>
        </w:rPr>
        <w:t>条款</w:t>
      </w:r>
      <w:r>
        <w:rPr>
          <w:rFonts w:hint="eastAsia" w:ascii="宋体" w:hAnsi="宋体"/>
          <w:b/>
          <w:color w:val="auto"/>
          <w:sz w:val="24"/>
          <w:szCs w:val="24"/>
          <w:highlight w:val="none"/>
        </w:rPr>
        <w:t>。</w:t>
      </w:r>
    </w:p>
    <w:p w14:paraId="1296397A">
      <w:pPr>
        <w:widowControl w:val="0"/>
        <w:snapToGrid w:val="0"/>
        <w:spacing w:line="360" w:lineRule="auto"/>
        <w:ind w:firstLine="480" w:firstLineChars="200"/>
        <w:jc w:val="left"/>
        <w:rPr>
          <w:rFonts w:ascii="宋体" w:hAnsi="宋体"/>
          <w:color w:val="auto"/>
          <w:sz w:val="24"/>
          <w:szCs w:val="24"/>
          <w:highlight w:val="none"/>
        </w:rPr>
      </w:pPr>
      <w:r>
        <w:rPr>
          <w:rFonts w:ascii="宋体" w:hAnsi="宋体"/>
          <w:color w:val="auto"/>
          <w:sz w:val="24"/>
          <w:szCs w:val="24"/>
          <w:highlight w:val="none"/>
        </w:rPr>
        <w:t xml:space="preserve">1.3.3 </w:t>
      </w:r>
      <w:r>
        <w:rPr>
          <w:rFonts w:hint="eastAsia" w:ascii="宋体" w:hAnsi="宋体"/>
          <w:color w:val="auto"/>
          <w:sz w:val="24"/>
          <w:szCs w:val="24"/>
          <w:highlight w:val="none"/>
        </w:rPr>
        <w:t>如投标人的投标报价未超过预算金额（见谈判公告</w:t>
      </w:r>
      <w:r>
        <w:rPr>
          <w:rFonts w:ascii="宋体" w:hAnsi="宋体"/>
          <w:color w:val="auto"/>
          <w:sz w:val="24"/>
          <w:szCs w:val="24"/>
          <w:highlight w:val="none"/>
        </w:rPr>
        <w:t>1.</w:t>
      </w:r>
      <w:r>
        <w:rPr>
          <w:rFonts w:hint="eastAsia" w:ascii="宋体" w:hAnsi="宋体"/>
          <w:color w:val="auto"/>
          <w:sz w:val="24"/>
          <w:szCs w:val="24"/>
          <w:highlight w:val="none"/>
        </w:rPr>
        <w:t>4）的供应商不足三家的，该标段（包）做废标处理。</w:t>
      </w:r>
    </w:p>
    <w:p w14:paraId="6554130D">
      <w:pPr>
        <w:widowControl w:val="0"/>
        <w:snapToGrid w:val="0"/>
        <w:spacing w:line="360" w:lineRule="auto"/>
        <w:ind w:firstLine="480" w:firstLineChars="200"/>
        <w:jc w:val="left"/>
        <w:rPr>
          <w:rFonts w:ascii="宋体" w:hAnsi="宋体"/>
          <w:color w:val="auto"/>
          <w:sz w:val="24"/>
          <w:szCs w:val="24"/>
          <w:highlight w:val="none"/>
        </w:rPr>
      </w:pPr>
      <w:r>
        <w:rPr>
          <w:rFonts w:ascii="宋体" w:hAnsi="宋体"/>
          <w:color w:val="auto"/>
          <w:sz w:val="24"/>
          <w:szCs w:val="24"/>
          <w:highlight w:val="none"/>
        </w:rPr>
        <w:t>1.3.4</w:t>
      </w:r>
      <w:r>
        <w:rPr>
          <w:rFonts w:hint="eastAsia" w:ascii="宋体" w:hAnsi="宋体"/>
          <w:color w:val="auto"/>
          <w:sz w:val="24"/>
          <w:szCs w:val="24"/>
          <w:highlight w:val="none"/>
        </w:rPr>
        <w:t>遵循第三章投标人须知</w:t>
      </w:r>
      <w:r>
        <w:rPr>
          <w:rFonts w:ascii="宋体" w:hAnsi="宋体"/>
          <w:color w:val="auto"/>
          <w:sz w:val="24"/>
          <w:szCs w:val="24"/>
          <w:highlight w:val="none"/>
        </w:rPr>
        <w:t>3.7.</w:t>
      </w:r>
      <w:r>
        <w:rPr>
          <w:rFonts w:hint="eastAsia" w:ascii="宋体" w:hAnsi="宋体"/>
          <w:color w:val="auto"/>
          <w:sz w:val="24"/>
          <w:szCs w:val="24"/>
          <w:highlight w:val="none"/>
        </w:rPr>
        <w:t>5项规定。</w:t>
      </w:r>
    </w:p>
    <w:p w14:paraId="2B9AFFE9">
      <w:pPr>
        <w:spacing w:line="560" w:lineRule="exact"/>
        <w:ind w:firstLine="562" w:firstLineChars="200"/>
        <w:rPr>
          <w:rFonts w:ascii="黑体" w:hAnsi="黑体" w:eastAsia="黑体"/>
          <w:b/>
          <w:color w:val="auto"/>
          <w:sz w:val="28"/>
          <w:highlight w:val="none"/>
        </w:rPr>
      </w:pPr>
    </w:p>
    <w:p w14:paraId="2C3EC6F6">
      <w:pPr>
        <w:spacing w:line="560" w:lineRule="exact"/>
        <w:ind w:firstLine="562" w:firstLineChars="200"/>
        <w:outlineLvl w:val="1"/>
        <w:rPr>
          <w:rFonts w:ascii="黑体" w:hAnsi="黑体" w:eastAsia="黑体"/>
          <w:b/>
          <w:color w:val="auto"/>
          <w:sz w:val="28"/>
          <w:highlight w:val="none"/>
        </w:rPr>
      </w:pPr>
      <w:bookmarkStart w:id="16" w:name="_Toc31985"/>
      <w:r>
        <w:rPr>
          <w:rFonts w:ascii="黑体" w:hAnsi="黑体" w:eastAsia="黑体"/>
          <w:b/>
          <w:color w:val="auto"/>
          <w:sz w:val="28"/>
          <w:highlight w:val="none"/>
        </w:rPr>
        <w:t xml:space="preserve">2. </w:t>
      </w:r>
      <w:r>
        <w:rPr>
          <w:rFonts w:hint="eastAsia" w:ascii="黑体" w:hAnsi="黑体" w:eastAsia="黑体"/>
          <w:b/>
          <w:color w:val="auto"/>
          <w:sz w:val="28"/>
          <w:highlight w:val="none"/>
        </w:rPr>
        <w:t>标段（包）内容（范围）及基本技术要求</w:t>
      </w:r>
      <w:bookmarkEnd w:id="16"/>
    </w:p>
    <w:p w14:paraId="0A769EB7">
      <w:pPr>
        <w:spacing w:line="560" w:lineRule="exact"/>
        <w:ind w:firstLine="482" w:firstLineChars="200"/>
        <w:rPr>
          <w:color w:val="auto"/>
          <w:sz w:val="24"/>
          <w:szCs w:val="24"/>
          <w:highlight w:val="none"/>
        </w:rPr>
      </w:pPr>
      <w:r>
        <w:rPr>
          <w:rFonts w:ascii="黑体" w:hAnsi="黑体" w:eastAsia="黑体"/>
          <w:b/>
          <w:color w:val="auto"/>
          <w:sz w:val="24"/>
          <w:szCs w:val="24"/>
          <w:highlight w:val="none"/>
        </w:rPr>
        <w:t xml:space="preserve">2.1 </w:t>
      </w:r>
      <w:r>
        <w:rPr>
          <w:rFonts w:hint="eastAsia" w:ascii="黑体" w:hAnsi="黑体" w:eastAsia="黑体"/>
          <w:b/>
          <w:color w:val="auto"/>
          <w:sz w:val="24"/>
          <w:szCs w:val="24"/>
          <w:highlight w:val="none"/>
        </w:rPr>
        <w:t>总体技术（方案）要求及标段（包）内容（范围）：</w:t>
      </w:r>
      <w:r>
        <w:rPr>
          <w:rFonts w:hint="eastAsia"/>
          <w:color w:val="auto"/>
          <w:sz w:val="24"/>
          <w:szCs w:val="24"/>
          <w:highlight w:val="none"/>
        </w:rPr>
        <w:t>详见下述</w:t>
      </w:r>
      <w:r>
        <w:rPr>
          <w:color w:val="auto"/>
          <w:sz w:val="24"/>
          <w:szCs w:val="24"/>
          <w:highlight w:val="none"/>
        </w:rPr>
        <w:t>2.</w:t>
      </w:r>
      <w:r>
        <w:rPr>
          <w:rFonts w:hint="eastAsia"/>
          <w:color w:val="auto"/>
          <w:sz w:val="24"/>
          <w:szCs w:val="24"/>
          <w:highlight w:val="none"/>
        </w:rPr>
        <w:t>4款</w:t>
      </w:r>
    </w:p>
    <w:p w14:paraId="48E9AEA3">
      <w:pPr>
        <w:adjustRightInd w:val="0"/>
        <w:snapToGrid w:val="0"/>
        <w:spacing w:before="156" w:beforeLines="50" w:line="300" w:lineRule="auto"/>
        <w:ind w:firstLine="482" w:firstLineChars="200"/>
        <w:rPr>
          <w:rFonts w:ascii="黑体" w:hAnsi="黑体" w:eastAsia="黑体"/>
          <w:b/>
          <w:color w:val="auto"/>
          <w:sz w:val="24"/>
          <w:szCs w:val="24"/>
          <w:highlight w:val="none"/>
        </w:rPr>
      </w:pPr>
      <w:r>
        <w:rPr>
          <w:rFonts w:ascii="黑体" w:hAnsi="黑体" w:eastAsia="黑体"/>
          <w:b/>
          <w:color w:val="auto"/>
          <w:sz w:val="24"/>
          <w:szCs w:val="24"/>
          <w:highlight w:val="none"/>
        </w:rPr>
        <w:t xml:space="preserve">2.2 </w:t>
      </w:r>
      <w:r>
        <w:rPr>
          <w:rFonts w:hint="eastAsia" w:ascii="黑体" w:hAnsi="黑体" w:eastAsia="黑体"/>
          <w:b/>
          <w:color w:val="auto"/>
          <w:sz w:val="24"/>
          <w:szCs w:val="24"/>
          <w:highlight w:val="none"/>
        </w:rPr>
        <w:t>项目落实的政府采购政策（法规标准条款）</w:t>
      </w:r>
    </w:p>
    <w:p w14:paraId="5D81931A">
      <w:pPr>
        <w:adjustRightInd w:val="0"/>
        <w:snapToGrid w:val="0"/>
        <w:spacing w:before="156" w:beforeLines="50" w:line="300" w:lineRule="auto"/>
        <w:ind w:firstLine="480" w:firstLineChars="200"/>
        <w:rPr>
          <w:rFonts w:ascii="宋体" w:hAnsi="宋体"/>
          <w:color w:val="auto"/>
          <w:sz w:val="24"/>
          <w:szCs w:val="24"/>
          <w:highlight w:val="none"/>
        </w:rPr>
      </w:pPr>
      <w:r>
        <w:rPr>
          <w:rFonts w:ascii="宋体" w:hAnsi="宋体"/>
          <w:color w:val="auto"/>
          <w:sz w:val="24"/>
          <w:szCs w:val="24"/>
          <w:highlight w:val="none"/>
        </w:rPr>
        <w:t>2.</w:t>
      </w:r>
      <w:r>
        <w:rPr>
          <w:rFonts w:hint="eastAsia" w:ascii="宋体" w:hAnsi="宋体"/>
          <w:color w:val="auto"/>
          <w:sz w:val="24"/>
          <w:szCs w:val="24"/>
          <w:highlight w:val="none"/>
        </w:rPr>
        <w:t>2</w:t>
      </w:r>
      <w:r>
        <w:rPr>
          <w:rFonts w:ascii="宋体" w:hAnsi="宋体"/>
          <w:color w:val="auto"/>
          <w:sz w:val="24"/>
          <w:szCs w:val="24"/>
          <w:highlight w:val="none"/>
        </w:rPr>
        <w:t xml:space="preserve">.1 </w:t>
      </w:r>
      <w:r>
        <w:rPr>
          <w:rFonts w:hint="eastAsia" w:ascii="宋体" w:hAnsi="宋体"/>
          <w:color w:val="auto"/>
          <w:sz w:val="24"/>
          <w:szCs w:val="24"/>
          <w:highlight w:val="none"/>
        </w:rPr>
        <w:t>政府采购节能产品、环境标志产品实施品目清单管理后，对本次采购产品属于“节能产品政府采购品目清单”中强制采购品目的</w:t>
      </w:r>
      <w:r>
        <w:rPr>
          <w:rFonts w:ascii="宋体" w:hAnsi="宋体" w:cs="宋体"/>
          <w:color w:val="auto"/>
          <w:sz w:val="24"/>
          <w:szCs w:val="24"/>
          <w:highlight w:val="none"/>
        </w:rPr>
        <w:t>，</w:t>
      </w:r>
      <w:r>
        <w:rPr>
          <w:rFonts w:hint="eastAsia" w:ascii="宋体" w:hAnsi="宋体" w:cs="宋体"/>
          <w:color w:val="auto"/>
          <w:sz w:val="24"/>
          <w:szCs w:val="24"/>
          <w:highlight w:val="none"/>
        </w:rPr>
        <w:t>投</w:t>
      </w:r>
      <w:r>
        <w:rPr>
          <w:rFonts w:ascii="宋体" w:hAnsi="宋体" w:cs="宋体"/>
          <w:color w:val="auto"/>
          <w:sz w:val="24"/>
          <w:szCs w:val="24"/>
          <w:highlight w:val="none"/>
        </w:rPr>
        <w:t>标产</w:t>
      </w:r>
      <w:r>
        <w:rPr>
          <w:rFonts w:hint="eastAsia" w:ascii="宋体" w:hAnsi="宋体" w:cs="宋体"/>
          <w:color w:val="auto"/>
          <w:sz w:val="24"/>
          <w:szCs w:val="24"/>
          <w:highlight w:val="none"/>
        </w:rPr>
        <w:t>品</w:t>
      </w:r>
      <w:r>
        <w:rPr>
          <w:rFonts w:ascii="宋体" w:hAnsi="宋体" w:cs="宋体"/>
          <w:color w:val="auto"/>
          <w:sz w:val="24"/>
          <w:szCs w:val="24"/>
          <w:highlight w:val="none"/>
        </w:rPr>
        <w:t>应当具有</w:t>
      </w:r>
      <w:r>
        <w:rPr>
          <w:rFonts w:hint="eastAsia" w:ascii="宋体" w:hAnsi="宋体" w:cs="宋体"/>
          <w:color w:val="auto"/>
          <w:sz w:val="24"/>
          <w:szCs w:val="24"/>
          <w:highlight w:val="none"/>
        </w:rPr>
        <w:t>相</w:t>
      </w:r>
      <w:r>
        <w:rPr>
          <w:rFonts w:ascii="宋体" w:hAnsi="宋体" w:cs="宋体"/>
          <w:color w:val="auto"/>
          <w:sz w:val="24"/>
          <w:szCs w:val="24"/>
          <w:highlight w:val="none"/>
        </w:rPr>
        <w:t>应</w:t>
      </w:r>
      <w:r>
        <w:rPr>
          <w:rFonts w:hint="eastAsia" w:ascii="宋体" w:hAnsi="宋体" w:cs="宋体"/>
          <w:color w:val="auto"/>
          <w:sz w:val="24"/>
          <w:szCs w:val="24"/>
          <w:highlight w:val="none"/>
        </w:rPr>
        <w:t>的认证证书（认证证书应当为国家确定的认证机构出具、且应处于有效期之内</w:t>
      </w:r>
      <w:r>
        <w:rPr>
          <w:rFonts w:ascii="宋体" w:hAnsi="宋体" w:cs="宋体"/>
          <w:color w:val="auto"/>
          <w:sz w:val="24"/>
          <w:szCs w:val="24"/>
          <w:highlight w:val="none"/>
        </w:rPr>
        <w:t>）</w:t>
      </w:r>
      <w:r>
        <w:rPr>
          <w:rFonts w:hint="eastAsia" w:ascii="宋体" w:hAnsi="宋体" w:cs="宋体"/>
          <w:color w:val="auto"/>
          <w:sz w:val="24"/>
          <w:szCs w:val="24"/>
          <w:highlight w:val="none"/>
        </w:rPr>
        <w:t>，投</w:t>
      </w:r>
      <w:r>
        <w:rPr>
          <w:rFonts w:ascii="宋体" w:hAnsi="宋体" w:cs="宋体"/>
          <w:color w:val="auto"/>
          <w:sz w:val="24"/>
          <w:szCs w:val="24"/>
          <w:highlight w:val="none"/>
        </w:rPr>
        <w:t>标文件中应当提供</w:t>
      </w:r>
      <w:r>
        <w:rPr>
          <w:rFonts w:hint="eastAsia" w:ascii="宋体" w:hAnsi="宋体" w:cs="宋体"/>
          <w:color w:val="auto"/>
          <w:sz w:val="24"/>
          <w:szCs w:val="24"/>
          <w:highlight w:val="none"/>
        </w:rPr>
        <w:t>相</w:t>
      </w:r>
      <w:r>
        <w:rPr>
          <w:rFonts w:ascii="宋体" w:hAnsi="宋体" w:cs="宋体"/>
          <w:color w:val="auto"/>
          <w:sz w:val="24"/>
          <w:szCs w:val="24"/>
          <w:highlight w:val="none"/>
        </w:rPr>
        <w:t>应</w:t>
      </w:r>
      <w:r>
        <w:rPr>
          <w:rFonts w:hint="eastAsia" w:ascii="宋体" w:hAnsi="宋体" w:cs="宋体"/>
          <w:color w:val="auto"/>
          <w:sz w:val="24"/>
          <w:szCs w:val="24"/>
          <w:highlight w:val="none"/>
        </w:rPr>
        <w:t>的认证证书（认证证书应当为国家确定的认证机构出具、且应处于有效期之内）。</w:t>
      </w:r>
    </w:p>
    <w:p w14:paraId="243AF686">
      <w:pPr>
        <w:adjustRightInd w:val="0"/>
        <w:snapToGrid w:val="0"/>
        <w:spacing w:before="156" w:beforeLines="50" w:line="30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属于政府强制采购</w:t>
      </w:r>
      <w:r>
        <w:rPr>
          <w:rFonts w:hint="eastAsia" w:ascii="宋体" w:hAnsi="宋体" w:cs="宋体"/>
          <w:color w:val="auto"/>
          <w:sz w:val="24"/>
          <w:szCs w:val="24"/>
          <w:highlight w:val="none"/>
        </w:rPr>
        <w:t>品目</w:t>
      </w:r>
      <w:r>
        <w:rPr>
          <w:rFonts w:hint="eastAsia" w:ascii="宋体" w:hAnsi="宋体"/>
          <w:color w:val="auto"/>
          <w:sz w:val="24"/>
          <w:szCs w:val="24"/>
          <w:highlight w:val="none"/>
        </w:rPr>
        <w:t>、而未按要求提供相应资料的，</w:t>
      </w:r>
      <w:r>
        <w:rPr>
          <w:rFonts w:hint="eastAsia" w:ascii="宋体" w:hAnsi="宋体"/>
          <w:b/>
          <w:color w:val="auto"/>
          <w:sz w:val="24"/>
          <w:szCs w:val="24"/>
          <w:highlight w:val="none"/>
        </w:rPr>
        <w:t>为无效投标</w:t>
      </w:r>
      <w:r>
        <w:rPr>
          <w:rFonts w:hint="eastAsia" w:ascii="宋体" w:hAnsi="宋体"/>
          <w:color w:val="auto"/>
          <w:sz w:val="24"/>
          <w:szCs w:val="24"/>
          <w:highlight w:val="none"/>
        </w:rPr>
        <w:t>。</w:t>
      </w:r>
    </w:p>
    <w:p w14:paraId="0BC24290">
      <w:pPr>
        <w:adjustRightInd w:val="0"/>
        <w:snapToGrid w:val="0"/>
        <w:spacing w:before="156" w:beforeLines="50" w:line="300" w:lineRule="auto"/>
        <w:ind w:firstLine="480" w:firstLineChars="200"/>
        <w:rPr>
          <w:rFonts w:ascii="宋体" w:hAnsi="宋体" w:cs="宋体"/>
          <w:color w:val="auto"/>
          <w:sz w:val="24"/>
          <w:szCs w:val="24"/>
          <w:highlight w:val="none"/>
        </w:rPr>
      </w:pPr>
      <w:r>
        <w:rPr>
          <w:rFonts w:ascii="宋体" w:hAnsi="宋体"/>
          <w:color w:val="auto"/>
          <w:sz w:val="24"/>
          <w:szCs w:val="24"/>
          <w:highlight w:val="none"/>
        </w:rPr>
        <w:t>2.</w:t>
      </w:r>
      <w:r>
        <w:rPr>
          <w:rFonts w:hint="eastAsia" w:ascii="宋体" w:hAnsi="宋体"/>
          <w:color w:val="auto"/>
          <w:sz w:val="24"/>
          <w:szCs w:val="24"/>
          <w:highlight w:val="none"/>
        </w:rPr>
        <w:t>2</w:t>
      </w:r>
      <w:r>
        <w:rPr>
          <w:rFonts w:ascii="宋体" w:hAnsi="宋体"/>
          <w:color w:val="auto"/>
          <w:sz w:val="24"/>
          <w:szCs w:val="24"/>
          <w:highlight w:val="none"/>
        </w:rPr>
        <w:t xml:space="preserve">.2 </w:t>
      </w:r>
      <w:r>
        <w:rPr>
          <w:rFonts w:hint="eastAsia" w:ascii="宋体" w:hAnsi="宋体"/>
          <w:color w:val="auto"/>
          <w:sz w:val="24"/>
          <w:szCs w:val="24"/>
          <w:highlight w:val="none"/>
        </w:rPr>
        <w:t>同等条件下，</w:t>
      </w:r>
      <w:r>
        <w:rPr>
          <w:rFonts w:hint="eastAsia" w:ascii="宋体" w:hAnsi="宋体" w:cs="宋体"/>
          <w:color w:val="auto"/>
          <w:sz w:val="24"/>
          <w:szCs w:val="24"/>
          <w:highlight w:val="none"/>
        </w:rPr>
        <w:t>获得节能产品认证证书或环境标志产品认证证书的产品优先采购。(认证证书应</w:t>
      </w:r>
      <w:r>
        <w:rPr>
          <w:rFonts w:ascii="宋体" w:hAnsi="宋体" w:cs="宋体"/>
          <w:color w:val="auto"/>
          <w:sz w:val="24"/>
          <w:szCs w:val="24"/>
          <w:highlight w:val="none"/>
        </w:rPr>
        <w:t>当为</w:t>
      </w:r>
      <w:r>
        <w:rPr>
          <w:rFonts w:hint="eastAsia" w:ascii="宋体" w:hAnsi="宋体" w:cs="宋体"/>
          <w:color w:val="auto"/>
          <w:sz w:val="24"/>
          <w:szCs w:val="24"/>
          <w:highlight w:val="none"/>
        </w:rPr>
        <w:t>国家确定的认证机构出具、且</w:t>
      </w:r>
      <w:r>
        <w:rPr>
          <w:rFonts w:ascii="宋体" w:hAnsi="宋体" w:cs="宋体"/>
          <w:color w:val="auto"/>
          <w:sz w:val="24"/>
          <w:szCs w:val="24"/>
          <w:highlight w:val="none"/>
        </w:rPr>
        <w:t>应</w:t>
      </w:r>
      <w:r>
        <w:rPr>
          <w:rFonts w:hint="eastAsia" w:ascii="宋体" w:hAnsi="宋体" w:cs="宋体"/>
          <w:color w:val="auto"/>
          <w:sz w:val="24"/>
          <w:szCs w:val="24"/>
          <w:highlight w:val="none"/>
        </w:rPr>
        <w:t>处于有效期之内。)</w:t>
      </w:r>
    </w:p>
    <w:p w14:paraId="3535524D">
      <w:pPr>
        <w:adjustRightInd w:val="0"/>
        <w:snapToGrid w:val="0"/>
        <w:spacing w:before="156" w:beforeLines="50" w:line="300" w:lineRule="auto"/>
        <w:ind w:firstLine="480" w:firstLineChars="200"/>
        <w:rPr>
          <w:rFonts w:hint="eastAsia" w:ascii="宋体" w:hAnsi="宋体"/>
          <w:color w:val="auto"/>
          <w:sz w:val="24"/>
          <w:szCs w:val="24"/>
          <w:highlight w:val="none"/>
        </w:rPr>
      </w:pPr>
      <w:r>
        <w:rPr>
          <w:rFonts w:ascii="宋体" w:hAnsi="宋体"/>
          <w:color w:val="auto"/>
          <w:sz w:val="24"/>
          <w:szCs w:val="24"/>
          <w:highlight w:val="none"/>
        </w:rPr>
        <w:t>2.</w:t>
      </w:r>
      <w:r>
        <w:rPr>
          <w:rFonts w:hint="eastAsia" w:ascii="宋体" w:hAnsi="宋体"/>
          <w:color w:val="auto"/>
          <w:sz w:val="24"/>
          <w:szCs w:val="24"/>
          <w:highlight w:val="none"/>
        </w:rPr>
        <w:t>2</w:t>
      </w:r>
      <w:r>
        <w:rPr>
          <w:rFonts w:ascii="宋体" w:hAnsi="宋体"/>
          <w:color w:val="auto"/>
          <w:sz w:val="24"/>
          <w:szCs w:val="24"/>
          <w:highlight w:val="none"/>
        </w:rPr>
        <w:t>.</w:t>
      </w:r>
      <w:r>
        <w:rPr>
          <w:rFonts w:hint="eastAsia" w:ascii="宋体" w:hAnsi="宋体"/>
          <w:color w:val="auto"/>
          <w:sz w:val="24"/>
          <w:szCs w:val="24"/>
          <w:highlight w:val="none"/>
        </w:rPr>
        <w:t>3本次采购产品如有列入《网络关键设备和网络安全专用产品目录》的网络安全专用产品，该产品应当按照《关于调整网络安全专用产品安全管理有关事项的公告》要求进行安全认证或安全检测、或已获得《计算机信息系统安全专用产品销售许可证》（</w:t>
      </w:r>
      <w:r>
        <w:rPr>
          <w:rFonts w:hint="eastAsia" w:ascii="宋体" w:hAnsi="宋体" w:cs="宋体"/>
          <w:color w:val="auto"/>
          <w:sz w:val="24"/>
          <w:szCs w:val="24"/>
          <w:highlight w:val="none"/>
        </w:rPr>
        <w:t>应处于有效期内</w:t>
      </w:r>
      <w:r>
        <w:rPr>
          <w:rFonts w:hint="eastAsia" w:ascii="宋体" w:hAnsi="宋体"/>
          <w:color w:val="auto"/>
          <w:sz w:val="24"/>
          <w:szCs w:val="24"/>
          <w:highlight w:val="none"/>
        </w:rPr>
        <w:t>）。</w:t>
      </w:r>
    </w:p>
    <w:p w14:paraId="6FBC9F2F">
      <w:pPr>
        <w:adjustRightInd w:val="0"/>
        <w:snapToGrid w:val="0"/>
        <w:spacing w:before="156" w:beforeLines="50" w:line="300" w:lineRule="auto"/>
        <w:ind w:firstLine="480" w:firstLineChars="200"/>
        <w:rPr>
          <w:rFonts w:ascii="宋体" w:hAnsi="宋体"/>
          <w:color w:val="auto"/>
          <w:sz w:val="24"/>
          <w:szCs w:val="24"/>
          <w:highlight w:val="none"/>
        </w:rPr>
      </w:pPr>
      <w:r>
        <w:rPr>
          <w:rFonts w:ascii="宋体" w:hAnsi="宋体"/>
          <w:color w:val="auto"/>
          <w:sz w:val="24"/>
          <w:szCs w:val="24"/>
          <w:highlight w:val="none"/>
        </w:rPr>
        <w:t>2.</w:t>
      </w:r>
      <w:r>
        <w:rPr>
          <w:rFonts w:hint="eastAsia" w:ascii="宋体" w:hAnsi="宋体"/>
          <w:color w:val="auto"/>
          <w:sz w:val="24"/>
          <w:szCs w:val="24"/>
          <w:highlight w:val="none"/>
        </w:rPr>
        <w:t>2</w:t>
      </w:r>
      <w:r>
        <w:rPr>
          <w:rFonts w:ascii="宋体" w:hAnsi="宋体"/>
          <w:color w:val="auto"/>
          <w:sz w:val="24"/>
          <w:szCs w:val="24"/>
          <w:highlight w:val="none"/>
        </w:rPr>
        <w:t>.</w:t>
      </w:r>
      <w:r>
        <w:rPr>
          <w:rFonts w:hint="eastAsia" w:ascii="宋体" w:hAnsi="宋体"/>
          <w:color w:val="auto"/>
          <w:sz w:val="24"/>
          <w:szCs w:val="24"/>
          <w:highlight w:val="none"/>
        </w:rPr>
        <w:t>4计算机产品须预装正版操作系统软件。</w:t>
      </w:r>
    </w:p>
    <w:p w14:paraId="4A0E504D">
      <w:pPr>
        <w:adjustRightInd w:val="0"/>
        <w:snapToGrid w:val="0"/>
        <w:spacing w:before="156" w:beforeLines="50" w:line="300" w:lineRule="auto"/>
        <w:ind w:firstLine="480" w:firstLineChars="200"/>
        <w:rPr>
          <w:rFonts w:ascii="宋体" w:hAnsi="宋体"/>
          <w:color w:val="auto"/>
          <w:sz w:val="24"/>
          <w:szCs w:val="24"/>
          <w:highlight w:val="none"/>
        </w:rPr>
      </w:pPr>
      <w:r>
        <w:rPr>
          <w:rFonts w:ascii="宋体" w:hAnsi="宋体"/>
          <w:color w:val="auto"/>
          <w:sz w:val="24"/>
          <w:szCs w:val="24"/>
          <w:highlight w:val="none"/>
        </w:rPr>
        <w:t>2.</w:t>
      </w:r>
      <w:r>
        <w:rPr>
          <w:rFonts w:hint="eastAsia" w:ascii="宋体" w:hAnsi="宋体"/>
          <w:color w:val="auto"/>
          <w:sz w:val="24"/>
          <w:szCs w:val="24"/>
          <w:highlight w:val="none"/>
        </w:rPr>
        <w:t>2</w:t>
      </w:r>
      <w:r>
        <w:rPr>
          <w:rFonts w:ascii="宋体" w:hAnsi="宋体"/>
          <w:color w:val="auto"/>
          <w:sz w:val="24"/>
          <w:szCs w:val="24"/>
          <w:highlight w:val="none"/>
        </w:rPr>
        <w:t>.</w:t>
      </w:r>
      <w:r>
        <w:rPr>
          <w:rFonts w:hint="eastAsia" w:ascii="宋体" w:hAnsi="宋体"/>
          <w:color w:val="auto"/>
          <w:sz w:val="24"/>
          <w:szCs w:val="24"/>
          <w:highlight w:val="none"/>
        </w:rPr>
        <w:t>5</w:t>
      </w:r>
      <w:r>
        <w:rPr>
          <w:rFonts w:ascii="宋体" w:hAnsi="宋体"/>
          <w:color w:val="auto"/>
          <w:sz w:val="24"/>
          <w:szCs w:val="24"/>
          <w:highlight w:val="none"/>
        </w:rPr>
        <w:t xml:space="preserve"> </w:t>
      </w:r>
      <w:r>
        <w:rPr>
          <w:rFonts w:hint="eastAsia" w:ascii="宋体" w:hAnsi="宋体"/>
          <w:color w:val="auto"/>
          <w:sz w:val="24"/>
          <w:szCs w:val="24"/>
          <w:highlight w:val="none"/>
        </w:rPr>
        <w:t>本次采购不允许进口产品参加。</w:t>
      </w:r>
    </w:p>
    <w:p w14:paraId="3D76EC60">
      <w:pPr>
        <w:adjustRightInd w:val="0"/>
        <w:snapToGrid w:val="0"/>
        <w:spacing w:before="156" w:beforeLines="50" w:line="300" w:lineRule="auto"/>
        <w:ind w:firstLine="480" w:firstLineChars="200"/>
        <w:rPr>
          <w:rFonts w:hint="eastAsia" w:ascii="宋体" w:hAnsi="宋体"/>
          <w:color w:val="auto"/>
          <w:sz w:val="24"/>
          <w:szCs w:val="24"/>
          <w:highlight w:val="none"/>
        </w:rPr>
      </w:pPr>
      <w:r>
        <w:rPr>
          <w:rFonts w:ascii="宋体" w:hAnsi="宋体"/>
          <w:color w:val="auto"/>
          <w:sz w:val="24"/>
          <w:szCs w:val="24"/>
          <w:highlight w:val="none"/>
        </w:rPr>
        <w:t>2.</w:t>
      </w:r>
      <w:r>
        <w:rPr>
          <w:rFonts w:hint="eastAsia" w:ascii="宋体" w:hAnsi="宋体"/>
          <w:color w:val="auto"/>
          <w:sz w:val="24"/>
          <w:szCs w:val="24"/>
          <w:highlight w:val="none"/>
        </w:rPr>
        <w:t>2</w:t>
      </w:r>
      <w:r>
        <w:rPr>
          <w:rFonts w:ascii="宋体" w:hAnsi="宋体"/>
          <w:color w:val="auto"/>
          <w:sz w:val="24"/>
          <w:szCs w:val="24"/>
          <w:highlight w:val="none"/>
        </w:rPr>
        <w:t>.</w:t>
      </w:r>
      <w:r>
        <w:rPr>
          <w:rFonts w:hint="eastAsia" w:ascii="宋体" w:hAnsi="宋体"/>
          <w:color w:val="auto"/>
          <w:sz w:val="24"/>
          <w:szCs w:val="24"/>
          <w:highlight w:val="none"/>
        </w:rPr>
        <w:t>6如允许采购进口产品的，优先采购向我国企业转让技术、与我国企业签订消化吸收再创新方案的供应商的进口产品。</w:t>
      </w:r>
    </w:p>
    <w:p w14:paraId="0BC07388">
      <w:pPr>
        <w:adjustRightInd w:val="0"/>
        <w:snapToGrid w:val="0"/>
        <w:spacing w:before="156" w:beforeLines="50" w:line="300" w:lineRule="auto"/>
        <w:ind w:firstLine="480" w:firstLineChars="200"/>
        <w:rPr>
          <w:rFonts w:ascii="宋体" w:hAnsi="宋体"/>
          <w:color w:val="auto"/>
          <w:sz w:val="24"/>
          <w:szCs w:val="24"/>
          <w:highlight w:val="none"/>
        </w:rPr>
      </w:pPr>
      <w:r>
        <w:rPr>
          <w:rFonts w:ascii="宋体" w:hAnsi="宋体"/>
          <w:color w:val="auto"/>
          <w:sz w:val="24"/>
          <w:szCs w:val="24"/>
          <w:highlight w:val="none"/>
        </w:rPr>
        <w:t>2.</w:t>
      </w:r>
      <w:r>
        <w:rPr>
          <w:rFonts w:hint="eastAsia" w:ascii="宋体" w:hAnsi="宋体"/>
          <w:color w:val="auto"/>
          <w:sz w:val="24"/>
          <w:szCs w:val="24"/>
          <w:highlight w:val="none"/>
        </w:rPr>
        <w:t>2</w:t>
      </w:r>
      <w:r>
        <w:rPr>
          <w:rFonts w:ascii="宋体" w:hAnsi="宋体"/>
          <w:color w:val="auto"/>
          <w:sz w:val="24"/>
          <w:szCs w:val="24"/>
          <w:highlight w:val="none"/>
        </w:rPr>
        <w:t>.</w:t>
      </w:r>
      <w:r>
        <w:rPr>
          <w:rFonts w:hint="eastAsia" w:ascii="宋体" w:hAnsi="宋体"/>
          <w:color w:val="auto"/>
          <w:sz w:val="24"/>
          <w:szCs w:val="24"/>
          <w:highlight w:val="none"/>
        </w:rPr>
        <w:t>7</w:t>
      </w:r>
      <w:r>
        <w:rPr>
          <w:rFonts w:ascii="宋体" w:hAnsi="宋体"/>
          <w:color w:val="auto"/>
          <w:sz w:val="24"/>
          <w:szCs w:val="24"/>
          <w:highlight w:val="none"/>
        </w:rPr>
        <w:t xml:space="preserve"> </w:t>
      </w:r>
      <w:r>
        <w:rPr>
          <w:rFonts w:hint="eastAsia" w:ascii="宋体" w:hAnsi="宋体"/>
          <w:color w:val="auto"/>
          <w:sz w:val="24"/>
          <w:szCs w:val="24"/>
          <w:highlight w:val="none"/>
        </w:rPr>
        <w:t>促进中小企业发展扶持政策：见第四章“评审办法”第</w:t>
      </w:r>
      <w:r>
        <w:rPr>
          <w:rFonts w:ascii="宋体" w:hAnsi="宋体"/>
          <w:color w:val="auto"/>
          <w:sz w:val="24"/>
          <w:szCs w:val="24"/>
          <w:highlight w:val="none"/>
        </w:rPr>
        <w:t>4</w:t>
      </w:r>
      <w:r>
        <w:rPr>
          <w:rFonts w:hint="eastAsia" w:ascii="宋体" w:hAnsi="宋体"/>
          <w:color w:val="auto"/>
          <w:sz w:val="24"/>
          <w:szCs w:val="24"/>
          <w:highlight w:val="none"/>
        </w:rPr>
        <w:t>条。</w:t>
      </w:r>
    </w:p>
    <w:p w14:paraId="7432A5A1">
      <w:pPr>
        <w:adjustRightInd w:val="0"/>
        <w:snapToGrid w:val="0"/>
        <w:spacing w:before="156" w:beforeLines="50" w:line="300" w:lineRule="auto"/>
        <w:ind w:firstLine="480" w:firstLineChars="200"/>
        <w:rPr>
          <w:rFonts w:ascii="宋体" w:hAnsi="宋体"/>
          <w:color w:val="auto"/>
          <w:sz w:val="24"/>
          <w:szCs w:val="24"/>
          <w:highlight w:val="none"/>
        </w:rPr>
      </w:pPr>
      <w:r>
        <w:rPr>
          <w:rFonts w:ascii="宋体" w:hAnsi="宋体"/>
          <w:color w:val="auto"/>
          <w:sz w:val="24"/>
          <w:szCs w:val="24"/>
          <w:highlight w:val="none"/>
        </w:rPr>
        <w:t>2.</w:t>
      </w:r>
      <w:r>
        <w:rPr>
          <w:rFonts w:hint="eastAsia" w:ascii="宋体" w:hAnsi="宋体"/>
          <w:color w:val="auto"/>
          <w:sz w:val="24"/>
          <w:szCs w:val="24"/>
          <w:highlight w:val="none"/>
        </w:rPr>
        <w:t>2</w:t>
      </w:r>
      <w:r>
        <w:rPr>
          <w:rFonts w:ascii="宋体" w:hAnsi="宋体"/>
          <w:color w:val="auto"/>
          <w:sz w:val="24"/>
          <w:szCs w:val="24"/>
          <w:highlight w:val="none"/>
        </w:rPr>
        <w:t>.</w:t>
      </w:r>
      <w:r>
        <w:rPr>
          <w:rFonts w:hint="eastAsia" w:ascii="宋体" w:hAnsi="宋体"/>
          <w:color w:val="auto"/>
          <w:sz w:val="24"/>
          <w:szCs w:val="24"/>
          <w:highlight w:val="none"/>
        </w:rPr>
        <w:t>8促进残疾人就业、支持监狱企业发展：见第四章“评审办法”第</w:t>
      </w:r>
      <w:r>
        <w:rPr>
          <w:rFonts w:ascii="宋体" w:hAnsi="宋体"/>
          <w:color w:val="auto"/>
          <w:sz w:val="24"/>
          <w:szCs w:val="24"/>
          <w:highlight w:val="none"/>
        </w:rPr>
        <w:t>4</w:t>
      </w:r>
      <w:r>
        <w:rPr>
          <w:rFonts w:hint="eastAsia" w:ascii="宋体" w:hAnsi="宋体"/>
          <w:color w:val="auto"/>
          <w:sz w:val="24"/>
          <w:szCs w:val="24"/>
          <w:highlight w:val="none"/>
        </w:rPr>
        <w:t>条。</w:t>
      </w:r>
    </w:p>
    <w:p w14:paraId="158F203F">
      <w:pPr>
        <w:adjustRightInd w:val="0"/>
        <w:snapToGrid w:val="0"/>
        <w:spacing w:before="156" w:beforeLines="50" w:line="300" w:lineRule="auto"/>
        <w:ind w:firstLine="480" w:firstLineChars="200"/>
        <w:rPr>
          <w:rFonts w:ascii="宋体" w:hAnsi="宋体"/>
          <w:color w:val="auto"/>
          <w:sz w:val="24"/>
          <w:szCs w:val="24"/>
          <w:highlight w:val="none"/>
        </w:rPr>
      </w:pPr>
      <w:r>
        <w:rPr>
          <w:rFonts w:ascii="宋体" w:hAnsi="宋体"/>
          <w:color w:val="auto"/>
          <w:sz w:val="24"/>
          <w:szCs w:val="24"/>
          <w:highlight w:val="none"/>
        </w:rPr>
        <w:t>2.</w:t>
      </w:r>
      <w:r>
        <w:rPr>
          <w:rFonts w:hint="eastAsia" w:ascii="宋体" w:hAnsi="宋体"/>
          <w:color w:val="auto"/>
          <w:sz w:val="24"/>
          <w:szCs w:val="24"/>
          <w:highlight w:val="none"/>
        </w:rPr>
        <w:t>2</w:t>
      </w:r>
      <w:r>
        <w:rPr>
          <w:rFonts w:ascii="宋体" w:hAnsi="宋体"/>
          <w:color w:val="auto"/>
          <w:sz w:val="24"/>
          <w:szCs w:val="24"/>
          <w:highlight w:val="none"/>
        </w:rPr>
        <w:t>.</w:t>
      </w:r>
      <w:r>
        <w:rPr>
          <w:rFonts w:hint="eastAsia" w:ascii="宋体" w:hAnsi="宋体"/>
          <w:color w:val="auto"/>
          <w:sz w:val="24"/>
          <w:szCs w:val="24"/>
          <w:highlight w:val="none"/>
        </w:rPr>
        <w:t>9</w:t>
      </w:r>
      <w:r>
        <w:rPr>
          <w:rFonts w:ascii="宋体" w:hAnsi="宋体"/>
          <w:color w:val="auto"/>
          <w:sz w:val="24"/>
          <w:szCs w:val="24"/>
          <w:highlight w:val="none"/>
        </w:rPr>
        <w:t xml:space="preserve"> </w:t>
      </w:r>
      <w:r>
        <w:rPr>
          <w:rFonts w:hint="eastAsia" w:ascii="宋体" w:hAnsi="宋体"/>
          <w:color w:val="auto"/>
          <w:sz w:val="24"/>
          <w:szCs w:val="24"/>
          <w:highlight w:val="none"/>
        </w:rPr>
        <w:t>所供产品有商品包装的应当使用绿色包装。所供产品有其他环保政策要求的，应符合相关环保法律政策要求。</w:t>
      </w:r>
    </w:p>
    <w:p w14:paraId="5468EF83">
      <w:pPr>
        <w:adjustRightInd w:val="0"/>
        <w:snapToGrid w:val="0"/>
        <w:spacing w:before="156" w:beforeLines="50" w:line="30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2.2.10</w:t>
      </w:r>
      <w:r>
        <w:rPr>
          <w:rFonts w:ascii="宋体" w:hAnsi="宋体"/>
          <w:color w:val="auto"/>
          <w:sz w:val="24"/>
          <w:szCs w:val="24"/>
          <w:highlight w:val="none"/>
        </w:rPr>
        <w:t xml:space="preserve"> </w:t>
      </w:r>
      <w:r>
        <w:rPr>
          <w:rFonts w:hint="eastAsia" w:ascii="宋体" w:hAnsi="宋体"/>
          <w:color w:val="auto"/>
          <w:sz w:val="24"/>
          <w:szCs w:val="24"/>
          <w:highlight w:val="none"/>
        </w:rPr>
        <w:t>支持绿色建筑、绿色建材，支持使用低</w:t>
      </w:r>
      <w:r>
        <w:rPr>
          <w:rFonts w:ascii="Arial" w:hAnsi="Arial" w:cs="Arial"/>
          <w:color w:val="auto"/>
          <w:szCs w:val="21"/>
          <w:highlight w:val="none"/>
          <w:shd w:val="clear" w:color="auto" w:fill="FFFFFF"/>
        </w:rPr>
        <w:t>VOCs</w:t>
      </w:r>
      <w:r>
        <w:rPr>
          <w:rFonts w:hint="eastAsia" w:ascii="宋体" w:hAnsi="宋体"/>
          <w:color w:val="auto"/>
          <w:sz w:val="24"/>
          <w:szCs w:val="24"/>
          <w:highlight w:val="none"/>
        </w:rPr>
        <w:t>含量涂料和胶黏剂，支持不发达、少数民族地区的企业，促进自主创新产业发展，支持脱贫攻坚等；同等条件下，优先采购。</w:t>
      </w:r>
    </w:p>
    <w:p w14:paraId="02C504B0">
      <w:pPr>
        <w:adjustRightInd w:val="0"/>
        <w:snapToGrid w:val="0"/>
        <w:spacing w:before="156" w:beforeLines="50" w:line="30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2.2.11 执行《国务院办公厅关于在政府采购中实施本国产品标准及相关政策的通知》。</w:t>
      </w:r>
    </w:p>
    <w:p w14:paraId="62EB5EDD">
      <w:pPr>
        <w:adjustRightInd w:val="0"/>
        <w:snapToGrid w:val="0"/>
        <w:spacing w:line="300" w:lineRule="auto"/>
        <w:ind w:firstLine="482" w:firstLineChars="200"/>
        <w:jc w:val="left"/>
        <w:rPr>
          <w:rFonts w:ascii="黑体" w:hAnsi="黑体" w:eastAsia="黑体"/>
          <w:b/>
          <w:color w:val="auto"/>
          <w:sz w:val="24"/>
          <w:szCs w:val="24"/>
          <w:highlight w:val="none"/>
        </w:rPr>
      </w:pPr>
      <w:r>
        <w:rPr>
          <w:rFonts w:ascii="黑体" w:hAnsi="黑体" w:eastAsia="黑体"/>
          <w:b/>
          <w:color w:val="auto"/>
          <w:sz w:val="24"/>
          <w:szCs w:val="24"/>
          <w:highlight w:val="none"/>
        </w:rPr>
        <w:t>2.3</w:t>
      </w:r>
      <w:r>
        <w:rPr>
          <w:rFonts w:hint="eastAsia" w:ascii="黑体" w:hAnsi="黑体" w:eastAsia="黑体"/>
          <w:b/>
          <w:color w:val="auto"/>
          <w:sz w:val="24"/>
          <w:szCs w:val="24"/>
          <w:highlight w:val="none"/>
        </w:rPr>
        <w:t>采购标的需执行的国家相关标准、行业标准、地方标准或者其他标准、规范；</w:t>
      </w:r>
    </w:p>
    <w:p w14:paraId="2E55891C">
      <w:pPr>
        <w:widowControl w:val="0"/>
        <w:adjustRightInd w:val="0"/>
        <w:snapToGrid w:val="0"/>
        <w:spacing w:before="156" w:beforeLines="50" w:line="300" w:lineRule="auto"/>
        <w:ind w:left="22" w:firstLine="555"/>
        <w:jc w:val="left"/>
        <w:rPr>
          <w:color w:val="auto"/>
          <w:sz w:val="24"/>
          <w:szCs w:val="24"/>
          <w:highlight w:val="none"/>
        </w:rPr>
      </w:pPr>
      <w:r>
        <w:rPr>
          <w:rFonts w:hint="eastAsia"/>
          <w:color w:val="auto"/>
          <w:sz w:val="24"/>
          <w:szCs w:val="24"/>
          <w:highlight w:val="none"/>
        </w:rPr>
        <w:t>投标人所投产品应为全新产品且符合国家质量标准、部颁标准及行业规范的要求，符合国家各项强制性规范及安全标准，投标产品不应与第三方存在知识产权权属问题；投标人应本着服务客户、为客户着想的宗旨，来完善产品及技术要求未尽事宜，不得以谈判文件未列明事项为由，来降低投标产品的质量。</w:t>
      </w:r>
    </w:p>
    <w:p w14:paraId="23801E04">
      <w:pPr>
        <w:spacing w:line="560" w:lineRule="exact"/>
        <w:ind w:firstLine="482" w:firstLineChars="200"/>
        <w:rPr>
          <w:rFonts w:ascii="黑体" w:hAnsi="黑体" w:eastAsia="黑体"/>
          <w:b/>
          <w:color w:val="auto"/>
          <w:sz w:val="24"/>
          <w:szCs w:val="24"/>
          <w:highlight w:val="none"/>
        </w:rPr>
      </w:pPr>
    </w:p>
    <w:p w14:paraId="74C4B4F4">
      <w:pPr>
        <w:spacing w:line="560" w:lineRule="exact"/>
        <w:ind w:firstLine="482" w:firstLineChars="200"/>
        <w:rPr>
          <w:rFonts w:ascii="黑体" w:hAnsi="黑体" w:eastAsia="黑体"/>
          <w:b/>
          <w:color w:val="auto"/>
          <w:sz w:val="24"/>
          <w:szCs w:val="24"/>
          <w:highlight w:val="none"/>
        </w:rPr>
      </w:pPr>
      <w:r>
        <w:rPr>
          <w:rFonts w:ascii="黑体" w:hAnsi="黑体" w:eastAsia="黑体"/>
          <w:b/>
          <w:color w:val="auto"/>
          <w:sz w:val="24"/>
          <w:szCs w:val="24"/>
          <w:highlight w:val="none"/>
        </w:rPr>
        <w:t>2.</w:t>
      </w:r>
      <w:r>
        <w:rPr>
          <w:rFonts w:hint="eastAsia" w:ascii="黑体" w:hAnsi="黑体" w:eastAsia="黑体"/>
          <w:b/>
          <w:color w:val="auto"/>
          <w:sz w:val="24"/>
          <w:szCs w:val="24"/>
          <w:highlight w:val="none"/>
        </w:rPr>
        <w:t>4</w:t>
      </w:r>
      <w:r>
        <w:rPr>
          <w:rFonts w:ascii="黑体" w:hAnsi="黑体" w:eastAsia="黑体"/>
          <w:b/>
          <w:color w:val="auto"/>
          <w:sz w:val="24"/>
          <w:szCs w:val="24"/>
          <w:highlight w:val="none"/>
        </w:rPr>
        <w:t xml:space="preserve"> </w:t>
      </w:r>
      <w:r>
        <w:rPr>
          <w:rFonts w:hint="eastAsia" w:ascii="黑体" w:hAnsi="黑体" w:eastAsia="黑体"/>
          <w:b/>
          <w:color w:val="auto"/>
          <w:sz w:val="24"/>
          <w:szCs w:val="24"/>
          <w:highlight w:val="none"/>
        </w:rPr>
        <w:t>具体技术要求及标段（包）内容（范围）</w:t>
      </w:r>
    </w:p>
    <w:tbl>
      <w:tblPr>
        <w:tblStyle w:val="16"/>
        <w:tblW w:w="98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11"/>
        <w:gridCol w:w="1147"/>
        <w:gridCol w:w="5629"/>
        <w:gridCol w:w="721"/>
        <w:gridCol w:w="1112"/>
        <w:gridCol w:w="905"/>
        <w:gridCol w:w="5"/>
      </w:tblGrid>
      <w:tr w14:paraId="43A6A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dxa"/>
          <w:trHeight w:val="365" w:hRule="atLeast"/>
          <w:jc w:val="center"/>
        </w:trPr>
        <w:tc>
          <w:tcPr>
            <w:tcW w:w="311" w:type="dxa"/>
            <w:vAlign w:val="center"/>
          </w:tcPr>
          <w:p w14:paraId="3F0D80EA">
            <w:pPr>
              <w:keepNext w:val="0"/>
              <w:keepLines w:val="0"/>
              <w:pageBreakBefore w:val="0"/>
              <w:widowControl/>
              <w:kinsoku/>
              <w:wordWrap/>
              <w:overflowPunct/>
              <w:topLinePunct w:val="0"/>
              <w:autoSpaceDE/>
              <w:autoSpaceDN/>
              <w:bidi w:val="0"/>
              <w:adjustRightInd/>
              <w:snapToGrid w:val="0"/>
              <w:spacing w:line="300" w:lineRule="auto"/>
              <w:jc w:val="center"/>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序号</w:t>
            </w:r>
          </w:p>
        </w:tc>
        <w:tc>
          <w:tcPr>
            <w:tcW w:w="1147" w:type="dxa"/>
            <w:tcMar>
              <w:top w:w="15" w:type="dxa"/>
              <w:left w:w="15" w:type="dxa"/>
              <w:bottom w:w="0" w:type="dxa"/>
              <w:right w:w="15" w:type="dxa"/>
            </w:tcMar>
            <w:vAlign w:val="center"/>
          </w:tcPr>
          <w:p w14:paraId="26B99D19">
            <w:pPr>
              <w:keepNext w:val="0"/>
              <w:keepLines w:val="0"/>
              <w:pageBreakBefore w:val="0"/>
              <w:widowControl/>
              <w:kinsoku/>
              <w:wordWrap/>
              <w:overflowPunct/>
              <w:topLinePunct w:val="0"/>
              <w:autoSpaceDE/>
              <w:autoSpaceDN/>
              <w:bidi w:val="0"/>
              <w:adjustRightInd/>
              <w:snapToGrid w:val="0"/>
              <w:spacing w:line="300" w:lineRule="auto"/>
              <w:jc w:val="center"/>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标段（包）内容</w:t>
            </w:r>
          </w:p>
        </w:tc>
        <w:tc>
          <w:tcPr>
            <w:tcW w:w="5629" w:type="dxa"/>
            <w:vAlign w:val="center"/>
          </w:tcPr>
          <w:p w14:paraId="1F9EBD5E">
            <w:pPr>
              <w:keepNext w:val="0"/>
              <w:keepLines w:val="0"/>
              <w:pageBreakBefore w:val="0"/>
              <w:widowControl/>
              <w:kinsoku/>
              <w:wordWrap/>
              <w:overflowPunct/>
              <w:topLinePunct w:val="0"/>
              <w:autoSpaceDE/>
              <w:autoSpaceDN/>
              <w:bidi w:val="0"/>
              <w:adjustRightInd/>
              <w:snapToGrid w:val="0"/>
              <w:spacing w:line="300" w:lineRule="auto"/>
              <w:jc w:val="center"/>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基本技术要求</w:t>
            </w:r>
          </w:p>
        </w:tc>
        <w:tc>
          <w:tcPr>
            <w:tcW w:w="721" w:type="dxa"/>
            <w:vAlign w:val="center"/>
          </w:tcPr>
          <w:p w14:paraId="7994AEF4">
            <w:pPr>
              <w:keepNext w:val="0"/>
              <w:keepLines w:val="0"/>
              <w:pageBreakBefore w:val="0"/>
              <w:widowControl/>
              <w:kinsoku/>
              <w:wordWrap/>
              <w:overflowPunct/>
              <w:topLinePunct w:val="0"/>
              <w:autoSpaceDE/>
              <w:autoSpaceDN/>
              <w:bidi w:val="0"/>
              <w:adjustRightInd/>
              <w:snapToGrid w:val="0"/>
              <w:spacing w:line="300" w:lineRule="auto"/>
              <w:jc w:val="center"/>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数量</w:t>
            </w:r>
          </w:p>
        </w:tc>
        <w:tc>
          <w:tcPr>
            <w:tcW w:w="1112" w:type="dxa"/>
            <w:vAlign w:val="center"/>
          </w:tcPr>
          <w:p w14:paraId="5177B105">
            <w:pPr>
              <w:keepNext w:val="0"/>
              <w:keepLines w:val="0"/>
              <w:pageBreakBefore w:val="0"/>
              <w:widowControl/>
              <w:kinsoku/>
              <w:wordWrap/>
              <w:overflowPunct/>
              <w:topLinePunct w:val="0"/>
              <w:autoSpaceDE/>
              <w:autoSpaceDN/>
              <w:bidi w:val="0"/>
              <w:adjustRightInd/>
              <w:snapToGrid w:val="0"/>
              <w:spacing w:line="300" w:lineRule="auto"/>
              <w:jc w:val="center"/>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最高限价单价（元）</w:t>
            </w:r>
          </w:p>
        </w:tc>
        <w:tc>
          <w:tcPr>
            <w:tcW w:w="905" w:type="dxa"/>
            <w:vAlign w:val="center"/>
          </w:tcPr>
          <w:p w14:paraId="3AFFB4C1">
            <w:pPr>
              <w:keepNext w:val="0"/>
              <w:keepLines w:val="0"/>
              <w:pageBreakBefore w:val="0"/>
              <w:widowControl/>
              <w:kinsoku/>
              <w:wordWrap/>
              <w:overflowPunct/>
              <w:topLinePunct w:val="0"/>
              <w:autoSpaceDE/>
              <w:autoSpaceDN/>
              <w:bidi w:val="0"/>
              <w:adjustRightInd/>
              <w:snapToGrid w:val="0"/>
              <w:spacing w:line="300" w:lineRule="auto"/>
              <w:jc w:val="center"/>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货物所属行业</w:t>
            </w:r>
          </w:p>
        </w:tc>
      </w:tr>
      <w:tr w14:paraId="18F1F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9830" w:type="dxa"/>
            <w:gridSpan w:val="7"/>
            <w:vAlign w:val="center"/>
          </w:tcPr>
          <w:p w14:paraId="323537AF">
            <w:pPr>
              <w:keepNext w:val="0"/>
              <w:keepLines w:val="0"/>
              <w:pageBreakBefore w:val="0"/>
              <w:widowControl/>
              <w:kinsoku/>
              <w:wordWrap/>
              <w:overflowPunct/>
              <w:topLinePunct w:val="0"/>
              <w:autoSpaceDE/>
              <w:autoSpaceDN/>
              <w:bidi w:val="0"/>
              <w:adjustRightInd/>
              <w:snapToGrid w:val="0"/>
              <w:spacing w:line="300" w:lineRule="auto"/>
              <w:jc w:val="center"/>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公安信息网UPS电源</w:t>
            </w:r>
          </w:p>
        </w:tc>
      </w:tr>
      <w:tr w14:paraId="46E2C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dxa"/>
          <w:trHeight w:val="542" w:hRule="atLeast"/>
          <w:jc w:val="center"/>
        </w:trPr>
        <w:tc>
          <w:tcPr>
            <w:tcW w:w="311" w:type="dxa"/>
            <w:vAlign w:val="center"/>
          </w:tcPr>
          <w:p w14:paraId="63A98996">
            <w:pPr>
              <w:keepNext w:val="0"/>
              <w:keepLines w:val="0"/>
              <w:pageBreakBefore w:val="0"/>
              <w:widowControl/>
              <w:kinsoku/>
              <w:wordWrap/>
              <w:overflowPunct/>
              <w:topLinePunct w:val="0"/>
              <w:autoSpaceDE/>
              <w:autoSpaceDN/>
              <w:bidi w:val="0"/>
              <w:adjustRightInd/>
              <w:snapToGrid w:val="0"/>
              <w:spacing w:line="300" w:lineRule="auto"/>
              <w:jc w:val="center"/>
              <w:rPr>
                <w:rFonts w:hint="eastAsia" w:asciiTheme="minorEastAsia" w:hAnsiTheme="minorEastAsia" w:eastAsiaTheme="minorEastAsia" w:cstheme="minorEastAsia"/>
                <w:color w:val="auto"/>
                <w:sz w:val="24"/>
                <w:szCs w:val="24"/>
                <w:highlight w:val="none"/>
              </w:rPr>
            </w:pPr>
          </w:p>
          <w:p w14:paraId="45E96C85">
            <w:pPr>
              <w:keepNext w:val="0"/>
              <w:keepLines w:val="0"/>
              <w:pageBreakBefore w:val="0"/>
              <w:widowControl/>
              <w:kinsoku/>
              <w:wordWrap/>
              <w:overflowPunct/>
              <w:topLinePunct w:val="0"/>
              <w:autoSpaceDE/>
              <w:autoSpaceDN/>
              <w:bidi w:val="0"/>
              <w:adjustRightInd/>
              <w:snapToGrid w:val="0"/>
              <w:spacing w:line="300" w:lineRule="auto"/>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w:t>
            </w:r>
          </w:p>
        </w:tc>
        <w:tc>
          <w:tcPr>
            <w:tcW w:w="1147" w:type="dxa"/>
            <w:tcMar>
              <w:top w:w="15" w:type="dxa"/>
              <w:left w:w="15" w:type="dxa"/>
              <w:bottom w:w="0" w:type="dxa"/>
              <w:right w:w="15" w:type="dxa"/>
            </w:tcMar>
            <w:vAlign w:val="center"/>
          </w:tcPr>
          <w:p w14:paraId="77551711">
            <w:pPr>
              <w:keepNext w:val="0"/>
              <w:keepLines w:val="0"/>
              <w:pageBreakBefore w:val="0"/>
              <w:widowControl/>
              <w:kinsoku/>
              <w:wordWrap/>
              <w:overflowPunct/>
              <w:topLinePunct w:val="0"/>
              <w:autoSpaceDE/>
              <w:autoSpaceDN/>
              <w:bidi w:val="0"/>
              <w:adjustRightInd/>
              <w:snapToGrid w:val="0"/>
              <w:spacing w:line="300" w:lineRule="auto"/>
              <w:jc w:val="center"/>
              <w:textAlignment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UPS主机（30KVA）</w:t>
            </w:r>
          </w:p>
        </w:tc>
        <w:tc>
          <w:tcPr>
            <w:tcW w:w="5629" w:type="dxa"/>
            <w:vAlign w:val="top"/>
          </w:tcPr>
          <w:p w14:paraId="66F43033">
            <w:pPr>
              <w:keepNext w:val="0"/>
              <w:keepLines w:val="0"/>
              <w:pageBreakBefore w:val="0"/>
              <w:widowControl/>
              <w:kinsoku/>
              <w:wordWrap/>
              <w:overflowPunct/>
              <w:topLinePunct w:val="0"/>
              <w:autoSpaceDE/>
              <w:autoSpaceDN/>
              <w:bidi w:val="0"/>
              <w:adjustRightInd/>
              <w:snapToGrid w:val="0"/>
              <w:spacing w:line="300" w:lineRule="auto"/>
              <w:jc w:val="both"/>
              <w:textAlignment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1.UPS采用在线双变换架构，包含整流器、IGBT逆变器、静态旁路开关、手动检修旁路开关、控制单元、显示单元机电路等。</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2.UPS标配</w:t>
            </w:r>
            <w:r>
              <w:rPr>
                <w:rFonts w:hint="eastAsia" w:asciiTheme="minorEastAsia" w:hAnsiTheme="minorEastAsia" w:eastAsiaTheme="minorEastAsia" w:cstheme="minorEastAsia"/>
                <w:color w:val="auto"/>
                <w:kern w:val="0"/>
                <w:sz w:val="24"/>
                <w:szCs w:val="24"/>
                <w:highlight w:val="none"/>
                <w:lang w:val="en-US" w:eastAsia="zh-CN" w:bidi="ar"/>
              </w:rPr>
              <w:t>≥</w:t>
            </w:r>
            <w:r>
              <w:rPr>
                <w:rFonts w:hint="eastAsia" w:asciiTheme="minorEastAsia" w:hAnsiTheme="minorEastAsia" w:eastAsiaTheme="minorEastAsia" w:cstheme="minorEastAsia"/>
                <w:color w:val="auto"/>
                <w:kern w:val="0"/>
                <w:sz w:val="24"/>
                <w:szCs w:val="24"/>
                <w:highlight w:val="none"/>
                <w:lang w:bidi="ar"/>
              </w:rPr>
              <w:t>5寸全彩触摸屏。</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3.支持4台UPS直接并机，无需额外选配并机电路组件。</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 xml:space="preserve">4.电池管理功能 </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1）UPS应支持电池节数在线调整技术，可以在线调整电池节数，调整范围：30~46颗可调</w:t>
            </w:r>
            <w:r>
              <w:rPr>
                <w:rFonts w:hint="eastAsia" w:asciiTheme="minorEastAsia" w:hAnsiTheme="minorEastAsia" w:eastAsiaTheme="minorEastAsia" w:cstheme="minorEastAsia"/>
                <w:color w:val="auto"/>
                <w:kern w:val="0"/>
                <w:sz w:val="24"/>
                <w:szCs w:val="24"/>
                <w:highlight w:val="none"/>
                <w:lang w:eastAsia="zh-CN" w:bidi="ar"/>
              </w:rPr>
              <w:t>；</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2）UPS充电能力高达15A，实现蓄电池的快速回充。</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5.UPS应具有支持恶劣环境应用，可选IP42等级灰尘防护组件。实现恶劣环境下的正常工作。</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6.两台以上UPS并联时，具有共用电池组功能。</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7.UPS输入参数要求</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1）输入电压</w:t>
            </w:r>
            <w:r>
              <w:rPr>
                <w:rFonts w:hint="eastAsia" w:asciiTheme="minorEastAsia" w:hAnsiTheme="minorEastAsia" w:eastAsiaTheme="minorEastAsia" w:cstheme="minorEastAsia"/>
                <w:color w:val="auto"/>
                <w:kern w:val="0"/>
                <w:sz w:val="24"/>
                <w:szCs w:val="24"/>
                <w:highlight w:val="none"/>
                <w:lang w:eastAsia="zh-CN" w:bidi="ar"/>
              </w:rPr>
              <w:t>：</w:t>
            </w:r>
            <w:r>
              <w:rPr>
                <w:rFonts w:hint="eastAsia" w:asciiTheme="minorEastAsia" w:hAnsiTheme="minorEastAsia" w:eastAsiaTheme="minorEastAsia" w:cstheme="minorEastAsia"/>
                <w:color w:val="auto"/>
                <w:kern w:val="0"/>
                <w:sz w:val="24"/>
                <w:szCs w:val="24"/>
                <w:highlight w:val="none"/>
                <w:lang w:bidi="ar"/>
              </w:rPr>
              <w:t>三相五线制。228~304Vac，带载能力70%~100%负载随输入电压值线性递增；305~477 Vac时 100%全额带载；</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2）输入频率</w:t>
            </w:r>
            <w:r>
              <w:rPr>
                <w:rFonts w:hint="eastAsia" w:asciiTheme="minorEastAsia" w:hAnsiTheme="minorEastAsia" w:eastAsiaTheme="minorEastAsia" w:cstheme="minorEastAsia"/>
                <w:color w:val="auto"/>
                <w:kern w:val="0"/>
                <w:sz w:val="24"/>
                <w:szCs w:val="24"/>
                <w:highlight w:val="none"/>
                <w:lang w:eastAsia="zh-CN" w:bidi="ar"/>
              </w:rPr>
              <w:t>：</w:t>
            </w:r>
            <w:r>
              <w:rPr>
                <w:rFonts w:hint="eastAsia" w:asciiTheme="minorEastAsia" w:hAnsiTheme="minorEastAsia" w:eastAsiaTheme="minorEastAsia" w:cstheme="minorEastAsia"/>
                <w:color w:val="auto"/>
                <w:kern w:val="0"/>
                <w:sz w:val="24"/>
                <w:szCs w:val="24"/>
                <w:highlight w:val="none"/>
                <w:lang w:bidi="ar"/>
              </w:rPr>
              <w:t>50/60Hz±10% 自适应；</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3）输入电压与频率为额定值，输出为额定非线性负载时，输入功率因数应为1</w:t>
            </w:r>
            <w:r>
              <w:rPr>
                <w:rFonts w:hint="eastAsia" w:asciiTheme="minorEastAsia" w:hAnsiTheme="minorEastAsia" w:eastAsiaTheme="minorEastAsia" w:cstheme="minorEastAsia"/>
                <w:color w:val="auto"/>
                <w:kern w:val="0"/>
                <w:sz w:val="24"/>
                <w:szCs w:val="24"/>
                <w:highlight w:val="none"/>
                <w:lang w:eastAsia="zh-CN" w:bidi="ar"/>
              </w:rPr>
              <w:t>。</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8.UPS输出</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1）输出功率</w:t>
            </w:r>
            <w:r>
              <w:rPr>
                <w:rFonts w:hint="eastAsia" w:asciiTheme="minorEastAsia" w:hAnsiTheme="minorEastAsia" w:eastAsiaTheme="minorEastAsia" w:cstheme="minorEastAsia"/>
                <w:color w:val="auto"/>
                <w:kern w:val="0"/>
                <w:sz w:val="24"/>
                <w:szCs w:val="24"/>
                <w:highlight w:val="none"/>
                <w:lang w:eastAsia="zh-CN" w:bidi="ar"/>
              </w:rPr>
              <w:t>：</w:t>
            </w:r>
            <w:r>
              <w:rPr>
                <w:rFonts w:hint="eastAsia" w:asciiTheme="minorEastAsia" w:hAnsiTheme="minorEastAsia" w:eastAsiaTheme="minorEastAsia" w:cstheme="minorEastAsia"/>
                <w:color w:val="auto"/>
                <w:kern w:val="0"/>
                <w:sz w:val="24"/>
                <w:szCs w:val="24"/>
                <w:highlight w:val="none"/>
                <w:lang w:bidi="ar"/>
              </w:rPr>
              <w:t>30kw</w:t>
            </w:r>
            <w:r>
              <w:rPr>
                <w:rFonts w:hint="eastAsia" w:asciiTheme="minorEastAsia" w:hAnsiTheme="minorEastAsia" w:eastAsiaTheme="minorEastAsia" w:cstheme="minorEastAsia"/>
                <w:color w:val="auto"/>
                <w:kern w:val="0"/>
                <w:sz w:val="24"/>
                <w:szCs w:val="24"/>
                <w:highlight w:val="none"/>
                <w:lang w:eastAsia="zh-CN" w:bidi="ar"/>
              </w:rPr>
              <w:t>；</w:t>
            </w:r>
            <w:r>
              <w:rPr>
                <w:rFonts w:hint="eastAsia" w:asciiTheme="minorEastAsia" w:hAnsiTheme="minorEastAsia" w:eastAsiaTheme="minorEastAsia" w:cstheme="minorEastAsia"/>
                <w:color w:val="auto"/>
                <w:kern w:val="0"/>
                <w:sz w:val="24"/>
                <w:szCs w:val="24"/>
                <w:highlight w:val="none"/>
                <w:lang w:bidi="ar"/>
              </w:rPr>
              <w:t xml:space="preserve"> </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2）输出功率因数：1。不管带任何功率因数的负载，均无需降容使用</w:t>
            </w:r>
            <w:r>
              <w:rPr>
                <w:rFonts w:hint="eastAsia" w:asciiTheme="minorEastAsia" w:hAnsiTheme="minorEastAsia" w:eastAsiaTheme="minorEastAsia" w:cstheme="minorEastAsia"/>
                <w:color w:val="auto"/>
                <w:kern w:val="0"/>
                <w:sz w:val="24"/>
                <w:szCs w:val="24"/>
                <w:highlight w:val="none"/>
                <w:lang w:eastAsia="zh-CN" w:bidi="ar"/>
              </w:rPr>
              <w:t>；</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3）输出电压</w:t>
            </w:r>
            <w:r>
              <w:rPr>
                <w:rFonts w:hint="eastAsia" w:asciiTheme="minorEastAsia" w:hAnsiTheme="minorEastAsia" w:eastAsiaTheme="minorEastAsia" w:cstheme="minorEastAsia"/>
                <w:color w:val="auto"/>
                <w:kern w:val="0"/>
                <w:sz w:val="24"/>
                <w:szCs w:val="24"/>
                <w:highlight w:val="none"/>
                <w:lang w:eastAsia="zh-CN" w:bidi="ar"/>
              </w:rPr>
              <w:t>：</w:t>
            </w:r>
            <w:r>
              <w:rPr>
                <w:rFonts w:hint="eastAsia" w:asciiTheme="minorEastAsia" w:hAnsiTheme="minorEastAsia" w:eastAsiaTheme="minorEastAsia" w:cstheme="minorEastAsia"/>
                <w:color w:val="auto"/>
                <w:kern w:val="0"/>
                <w:sz w:val="24"/>
                <w:szCs w:val="24"/>
                <w:highlight w:val="none"/>
                <w:lang w:bidi="ar"/>
              </w:rPr>
              <w:t xml:space="preserve">AC380/220V±1%，三相五线制； </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4）输出波形</w:t>
            </w:r>
            <w:r>
              <w:rPr>
                <w:rFonts w:hint="eastAsia" w:asciiTheme="minorEastAsia" w:hAnsiTheme="minorEastAsia" w:eastAsiaTheme="minorEastAsia" w:cstheme="minorEastAsia"/>
                <w:color w:val="auto"/>
                <w:kern w:val="0"/>
                <w:sz w:val="24"/>
                <w:szCs w:val="24"/>
                <w:highlight w:val="none"/>
                <w:lang w:eastAsia="zh-CN" w:bidi="ar"/>
              </w:rPr>
              <w:t>：</w:t>
            </w:r>
            <w:r>
              <w:rPr>
                <w:rFonts w:hint="eastAsia" w:asciiTheme="minorEastAsia" w:hAnsiTheme="minorEastAsia" w:eastAsiaTheme="minorEastAsia" w:cstheme="minorEastAsia"/>
                <w:color w:val="auto"/>
                <w:kern w:val="0"/>
                <w:sz w:val="24"/>
                <w:szCs w:val="24"/>
                <w:highlight w:val="none"/>
                <w:lang w:bidi="ar"/>
              </w:rPr>
              <w:t>正弦波</w:t>
            </w:r>
            <w:r>
              <w:rPr>
                <w:rFonts w:hint="eastAsia" w:asciiTheme="minorEastAsia" w:hAnsiTheme="minorEastAsia" w:eastAsiaTheme="minorEastAsia" w:cstheme="minorEastAsia"/>
                <w:color w:val="auto"/>
                <w:kern w:val="0"/>
                <w:sz w:val="24"/>
                <w:szCs w:val="24"/>
                <w:highlight w:val="none"/>
                <w:lang w:eastAsia="zh-CN" w:bidi="ar"/>
              </w:rPr>
              <w:t>；</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5）输出频率精度</w:t>
            </w:r>
            <w:r>
              <w:rPr>
                <w:rFonts w:hint="eastAsia" w:asciiTheme="minorEastAsia" w:hAnsiTheme="minorEastAsia" w:eastAsiaTheme="minorEastAsia" w:cstheme="minorEastAsia"/>
                <w:color w:val="auto"/>
                <w:kern w:val="0"/>
                <w:sz w:val="24"/>
                <w:szCs w:val="24"/>
                <w:highlight w:val="none"/>
                <w:lang w:eastAsia="zh-CN" w:bidi="ar"/>
              </w:rPr>
              <w:t>：</w:t>
            </w:r>
            <w:r>
              <w:rPr>
                <w:rFonts w:hint="eastAsia" w:asciiTheme="minorEastAsia" w:hAnsiTheme="minorEastAsia" w:eastAsiaTheme="minorEastAsia" w:cstheme="minorEastAsia"/>
                <w:color w:val="auto"/>
                <w:kern w:val="0"/>
                <w:sz w:val="24"/>
                <w:szCs w:val="24"/>
                <w:highlight w:val="none"/>
                <w:lang w:bidi="ar"/>
              </w:rPr>
              <w:t>50HZ±0.05HZ</w:t>
            </w:r>
            <w:r>
              <w:rPr>
                <w:rFonts w:hint="eastAsia" w:asciiTheme="minorEastAsia" w:hAnsiTheme="minorEastAsia" w:eastAsiaTheme="minorEastAsia" w:cstheme="minorEastAsia"/>
                <w:color w:val="auto"/>
                <w:kern w:val="0"/>
                <w:sz w:val="24"/>
                <w:szCs w:val="24"/>
                <w:highlight w:val="none"/>
                <w:lang w:eastAsia="zh-CN" w:bidi="ar"/>
              </w:rPr>
              <w:t>；</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6）同步速度</w:t>
            </w:r>
            <w:r>
              <w:rPr>
                <w:rFonts w:hint="eastAsia" w:asciiTheme="minorEastAsia" w:hAnsiTheme="minorEastAsia" w:eastAsiaTheme="minorEastAsia" w:cstheme="minorEastAsia"/>
                <w:color w:val="auto"/>
                <w:kern w:val="0"/>
                <w:sz w:val="24"/>
                <w:szCs w:val="24"/>
                <w:highlight w:val="none"/>
                <w:lang w:eastAsia="zh-CN" w:bidi="ar"/>
              </w:rPr>
              <w:t>：</w:t>
            </w:r>
            <w:r>
              <w:rPr>
                <w:rFonts w:hint="eastAsia" w:asciiTheme="minorEastAsia" w:hAnsiTheme="minorEastAsia" w:eastAsiaTheme="minorEastAsia" w:cstheme="minorEastAsia"/>
                <w:color w:val="auto"/>
                <w:kern w:val="0"/>
                <w:sz w:val="24"/>
                <w:szCs w:val="24"/>
                <w:highlight w:val="none"/>
                <w:lang w:bidi="ar"/>
              </w:rPr>
              <w:t xml:space="preserve"> ≤1HZ/sec</w:t>
            </w:r>
            <w:r>
              <w:rPr>
                <w:rFonts w:hint="eastAsia" w:asciiTheme="minorEastAsia" w:hAnsiTheme="minorEastAsia" w:eastAsiaTheme="minorEastAsia" w:cstheme="minorEastAsia"/>
                <w:color w:val="auto"/>
                <w:kern w:val="0"/>
                <w:sz w:val="24"/>
                <w:szCs w:val="24"/>
                <w:highlight w:val="none"/>
                <w:lang w:eastAsia="zh-CN" w:bidi="ar"/>
              </w:rPr>
              <w:t>；</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7）输出电压波形失真度≤1%（额定阻性负载），≤2.1%（额定非线性负载）</w:t>
            </w:r>
            <w:r>
              <w:rPr>
                <w:rFonts w:hint="eastAsia" w:asciiTheme="minorEastAsia" w:hAnsiTheme="minorEastAsia" w:eastAsiaTheme="minorEastAsia" w:cstheme="minorEastAsia"/>
                <w:color w:val="auto"/>
                <w:kern w:val="0"/>
                <w:sz w:val="24"/>
                <w:szCs w:val="24"/>
                <w:highlight w:val="none"/>
                <w:lang w:eastAsia="zh-CN" w:bidi="ar"/>
              </w:rPr>
              <w:t>；</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8）过载能力</w:t>
            </w:r>
            <w:r>
              <w:rPr>
                <w:rFonts w:hint="eastAsia" w:asciiTheme="minorEastAsia" w:hAnsiTheme="minorEastAsia" w:eastAsiaTheme="minorEastAsia" w:cstheme="minorEastAsia"/>
                <w:color w:val="auto"/>
                <w:kern w:val="0"/>
                <w:sz w:val="24"/>
                <w:szCs w:val="24"/>
                <w:highlight w:val="none"/>
                <w:lang w:eastAsia="zh-CN" w:bidi="ar"/>
              </w:rPr>
              <w:t>：</w:t>
            </w:r>
            <w:r>
              <w:rPr>
                <w:rFonts w:hint="eastAsia" w:asciiTheme="minorEastAsia" w:hAnsiTheme="minorEastAsia" w:eastAsiaTheme="minorEastAsia" w:cstheme="minorEastAsia"/>
                <w:color w:val="auto"/>
                <w:kern w:val="0"/>
                <w:sz w:val="24"/>
                <w:szCs w:val="24"/>
                <w:highlight w:val="none"/>
                <w:lang w:bidi="ar"/>
              </w:rPr>
              <w:t>≤105% 额定负载时，连续工作；</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106%~125%额定负载时10min；</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 xml:space="preserve">126~ 150%额定负载时1min； </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&gt;150%额定负载时，1s</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9.其它参数</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1）整机效率</w:t>
            </w:r>
            <w:r>
              <w:rPr>
                <w:rFonts w:hint="eastAsia" w:asciiTheme="minorEastAsia" w:hAnsiTheme="minorEastAsia" w:eastAsiaTheme="minorEastAsia" w:cstheme="minorEastAsia"/>
                <w:color w:val="auto"/>
                <w:kern w:val="0"/>
                <w:sz w:val="24"/>
                <w:szCs w:val="24"/>
                <w:highlight w:val="none"/>
                <w:lang w:val="en-US" w:eastAsia="zh-CN" w:bidi="ar"/>
              </w:rPr>
              <w:t>≥</w:t>
            </w:r>
            <w:r>
              <w:rPr>
                <w:rFonts w:hint="eastAsia" w:asciiTheme="minorEastAsia" w:hAnsiTheme="minorEastAsia" w:eastAsiaTheme="minorEastAsia" w:cstheme="minorEastAsia"/>
                <w:color w:val="auto"/>
                <w:kern w:val="0"/>
                <w:sz w:val="24"/>
                <w:szCs w:val="24"/>
                <w:highlight w:val="none"/>
                <w:lang w:bidi="ar"/>
              </w:rPr>
              <w:t>9</w:t>
            </w:r>
            <w:r>
              <w:rPr>
                <w:rFonts w:hint="eastAsia" w:asciiTheme="minorEastAsia" w:hAnsiTheme="minorEastAsia" w:eastAsiaTheme="minorEastAsia" w:cstheme="minorEastAsia"/>
                <w:color w:val="auto"/>
                <w:kern w:val="0"/>
                <w:sz w:val="24"/>
                <w:szCs w:val="24"/>
                <w:highlight w:val="none"/>
                <w:lang w:val="en-US" w:eastAsia="zh-CN" w:bidi="ar"/>
              </w:rPr>
              <w:t>5</w:t>
            </w:r>
            <w:r>
              <w:rPr>
                <w:rFonts w:hint="eastAsia" w:asciiTheme="minorEastAsia" w:hAnsiTheme="minorEastAsia" w:eastAsiaTheme="minorEastAsia" w:cstheme="minorEastAsia"/>
                <w:color w:val="auto"/>
                <w:kern w:val="0"/>
                <w:sz w:val="24"/>
                <w:szCs w:val="24"/>
                <w:highlight w:val="none"/>
                <w:lang w:bidi="ar"/>
              </w:rPr>
              <w:t>%</w:t>
            </w:r>
            <w:r>
              <w:rPr>
                <w:rFonts w:hint="eastAsia" w:asciiTheme="minorEastAsia" w:hAnsiTheme="minorEastAsia" w:eastAsiaTheme="minorEastAsia" w:cstheme="minorEastAsia"/>
                <w:color w:val="auto"/>
                <w:kern w:val="0"/>
                <w:sz w:val="24"/>
                <w:szCs w:val="24"/>
                <w:highlight w:val="none"/>
                <w:lang w:eastAsia="zh-CN" w:bidi="ar"/>
              </w:rPr>
              <w:t>；</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2）UPS内置式手动维护旁路，标配输出开关，主输入开关，旁路输入开关，手动维护旁路。</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10.UPS功能</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1）UPS在电池放电时，应可预测并显示电池的剩余容量</w:t>
            </w:r>
            <w:r>
              <w:rPr>
                <w:rFonts w:hint="eastAsia" w:asciiTheme="minorEastAsia" w:hAnsiTheme="minorEastAsia" w:eastAsiaTheme="minorEastAsia" w:cstheme="minorEastAsia"/>
                <w:color w:val="auto"/>
                <w:kern w:val="0"/>
                <w:sz w:val="24"/>
                <w:szCs w:val="24"/>
                <w:highlight w:val="none"/>
                <w:lang w:eastAsia="zh-CN" w:bidi="ar"/>
              </w:rPr>
              <w:t>；</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2）UPS必须具备双回路输入功能，支持两路不同的市电分别输入到UPS主回路及UPS旁路，提供系统的供电可靠性</w:t>
            </w:r>
            <w:r>
              <w:rPr>
                <w:rFonts w:hint="eastAsia" w:asciiTheme="minorEastAsia" w:hAnsiTheme="minorEastAsia" w:eastAsiaTheme="minorEastAsia" w:cstheme="minorEastAsia"/>
                <w:color w:val="auto"/>
                <w:kern w:val="0"/>
                <w:sz w:val="24"/>
                <w:szCs w:val="24"/>
                <w:highlight w:val="none"/>
                <w:lang w:eastAsia="zh-CN" w:bidi="ar"/>
              </w:rPr>
              <w:t>；</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3）UPS必须配置2个以上辅助电源供电电路，保证UPS设备自身供电安全</w:t>
            </w:r>
            <w:r>
              <w:rPr>
                <w:rFonts w:hint="eastAsia" w:asciiTheme="minorEastAsia" w:hAnsiTheme="minorEastAsia" w:eastAsiaTheme="minorEastAsia" w:cstheme="minorEastAsia"/>
                <w:color w:val="auto"/>
                <w:kern w:val="0"/>
                <w:sz w:val="24"/>
                <w:szCs w:val="24"/>
                <w:highlight w:val="none"/>
                <w:lang w:eastAsia="zh-CN" w:bidi="ar"/>
              </w:rPr>
              <w:t>；</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4）UPS通风装置必需具有多段式速度控制，可根据负载率及周边温度，自动调整风扇转速。风机应该支持在线热插拔更换功能。</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11.UPS应该具有标配RS232通信接口，具备监控系统和信息网两路独立的智能卡插槽，可同时接2个智能通信卡。内置USB接口，方便固件升级或事件日志下载。</w:t>
            </w:r>
          </w:p>
        </w:tc>
        <w:tc>
          <w:tcPr>
            <w:tcW w:w="721" w:type="dxa"/>
            <w:vAlign w:val="center"/>
          </w:tcPr>
          <w:p w14:paraId="77E82CE5">
            <w:pPr>
              <w:keepNext w:val="0"/>
              <w:keepLines w:val="0"/>
              <w:pageBreakBefore w:val="0"/>
              <w:widowControl/>
              <w:kinsoku/>
              <w:wordWrap/>
              <w:overflowPunct/>
              <w:topLinePunct w:val="0"/>
              <w:autoSpaceDE/>
              <w:autoSpaceDN/>
              <w:bidi w:val="0"/>
              <w:adjustRightInd/>
              <w:snapToGrid w:val="0"/>
              <w:spacing w:line="300" w:lineRule="auto"/>
              <w:jc w:val="center"/>
              <w:textAlignment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1台</w:t>
            </w:r>
          </w:p>
        </w:tc>
        <w:tc>
          <w:tcPr>
            <w:tcW w:w="1112" w:type="dxa"/>
            <w:vAlign w:val="center"/>
          </w:tcPr>
          <w:p w14:paraId="3DEE256A">
            <w:pPr>
              <w:keepNext w:val="0"/>
              <w:keepLines w:val="0"/>
              <w:pageBreakBefore w:val="0"/>
              <w:widowControl/>
              <w:kinsoku/>
              <w:wordWrap/>
              <w:overflowPunct/>
              <w:topLinePunct w:val="0"/>
              <w:autoSpaceDE/>
              <w:autoSpaceDN/>
              <w:bidi w:val="0"/>
              <w:adjustRightInd/>
              <w:snapToGrid w:val="0"/>
              <w:spacing w:line="300" w:lineRule="auto"/>
              <w:jc w:val="center"/>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37800</w:t>
            </w:r>
          </w:p>
        </w:tc>
        <w:tc>
          <w:tcPr>
            <w:tcW w:w="905" w:type="dxa"/>
            <w:vMerge w:val="restart"/>
            <w:vAlign w:val="center"/>
          </w:tcPr>
          <w:p w14:paraId="447C67D2">
            <w:pPr>
              <w:keepNext w:val="0"/>
              <w:keepLines w:val="0"/>
              <w:pageBreakBefore w:val="0"/>
              <w:widowControl/>
              <w:kinsoku/>
              <w:wordWrap/>
              <w:overflowPunct/>
              <w:topLinePunct w:val="0"/>
              <w:autoSpaceDE/>
              <w:autoSpaceDN/>
              <w:bidi w:val="0"/>
              <w:adjustRightInd/>
              <w:snapToGrid w:val="0"/>
              <w:spacing w:line="300" w:lineRule="auto"/>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工业</w:t>
            </w:r>
          </w:p>
        </w:tc>
      </w:tr>
      <w:tr w14:paraId="1BB4B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dxa"/>
          <w:trHeight w:val="542" w:hRule="atLeast"/>
          <w:jc w:val="center"/>
        </w:trPr>
        <w:tc>
          <w:tcPr>
            <w:tcW w:w="311" w:type="dxa"/>
            <w:vAlign w:val="center"/>
          </w:tcPr>
          <w:p w14:paraId="2B1BF418">
            <w:pPr>
              <w:keepNext w:val="0"/>
              <w:keepLines w:val="0"/>
              <w:pageBreakBefore w:val="0"/>
              <w:widowControl/>
              <w:kinsoku/>
              <w:wordWrap/>
              <w:overflowPunct/>
              <w:topLinePunct w:val="0"/>
              <w:autoSpaceDE/>
              <w:autoSpaceDN/>
              <w:bidi w:val="0"/>
              <w:adjustRightInd/>
              <w:snapToGrid w:val="0"/>
              <w:spacing w:line="300" w:lineRule="auto"/>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w:t>
            </w:r>
          </w:p>
        </w:tc>
        <w:tc>
          <w:tcPr>
            <w:tcW w:w="1147" w:type="dxa"/>
            <w:tcMar>
              <w:top w:w="15" w:type="dxa"/>
              <w:left w:w="15" w:type="dxa"/>
              <w:bottom w:w="0" w:type="dxa"/>
              <w:right w:w="15" w:type="dxa"/>
            </w:tcMar>
            <w:vAlign w:val="center"/>
          </w:tcPr>
          <w:p w14:paraId="3F54EB66">
            <w:pPr>
              <w:keepNext w:val="0"/>
              <w:keepLines w:val="0"/>
              <w:pageBreakBefore w:val="0"/>
              <w:widowControl/>
              <w:kinsoku/>
              <w:wordWrap/>
              <w:overflowPunct/>
              <w:topLinePunct w:val="0"/>
              <w:autoSpaceDE/>
              <w:autoSpaceDN/>
              <w:bidi w:val="0"/>
              <w:adjustRightInd/>
              <w:snapToGrid w:val="0"/>
              <w:spacing w:line="300" w:lineRule="auto"/>
              <w:jc w:val="center"/>
              <w:textAlignment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蓄电池</w:t>
            </w:r>
          </w:p>
        </w:tc>
        <w:tc>
          <w:tcPr>
            <w:tcW w:w="5629" w:type="dxa"/>
            <w:vAlign w:val="top"/>
          </w:tcPr>
          <w:p w14:paraId="136181C0">
            <w:pPr>
              <w:keepNext w:val="0"/>
              <w:keepLines w:val="0"/>
              <w:pageBreakBefore w:val="0"/>
              <w:widowControl/>
              <w:kinsoku/>
              <w:wordWrap/>
              <w:overflowPunct/>
              <w:topLinePunct w:val="0"/>
              <w:autoSpaceDE/>
              <w:autoSpaceDN/>
              <w:bidi w:val="0"/>
              <w:adjustRightInd/>
              <w:snapToGrid w:val="0"/>
              <w:spacing w:line="300" w:lineRule="auto"/>
              <w:jc w:val="both"/>
              <w:textAlignment w:val="center"/>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bidi="ar"/>
              </w:rPr>
              <w:t>电池容量：100AH（安时）电池类型：铅酸密封电池电池电压：12V（直流）小时率：20小时率端子类型：铜端子（下旋）净重：</w:t>
            </w:r>
            <w:r>
              <w:rPr>
                <w:rFonts w:hint="eastAsia" w:asciiTheme="minorEastAsia" w:hAnsiTheme="minorEastAsia" w:eastAsiaTheme="minorEastAsia" w:cstheme="minorEastAsia"/>
                <w:color w:val="auto"/>
                <w:kern w:val="0"/>
                <w:sz w:val="24"/>
                <w:szCs w:val="24"/>
                <w:highlight w:val="none"/>
                <w:lang w:val="en-US" w:eastAsia="zh-CN" w:bidi="ar"/>
              </w:rPr>
              <w:t>≥</w:t>
            </w:r>
            <w:r>
              <w:rPr>
                <w:rFonts w:hint="eastAsia" w:asciiTheme="minorEastAsia" w:hAnsiTheme="minorEastAsia" w:eastAsiaTheme="minorEastAsia" w:cstheme="minorEastAsia"/>
                <w:color w:val="auto"/>
                <w:kern w:val="0"/>
                <w:sz w:val="24"/>
                <w:szCs w:val="24"/>
                <w:highlight w:val="none"/>
                <w:lang w:bidi="ar"/>
              </w:rPr>
              <w:t>28.00kg（公斤）尺寸（LWH）：3</w:t>
            </w:r>
            <w:r>
              <w:rPr>
                <w:rFonts w:hint="eastAsia" w:asciiTheme="minorEastAsia" w:hAnsiTheme="minorEastAsia" w:eastAsiaTheme="minorEastAsia" w:cstheme="minorEastAsia"/>
                <w:color w:val="auto"/>
                <w:kern w:val="0"/>
                <w:sz w:val="24"/>
                <w:szCs w:val="24"/>
                <w:highlight w:val="none"/>
                <w:lang w:val="en-US" w:eastAsia="zh-CN" w:bidi="ar"/>
              </w:rPr>
              <w:t>30</w:t>
            </w:r>
            <w:r>
              <w:rPr>
                <w:rFonts w:hint="eastAsia" w:asciiTheme="minorEastAsia" w:hAnsiTheme="minorEastAsia" w:eastAsiaTheme="minorEastAsia" w:cstheme="minorEastAsia"/>
                <w:color w:val="auto"/>
                <w:kern w:val="0"/>
                <w:sz w:val="24"/>
                <w:szCs w:val="24"/>
                <w:highlight w:val="none"/>
                <w:lang w:bidi="ar"/>
              </w:rPr>
              <w:t>*17</w:t>
            </w:r>
            <w:r>
              <w:rPr>
                <w:rFonts w:hint="eastAsia" w:asciiTheme="minorEastAsia" w:hAnsiTheme="minorEastAsia" w:eastAsiaTheme="minorEastAsia" w:cstheme="minorEastAsia"/>
                <w:color w:val="auto"/>
                <w:kern w:val="0"/>
                <w:sz w:val="24"/>
                <w:szCs w:val="24"/>
                <w:highlight w:val="none"/>
                <w:lang w:val="en-US" w:eastAsia="zh-CN" w:bidi="ar"/>
              </w:rPr>
              <w:t>0</w:t>
            </w:r>
            <w:r>
              <w:rPr>
                <w:rFonts w:hint="eastAsia" w:asciiTheme="minorEastAsia" w:hAnsiTheme="minorEastAsia" w:eastAsiaTheme="minorEastAsia" w:cstheme="minorEastAsia"/>
                <w:color w:val="auto"/>
                <w:kern w:val="0"/>
                <w:sz w:val="24"/>
                <w:szCs w:val="24"/>
                <w:highlight w:val="none"/>
                <w:lang w:bidi="ar"/>
              </w:rPr>
              <w:t>*22</w:t>
            </w:r>
            <w:r>
              <w:rPr>
                <w:rFonts w:hint="eastAsia" w:asciiTheme="minorEastAsia" w:hAnsiTheme="minorEastAsia" w:eastAsiaTheme="minorEastAsia" w:cstheme="minorEastAsia"/>
                <w:color w:val="auto"/>
                <w:kern w:val="0"/>
                <w:sz w:val="24"/>
                <w:szCs w:val="24"/>
                <w:highlight w:val="none"/>
                <w:lang w:val="en-US" w:eastAsia="zh-CN" w:bidi="ar"/>
              </w:rPr>
              <w:t>0</w:t>
            </w:r>
            <w:r>
              <w:rPr>
                <w:rFonts w:hint="eastAsia" w:asciiTheme="minorEastAsia" w:hAnsiTheme="minorEastAsia" w:eastAsiaTheme="minorEastAsia" w:cstheme="minorEastAsia"/>
                <w:color w:val="auto"/>
                <w:kern w:val="0"/>
                <w:sz w:val="24"/>
                <w:szCs w:val="24"/>
                <w:highlight w:val="none"/>
                <w:lang w:bidi="ar"/>
              </w:rPr>
              <w:t>mm</w:t>
            </w:r>
            <w:r>
              <w:rPr>
                <w:rFonts w:hint="eastAsia" w:asciiTheme="minorEastAsia" w:hAnsiTheme="minorEastAsia" w:eastAsiaTheme="minorEastAsia" w:cstheme="minorEastAsia"/>
                <w:color w:val="auto"/>
                <w:kern w:val="0"/>
                <w:sz w:val="24"/>
                <w:szCs w:val="24"/>
                <w:highlight w:val="none"/>
                <w:lang w:eastAsia="zh-CN" w:bidi="ar"/>
              </w:rPr>
              <w:t>（</w:t>
            </w:r>
            <w:r>
              <w:rPr>
                <w:rFonts w:hint="eastAsia" w:asciiTheme="minorEastAsia" w:hAnsiTheme="minorEastAsia" w:eastAsiaTheme="minorEastAsia" w:cstheme="minorEastAsia"/>
                <w:color w:val="auto"/>
                <w:kern w:val="0"/>
                <w:sz w:val="24"/>
                <w:szCs w:val="24"/>
                <w:highlight w:val="none"/>
                <w:lang w:val="en-US" w:eastAsia="zh-CN" w:bidi="ar"/>
              </w:rPr>
              <w:t>±10mm）</w:t>
            </w:r>
          </w:p>
        </w:tc>
        <w:tc>
          <w:tcPr>
            <w:tcW w:w="721" w:type="dxa"/>
            <w:vAlign w:val="center"/>
          </w:tcPr>
          <w:p w14:paraId="18EAF4F3">
            <w:pPr>
              <w:keepNext w:val="0"/>
              <w:keepLines w:val="0"/>
              <w:pageBreakBefore w:val="0"/>
              <w:widowControl/>
              <w:kinsoku/>
              <w:wordWrap/>
              <w:overflowPunct/>
              <w:topLinePunct w:val="0"/>
              <w:autoSpaceDE/>
              <w:autoSpaceDN/>
              <w:bidi w:val="0"/>
              <w:adjustRightInd/>
              <w:snapToGrid w:val="0"/>
              <w:spacing w:line="300" w:lineRule="auto"/>
              <w:jc w:val="center"/>
              <w:textAlignment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96块</w:t>
            </w:r>
          </w:p>
        </w:tc>
        <w:tc>
          <w:tcPr>
            <w:tcW w:w="1112" w:type="dxa"/>
            <w:vAlign w:val="center"/>
          </w:tcPr>
          <w:p w14:paraId="59E807B3">
            <w:pPr>
              <w:keepNext w:val="0"/>
              <w:keepLines w:val="0"/>
              <w:pageBreakBefore w:val="0"/>
              <w:widowControl/>
              <w:kinsoku/>
              <w:wordWrap/>
              <w:overflowPunct/>
              <w:topLinePunct w:val="0"/>
              <w:autoSpaceDE/>
              <w:autoSpaceDN/>
              <w:bidi w:val="0"/>
              <w:adjustRightInd/>
              <w:snapToGrid w:val="0"/>
              <w:spacing w:line="300" w:lineRule="auto"/>
              <w:jc w:val="center"/>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900</w:t>
            </w:r>
          </w:p>
        </w:tc>
        <w:tc>
          <w:tcPr>
            <w:tcW w:w="905" w:type="dxa"/>
            <w:vMerge w:val="continue"/>
            <w:vAlign w:val="center"/>
          </w:tcPr>
          <w:p w14:paraId="389FEF05">
            <w:pPr>
              <w:keepNext w:val="0"/>
              <w:keepLines w:val="0"/>
              <w:pageBreakBefore w:val="0"/>
              <w:widowControl/>
              <w:kinsoku/>
              <w:wordWrap/>
              <w:overflowPunct/>
              <w:topLinePunct w:val="0"/>
              <w:autoSpaceDE/>
              <w:autoSpaceDN/>
              <w:bidi w:val="0"/>
              <w:adjustRightInd/>
              <w:snapToGrid w:val="0"/>
              <w:spacing w:line="300" w:lineRule="auto"/>
              <w:jc w:val="center"/>
              <w:rPr>
                <w:rFonts w:hint="eastAsia" w:asciiTheme="minorEastAsia" w:hAnsiTheme="minorEastAsia" w:eastAsiaTheme="minorEastAsia" w:cstheme="minorEastAsia"/>
                <w:color w:val="auto"/>
                <w:sz w:val="24"/>
                <w:szCs w:val="24"/>
                <w:highlight w:val="none"/>
              </w:rPr>
            </w:pPr>
          </w:p>
        </w:tc>
      </w:tr>
      <w:tr w14:paraId="06A76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dxa"/>
          <w:trHeight w:val="542" w:hRule="atLeast"/>
          <w:jc w:val="center"/>
        </w:trPr>
        <w:tc>
          <w:tcPr>
            <w:tcW w:w="311" w:type="dxa"/>
            <w:vAlign w:val="center"/>
          </w:tcPr>
          <w:p w14:paraId="4CC93ACD">
            <w:pPr>
              <w:keepNext w:val="0"/>
              <w:keepLines w:val="0"/>
              <w:pageBreakBefore w:val="0"/>
              <w:widowControl/>
              <w:kinsoku/>
              <w:wordWrap/>
              <w:overflowPunct/>
              <w:topLinePunct w:val="0"/>
              <w:autoSpaceDE/>
              <w:autoSpaceDN/>
              <w:bidi w:val="0"/>
              <w:adjustRightInd/>
              <w:snapToGrid w:val="0"/>
              <w:spacing w:line="300" w:lineRule="auto"/>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w:t>
            </w:r>
          </w:p>
        </w:tc>
        <w:tc>
          <w:tcPr>
            <w:tcW w:w="1147" w:type="dxa"/>
            <w:tcMar>
              <w:top w:w="15" w:type="dxa"/>
              <w:left w:w="15" w:type="dxa"/>
              <w:bottom w:w="0" w:type="dxa"/>
              <w:right w:w="15" w:type="dxa"/>
            </w:tcMar>
            <w:vAlign w:val="center"/>
          </w:tcPr>
          <w:p w14:paraId="6342516E">
            <w:pPr>
              <w:keepNext w:val="0"/>
              <w:keepLines w:val="0"/>
              <w:pageBreakBefore w:val="0"/>
              <w:widowControl/>
              <w:kinsoku/>
              <w:wordWrap/>
              <w:overflowPunct/>
              <w:topLinePunct w:val="0"/>
              <w:autoSpaceDE/>
              <w:autoSpaceDN/>
              <w:bidi w:val="0"/>
              <w:adjustRightInd/>
              <w:snapToGrid w:val="0"/>
              <w:spacing w:line="300" w:lineRule="auto"/>
              <w:jc w:val="center"/>
              <w:textAlignment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电池连接线</w:t>
            </w:r>
          </w:p>
        </w:tc>
        <w:tc>
          <w:tcPr>
            <w:tcW w:w="5629" w:type="dxa"/>
            <w:vAlign w:val="top"/>
          </w:tcPr>
          <w:p w14:paraId="6E23B51F">
            <w:pPr>
              <w:keepNext w:val="0"/>
              <w:keepLines w:val="0"/>
              <w:pageBreakBefore w:val="0"/>
              <w:widowControl/>
              <w:kinsoku/>
              <w:wordWrap/>
              <w:overflowPunct/>
              <w:topLinePunct w:val="0"/>
              <w:autoSpaceDE/>
              <w:autoSpaceDN/>
              <w:bidi w:val="0"/>
              <w:adjustRightInd/>
              <w:snapToGrid w:val="0"/>
              <w:spacing w:line="300" w:lineRule="auto"/>
              <w:jc w:val="both"/>
              <w:textAlignment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定制成品25平方铜芯软线</w:t>
            </w:r>
          </w:p>
        </w:tc>
        <w:tc>
          <w:tcPr>
            <w:tcW w:w="721" w:type="dxa"/>
            <w:vAlign w:val="center"/>
          </w:tcPr>
          <w:p w14:paraId="0D139404">
            <w:pPr>
              <w:keepNext w:val="0"/>
              <w:keepLines w:val="0"/>
              <w:pageBreakBefore w:val="0"/>
              <w:widowControl/>
              <w:kinsoku/>
              <w:wordWrap/>
              <w:overflowPunct/>
              <w:topLinePunct w:val="0"/>
              <w:autoSpaceDE/>
              <w:autoSpaceDN/>
              <w:bidi w:val="0"/>
              <w:adjustRightInd/>
              <w:snapToGrid w:val="0"/>
              <w:spacing w:line="300" w:lineRule="auto"/>
              <w:jc w:val="center"/>
              <w:textAlignment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3套</w:t>
            </w:r>
          </w:p>
        </w:tc>
        <w:tc>
          <w:tcPr>
            <w:tcW w:w="1112" w:type="dxa"/>
            <w:vAlign w:val="center"/>
          </w:tcPr>
          <w:p w14:paraId="4B233DBA">
            <w:pPr>
              <w:keepNext w:val="0"/>
              <w:keepLines w:val="0"/>
              <w:pageBreakBefore w:val="0"/>
              <w:widowControl/>
              <w:kinsoku/>
              <w:wordWrap/>
              <w:overflowPunct/>
              <w:topLinePunct w:val="0"/>
              <w:autoSpaceDE/>
              <w:autoSpaceDN/>
              <w:bidi w:val="0"/>
              <w:adjustRightInd/>
              <w:snapToGrid w:val="0"/>
              <w:spacing w:line="300" w:lineRule="auto"/>
              <w:jc w:val="center"/>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4000</w:t>
            </w:r>
          </w:p>
        </w:tc>
        <w:tc>
          <w:tcPr>
            <w:tcW w:w="905" w:type="dxa"/>
            <w:vMerge w:val="continue"/>
            <w:vAlign w:val="center"/>
          </w:tcPr>
          <w:p w14:paraId="4FC5C339">
            <w:pPr>
              <w:keepNext w:val="0"/>
              <w:keepLines w:val="0"/>
              <w:pageBreakBefore w:val="0"/>
              <w:widowControl/>
              <w:kinsoku/>
              <w:wordWrap/>
              <w:overflowPunct/>
              <w:topLinePunct w:val="0"/>
              <w:autoSpaceDE/>
              <w:autoSpaceDN/>
              <w:bidi w:val="0"/>
              <w:adjustRightInd/>
              <w:snapToGrid w:val="0"/>
              <w:spacing w:line="300" w:lineRule="auto"/>
              <w:jc w:val="center"/>
              <w:rPr>
                <w:rFonts w:hint="eastAsia" w:asciiTheme="minorEastAsia" w:hAnsiTheme="minorEastAsia" w:eastAsiaTheme="minorEastAsia" w:cstheme="minorEastAsia"/>
                <w:color w:val="auto"/>
                <w:sz w:val="24"/>
                <w:szCs w:val="24"/>
                <w:highlight w:val="none"/>
              </w:rPr>
            </w:pPr>
          </w:p>
        </w:tc>
      </w:tr>
      <w:tr w14:paraId="1DA4F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dxa"/>
          <w:trHeight w:val="542" w:hRule="atLeast"/>
          <w:jc w:val="center"/>
        </w:trPr>
        <w:tc>
          <w:tcPr>
            <w:tcW w:w="311" w:type="dxa"/>
            <w:vAlign w:val="center"/>
          </w:tcPr>
          <w:p w14:paraId="6AB5B6B2">
            <w:pPr>
              <w:keepNext w:val="0"/>
              <w:keepLines w:val="0"/>
              <w:pageBreakBefore w:val="0"/>
              <w:widowControl/>
              <w:kinsoku/>
              <w:wordWrap/>
              <w:overflowPunct/>
              <w:topLinePunct w:val="0"/>
              <w:autoSpaceDE/>
              <w:autoSpaceDN/>
              <w:bidi w:val="0"/>
              <w:adjustRightInd/>
              <w:snapToGrid w:val="0"/>
              <w:spacing w:line="300" w:lineRule="auto"/>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4</w:t>
            </w:r>
          </w:p>
        </w:tc>
        <w:tc>
          <w:tcPr>
            <w:tcW w:w="1147" w:type="dxa"/>
            <w:tcMar>
              <w:top w:w="15" w:type="dxa"/>
              <w:left w:w="15" w:type="dxa"/>
              <w:bottom w:w="0" w:type="dxa"/>
              <w:right w:w="15" w:type="dxa"/>
            </w:tcMar>
            <w:vAlign w:val="center"/>
          </w:tcPr>
          <w:p w14:paraId="0C2F79C1">
            <w:pPr>
              <w:keepNext w:val="0"/>
              <w:keepLines w:val="0"/>
              <w:pageBreakBefore w:val="0"/>
              <w:widowControl/>
              <w:kinsoku/>
              <w:wordWrap/>
              <w:overflowPunct/>
              <w:topLinePunct w:val="0"/>
              <w:autoSpaceDE/>
              <w:autoSpaceDN/>
              <w:bidi w:val="0"/>
              <w:adjustRightInd/>
              <w:snapToGrid w:val="0"/>
              <w:spacing w:line="300" w:lineRule="auto"/>
              <w:jc w:val="center"/>
              <w:textAlignment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直流空开箱</w:t>
            </w:r>
          </w:p>
        </w:tc>
        <w:tc>
          <w:tcPr>
            <w:tcW w:w="5629" w:type="dxa"/>
            <w:vAlign w:val="top"/>
          </w:tcPr>
          <w:p w14:paraId="2B2F2162">
            <w:pPr>
              <w:keepNext w:val="0"/>
              <w:keepLines w:val="0"/>
              <w:pageBreakBefore w:val="0"/>
              <w:widowControl/>
              <w:kinsoku/>
              <w:wordWrap/>
              <w:overflowPunct/>
              <w:topLinePunct w:val="0"/>
              <w:autoSpaceDE/>
              <w:autoSpaceDN/>
              <w:bidi w:val="0"/>
              <w:adjustRightInd/>
              <w:snapToGrid w:val="0"/>
              <w:spacing w:line="300" w:lineRule="auto"/>
              <w:jc w:val="both"/>
              <w:textAlignment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定制空开箱含DC100A直流空开及配件</w:t>
            </w:r>
          </w:p>
        </w:tc>
        <w:tc>
          <w:tcPr>
            <w:tcW w:w="721" w:type="dxa"/>
            <w:vAlign w:val="center"/>
          </w:tcPr>
          <w:p w14:paraId="6B288D84">
            <w:pPr>
              <w:keepNext w:val="0"/>
              <w:keepLines w:val="0"/>
              <w:pageBreakBefore w:val="0"/>
              <w:widowControl/>
              <w:kinsoku/>
              <w:wordWrap/>
              <w:overflowPunct/>
              <w:topLinePunct w:val="0"/>
              <w:autoSpaceDE/>
              <w:autoSpaceDN/>
              <w:bidi w:val="0"/>
              <w:adjustRightInd/>
              <w:snapToGrid w:val="0"/>
              <w:spacing w:line="300" w:lineRule="auto"/>
              <w:jc w:val="center"/>
              <w:textAlignment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3套</w:t>
            </w:r>
          </w:p>
        </w:tc>
        <w:tc>
          <w:tcPr>
            <w:tcW w:w="1112" w:type="dxa"/>
            <w:vAlign w:val="center"/>
          </w:tcPr>
          <w:p w14:paraId="36AE0450">
            <w:pPr>
              <w:keepNext w:val="0"/>
              <w:keepLines w:val="0"/>
              <w:pageBreakBefore w:val="0"/>
              <w:widowControl/>
              <w:kinsoku/>
              <w:wordWrap/>
              <w:overflowPunct/>
              <w:topLinePunct w:val="0"/>
              <w:autoSpaceDE/>
              <w:autoSpaceDN/>
              <w:bidi w:val="0"/>
              <w:adjustRightInd/>
              <w:snapToGrid w:val="0"/>
              <w:spacing w:line="300" w:lineRule="auto"/>
              <w:jc w:val="center"/>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950</w:t>
            </w:r>
          </w:p>
        </w:tc>
        <w:tc>
          <w:tcPr>
            <w:tcW w:w="905" w:type="dxa"/>
            <w:vMerge w:val="continue"/>
            <w:vAlign w:val="center"/>
          </w:tcPr>
          <w:p w14:paraId="7765D78B">
            <w:pPr>
              <w:keepNext w:val="0"/>
              <w:keepLines w:val="0"/>
              <w:pageBreakBefore w:val="0"/>
              <w:widowControl/>
              <w:kinsoku/>
              <w:wordWrap/>
              <w:overflowPunct/>
              <w:topLinePunct w:val="0"/>
              <w:autoSpaceDE/>
              <w:autoSpaceDN/>
              <w:bidi w:val="0"/>
              <w:adjustRightInd/>
              <w:snapToGrid w:val="0"/>
              <w:spacing w:line="300" w:lineRule="auto"/>
              <w:jc w:val="center"/>
              <w:rPr>
                <w:rFonts w:hint="eastAsia" w:asciiTheme="minorEastAsia" w:hAnsiTheme="minorEastAsia" w:eastAsiaTheme="minorEastAsia" w:cstheme="minorEastAsia"/>
                <w:color w:val="auto"/>
                <w:sz w:val="24"/>
                <w:szCs w:val="24"/>
                <w:highlight w:val="none"/>
              </w:rPr>
            </w:pPr>
          </w:p>
        </w:tc>
      </w:tr>
      <w:tr w14:paraId="63316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dxa"/>
          <w:trHeight w:val="542" w:hRule="atLeast"/>
          <w:jc w:val="center"/>
        </w:trPr>
        <w:tc>
          <w:tcPr>
            <w:tcW w:w="311" w:type="dxa"/>
            <w:vAlign w:val="center"/>
          </w:tcPr>
          <w:p w14:paraId="65313A1A">
            <w:pPr>
              <w:keepNext w:val="0"/>
              <w:keepLines w:val="0"/>
              <w:pageBreakBefore w:val="0"/>
              <w:widowControl/>
              <w:kinsoku/>
              <w:wordWrap/>
              <w:overflowPunct/>
              <w:topLinePunct w:val="0"/>
              <w:autoSpaceDE/>
              <w:autoSpaceDN/>
              <w:bidi w:val="0"/>
              <w:adjustRightInd/>
              <w:snapToGrid w:val="0"/>
              <w:spacing w:line="30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5</w:t>
            </w:r>
          </w:p>
        </w:tc>
        <w:tc>
          <w:tcPr>
            <w:tcW w:w="1147" w:type="dxa"/>
            <w:tcMar>
              <w:top w:w="15" w:type="dxa"/>
              <w:left w:w="15" w:type="dxa"/>
              <w:bottom w:w="0" w:type="dxa"/>
              <w:right w:w="15" w:type="dxa"/>
            </w:tcMar>
            <w:vAlign w:val="center"/>
          </w:tcPr>
          <w:p w14:paraId="5946C504">
            <w:pPr>
              <w:keepNext w:val="0"/>
              <w:keepLines w:val="0"/>
              <w:pageBreakBefore w:val="0"/>
              <w:widowControl/>
              <w:kinsoku/>
              <w:wordWrap/>
              <w:overflowPunct/>
              <w:topLinePunct w:val="0"/>
              <w:autoSpaceDE/>
              <w:autoSpaceDN/>
              <w:bidi w:val="0"/>
              <w:adjustRightInd/>
              <w:snapToGrid w:val="0"/>
              <w:spacing w:line="300" w:lineRule="auto"/>
              <w:jc w:val="center"/>
              <w:textAlignment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UPS输入输出线缆</w:t>
            </w:r>
          </w:p>
        </w:tc>
        <w:tc>
          <w:tcPr>
            <w:tcW w:w="5629" w:type="dxa"/>
            <w:vAlign w:val="top"/>
          </w:tcPr>
          <w:p w14:paraId="1135887C">
            <w:pPr>
              <w:keepNext w:val="0"/>
              <w:keepLines w:val="0"/>
              <w:pageBreakBefore w:val="0"/>
              <w:widowControl/>
              <w:kinsoku/>
              <w:wordWrap/>
              <w:overflowPunct/>
              <w:topLinePunct w:val="0"/>
              <w:autoSpaceDE/>
              <w:autoSpaceDN/>
              <w:bidi w:val="0"/>
              <w:adjustRightInd/>
              <w:snapToGrid w:val="0"/>
              <w:spacing w:line="300" w:lineRule="auto"/>
              <w:jc w:val="both"/>
              <w:textAlignment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YJV4*16+1*10</w:t>
            </w:r>
          </w:p>
        </w:tc>
        <w:tc>
          <w:tcPr>
            <w:tcW w:w="721" w:type="dxa"/>
            <w:vAlign w:val="center"/>
          </w:tcPr>
          <w:p w14:paraId="1B39A2CC">
            <w:pPr>
              <w:keepNext w:val="0"/>
              <w:keepLines w:val="0"/>
              <w:pageBreakBefore w:val="0"/>
              <w:widowControl/>
              <w:kinsoku/>
              <w:wordWrap/>
              <w:overflowPunct/>
              <w:topLinePunct w:val="0"/>
              <w:autoSpaceDE/>
              <w:autoSpaceDN/>
              <w:bidi w:val="0"/>
              <w:adjustRightInd/>
              <w:snapToGrid w:val="0"/>
              <w:spacing w:line="300" w:lineRule="auto"/>
              <w:jc w:val="center"/>
              <w:textAlignment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100米</w:t>
            </w:r>
          </w:p>
        </w:tc>
        <w:tc>
          <w:tcPr>
            <w:tcW w:w="1112" w:type="dxa"/>
            <w:vAlign w:val="center"/>
          </w:tcPr>
          <w:p w14:paraId="42A1DAF7">
            <w:pPr>
              <w:keepNext w:val="0"/>
              <w:keepLines w:val="0"/>
              <w:pageBreakBefore w:val="0"/>
              <w:widowControl/>
              <w:kinsoku/>
              <w:wordWrap/>
              <w:overflowPunct/>
              <w:topLinePunct w:val="0"/>
              <w:autoSpaceDE/>
              <w:autoSpaceDN/>
              <w:bidi w:val="0"/>
              <w:adjustRightInd/>
              <w:snapToGrid w:val="0"/>
              <w:spacing w:line="300" w:lineRule="auto"/>
              <w:jc w:val="center"/>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105</w:t>
            </w:r>
          </w:p>
        </w:tc>
        <w:tc>
          <w:tcPr>
            <w:tcW w:w="905" w:type="dxa"/>
            <w:vMerge w:val="continue"/>
            <w:vAlign w:val="center"/>
          </w:tcPr>
          <w:p w14:paraId="4A9D4540">
            <w:pPr>
              <w:keepNext w:val="0"/>
              <w:keepLines w:val="0"/>
              <w:pageBreakBefore w:val="0"/>
              <w:widowControl/>
              <w:kinsoku/>
              <w:wordWrap/>
              <w:overflowPunct/>
              <w:topLinePunct w:val="0"/>
              <w:autoSpaceDE/>
              <w:autoSpaceDN/>
              <w:bidi w:val="0"/>
              <w:adjustRightInd/>
              <w:snapToGrid w:val="0"/>
              <w:spacing w:line="300" w:lineRule="auto"/>
              <w:jc w:val="center"/>
              <w:rPr>
                <w:rFonts w:hint="eastAsia" w:asciiTheme="minorEastAsia" w:hAnsiTheme="minorEastAsia" w:eastAsiaTheme="minorEastAsia" w:cstheme="minorEastAsia"/>
                <w:color w:val="auto"/>
                <w:sz w:val="24"/>
                <w:szCs w:val="24"/>
                <w:highlight w:val="none"/>
              </w:rPr>
            </w:pPr>
          </w:p>
        </w:tc>
      </w:tr>
      <w:tr w14:paraId="6EC11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dxa"/>
          <w:trHeight w:val="542" w:hRule="atLeast"/>
          <w:jc w:val="center"/>
        </w:trPr>
        <w:tc>
          <w:tcPr>
            <w:tcW w:w="311" w:type="dxa"/>
            <w:vAlign w:val="center"/>
          </w:tcPr>
          <w:p w14:paraId="1B900377">
            <w:pPr>
              <w:keepNext w:val="0"/>
              <w:keepLines w:val="0"/>
              <w:pageBreakBefore w:val="0"/>
              <w:widowControl/>
              <w:kinsoku/>
              <w:wordWrap/>
              <w:overflowPunct/>
              <w:topLinePunct w:val="0"/>
              <w:autoSpaceDE/>
              <w:autoSpaceDN/>
              <w:bidi w:val="0"/>
              <w:adjustRightInd/>
              <w:snapToGrid w:val="0"/>
              <w:spacing w:line="30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6</w:t>
            </w:r>
          </w:p>
        </w:tc>
        <w:tc>
          <w:tcPr>
            <w:tcW w:w="1147" w:type="dxa"/>
            <w:tcMar>
              <w:top w:w="15" w:type="dxa"/>
              <w:left w:w="15" w:type="dxa"/>
              <w:bottom w:w="0" w:type="dxa"/>
              <w:right w:w="15" w:type="dxa"/>
            </w:tcMar>
            <w:vAlign w:val="center"/>
          </w:tcPr>
          <w:p w14:paraId="47BD4610">
            <w:pPr>
              <w:keepNext w:val="0"/>
              <w:keepLines w:val="0"/>
              <w:pageBreakBefore w:val="0"/>
              <w:widowControl/>
              <w:kinsoku/>
              <w:wordWrap/>
              <w:overflowPunct/>
              <w:topLinePunct w:val="0"/>
              <w:autoSpaceDE/>
              <w:autoSpaceDN/>
              <w:bidi w:val="0"/>
              <w:adjustRightInd/>
              <w:snapToGrid w:val="0"/>
              <w:spacing w:line="300" w:lineRule="auto"/>
              <w:jc w:val="center"/>
              <w:textAlignment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电池组连接线</w:t>
            </w:r>
          </w:p>
        </w:tc>
        <w:tc>
          <w:tcPr>
            <w:tcW w:w="5629" w:type="dxa"/>
            <w:vAlign w:val="top"/>
          </w:tcPr>
          <w:p w14:paraId="0CF6451F">
            <w:pPr>
              <w:keepNext w:val="0"/>
              <w:keepLines w:val="0"/>
              <w:pageBreakBefore w:val="0"/>
              <w:widowControl/>
              <w:kinsoku/>
              <w:wordWrap/>
              <w:overflowPunct/>
              <w:topLinePunct w:val="0"/>
              <w:autoSpaceDE/>
              <w:autoSpaceDN/>
              <w:bidi w:val="0"/>
              <w:adjustRightInd/>
              <w:snapToGrid w:val="0"/>
              <w:spacing w:line="300" w:lineRule="auto"/>
              <w:jc w:val="both"/>
              <w:textAlignment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BVR25平方</w:t>
            </w:r>
          </w:p>
        </w:tc>
        <w:tc>
          <w:tcPr>
            <w:tcW w:w="721" w:type="dxa"/>
            <w:vAlign w:val="center"/>
          </w:tcPr>
          <w:p w14:paraId="35CE2E8D">
            <w:pPr>
              <w:keepNext w:val="0"/>
              <w:keepLines w:val="0"/>
              <w:pageBreakBefore w:val="0"/>
              <w:widowControl/>
              <w:kinsoku/>
              <w:wordWrap/>
              <w:overflowPunct/>
              <w:topLinePunct w:val="0"/>
              <w:autoSpaceDE/>
              <w:autoSpaceDN/>
              <w:bidi w:val="0"/>
              <w:adjustRightInd/>
              <w:snapToGrid w:val="0"/>
              <w:spacing w:line="300" w:lineRule="auto"/>
              <w:jc w:val="center"/>
              <w:textAlignment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200米</w:t>
            </w:r>
          </w:p>
        </w:tc>
        <w:tc>
          <w:tcPr>
            <w:tcW w:w="1112" w:type="dxa"/>
            <w:vAlign w:val="center"/>
          </w:tcPr>
          <w:p w14:paraId="33A7902D">
            <w:pPr>
              <w:keepNext w:val="0"/>
              <w:keepLines w:val="0"/>
              <w:pageBreakBefore w:val="0"/>
              <w:widowControl/>
              <w:kinsoku/>
              <w:wordWrap/>
              <w:overflowPunct/>
              <w:topLinePunct w:val="0"/>
              <w:autoSpaceDE/>
              <w:autoSpaceDN/>
              <w:bidi w:val="0"/>
              <w:adjustRightInd/>
              <w:snapToGrid w:val="0"/>
              <w:spacing w:line="300" w:lineRule="auto"/>
              <w:jc w:val="center"/>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30</w:t>
            </w:r>
          </w:p>
        </w:tc>
        <w:tc>
          <w:tcPr>
            <w:tcW w:w="905" w:type="dxa"/>
            <w:vMerge w:val="continue"/>
            <w:vAlign w:val="center"/>
          </w:tcPr>
          <w:p w14:paraId="259666A7">
            <w:pPr>
              <w:keepNext w:val="0"/>
              <w:keepLines w:val="0"/>
              <w:pageBreakBefore w:val="0"/>
              <w:widowControl/>
              <w:kinsoku/>
              <w:wordWrap/>
              <w:overflowPunct/>
              <w:topLinePunct w:val="0"/>
              <w:autoSpaceDE/>
              <w:autoSpaceDN/>
              <w:bidi w:val="0"/>
              <w:adjustRightInd/>
              <w:snapToGrid w:val="0"/>
              <w:spacing w:line="300" w:lineRule="auto"/>
              <w:jc w:val="center"/>
              <w:rPr>
                <w:rFonts w:hint="eastAsia" w:asciiTheme="minorEastAsia" w:hAnsiTheme="minorEastAsia" w:eastAsiaTheme="minorEastAsia" w:cstheme="minorEastAsia"/>
                <w:color w:val="auto"/>
                <w:sz w:val="24"/>
                <w:szCs w:val="24"/>
                <w:highlight w:val="none"/>
              </w:rPr>
            </w:pPr>
          </w:p>
        </w:tc>
      </w:tr>
      <w:tr w14:paraId="5CF13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dxa"/>
          <w:trHeight w:val="542" w:hRule="atLeast"/>
          <w:jc w:val="center"/>
        </w:trPr>
        <w:tc>
          <w:tcPr>
            <w:tcW w:w="311" w:type="dxa"/>
            <w:vAlign w:val="center"/>
          </w:tcPr>
          <w:p w14:paraId="161E7415">
            <w:pPr>
              <w:keepNext w:val="0"/>
              <w:keepLines w:val="0"/>
              <w:pageBreakBefore w:val="0"/>
              <w:widowControl/>
              <w:kinsoku/>
              <w:wordWrap/>
              <w:overflowPunct/>
              <w:topLinePunct w:val="0"/>
              <w:autoSpaceDE/>
              <w:autoSpaceDN/>
              <w:bidi w:val="0"/>
              <w:adjustRightInd/>
              <w:snapToGrid w:val="0"/>
              <w:spacing w:line="300" w:lineRule="auto"/>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7</w:t>
            </w:r>
          </w:p>
        </w:tc>
        <w:tc>
          <w:tcPr>
            <w:tcW w:w="1147" w:type="dxa"/>
            <w:tcMar>
              <w:top w:w="15" w:type="dxa"/>
              <w:left w:w="15" w:type="dxa"/>
              <w:bottom w:w="0" w:type="dxa"/>
              <w:right w:w="15" w:type="dxa"/>
            </w:tcMar>
            <w:vAlign w:val="center"/>
          </w:tcPr>
          <w:p w14:paraId="374314C2">
            <w:pPr>
              <w:keepNext w:val="0"/>
              <w:keepLines w:val="0"/>
              <w:pageBreakBefore w:val="0"/>
              <w:widowControl/>
              <w:kinsoku/>
              <w:wordWrap/>
              <w:overflowPunct/>
              <w:topLinePunct w:val="0"/>
              <w:autoSpaceDE/>
              <w:autoSpaceDN/>
              <w:bidi w:val="0"/>
              <w:adjustRightInd/>
              <w:snapToGrid w:val="0"/>
              <w:spacing w:line="300" w:lineRule="auto"/>
              <w:jc w:val="center"/>
              <w:textAlignment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辅材</w:t>
            </w:r>
          </w:p>
        </w:tc>
        <w:tc>
          <w:tcPr>
            <w:tcW w:w="5629" w:type="dxa"/>
            <w:vAlign w:val="top"/>
          </w:tcPr>
          <w:p w14:paraId="1C52BA51">
            <w:pPr>
              <w:keepNext w:val="0"/>
              <w:keepLines w:val="0"/>
              <w:pageBreakBefore w:val="0"/>
              <w:widowControl/>
              <w:kinsoku/>
              <w:wordWrap/>
              <w:overflowPunct/>
              <w:topLinePunct w:val="0"/>
              <w:autoSpaceDE/>
              <w:autoSpaceDN/>
              <w:bidi w:val="0"/>
              <w:adjustRightInd/>
              <w:snapToGrid w:val="0"/>
              <w:spacing w:line="300" w:lineRule="auto"/>
              <w:jc w:val="both"/>
              <w:textAlignment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铜鼻子、扎带、线卡、胶带等辅材</w:t>
            </w:r>
          </w:p>
        </w:tc>
        <w:tc>
          <w:tcPr>
            <w:tcW w:w="721" w:type="dxa"/>
            <w:vAlign w:val="center"/>
          </w:tcPr>
          <w:p w14:paraId="648AD227">
            <w:pPr>
              <w:keepNext w:val="0"/>
              <w:keepLines w:val="0"/>
              <w:pageBreakBefore w:val="0"/>
              <w:widowControl/>
              <w:kinsoku/>
              <w:wordWrap/>
              <w:overflowPunct/>
              <w:topLinePunct w:val="0"/>
              <w:autoSpaceDE/>
              <w:autoSpaceDN/>
              <w:bidi w:val="0"/>
              <w:adjustRightInd/>
              <w:snapToGrid w:val="0"/>
              <w:spacing w:line="300" w:lineRule="auto"/>
              <w:jc w:val="center"/>
              <w:textAlignment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1项</w:t>
            </w:r>
          </w:p>
        </w:tc>
        <w:tc>
          <w:tcPr>
            <w:tcW w:w="1112" w:type="dxa"/>
            <w:vAlign w:val="center"/>
          </w:tcPr>
          <w:p w14:paraId="6B4074CE">
            <w:pPr>
              <w:keepNext w:val="0"/>
              <w:keepLines w:val="0"/>
              <w:pageBreakBefore w:val="0"/>
              <w:widowControl/>
              <w:kinsoku/>
              <w:wordWrap/>
              <w:overflowPunct/>
              <w:topLinePunct w:val="0"/>
              <w:autoSpaceDE/>
              <w:autoSpaceDN/>
              <w:bidi w:val="0"/>
              <w:adjustRightInd/>
              <w:snapToGrid w:val="0"/>
              <w:spacing w:line="300" w:lineRule="auto"/>
              <w:jc w:val="center"/>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3300</w:t>
            </w:r>
          </w:p>
        </w:tc>
        <w:tc>
          <w:tcPr>
            <w:tcW w:w="905" w:type="dxa"/>
            <w:vMerge w:val="continue"/>
            <w:vAlign w:val="center"/>
          </w:tcPr>
          <w:p w14:paraId="66EDD9F1">
            <w:pPr>
              <w:keepNext w:val="0"/>
              <w:keepLines w:val="0"/>
              <w:pageBreakBefore w:val="0"/>
              <w:widowControl/>
              <w:kinsoku/>
              <w:wordWrap/>
              <w:overflowPunct/>
              <w:topLinePunct w:val="0"/>
              <w:autoSpaceDE/>
              <w:autoSpaceDN/>
              <w:bidi w:val="0"/>
              <w:adjustRightInd/>
              <w:snapToGrid w:val="0"/>
              <w:spacing w:line="300" w:lineRule="auto"/>
              <w:jc w:val="center"/>
              <w:rPr>
                <w:rFonts w:hint="eastAsia" w:asciiTheme="minorEastAsia" w:hAnsiTheme="minorEastAsia" w:eastAsiaTheme="minorEastAsia" w:cstheme="minorEastAsia"/>
                <w:color w:val="auto"/>
                <w:sz w:val="24"/>
                <w:szCs w:val="24"/>
                <w:highlight w:val="none"/>
              </w:rPr>
            </w:pPr>
          </w:p>
        </w:tc>
      </w:tr>
      <w:tr w14:paraId="19FB7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dxa"/>
          <w:trHeight w:val="542" w:hRule="atLeast"/>
          <w:jc w:val="center"/>
        </w:trPr>
        <w:tc>
          <w:tcPr>
            <w:tcW w:w="311" w:type="dxa"/>
            <w:vAlign w:val="center"/>
          </w:tcPr>
          <w:p w14:paraId="513FC483">
            <w:pPr>
              <w:keepNext w:val="0"/>
              <w:keepLines w:val="0"/>
              <w:pageBreakBefore w:val="0"/>
              <w:widowControl/>
              <w:kinsoku/>
              <w:wordWrap/>
              <w:overflowPunct/>
              <w:topLinePunct w:val="0"/>
              <w:autoSpaceDE/>
              <w:autoSpaceDN/>
              <w:bidi w:val="0"/>
              <w:adjustRightInd/>
              <w:snapToGrid w:val="0"/>
              <w:spacing w:line="300" w:lineRule="auto"/>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8</w:t>
            </w:r>
          </w:p>
        </w:tc>
        <w:tc>
          <w:tcPr>
            <w:tcW w:w="1147" w:type="dxa"/>
            <w:tcMar>
              <w:top w:w="15" w:type="dxa"/>
              <w:left w:w="15" w:type="dxa"/>
              <w:bottom w:w="0" w:type="dxa"/>
              <w:right w:w="15" w:type="dxa"/>
            </w:tcMar>
            <w:vAlign w:val="center"/>
          </w:tcPr>
          <w:p w14:paraId="63CA305C">
            <w:pPr>
              <w:keepNext w:val="0"/>
              <w:keepLines w:val="0"/>
              <w:pageBreakBefore w:val="0"/>
              <w:widowControl/>
              <w:kinsoku/>
              <w:wordWrap/>
              <w:overflowPunct/>
              <w:topLinePunct w:val="0"/>
              <w:autoSpaceDE/>
              <w:autoSpaceDN/>
              <w:bidi w:val="0"/>
              <w:adjustRightInd/>
              <w:snapToGrid w:val="0"/>
              <w:spacing w:line="300" w:lineRule="auto"/>
              <w:jc w:val="center"/>
              <w:textAlignment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系统集成费</w:t>
            </w:r>
          </w:p>
        </w:tc>
        <w:tc>
          <w:tcPr>
            <w:tcW w:w="5629" w:type="dxa"/>
            <w:vAlign w:val="top"/>
          </w:tcPr>
          <w:p w14:paraId="5AB7B913">
            <w:pPr>
              <w:keepNext w:val="0"/>
              <w:keepLines w:val="0"/>
              <w:pageBreakBefore w:val="0"/>
              <w:widowControl/>
              <w:kinsoku/>
              <w:wordWrap/>
              <w:overflowPunct/>
              <w:topLinePunct w:val="0"/>
              <w:autoSpaceDE/>
              <w:autoSpaceDN/>
              <w:bidi w:val="0"/>
              <w:adjustRightInd/>
              <w:snapToGrid w:val="0"/>
              <w:spacing w:line="300" w:lineRule="auto"/>
              <w:jc w:val="both"/>
              <w:textAlignment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包含搬运、安装、调试、集成、售后</w:t>
            </w:r>
          </w:p>
        </w:tc>
        <w:tc>
          <w:tcPr>
            <w:tcW w:w="721" w:type="dxa"/>
            <w:vAlign w:val="center"/>
          </w:tcPr>
          <w:p w14:paraId="7F87AC16">
            <w:pPr>
              <w:keepNext w:val="0"/>
              <w:keepLines w:val="0"/>
              <w:pageBreakBefore w:val="0"/>
              <w:widowControl/>
              <w:kinsoku/>
              <w:wordWrap/>
              <w:overflowPunct/>
              <w:topLinePunct w:val="0"/>
              <w:autoSpaceDE/>
              <w:autoSpaceDN/>
              <w:bidi w:val="0"/>
              <w:adjustRightInd/>
              <w:snapToGrid w:val="0"/>
              <w:spacing w:line="300" w:lineRule="auto"/>
              <w:jc w:val="center"/>
              <w:textAlignment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1项</w:t>
            </w:r>
          </w:p>
        </w:tc>
        <w:tc>
          <w:tcPr>
            <w:tcW w:w="1112" w:type="dxa"/>
            <w:vAlign w:val="center"/>
          </w:tcPr>
          <w:p w14:paraId="673B7C10">
            <w:pPr>
              <w:keepNext w:val="0"/>
              <w:keepLines w:val="0"/>
              <w:pageBreakBefore w:val="0"/>
              <w:widowControl/>
              <w:kinsoku/>
              <w:wordWrap/>
              <w:overflowPunct/>
              <w:topLinePunct w:val="0"/>
              <w:autoSpaceDE/>
              <w:autoSpaceDN/>
              <w:bidi w:val="0"/>
              <w:adjustRightInd/>
              <w:snapToGrid w:val="0"/>
              <w:spacing w:line="300" w:lineRule="auto"/>
              <w:jc w:val="center"/>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21500</w:t>
            </w:r>
          </w:p>
        </w:tc>
        <w:tc>
          <w:tcPr>
            <w:tcW w:w="905" w:type="dxa"/>
            <w:vAlign w:val="center"/>
          </w:tcPr>
          <w:p w14:paraId="258B2BA5">
            <w:pPr>
              <w:keepNext w:val="0"/>
              <w:keepLines w:val="0"/>
              <w:pageBreakBefore w:val="0"/>
              <w:widowControl/>
              <w:kinsoku/>
              <w:wordWrap/>
              <w:overflowPunct/>
              <w:topLinePunct w:val="0"/>
              <w:autoSpaceDE/>
              <w:autoSpaceDN/>
              <w:bidi w:val="0"/>
              <w:adjustRightInd/>
              <w:snapToGrid w:val="0"/>
              <w:spacing w:line="30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其他未列明行业</w:t>
            </w:r>
          </w:p>
        </w:tc>
      </w:tr>
      <w:tr w14:paraId="3E96E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2" w:hRule="atLeast"/>
          <w:jc w:val="center"/>
        </w:trPr>
        <w:tc>
          <w:tcPr>
            <w:tcW w:w="9830" w:type="dxa"/>
            <w:gridSpan w:val="7"/>
            <w:vAlign w:val="top"/>
          </w:tcPr>
          <w:p w14:paraId="3E95BBB0">
            <w:pPr>
              <w:keepNext w:val="0"/>
              <w:keepLines w:val="0"/>
              <w:pageBreakBefore w:val="0"/>
              <w:widowControl/>
              <w:kinsoku/>
              <w:wordWrap/>
              <w:overflowPunct/>
              <w:topLinePunct w:val="0"/>
              <w:autoSpaceDE/>
              <w:autoSpaceDN/>
              <w:bidi w:val="0"/>
              <w:adjustRightInd/>
              <w:snapToGrid w:val="0"/>
              <w:spacing w:line="300" w:lineRule="auto"/>
              <w:jc w:val="both"/>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注：带载总量24KW,平均1个机柜4KW，可以带载6个机柜，满载供电时间不低于4小时，</w:t>
            </w:r>
            <w:r>
              <w:rPr>
                <w:rFonts w:hint="eastAsia" w:asciiTheme="minorEastAsia" w:hAnsiTheme="minorEastAsia" w:eastAsiaTheme="minorEastAsia" w:cstheme="minorEastAsia"/>
                <w:color w:val="auto"/>
                <w:sz w:val="24"/>
                <w:szCs w:val="24"/>
                <w:highlight w:val="none"/>
                <w:lang w:val="en-US" w:eastAsia="zh-CN"/>
              </w:rPr>
              <w:t>所投产品需</w:t>
            </w:r>
            <w:r>
              <w:rPr>
                <w:rFonts w:hint="eastAsia" w:asciiTheme="minorEastAsia" w:hAnsiTheme="minorEastAsia" w:eastAsiaTheme="minorEastAsia" w:cstheme="minorEastAsia"/>
                <w:color w:val="auto"/>
                <w:sz w:val="24"/>
                <w:szCs w:val="24"/>
                <w:highlight w:val="none"/>
                <w:lang w:eastAsia="zh-CN"/>
              </w:rPr>
              <w:t>考虑电池架利旧市电输入配电柜利旧，UPS输入电缆利旧。</w:t>
            </w:r>
          </w:p>
        </w:tc>
      </w:tr>
      <w:tr w14:paraId="0B2C2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2" w:hRule="atLeast"/>
          <w:jc w:val="center"/>
        </w:trPr>
        <w:tc>
          <w:tcPr>
            <w:tcW w:w="9830" w:type="dxa"/>
            <w:gridSpan w:val="7"/>
            <w:vAlign w:val="center"/>
          </w:tcPr>
          <w:p w14:paraId="34EE5683">
            <w:pPr>
              <w:keepNext w:val="0"/>
              <w:keepLines w:val="0"/>
              <w:pageBreakBefore w:val="0"/>
              <w:widowControl/>
              <w:kinsoku/>
              <w:wordWrap/>
              <w:overflowPunct/>
              <w:topLinePunct w:val="0"/>
              <w:autoSpaceDE/>
              <w:autoSpaceDN/>
              <w:bidi w:val="0"/>
              <w:adjustRightInd/>
              <w:snapToGrid w:val="0"/>
              <w:spacing w:line="300" w:lineRule="auto"/>
              <w:jc w:val="center"/>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“雪亮工程”视频专网UPS电源</w:t>
            </w:r>
          </w:p>
        </w:tc>
      </w:tr>
      <w:tr w14:paraId="17C99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dxa"/>
          <w:trHeight w:val="542" w:hRule="atLeast"/>
          <w:jc w:val="center"/>
        </w:trPr>
        <w:tc>
          <w:tcPr>
            <w:tcW w:w="311" w:type="dxa"/>
            <w:vAlign w:val="center"/>
          </w:tcPr>
          <w:p w14:paraId="5D65DB14">
            <w:pPr>
              <w:keepNext w:val="0"/>
              <w:keepLines w:val="0"/>
              <w:pageBreakBefore w:val="0"/>
              <w:widowControl/>
              <w:kinsoku/>
              <w:wordWrap/>
              <w:overflowPunct/>
              <w:topLinePunct w:val="0"/>
              <w:autoSpaceDE/>
              <w:autoSpaceDN/>
              <w:bidi w:val="0"/>
              <w:adjustRightInd/>
              <w:snapToGrid w:val="0"/>
              <w:spacing w:line="300" w:lineRule="auto"/>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w:t>
            </w:r>
          </w:p>
        </w:tc>
        <w:tc>
          <w:tcPr>
            <w:tcW w:w="1147" w:type="dxa"/>
            <w:tcMar>
              <w:top w:w="15" w:type="dxa"/>
              <w:left w:w="15" w:type="dxa"/>
              <w:bottom w:w="0" w:type="dxa"/>
              <w:right w:w="15" w:type="dxa"/>
            </w:tcMar>
            <w:vAlign w:val="center"/>
          </w:tcPr>
          <w:p w14:paraId="2AFE5807">
            <w:pPr>
              <w:keepNext w:val="0"/>
              <w:keepLines w:val="0"/>
              <w:pageBreakBefore w:val="0"/>
              <w:widowControl/>
              <w:kinsoku/>
              <w:wordWrap/>
              <w:overflowPunct/>
              <w:topLinePunct w:val="0"/>
              <w:autoSpaceDE/>
              <w:autoSpaceDN/>
              <w:bidi w:val="0"/>
              <w:adjustRightInd/>
              <w:snapToGrid w:val="0"/>
              <w:spacing w:line="300" w:lineRule="auto"/>
              <w:jc w:val="center"/>
              <w:textAlignment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UPS主机(60KVA)</w:t>
            </w:r>
          </w:p>
        </w:tc>
        <w:tc>
          <w:tcPr>
            <w:tcW w:w="5629" w:type="dxa"/>
            <w:vAlign w:val="top"/>
          </w:tcPr>
          <w:p w14:paraId="17071677">
            <w:pPr>
              <w:keepNext w:val="0"/>
              <w:keepLines w:val="0"/>
              <w:pageBreakBefore w:val="0"/>
              <w:widowControl/>
              <w:numPr>
                <w:ilvl w:val="0"/>
                <w:numId w:val="1"/>
              </w:numPr>
              <w:kinsoku/>
              <w:wordWrap/>
              <w:overflowPunct/>
              <w:topLinePunct w:val="0"/>
              <w:autoSpaceDE/>
              <w:autoSpaceDN/>
              <w:bidi w:val="0"/>
              <w:adjustRightInd/>
              <w:snapToGrid w:val="0"/>
              <w:spacing w:line="300" w:lineRule="auto"/>
              <w:jc w:val="both"/>
              <w:textAlignment w:val="center"/>
              <w:rPr>
                <w:rFonts w:hint="eastAsia" w:asciiTheme="minorEastAsia" w:hAnsiTheme="minorEastAsia" w:eastAsiaTheme="minorEastAsia" w:cstheme="minorEastAsia"/>
                <w:color w:val="auto"/>
                <w:kern w:val="0"/>
                <w:sz w:val="24"/>
                <w:szCs w:val="24"/>
                <w:highlight w:val="none"/>
                <w:lang w:eastAsia="zh-CN" w:bidi="ar"/>
              </w:rPr>
            </w:pPr>
            <w:r>
              <w:rPr>
                <w:rFonts w:hint="eastAsia" w:asciiTheme="minorEastAsia" w:hAnsiTheme="minorEastAsia" w:eastAsiaTheme="minorEastAsia" w:cstheme="minorEastAsia"/>
                <w:color w:val="auto"/>
                <w:kern w:val="0"/>
                <w:sz w:val="24"/>
                <w:szCs w:val="24"/>
                <w:highlight w:val="none"/>
                <w:lang w:bidi="ar"/>
              </w:rPr>
              <w:t>UPS具备输入功率缓升功能，实现上游发电机的平稳供电切换，减少上游配电功率容量配置。</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2.UPS具备可更换电源模块设计，便于从前部进行维护，从而最大限度地降低MTTR。</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3.UPS内置主输入、旁路输入、输出及维护旁路开关，简化安装、提升可靠性，并减少停机时间与成本</w:t>
            </w:r>
            <w:r>
              <w:rPr>
                <w:rFonts w:hint="eastAsia" w:asciiTheme="minorEastAsia" w:hAnsiTheme="minorEastAsia" w:eastAsiaTheme="minorEastAsia" w:cstheme="minorEastAsia"/>
                <w:color w:val="auto"/>
                <w:kern w:val="0"/>
                <w:sz w:val="24"/>
                <w:szCs w:val="24"/>
                <w:highlight w:val="none"/>
                <w:lang w:eastAsia="zh-CN" w:bidi="ar"/>
              </w:rPr>
              <w:t>。</w:t>
            </w:r>
          </w:p>
          <w:p w14:paraId="79F8F078">
            <w:pPr>
              <w:keepNext w:val="0"/>
              <w:keepLines w:val="0"/>
              <w:pageBreakBefore w:val="0"/>
              <w:widowControl/>
              <w:numPr>
                <w:ilvl w:val="0"/>
                <w:numId w:val="0"/>
              </w:numPr>
              <w:kinsoku/>
              <w:wordWrap/>
              <w:overflowPunct/>
              <w:topLinePunct w:val="0"/>
              <w:autoSpaceDE/>
              <w:autoSpaceDN/>
              <w:bidi w:val="0"/>
              <w:adjustRightInd/>
              <w:snapToGrid w:val="0"/>
              <w:spacing w:line="300" w:lineRule="auto"/>
              <w:jc w:val="both"/>
              <w:textAlignment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4.UPS标配</w:t>
            </w:r>
            <w:r>
              <w:rPr>
                <w:rFonts w:hint="eastAsia" w:asciiTheme="minorEastAsia" w:hAnsiTheme="minorEastAsia" w:eastAsiaTheme="minorEastAsia" w:cstheme="minorEastAsia"/>
                <w:color w:val="auto"/>
                <w:kern w:val="0"/>
                <w:sz w:val="24"/>
                <w:szCs w:val="24"/>
                <w:highlight w:val="none"/>
                <w:lang w:val="en-US" w:eastAsia="zh-CN" w:bidi="ar"/>
              </w:rPr>
              <w:t>≥</w:t>
            </w:r>
            <w:r>
              <w:rPr>
                <w:rFonts w:hint="eastAsia" w:asciiTheme="minorEastAsia" w:hAnsiTheme="minorEastAsia" w:eastAsiaTheme="minorEastAsia" w:cstheme="minorEastAsia"/>
                <w:color w:val="auto"/>
                <w:kern w:val="0"/>
                <w:sz w:val="24"/>
                <w:szCs w:val="24"/>
                <w:highlight w:val="none"/>
                <w:lang w:bidi="ar"/>
              </w:rPr>
              <w:t>7英寸带图形显示的触摸屏，便于现场监控和参数配置。</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5.支持4台机组并联运行，共用一组电池组。</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6.电池管理功能</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1）电池电压：±216Vdc(±192至±240Vdc调节)。</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2）最大充电电流18A，实现蓄电池的快速回充。</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3）兼容铅酸和锂离子电池。</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7.UPS输入参数要求</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1）输入电压</w:t>
            </w:r>
            <w:r>
              <w:rPr>
                <w:rFonts w:hint="eastAsia" w:asciiTheme="minorEastAsia" w:hAnsiTheme="minorEastAsia" w:eastAsiaTheme="minorEastAsia" w:cstheme="minorEastAsia"/>
                <w:color w:val="auto"/>
                <w:kern w:val="0"/>
                <w:sz w:val="24"/>
                <w:szCs w:val="24"/>
                <w:highlight w:val="none"/>
                <w:lang w:eastAsia="zh-CN" w:bidi="ar"/>
              </w:rPr>
              <w:t>：</w:t>
            </w:r>
            <w:r>
              <w:rPr>
                <w:rFonts w:hint="eastAsia" w:asciiTheme="minorEastAsia" w:hAnsiTheme="minorEastAsia" w:eastAsiaTheme="minorEastAsia" w:cstheme="minorEastAsia"/>
                <w:color w:val="auto"/>
                <w:kern w:val="0"/>
                <w:sz w:val="24"/>
                <w:szCs w:val="24"/>
                <w:highlight w:val="none"/>
                <w:lang w:bidi="ar"/>
              </w:rPr>
              <w:t>318-477Vac(100%负载)；190-323Vac和477-518Vac(降额至50-100%负载)；</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2）输入频率</w:t>
            </w:r>
            <w:r>
              <w:rPr>
                <w:rFonts w:hint="eastAsia" w:asciiTheme="minorEastAsia" w:hAnsiTheme="minorEastAsia" w:eastAsiaTheme="minorEastAsia" w:cstheme="minorEastAsia"/>
                <w:color w:val="auto"/>
                <w:kern w:val="0"/>
                <w:sz w:val="24"/>
                <w:szCs w:val="24"/>
                <w:highlight w:val="none"/>
                <w:lang w:eastAsia="zh-CN" w:bidi="ar"/>
              </w:rPr>
              <w:t>：</w:t>
            </w:r>
            <w:r>
              <w:rPr>
                <w:rFonts w:hint="eastAsia" w:asciiTheme="minorEastAsia" w:hAnsiTheme="minorEastAsia" w:eastAsiaTheme="minorEastAsia" w:cstheme="minorEastAsia"/>
                <w:color w:val="auto"/>
                <w:kern w:val="0"/>
                <w:sz w:val="24"/>
                <w:szCs w:val="24"/>
                <w:highlight w:val="none"/>
                <w:lang w:bidi="ar"/>
              </w:rPr>
              <w:t>40-70Hz。</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8.UPS输出</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1）输出功率</w:t>
            </w:r>
            <w:r>
              <w:rPr>
                <w:rFonts w:hint="eastAsia" w:asciiTheme="minorEastAsia" w:hAnsiTheme="minorEastAsia" w:eastAsiaTheme="minorEastAsia" w:cstheme="minorEastAsia"/>
                <w:color w:val="auto"/>
                <w:kern w:val="0"/>
                <w:sz w:val="24"/>
                <w:szCs w:val="24"/>
                <w:highlight w:val="none"/>
                <w:lang w:eastAsia="zh-CN" w:bidi="ar"/>
              </w:rPr>
              <w:t>：</w:t>
            </w:r>
            <w:r>
              <w:rPr>
                <w:rFonts w:hint="eastAsia" w:asciiTheme="minorEastAsia" w:hAnsiTheme="minorEastAsia" w:eastAsiaTheme="minorEastAsia" w:cstheme="minorEastAsia"/>
                <w:color w:val="auto"/>
                <w:kern w:val="0"/>
                <w:sz w:val="24"/>
                <w:szCs w:val="24"/>
                <w:highlight w:val="none"/>
                <w:lang w:bidi="ar"/>
              </w:rPr>
              <w:t>60KW，输出功率因数：1。可实现最佳备用电源可用性</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2）输出电压调节≤±1%(静态)</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3）输出波形</w:t>
            </w:r>
            <w:r>
              <w:rPr>
                <w:rFonts w:hint="eastAsia" w:asciiTheme="minorEastAsia" w:hAnsiTheme="minorEastAsia" w:eastAsiaTheme="minorEastAsia" w:cstheme="minorEastAsia"/>
                <w:color w:val="auto"/>
                <w:kern w:val="0"/>
                <w:sz w:val="24"/>
                <w:szCs w:val="24"/>
                <w:highlight w:val="none"/>
                <w:lang w:eastAsia="zh-CN" w:bidi="ar"/>
              </w:rPr>
              <w:t>：</w:t>
            </w:r>
            <w:r>
              <w:rPr>
                <w:rFonts w:hint="eastAsia" w:asciiTheme="minorEastAsia" w:hAnsiTheme="minorEastAsia" w:eastAsiaTheme="minorEastAsia" w:cstheme="minorEastAsia"/>
                <w:color w:val="auto"/>
                <w:kern w:val="0"/>
                <w:sz w:val="24"/>
                <w:szCs w:val="24"/>
                <w:highlight w:val="none"/>
                <w:lang w:bidi="ar"/>
              </w:rPr>
              <w:t>正弦波</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4）输出频率</w:t>
            </w:r>
            <w:r>
              <w:rPr>
                <w:rFonts w:hint="eastAsia" w:asciiTheme="minorEastAsia" w:hAnsiTheme="minorEastAsia" w:eastAsiaTheme="minorEastAsia" w:cstheme="minorEastAsia"/>
                <w:color w:val="auto"/>
                <w:kern w:val="0"/>
                <w:sz w:val="24"/>
                <w:szCs w:val="24"/>
                <w:highlight w:val="none"/>
                <w:lang w:eastAsia="zh-CN" w:bidi="ar"/>
              </w:rPr>
              <w:t>：</w:t>
            </w:r>
            <w:r>
              <w:rPr>
                <w:rFonts w:hint="eastAsia" w:asciiTheme="minorEastAsia" w:hAnsiTheme="minorEastAsia" w:eastAsiaTheme="minorEastAsia" w:cstheme="minorEastAsia"/>
                <w:color w:val="auto"/>
                <w:kern w:val="0"/>
                <w:sz w:val="24"/>
                <w:szCs w:val="24"/>
                <w:highlight w:val="none"/>
                <w:lang w:bidi="ar"/>
              </w:rPr>
              <w:t>50/60±4Hz(跟踪市电)，50/60±0.05Hz(电池模式)</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5）总谐波失真(THDv）&lt;2%(线性载荷）</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6）过载能力</w:t>
            </w:r>
            <w:r>
              <w:rPr>
                <w:rFonts w:hint="eastAsia" w:asciiTheme="minorEastAsia" w:hAnsiTheme="minorEastAsia" w:eastAsiaTheme="minorEastAsia" w:cstheme="minorEastAsia"/>
                <w:color w:val="auto"/>
                <w:kern w:val="0"/>
                <w:sz w:val="24"/>
                <w:szCs w:val="24"/>
                <w:highlight w:val="none"/>
                <w:lang w:eastAsia="zh-CN" w:bidi="ar"/>
              </w:rPr>
              <w:t>：</w:t>
            </w:r>
            <w:r>
              <w:rPr>
                <w:rFonts w:hint="eastAsia" w:asciiTheme="minorEastAsia" w:hAnsiTheme="minorEastAsia" w:eastAsiaTheme="minorEastAsia" w:cstheme="minorEastAsia"/>
                <w:color w:val="auto"/>
                <w:kern w:val="0"/>
                <w:sz w:val="24"/>
                <w:szCs w:val="24"/>
                <w:highlight w:val="none"/>
                <w:lang w:bidi="ar"/>
              </w:rPr>
              <w:t>100-110%：60分钟；111-125%：10分钟；126-150%：1分钟；＞150%：200毫秒</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9.整机效率</w:t>
            </w:r>
            <w:r>
              <w:rPr>
                <w:rFonts w:hint="eastAsia" w:asciiTheme="minorEastAsia" w:hAnsiTheme="minorEastAsia" w:eastAsiaTheme="minorEastAsia" w:cstheme="minorEastAsia"/>
                <w:color w:val="auto"/>
                <w:kern w:val="0"/>
                <w:sz w:val="24"/>
                <w:szCs w:val="24"/>
                <w:highlight w:val="none"/>
                <w:lang w:val="en-US" w:eastAsia="zh-CN" w:bidi="ar"/>
              </w:rPr>
              <w:t>≥</w:t>
            </w:r>
            <w:r>
              <w:rPr>
                <w:rFonts w:hint="eastAsia" w:asciiTheme="minorEastAsia" w:hAnsiTheme="minorEastAsia" w:eastAsiaTheme="minorEastAsia" w:cstheme="minorEastAsia"/>
                <w:color w:val="auto"/>
                <w:kern w:val="0"/>
                <w:sz w:val="24"/>
                <w:szCs w:val="24"/>
                <w:highlight w:val="none"/>
                <w:lang w:bidi="ar"/>
              </w:rPr>
              <w:t>9</w:t>
            </w:r>
            <w:r>
              <w:rPr>
                <w:rFonts w:hint="eastAsia" w:asciiTheme="minorEastAsia" w:hAnsiTheme="minorEastAsia" w:eastAsiaTheme="minorEastAsia" w:cstheme="minorEastAsia"/>
                <w:color w:val="auto"/>
                <w:kern w:val="0"/>
                <w:sz w:val="24"/>
                <w:szCs w:val="24"/>
                <w:highlight w:val="none"/>
                <w:lang w:val="en-US" w:eastAsia="zh-CN" w:bidi="ar"/>
              </w:rPr>
              <w:t>5</w:t>
            </w:r>
            <w:r>
              <w:rPr>
                <w:rFonts w:hint="eastAsia" w:asciiTheme="minorEastAsia" w:hAnsiTheme="minorEastAsia" w:eastAsiaTheme="minorEastAsia" w:cstheme="minorEastAsia"/>
                <w:color w:val="auto"/>
                <w:kern w:val="0"/>
                <w:sz w:val="24"/>
                <w:szCs w:val="24"/>
                <w:highlight w:val="none"/>
                <w:lang w:bidi="ar"/>
              </w:rPr>
              <w:t>%。</w:t>
            </w:r>
          </w:p>
        </w:tc>
        <w:tc>
          <w:tcPr>
            <w:tcW w:w="721" w:type="dxa"/>
            <w:vAlign w:val="center"/>
          </w:tcPr>
          <w:p w14:paraId="4AF10921">
            <w:pPr>
              <w:keepNext w:val="0"/>
              <w:keepLines w:val="0"/>
              <w:pageBreakBefore w:val="0"/>
              <w:widowControl/>
              <w:kinsoku/>
              <w:wordWrap/>
              <w:overflowPunct/>
              <w:topLinePunct w:val="0"/>
              <w:autoSpaceDE/>
              <w:autoSpaceDN/>
              <w:bidi w:val="0"/>
              <w:adjustRightInd/>
              <w:snapToGrid w:val="0"/>
              <w:spacing w:line="300" w:lineRule="auto"/>
              <w:jc w:val="center"/>
              <w:textAlignment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1台</w:t>
            </w:r>
          </w:p>
        </w:tc>
        <w:tc>
          <w:tcPr>
            <w:tcW w:w="1112" w:type="dxa"/>
            <w:vAlign w:val="center"/>
          </w:tcPr>
          <w:p w14:paraId="4CB086DE">
            <w:pPr>
              <w:keepNext w:val="0"/>
              <w:keepLines w:val="0"/>
              <w:pageBreakBefore w:val="0"/>
              <w:widowControl/>
              <w:kinsoku/>
              <w:wordWrap/>
              <w:overflowPunct/>
              <w:topLinePunct w:val="0"/>
              <w:autoSpaceDE/>
              <w:autoSpaceDN/>
              <w:bidi w:val="0"/>
              <w:adjustRightInd/>
              <w:snapToGrid w:val="0"/>
              <w:spacing w:line="300" w:lineRule="auto"/>
              <w:jc w:val="center"/>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57700</w:t>
            </w:r>
          </w:p>
        </w:tc>
        <w:tc>
          <w:tcPr>
            <w:tcW w:w="905" w:type="dxa"/>
            <w:vMerge w:val="restart"/>
            <w:vAlign w:val="center"/>
          </w:tcPr>
          <w:p w14:paraId="79F9F9E1">
            <w:pPr>
              <w:keepNext w:val="0"/>
              <w:keepLines w:val="0"/>
              <w:pageBreakBefore w:val="0"/>
              <w:widowControl/>
              <w:kinsoku/>
              <w:wordWrap/>
              <w:overflowPunct/>
              <w:topLinePunct w:val="0"/>
              <w:autoSpaceDE/>
              <w:autoSpaceDN/>
              <w:bidi w:val="0"/>
              <w:adjustRightInd/>
              <w:snapToGrid w:val="0"/>
              <w:spacing w:line="300" w:lineRule="auto"/>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工业</w:t>
            </w:r>
          </w:p>
        </w:tc>
      </w:tr>
      <w:tr w14:paraId="47F31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dxa"/>
          <w:trHeight w:val="542" w:hRule="atLeast"/>
          <w:jc w:val="center"/>
        </w:trPr>
        <w:tc>
          <w:tcPr>
            <w:tcW w:w="311" w:type="dxa"/>
            <w:vAlign w:val="center"/>
          </w:tcPr>
          <w:p w14:paraId="60C034E1">
            <w:pPr>
              <w:keepNext w:val="0"/>
              <w:keepLines w:val="0"/>
              <w:pageBreakBefore w:val="0"/>
              <w:widowControl/>
              <w:kinsoku/>
              <w:wordWrap/>
              <w:overflowPunct/>
              <w:topLinePunct w:val="0"/>
              <w:autoSpaceDE/>
              <w:autoSpaceDN/>
              <w:bidi w:val="0"/>
              <w:adjustRightInd/>
              <w:snapToGrid w:val="0"/>
              <w:spacing w:line="300" w:lineRule="auto"/>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w:t>
            </w:r>
          </w:p>
        </w:tc>
        <w:tc>
          <w:tcPr>
            <w:tcW w:w="1147" w:type="dxa"/>
            <w:tcMar>
              <w:top w:w="15" w:type="dxa"/>
              <w:left w:w="15" w:type="dxa"/>
              <w:bottom w:w="0" w:type="dxa"/>
              <w:right w:w="15" w:type="dxa"/>
            </w:tcMar>
            <w:vAlign w:val="center"/>
          </w:tcPr>
          <w:p w14:paraId="275F9819">
            <w:pPr>
              <w:keepNext w:val="0"/>
              <w:keepLines w:val="0"/>
              <w:pageBreakBefore w:val="0"/>
              <w:widowControl/>
              <w:kinsoku/>
              <w:wordWrap/>
              <w:overflowPunct/>
              <w:topLinePunct w:val="0"/>
              <w:autoSpaceDE/>
              <w:autoSpaceDN/>
              <w:bidi w:val="0"/>
              <w:adjustRightInd/>
              <w:snapToGrid w:val="0"/>
              <w:spacing w:line="300" w:lineRule="auto"/>
              <w:jc w:val="center"/>
              <w:textAlignment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蓄电池</w:t>
            </w:r>
          </w:p>
        </w:tc>
        <w:tc>
          <w:tcPr>
            <w:tcW w:w="5629" w:type="dxa"/>
            <w:vAlign w:val="top"/>
          </w:tcPr>
          <w:p w14:paraId="03377FD5">
            <w:pPr>
              <w:keepNext w:val="0"/>
              <w:keepLines w:val="0"/>
              <w:pageBreakBefore w:val="0"/>
              <w:widowControl/>
              <w:kinsoku/>
              <w:wordWrap/>
              <w:overflowPunct/>
              <w:topLinePunct w:val="0"/>
              <w:autoSpaceDE/>
              <w:autoSpaceDN/>
              <w:bidi w:val="0"/>
              <w:adjustRightInd/>
              <w:snapToGrid w:val="0"/>
              <w:spacing w:line="300" w:lineRule="auto"/>
              <w:jc w:val="both"/>
              <w:textAlignment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电池容量：100AH（安时）电池类型：铅酸密封电池电池电压：12V（直流）小时率：20小时率端子类型：铜端子（下旋）净重：</w:t>
            </w:r>
            <w:r>
              <w:rPr>
                <w:rFonts w:hint="eastAsia" w:asciiTheme="minorEastAsia" w:hAnsiTheme="minorEastAsia" w:eastAsiaTheme="minorEastAsia" w:cstheme="minorEastAsia"/>
                <w:color w:val="auto"/>
                <w:kern w:val="0"/>
                <w:sz w:val="24"/>
                <w:szCs w:val="24"/>
                <w:highlight w:val="none"/>
                <w:lang w:val="en-US" w:eastAsia="zh-CN" w:bidi="ar"/>
              </w:rPr>
              <w:t>≥</w:t>
            </w:r>
            <w:r>
              <w:rPr>
                <w:rFonts w:hint="eastAsia" w:asciiTheme="minorEastAsia" w:hAnsiTheme="minorEastAsia" w:eastAsiaTheme="minorEastAsia" w:cstheme="minorEastAsia"/>
                <w:color w:val="auto"/>
                <w:kern w:val="0"/>
                <w:sz w:val="24"/>
                <w:szCs w:val="24"/>
                <w:highlight w:val="none"/>
                <w:lang w:bidi="ar"/>
              </w:rPr>
              <w:t>28.00kg（公斤）尺寸（LWH）：3</w:t>
            </w:r>
            <w:r>
              <w:rPr>
                <w:rFonts w:hint="eastAsia" w:asciiTheme="minorEastAsia" w:hAnsiTheme="minorEastAsia" w:eastAsiaTheme="minorEastAsia" w:cstheme="minorEastAsia"/>
                <w:color w:val="auto"/>
                <w:kern w:val="0"/>
                <w:sz w:val="24"/>
                <w:szCs w:val="24"/>
                <w:highlight w:val="none"/>
                <w:lang w:val="en-US" w:eastAsia="zh-CN" w:bidi="ar"/>
              </w:rPr>
              <w:t>30</w:t>
            </w:r>
            <w:r>
              <w:rPr>
                <w:rFonts w:hint="eastAsia" w:asciiTheme="minorEastAsia" w:hAnsiTheme="minorEastAsia" w:eastAsiaTheme="minorEastAsia" w:cstheme="minorEastAsia"/>
                <w:color w:val="auto"/>
                <w:kern w:val="0"/>
                <w:sz w:val="24"/>
                <w:szCs w:val="24"/>
                <w:highlight w:val="none"/>
                <w:lang w:bidi="ar"/>
              </w:rPr>
              <w:t>*17</w:t>
            </w:r>
            <w:r>
              <w:rPr>
                <w:rFonts w:hint="eastAsia" w:asciiTheme="minorEastAsia" w:hAnsiTheme="minorEastAsia" w:eastAsiaTheme="minorEastAsia" w:cstheme="minorEastAsia"/>
                <w:color w:val="auto"/>
                <w:kern w:val="0"/>
                <w:sz w:val="24"/>
                <w:szCs w:val="24"/>
                <w:highlight w:val="none"/>
                <w:lang w:val="en-US" w:eastAsia="zh-CN" w:bidi="ar"/>
              </w:rPr>
              <w:t>0</w:t>
            </w:r>
            <w:r>
              <w:rPr>
                <w:rFonts w:hint="eastAsia" w:asciiTheme="minorEastAsia" w:hAnsiTheme="minorEastAsia" w:eastAsiaTheme="minorEastAsia" w:cstheme="minorEastAsia"/>
                <w:color w:val="auto"/>
                <w:kern w:val="0"/>
                <w:sz w:val="24"/>
                <w:szCs w:val="24"/>
                <w:highlight w:val="none"/>
                <w:lang w:bidi="ar"/>
              </w:rPr>
              <w:t>*22</w:t>
            </w:r>
            <w:r>
              <w:rPr>
                <w:rFonts w:hint="eastAsia" w:asciiTheme="minorEastAsia" w:hAnsiTheme="minorEastAsia" w:eastAsiaTheme="minorEastAsia" w:cstheme="minorEastAsia"/>
                <w:color w:val="auto"/>
                <w:kern w:val="0"/>
                <w:sz w:val="24"/>
                <w:szCs w:val="24"/>
                <w:highlight w:val="none"/>
                <w:lang w:val="en-US" w:eastAsia="zh-CN" w:bidi="ar"/>
              </w:rPr>
              <w:t>0</w:t>
            </w:r>
            <w:r>
              <w:rPr>
                <w:rFonts w:hint="eastAsia" w:asciiTheme="minorEastAsia" w:hAnsiTheme="minorEastAsia" w:eastAsiaTheme="minorEastAsia" w:cstheme="minorEastAsia"/>
                <w:color w:val="auto"/>
                <w:kern w:val="0"/>
                <w:sz w:val="24"/>
                <w:szCs w:val="24"/>
                <w:highlight w:val="none"/>
                <w:lang w:bidi="ar"/>
              </w:rPr>
              <w:t>mm</w:t>
            </w:r>
            <w:r>
              <w:rPr>
                <w:rFonts w:hint="eastAsia" w:asciiTheme="minorEastAsia" w:hAnsiTheme="minorEastAsia" w:eastAsiaTheme="minorEastAsia" w:cstheme="minorEastAsia"/>
                <w:color w:val="auto"/>
                <w:kern w:val="0"/>
                <w:sz w:val="24"/>
                <w:szCs w:val="24"/>
                <w:highlight w:val="none"/>
                <w:lang w:eastAsia="zh-CN" w:bidi="ar"/>
              </w:rPr>
              <w:t>（</w:t>
            </w:r>
            <w:r>
              <w:rPr>
                <w:rFonts w:hint="eastAsia" w:asciiTheme="minorEastAsia" w:hAnsiTheme="minorEastAsia" w:eastAsiaTheme="minorEastAsia" w:cstheme="minorEastAsia"/>
                <w:color w:val="auto"/>
                <w:kern w:val="0"/>
                <w:sz w:val="24"/>
                <w:szCs w:val="24"/>
                <w:highlight w:val="none"/>
                <w:lang w:val="en-US" w:eastAsia="zh-CN" w:bidi="ar"/>
              </w:rPr>
              <w:t>±10mm）</w:t>
            </w:r>
          </w:p>
        </w:tc>
        <w:tc>
          <w:tcPr>
            <w:tcW w:w="721" w:type="dxa"/>
            <w:vAlign w:val="center"/>
          </w:tcPr>
          <w:p w14:paraId="54B7C7BB">
            <w:pPr>
              <w:keepNext w:val="0"/>
              <w:keepLines w:val="0"/>
              <w:pageBreakBefore w:val="0"/>
              <w:widowControl/>
              <w:kinsoku/>
              <w:wordWrap/>
              <w:overflowPunct/>
              <w:topLinePunct w:val="0"/>
              <w:autoSpaceDE/>
              <w:autoSpaceDN/>
              <w:bidi w:val="0"/>
              <w:adjustRightInd/>
              <w:snapToGrid w:val="0"/>
              <w:spacing w:line="300" w:lineRule="auto"/>
              <w:jc w:val="center"/>
              <w:textAlignment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96块</w:t>
            </w:r>
          </w:p>
        </w:tc>
        <w:tc>
          <w:tcPr>
            <w:tcW w:w="1112" w:type="dxa"/>
            <w:vAlign w:val="center"/>
          </w:tcPr>
          <w:p w14:paraId="4D4043FD">
            <w:pPr>
              <w:keepNext w:val="0"/>
              <w:keepLines w:val="0"/>
              <w:pageBreakBefore w:val="0"/>
              <w:widowControl/>
              <w:kinsoku/>
              <w:wordWrap/>
              <w:overflowPunct/>
              <w:topLinePunct w:val="0"/>
              <w:autoSpaceDE/>
              <w:autoSpaceDN/>
              <w:bidi w:val="0"/>
              <w:adjustRightInd/>
              <w:snapToGrid w:val="0"/>
              <w:spacing w:line="300" w:lineRule="auto"/>
              <w:jc w:val="center"/>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900</w:t>
            </w:r>
          </w:p>
        </w:tc>
        <w:tc>
          <w:tcPr>
            <w:tcW w:w="905" w:type="dxa"/>
            <w:vMerge w:val="continue"/>
            <w:vAlign w:val="center"/>
          </w:tcPr>
          <w:p w14:paraId="2881A942">
            <w:pPr>
              <w:keepNext w:val="0"/>
              <w:keepLines w:val="0"/>
              <w:pageBreakBefore w:val="0"/>
              <w:widowControl/>
              <w:kinsoku/>
              <w:wordWrap/>
              <w:overflowPunct/>
              <w:topLinePunct w:val="0"/>
              <w:autoSpaceDE/>
              <w:autoSpaceDN/>
              <w:bidi w:val="0"/>
              <w:adjustRightInd/>
              <w:snapToGrid w:val="0"/>
              <w:spacing w:line="300" w:lineRule="auto"/>
              <w:jc w:val="center"/>
              <w:rPr>
                <w:rFonts w:hint="eastAsia" w:asciiTheme="minorEastAsia" w:hAnsiTheme="minorEastAsia" w:eastAsiaTheme="minorEastAsia" w:cstheme="minorEastAsia"/>
                <w:color w:val="auto"/>
                <w:sz w:val="24"/>
                <w:szCs w:val="24"/>
                <w:highlight w:val="none"/>
              </w:rPr>
            </w:pPr>
          </w:p>
        </w:tc>
      </w:tr>
      <w:tr w14:paraId="0D36F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dxa"/>
          <w:trHeight w:val="542" w:hRule="atLeast"/>
          <w:jc w:val="center"/>
        </w:trPr>
        <w:tc>
          <w:tcPr>
            <w:tcW w:w="311" w:type="dxa"/>
            <w:vAlign w:val="center"/>
          </w:tcPr>
          <w:p w14:paraId="5B050802">
            <w:pPr>
              <w:keepNext w:val="0"/>
              <w:keepLines w:val="0"/>
              <w:pageBreakBefore w:val="0"/>
              <w:widowControl/>
              <w:kinsoku/>
              <w:wordWrap/>
              <w:overflowPunct/>
              <w:topLinePunct w:val="0"/>
              <w:autoSpaceDE/>
              <w:autoSpaceDN/>
              <w:bidi w:val="0"/>
              <w:adjustRightInd/>
              <w:snapToGrid w:val="0"/>
              <w:spacing w:line="300" w:lineRule="auto"/>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w:t>
            </w:r>
          </w:p>
        </w:tc>
        <w:tc>
          <w:tcPr>
            <w:tcW w:w="1147" w:type="dxa"/>
            <w:tcMar>
              <w:top w:w="15" w:type="dxa"/>
              <w:left w:w="15" w:type="dxa"/>
              <w:bottom w:w="0" w:type="dxa"/>
              <w:right w:w="15" w:type="dxa"/>
            </w:tcMar>
            <w:vAlign w:val="center"/>
          </w:tcPr>
          <w:p w14:paraId="54E4B208">
            <w:pPr>
              <w:keepNext w:val="0"/>
              <w:keepLines w:val="0"/>
              <w:pageBreakBefore w:val="0"/>
              <w:widowControl/>
              <w:kinsoku/>
              <w:wordWrap/>
              <w:overflowPunct/>
              <w:topLinePunct w:val="0"/>
              <w:autoSpaceDE/>
              <w:autoSpaceDN/>
              <w:bidi w:val="0"/>
              <w:adjustRightInd/>
              <w:snapToGrid w:val="0"/>
              <w:spacing w:line="300" w:lineRule="auto"/>
              <w:jc w:val="center"/>
              <w:textAlignment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电池连接线</w:t>
            </w:r>
          </w:p>
        </w:tc>
        <w:tc>
          <w:tcPr>
            <w:tcW w:w="5629" w:type="dxa"/>
            <w:vAlign w:val="top"/>
          </w:tcPr>
          <w:p w14:paraId="2A391094">
            <w:pPr>
              <w:keepNext w:val="0"/>
              <w:keepLines w:val="0"/>
              <w:pageBreakBefore w:val="0"/>
              <w:widowControl/>
              <w:kinsoku/>
              <w:wordWrap/>
              <w:overflowPunct/>
              <w:topLinePunct w:val="0"/>
              <w:autoSpaceDE/>
              <w:autoSpaceDN/>
              <w:bidi w:val="0"/>
              <w:adjustRightInd/>
              <w:snapToGrid w:val="0"/>
              <w:spacing w:line="300" w:lineRule="auto"/>
              <w:jc w:val="both"/>
              <w:textAlignment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定制成品35平方铜芯软线</w:t>
            </w:r>
          </w:p>
        </w:tc>
        <w:tc>
          <w:tcPr>
            <w:tcW w:w="721" w:type="dxa"/>
            <w:vAlign w:val="center"/>
          </w:tcPr>
          <w:p w14:paraId="1968780E">
            <w:pPr>
              <w:keepNext w:val="0"/>
              <w:keepLines w:val="0"/>
              <w:pageBreakBefore w:val="0"/>
              <w:widowControl/>
              <w:kinsoku/>
              <w:wordWrap/>
              <w:overflowPunct/>
              <w:topLinePunct w:val="0"/>
              <w:autoSpaceDE/>
              <w:autoSpaceDN/>
              <w:bidi w:val="0"/>
              <w:adjustRightInd/>
              <w:snapToGrid w:val="0"/>
              <w:spacing w:line="300" w:lineRule="auto"/>
              <w:jc w:val="center"/>
              <w:textAlignment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3套</w:t>
            </w:r>
          </w:p>
        </w:tc>
        <w:tc>
          <w:tcPr>
            <w:tcW w:w="1112" w:type="dxa"/>
            <w:vAlign w:val="center"/>
          </w:tcPr>
          <w:p w14:paraId="0D691207">
            <w:pPr>
              <w:keepNext w:val="0"/>
              <w:keepLines w:val="0"/>
              <w:pageBreakBefore w:val="0"/>
              <w:widowControl/>
              <w:kinsoku/>
              <w:wordWrap/>
              <w:overflowPunct/>
              <w:topLinePunct w:val="0"/>
              <w:autoSpaceDE/>
              <w:autoSpaceDN/>
              <w:bidi w:val="0"/>
              <w:adjustRightInd/>
              <w:snapToGrid w:val="0"/>
              <w:spacing w:line="300" w:lineRule="auto"/>
              <w:jc w:val="center"/>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4350</w:t>
            </w:r>
          </w:p>
        </w:tc>
        <w:tc>
          <w:tcPr>
            <w:tcW w:w="905" w:type="dxa"/>
            <w:vMerge w:val="continue"/>
            <w:vAlign w:val="center"/>
          </w:tcPr>
          <w:p w14:paraId="75D6FB47">
            <w:pPr>
              <w:keepNext w:val="0"/>
              <w:keepLines w:val="0"/>
              <w:pageBreakBefore w:val="0"/>
              <w:widowControl/>
              <w:kinsoku/>
              <w:wordWrap/>
              <w:overflowPunct/>
              <w:topLinePunct w:val="0"/>
              <w:autoSpaceDE/>
              <w:autoSpaceDN/>
              <w:bidi w:val="0"/>
              <w:adjustRightInd/>
              <w:snapToGrid w:val="0"/>
              <w:spacing w:line="300" w:lineRule="auto"/>
              <w:jc w:val="center"/>
              <w:rPr>
                <w:rFonts w:hint="eastAsia" w:asciiTheme="minorEastAsia" w:hAnsiTheme="minorEastAsia" w:eastAsiaTheme="minorEastAsia" w:cstheme="minorEastAsia"/>
                <w:color w:val="auto"/>
                <w:sz w:val="24"/>
                <w:szCs w:val="24"/>
                <w:highlight w:val="none"/>
              </w:rPr>
            </w:pPr>
          </w:p>
        </w:tc>
      </w:tr>
      <w:tr w14:paraId="20A90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dxa"/>
          <w:trHeight w:val="542" w:hRule="atLeast"/>
          <w:jc w:val="center"/>
        </w:trPr>
        <w:tc>
          <w:tcPr>
            <w:tcW w:w="311" w:type="dxa"/>
            <w:vAlign w:val="center"/>
          </w:tcPr>
          <w:p w14:paraId="465B387C">
            <w:pPr>
              <w:keepNext w:val="0"/>
              <w:keepLines w:val="0"/>
              <w:pageBreakBefore w:val="0"/>
              <w:widowControl/>
              <w:kinsoku/>
              <w:wordWrap/>
              <w:overflowPunct/>
              <w:topLinePunct w:val="0"/>
              <w:autoSpaceDE/>
              <w:autoSpaceDN/>
              <w:bidi w:val="0"/>
              <w:adjustRightInd/>
              <w:snapToGrid w:val="0"/>
              <w:spacing w:line="300" w:lineRule="auto"/>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4</w:t>
            </w:r>
          </w:p>
        </w:tc>
        <w:tc>
          <w:tcPr>
            <w:tcW w:w="1147" w:type="dxa"/>
            <w:tcMar>
              <w:top w:w="15" w:type="dxa"/>
              <w:left w:w="15" w:type="dxa"/>
              <w:bottom w:w="0" w:type="dxa"/>
              <w:right w:w="15" w:type="dxa"/>
            </w:tcMar>
            <w:vAlign w:val="center"/>
          </w:tcPr>
          <w:p w14:paraId="186904CE">
            <w:pPr>
              <w:keepNext w:val="0"/>
              <w:keepLines w:val="0"/>
              <w:pageBreakBefore w:val="0"/>
              <w:widowControl/>
              <w:kinsoku/>
              <w:wordWrap/>
              <w:overflowPunct/>
              <w:topLinePunct w:val="0"/>
              <w:autoSpaceDE/>
              <w:autoSpaceDN/>
              <w:bidi w:val="0"/>
              <w:adjustRightInd/>
              <w:snapToGrid w:val="0"/>
              <w:spacing w:line="300" w:lineRule="auto"/>
              <w:jc w:val="center"/>
              <w:textAlignment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直流空开箱</w:t>
            </w:r>
          </w:p>
        </w:tc>
        <w:tc>
          <w:tcPr>
            <w:tcW w:w="5629" w:type="dxa"/>
            <w:vAlign w:val="top"/>
          </w:tcPr>
          <w:p w14:paraId="6CBE5627">
            <w:pPr>
              <w:keepNext w:val="0"/>
              <w:keepLines w:val="0"/>
              <w:pageBreakBefore w:val="0"/>
              <w:widowControl/>
              <w:kinsoku/>
              <w:wordWrap/>
              <w:overflowPunct/>
              <w:topLinePunct w:val="0"/>
              <w:autoSpaceDE/>
              <w:autoSpaceDN/>
              <w:bidi w:val="0"/>
              <w:adjustRightInd/>
              <w:snapToGrid w:val="0"/>
              <w:spacing w:line="300" w:lineRule="auto"/>
              <w:jc w:val="both"/>
              <w:textAlignment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定制空开箱含DC225A直流空开及配件</w:t>
            </w:r>
          </w:p>
        </w:tc>
        <w:tc>
          <w:tcPr>
            <w:tcW w:w="721" w:type="dxa"/>
            <w:vAlign w:val="center"/>
          </w:tcPr>
          <w:p w14:paraId="3E8E9C8C">
            <w:pPr>
              <w:keepNext w:val="0"/>
              <w:keepLines w:val="0"/>
              <w:pageBreakBefore w:val="0"/>
              <w:widowControl/>
              <w:kinsoku/>
              <w:wordWrap/>
              <w:overflowPunct/>
              <w:topLinePunct w:val="0"/>
              <w:autoSpaceDE/>
              <w:autoSpaceDN/>
              <w:bidi w:val="0"/>
              <w:adjustRightInd/>
              <w:snapToGrid w:val="0"/>
              <w:spacing w:line="300" w:lineRule="auto"/>
              <w:jc w:val="center"/>
              <w:textAlignment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3套</w:t>
            </w:r>
          </w:p>
        </w:tc>
        <w:tc>
          <w:tcPr>
            <w:tcW w:w="1112" w:type="dxa"/>
            <w:vAlign w:val="center"/>
          </w:tcPr>
          <w:p w14:paraId="2D0C6390">
            <w:pPr>
              <w:keepNext w:val="0"/>
              <w:keepLines w:val="0"/>
              <w:pageBreakBefore w:val="0"/>
              <w:widowControl/>
              <w:kinsoku/>
              <w:wordWrap/>
              <w:overflowPunct/>
              <w:topLinePunct w:val="0"/>
              <w:autoSpaceDE/>
              <w:autoSpaceDN/>
              <w:bidi w:val="0"/>
              <w:adjustRightInd/>
              <w:snapToGrid w:val="0"/>
              <w:spacing w:line="300" w:lineRule="auto"/>
              <w:jc w:val="center"/>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840</w:t>
            </w:r>
          </w:p>
        </w:tc>
        <w:tc>
          <w:tcPr>
            <w:tcW w:w="905" w:type="dxa"/>
            <w:vMerge w:val="continue"/>
            <w:vAlign w:val="center"/>
          </w:tcPr>
          <w:p w14:paraId="253CC034">
            <w:pPr>
              <w:keepNext w:val="0"/>
              <w:keepLines w:val="0"/>
              <w:pageBreakBefore w:val="0"/>
              <w:widowControl/>
              <w:kinsoku/>
              <w:wordWrap/>
              <w:overflowPunct/>
              <w:topLinePunct w:val="0"/>
              <w:autoSpaceDE/>
              <w:autoSpaceDN/>
              <w:bidi w:val="0"/>
              <w:adjustRightInd/>
              <w:snapToGrid w:val="0"/>
              <w:spacing w:line="300" w:lineRule="auto"/>
              <w:jc w:val="center"/>
              <w:rPr>
                <w:rFonts w:hint="eastAsia" w:asciiTheme="minorEastAsia" w:hAnsiTheme="minorEastAsia" w:eastAsiaTheme="minorEastAsia" w:cstheme="minorEastAsia"/>
                <w:color w:val="auto"/>
                <w:sz w:val="24"/>
                <w:szCs w:val="24"/>
                <w:highlight w:val="none"/>
              </w:rPr>
            </w:pPr>
          </w:p>
        </w:tc>
      </w:tr>
      <w:tr w14:paraId="3B091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dxa"/>
          <w:trHeight w:val="542" w:hRule="atLeast"/>
          <w:jc w:val="center"/>
        </w:trPr>
        <w:tc>
          <w:tcPr>
            <w:tcW w:w="311" w:type="dxa"/>
            <w:vAlign w:val="center"/>
          </w:tcPr>
          <w:p w14:paraId="75E24657">
            <w:pPr>
              <w:keepNext w:val="0"/>
              <w:keepLines w:val="0"/>
              <w:pageBreakBefore w:val="0"/>
              <w:widowControl/>
              <w:kinsoku/>
              <w:wordWrap/>
              <w:overflowPunct/>
              <w:topLinePunct w:val="0"/>
              <w:autoSpaceDE/>
              <w:autoSpaceDN/>
              <w:bidi w:val="0"/>
              <w:adjustRightInd/>
              <w:snapToGrid w:val="0"/>
              <w:spacing w:line="300" w:lineRule="auto"/>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5</w:t>
            </w:r>
          </w:p>
        </w:tc>
        <w:tc>
          <w:tcPr>
            <w:tcW w:w="1147" w:type="dxa"/>
            <w:tcMar>
              <w:top w:w="15" w:type="dxa"/>
              <w:left w:w="15" w:type="dxa"/>
              <w:bottom w:w="0" w:type="dxa"/>
              <w:right w:w="15" w:type="dxa"/>
            </w:tcMar>
            <w:vAlign w:val="center"/>
          </w:tcPr>
          <w:p w14:paraId="322DECE1">
            <w:pPr>
              <w:keepNext w:val="0"/>
              <w:keepLines w:val="0"/>
              <w:pageBreakBefore w:val="0"/>
              <w:widowControl/>
              <w:kinsoku/>
              <w:wordWrap/>
              <w:overflowPunct/>
              <w:topLinePunct w:val="0"/>
              <w:autoSpaceDE/>
              <w:autoSpaceDN/>
              <w:bidi w:val="0"/>
              <w:adjustRightInd/>
              <w:snapToGrid w:val="0"/>
              <w:spacing w:line="300" w:lineRule="auto"/>
              <w:jc w:val="center"/>
              <w:textAlignment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UPS输入输出线缆</w:t>
            </w:r>
          </w:p>
        </w:tc>
        <w:tc>
          <w:tcPr>
            <w:tcW w:w="5629" w:type="dxa"/>
            <w:vAlign w:val="top"/>
          </w:tcPr>
          <w:p w14:paraId="0045158F">
            <w:pPr>
              <w:keepNext w:val="0"/>
              <w:keepLines w:val="0"/>
              <w:pageBreakBefore w:val="0"/>
              <w:widowControl/>
              <w:kinsoku/>
              <w:wordWrap/>
              <w:overflowPunct/>
              <w:topLinePunct w:val="0"/>
              <w:autoSpaceDE/>
              <w:autoSpaceDN/>
              <w:bidi w:val="0"/>
              <w:adjustRightInd/>
              <w:snapToGrid w:val="0"/>
              <w:spacing w:line="300" w:lineRule="auto"/>
              <w:jc w:val="both"/>
              <w:textAlignment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YJV4*25+1*16</w:t>
            </w:r>
          </w:p>
        </w:tc>
        <w:tc>
          <w:tcPr>
            <w:tcW w:w="721" w:type="dxa"/>
            <w:vAlign w:val="center"/>
          </w:tcPr>
          <w:p w14:paraId="0F118E99">
            <w:pPr>
              <w:keepNext w:val="0"/>
              <w:keepLines w:val="0"/>
              <w:pageBreakBefore w:val="0"/>
              <w:widowControl/>
              <w:kinsoku/>
              <w:wordWrap/>
              <w:overflowPunct/>
              <w:topLinePunct w:val="0"/>
              <w:autoSpaceDE/>
              <w:autoSpaceDN/>
              <w:bidi w:val="0"/>
              <w:adjustRightInd/>
              <w:snapToGrid w:val="0"/>
              <w:spacing w:line="300" w:lineRule="auto"/>
              <w:jc w:val="center"/>
              <w:textAlignment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100米</w:t>
            </w:r>
          </w:p>
        </w:tc>
        <w:tc>
          <w:tcPr>
            <w:tcW w:w="1112" w:type="dxa"/>
            <w:vAlign w:val="center"/>
          </w:tcPr>
          <w:p w14:paraId="57C6737A">
            <w:pPr>
              <w:keepNext w:val="0"/>
              <w:keepLines w:val="0"/>
              <w:pageBreakBefore w:val="0"/>
              <w:widowControl/>
              <w:kinsoku/>
              <w:wordWrap/>
              <w:overflowPunct/>
              <w:topLinePunct w:val="0"/>
              <w:autoSpaceDE/>
              <w:autoSpaceDN/>
              <w:bidi w:val="0"/>
              <w:adjustRightInd/>
              <w:snapToGrid w:val="0"/>
              <w:spacing w:line="300" w:lineRule="auto"/>
              <w:jc w:val="center"/>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150</w:t>
            </w:r>
          </w:p>
        </w:tc>
        <w:tc>
          <w:tcPr>
            <w:tcW w:w="905" w:type="dxa"/>
            <w:vMerge w:val="continue"/>
            <w:vAlign w:val="center"/>
          </w:tcPr>
          <w:p w14:paraId="7EE2BC2B">
            <w:pPr>
              <w:keepNext w:val="0"/>
              <w:keepLines w:val="0"/>
              <w:pageBreakBefore w:val="0"/>
              <w:widowControl/>
              <w:kinsoku/>
              <w:wordWrap/>
              <w:overflowPunct/>
              <w:topLinePunct w:val="0"/>
              <w:autoSpaceDE/>
              <w:autoSpaceDN/>
              <w:bidi w:val="0"/>
              <w:adjustRightInd/>
              <w:snapToGrid w:val="0"/>
              <w:spacing w:line="300" w:lineRule="auto"/>
              <w:jc w:val="center"/>
              <w:rPr>
                <w:rFonts w:hint="eastAsia" w:asciiTheme="minorEastAsia" w:hAnsiTheme="minorEastAsia" w:eastAsiaTheme="minorEastAsia" w:cstheme="minorEastAsia"/>
                <w:color w:val="auto"/>
                <w:sz w:val="24"/>
                <w:szCs w:val="24"/>
                <w:highlight w:val="none"/>
              </w:rPr>
            </w:pPr>
          </w:p>
        </w:tc>
      </w:tr>
      <w:tr w14:paraId="7C7DB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dxa"/>
          <w:trHeight w:val="542" w:hRule="atLeast"/>
          <w:jc w:val="center"/>
        </w:trPr>
        <w:tc>
          <w:tcPr>
            <w:tcW w:w="311" w:type="dxa"/>
            <w:vAlign w:val="center"/>
          </w:tcPr>
          <w:p w14:paraId="162CB04D">
            <w:pPr>
              <w:keepNext w:val="0"/>
              <w:keepLines w:val="0"/>
              <w:pageBreakBefore w:val="0"/>
              <w:widowControl/>
              <w:kinsoku/>
              <w:wordWrap/>
              <w:overflowPunct/>
              <w:topLinePunct w:val="0"/>
              <w:autoSpaceDE/>
              <w:autoSpaceDN/>
              <w:bidi w:val="0"/>
              <w:adjustRightInd/>
              <w:snapToGrid w:val="0"/>
              <w:spacing w:line="300" w:lineRule="auto"/>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6</w:t>
            </w:r>
          </w:p>
        </w:tc>
        <w:tc>
          <w:tcPr>
            <w:tcW w:w="1147" w:type="dxa"/>
            <w:tcMar>
              <w:top w:w="15" w:type="dxa"/>
              <w:left w:w="15" w:type="dxa"/>
              <w:bottom w:w="0" w:type="dxa"/>
              <w:right w:w="15" w:type="dxa"/>
            </w:tcMar>
            <w:vAlign w:val="center"/>
          </w:tcPr>
          <w:p w14:paraId="27635E80">
            <w:pPr>
              <w:keepNext w:val="0"/>
              <w:keepLines w:val="0"/>
              <w:pageBreakBefore w:val="0"/>
              <w:widowControl/>
              <w:kinsoku/>
              <w:wordWrap/>
              <w:overflowPunct/>
              <w:topLinePunct w:val="0"/>
              <w:autoSpaceDE/>
              <w:autoSpaceDN/>
              <w:bidi w:val="0"/>
              <w:adjustRightInd/>
              <w:snapToGrid w:val="0"/>
              <w:spacing w:line="300" w:lineRule="auto"/>
              <w:jc w:val="center"/>
              <w:textAlignment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电池组连接线</w:t>
            </w:r>
          </w:p>
        </w:tc>
        <w:tc>
          <w:tcPr>
            <w:tcW w:w="5629" w:type="dxa"/>
            <w:vAlign w:val="top"/>
          </w:tcPr>
          <w:p w14:paraId="2D5F2E1F">
            <w:pPr>
              <w:keepNext w:val="0"/>
              <w:keepLines w:val="0"/>
              <w:pageBreakBefore w:val="0"/>
              <w:widowControl/>
              <w:kinsoku/>
              <w:wordWrap/>
              <w:overflowPunct/>
              <w:topLinePunct w:val="0"/>
              <w:autoSpaceDE/>
              <w:autoSpaceDN/>
              <w:bidi w:val="0"/>
              <w:adjustRightInd/>
              <w:snapToGrid w:val="0"/>
              <w:spacing w:line="300" w:lineRule="auto"/>
              <w:jc w:val="both"/>
              <w:textAlignment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BVR35平方</w:t>
            </w:r>
          </w:p>
        </w:tc>
        <w:tc>
          <w:tcPr>
            <w:tcW w:w="721" w:type="dxa"/>
            <w:vAlign w:val="center"/>
          </w:tcPr>
          <w:p w14:paraId="4F9B5458">
            <w:pPr>
              <w:keepNext w:val="0"/>
              <w:keepLines w:val="0"/>
              <w:pageBreakBefore w:val="0"/>
              <w:widowControl/>
              <w:kinsoku/>
              <w:wordWrap/>
              <w:overflowPunct/>
              <w:topLinePunct w:val="0"/>
              <w:autoSpaceDE/>
              <w:autoSpaceDN/>
              <w:bidi w:val="0"/>
              <w:adjustRightInd/>
              <w:snapToGrid w:val="0"/>
              <w:spacing w:line="300" w:lineRule="auto"/>
              <w:jc w:val="center"/>
              <w:textAlignment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200米</w:t>
            </w:r>
          </w:p>
        </w:tc>
        <w:tc>
          <w:tcPr>
            <w:tcW w:w="1112" w:type="dxa"/>
            <w:vAlign w:val="center"/>
          </w:tcPr>
          <w:p w14:paraId="4E3270EC">
            <w:pPr>
              <w:keepNext w:val="0"/>
              <w:keepLines w:val="0"/>
              <w:pageBreakBefore w:val="0"/>
              <w:widowControl/>
              <w:kinsoku/>
              <w:wordWrap/>
              <w:overflowPunct/>
              <w:topLinePunct w:val="0"/>
              <w:autoSpaceDE/>
              <w:autoSpaceDN/>
              <w:bidi w:val="0"/>
              <w:adjustRightInd/>
              <w:snapToGrid w:val="0"/>
              <w:spacing w:line="300" w:lineRule="auto"/>
              <w:jc w:val="center"/>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45</w:t>
            </w:r>
          </w:p>
        </w:tc>
        <w:tc>
          <w:tcPr>
            <w:tcW w:w="905" w:type="dxa"/>
            <w:vMerge w:val="continue"/>
            <w:vAlign w:val="center"/>
          </w:tcPr>
          <w:p w14:paraId="25390BC9">
            <w:pPr>
              <w:keepNext w:val="0"/>
              <w:keepLines w:val="0"/>
              <w:pageBreakBefore w:val="0"/>
              <w:widowControl/>
              <w:kinsoku/>
              <w:wordWrap/>
              <w:overflowPunct/>
              <w:topLinePunct w:val="0"/>
              <w:autoSpaceDE/>
              <w:autoSpaceDN/>
              <w:bidi w:val="0"/>
              <w:adjustRightInd/>
              <w:snapToGrid w:val="0"/>
              <w:spacing w:line="300" w:lineRule="auto"/>
              <w:jc w:val="center"/>
              <w:rPr>
                <w:rFonts w:hint="eastAsia" w:asciiTheme="minorEastAsia" w:hAnsiTheme="minorEastAsia" w:eastAsiaTheme="minorEastAsia" w:cstheme="minorEastAsia"/>
                <w:color w:val="auto"/>
                <w:sz w:val="24"/>
                <w:szCs w:val="24"/>
                <w:highlight w:val="none"/>
              </w:rPr>
            </w:pPr>
          </w:p>
        </w:tc>
      </w:tr>
      <w:tr w14:paraId="70841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dxa"/>
          <w:trHeight w:val="542" w:hRule="atLeast"/>
          <w:jc w:val="center"/>
        </w:trPr>
        <w:tc>
          <w:tcPr>
            <w:tcW w:w="311" w:type="dxa"/>
            <w:vAlign w:val="center"/>
          </w:tcPr>
          <w:p w14:paraId="43F9FDA6">
            <w:pPr>
              <w:keepNext w:val="0"/>
              <w:keepLines w:val="0"/>
              <w:pageBreakBefore w:val="0"/>
              <w:widowControl/>
              <w:kinsoku/>
              <w:wordWrap/>
              <w:overflowPunct/>
              <w:topLinePunct w:val="0"/>
              <w:autoSpaceDE/>
              <w:autoSpaceDN/>
              <w:bidi w:val="0"/>
              <w:adjustRightInd/>
              <w:snapToGrid w:val="0"/>
              <w:spacing w:line="300" w:lineRule="auto"/>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7</w:t>
            </w:r>
          </w:p>
        </w:tc>
        <w:tc>
          <w:tcPr>
            <w:tcW w:w="1147" w:type="dxa"/>
            <w:tcMar>
              <w:top w:w="15" w:type="dxa"/>
              <w:left w:w="15" w:type="dxa"/>
              <w:bottom w:w="0" w:type="dxa"/>
              <w:right w:w="15" w:type="dxa"/>
            </w:tcMar>
            <w:vAlign w:val="center"/>
          </w:tcPr>
          <w:p w14:paraId="6020AB1D">
            <w:pPr>
              <w:keepNext w:val="0"/>
              <w:keepLines w:val="0"/>
              <w:pageBreakBefore w:val="0"/>
              <w:widowControl/>
              <w:kinsoku/>
              <w:wordWrap/>
              <w:overflowPunct/>
              <w:topLinePunct w:val="0"/>
              <w:autoSpaceDE/>
              <w:autoSpaceDN/>
              <w:bidi w:val="0"/>
              <w:adjustRightInd/>
              <w:snapToGrid w:val="0"/>
              <w:spacing w:line="300" w:lineRule="auto"/>
              <w:jc w:val="center"/>
              <w:textAlignment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辅材</w:t>
            </w:r>
          </w:p>
        </w:tc>
        <w:tc>
          <w:tcPr>
            <w:tcW w:w="5629" w:type="dxa"/>
            <w:vAlign w:val="top"/>
          </w:tcPr>
          <w:p w14:paraId="2053A383">
            <w:pPr>
              <w:keepNext w:val="0"/>
              <w:keepLines w:val="0"/>
              <w:pageBreakBefore w:val="0"/>
              <w:widowControl/>
              <w:kinsoku/>
              <w:wordWrap/>
              <w:overflowPunct/>
              <w:topLinePunct w:val="0"/>
              <w:autoSpaceDE/>
              <w:autoSpaceDN/>
              <w:bidi w:val="0"/>
              <w:adjustRightInd/>
              <w:snapToGrid w:val="0"/>
              <w:spacing w:line="300" w:lineRule="auto"/>
              <w:jc w:val="both"/>
              <w:textAlignment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铜鼻子、扎带、线卡、胶带等辅材</w:t>
            </w:r>
          </w:p>
        </w:tc>
        <w:tc>
          <w:tcPr>
            <w:tcW w:w="721" w:type="dxa"/>
            <w:vAlign w:val="center"/>
          </w:tcPr>
          <w:p w14:paraId="267D8A6B">
            <w:pPr>
              <w:keepNext w:val="0"/>
              <w:keepLines w:val="0"/>
              <w:pageBreakBefore w:val="0"/>
              <w:widowControl/>
              <w:kinsoku/>
              <w:wordWrap/>
              <w:overflowPunct/>
              <w:topLinePunct w:val="0"/>
              <w:autoSpaceDE/>
              <w:autoSpaceDN/>
              <w:bidi w:val="0"/>
              <w:adjustRightInd/>
              <w:snapToGrid w:val="0"/>
              <w:spacing w:line="300" w:lineRule="auto"/>
              <w:jc w:val="center"/>
              <w:textAlignment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1项</w:t>
            </w:r>
          </w:p>
        </w:tc>
        <w:tc>
          <w:tcPr>
            <w:tcW w:w="1112" w:type="dxa"/>
            <w:vAlign w:val="center"/>
          </w:tcPr>
          <w:p w14:paraId="59C9F86B">
            <w:pPr>
              <w:keepNext w:val="0"/>
              <w:keepLines w:val="0"/>
              <w:pageBreakBefore w:val="0"/>
              <w:widowControl/>
              <w:kinsoku/>
              <w:wordWrap/>
              <w:overflowPunct/>
              <w:topLinePunct w:val="0"/>
              <w:autoSpaceDE/>
              <w:autoSpaceDN/>
              <w:bidi w:val="0"/>
              <w:adjustRightInd/>
              <w:snapToGrid w:val="0"/>
              <w:spacing w:line="300" w:lineRule="auto"/>
              <w:jc w:val="center"/>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3300</w:t>
            </w:r>
          </w:p>
        </w:tc>
        <w:tc>
          <w:tcPr>
            <w:tcW w:w="905" w:type="dxa"/>
            <w:vMerge w:val="continue"/>
            <w:vAlign w:val="center"/>
          </w:tcPr>
          <w:p w14:paraId="652F3403">
            <w:pPr>
              <w:keepNext w:val="0"/>
              <w:keepLines w:val="0"/>
              <w:pageBreakBefore w:val="0"/>
              <w:widowControl/>
              <w:kinsoku/>
              <w:wordWrap/>
              <w:overflowPunct/>
              <w:topLinePunct w:val="0"/>
              <w:autoSpaceDE/>
              <w:autoSpaceDN/>
              <w:bidi w:val="0"/>
              <w:adjustRightInd/>
              <w:snapToGrid w:val="0"/>
              <w:spacing w:line="300" w:lineRule="auto"/>
              <w:jc w:val="center"/>
              <w:rPr>
                <w:rFonts w:hint="eastAsia" w:asciiTheme="minorEastAsia" w:hAnsiTheme="minorEastAsia" w:eastAsiaTheme="minorEastAsia" w:cstheme="minorEastAsia"/>
                <w:color w:val="auto"/>
                <w:sz w:val="24"/>
                <w:szCs w:val="24"/>
                <w:highlight w:val="none"/>
              </w:rPr>
            </w:pPr>
          </w:p>
        </w:tc>
      </w:tr>
      <w:tr w14:paraId="235F5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dxa"/>
          <w:trHeight w:val="542" w:hRule="atLeast"/>
          <w:jc w:val="center"/>
        </w:trPr>
        <w:tc>
          <w:tcPr>
            <w:tcW w:w="311" w:type="dxa"/>
            <w:vAlign w:val="center"/>
          </w:tcPr>
          <w:p w14:paraId="34FA957E">
            <w:pPr>
              <w:keepNext w:val="0"/>
              <w:keepLines w:val="0"/>
              <w:pageBreakBefore w:val="0"/>
              <w:widowControl/>
              <w:kinsoku/>
              <w:wordWrap/>
              <w:overflowPunct/>
              <w:topLinePunct w:val="0"/>
              <w:autoSpaceDE/>
              <w:autoSpaceDN/>
              <w:bidi w:val="0"/>
              <w:adjustRightInd/>
              <w:snapToGrid w:val="0"/>
              <w:spacing w:line="300" w:lineRule="auto"/>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8</w:t>
            </w:r>
          </w:p>
        </w:tc>
        <w:tc>
          <w:tcPr>
            <w:tcW w:w="1147" w:type="dxa"/>
            <w:tcMar>
              <w:top w:w="15" w:type="dxa"/>
              <w:left w:w="15" w:type="dxa"/>
              <w:bottom w:w="0" w:type="dxa"/>
              <w:right w:w="15" w:type="dxa"/>
            </w:tcMar>
            <w:vAlign w:val="center"/>
          </w:tcPr>
          <w:p w14:paraId="7C1CB5CE">
            <w:pPr>
              <w:keepNext w:val="0"/>
              <w:keepLines w:val="0"/>
              <w:pageBreakBefore w:val="0"/>
              <w:widowControl/>
              <w:kinsoku/>
              <w:wordWrap/>
              <w:overflowPunct/>
              <w:topLinePunct w:val="0"/>
              <w:autoSpaceDE/>
              <w:autoSpaceDN/>
              <w:bidi w:val="0"/>
              <w:adjustRightInd/>
              <w:snapToGrid w:val="0"/>
              <w:spacing w:line="300" w:lineRule="auto"/>
              <w:jc w:val="center"/>
              <w:textAlignment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系统集成费</w:t>
            </w:r>
          </w:p>
        </w:tc>
        <w:tc>
          <w:tcPr>
            <w:tcW w:w="5629" w:type="dxa"/>
            <w:vAlign w:val="top"/>
          </w:tcPr>
          <w:p w14:paraId="7C9C4DE9">
            <w:pPr>
              <w:keepNext w:val="0"/>
              <w:keepLines w:val="0"/>
              <w:pageBreakBefore w:val="0"/>
              <w:widowControl/>
              <w:kinsoku/>
              <w:wordWrap/>
              <w:overflowPunct/>
              <w:topLinePunct w:val="0"/>
              <w:autoSpaceDE/>
              <w:autoSpaceDN/>
              <w:bidi w:val="0"/>
              <w:adjustRightInd/>
              <w:snapToGrid w:val="0"/>
              <w:spacing w:line="300" w:lineRule="auto"/>
              <w:jc w:val="both"/>
              <w:textAlignment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包含搬运、安装、调试、集成、售后</w:t>
            </w:r>
          </w:p>
        </w:tc>
        <w:tc>
          <w:tcPr>
            <w:tcW w:w="721" w:type="dxa"/>
            <w:vAlign w:val="center"/>
          </w:tcPr>
          <w:p w14:paraId="0C140283">
            <w:pPr>
              <w:keepNext w:val="0"/>
              <w:keepLines w:val="0"/>
              <w:pageBreakBefore w:val="0"/>
              <w:widowControl/>
              <w:kinsoku/>
              <w:wordWrap/>
              <w:overflowPunct/>
              <w:topLinePunct w:val="0"/>
              <w:autoSpaceDE/>
              <w:autoSpaceDN/>
              <w:bidi w:val="0"/>
              <w:adjustRightInd/>
              <w:snapToGrid w:val="0"/>
              <w:spacing w:line="300" w:lineRule="auto"/>
              <w:jc w:val="center"/>
              <w:textAlignment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1项</w:t>
            </w:r>
          </w:p>
        </w:tc>
        <w:tc>
          <w:tcPr>
            <w:tcW w:w="1112" w:type="dxa"/>
            <w:vAlign w:val="center"/>
          </w:tcPr>
          <w:p w14:paraId="465E148A">
            <w:pPr>
              <w:keepNext w:val="0"/>
              <w:keepLines w:val="0"/>
              <w:pageBreakBefore w:val="0"/>
              <w:widowControl/>
              <w:kinsoku/>
              <w:wordWrap/>
              <w:overflowPunct/>
              <w:topLinePunct w:val="0"/>
              <w:autoSpaceDE/>
              <w:autoSpaceDN/>
              <w:bidi w:val="0"/>
              <w:adjustRightInd/>
              <w:snapToGrid w:val="0"/>
              <w:spacing w:line="300" w:lineRule="auto"/>
              <w:jc w:val="center"/>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31800</w:t>
            </w:r>
          </w:p>
        </w:tc>
        <w:tc>
          <w:tcPr>
            <w:tcW w:w="905" w:type="dxa"/>
            <w:vAlign w:val="center"/>
          </w:tcPr>
          <w:p w14:paraId="721C375B">
            <w:pPr>
              <w:keepNext w:val="0"/>
              <w:keepLines w:val="0"/>
              <w:pageBreakBefore w:val="0"/>
              <w:widowControl/>
              <w:kinsoku/>
              <w:wordWrap/>
              <w:overflowPunct/>
              <w:topLinePunct w:val="0"/>
              <w:autoSpaceDE/>
              <w:autoSpaceDN/>
              <w:bidi w:val="0"/>
              <w:adjustRightInd/>
              <w:snapToGrid w:val="0"/>
              <w:spacing w:line="30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其他未列明行业</w:t>
            </w:r>
          </w:p>
        </w:tc>
      </w:tr>
      <w:tr w14:paraId="28A23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dxa"/>
          <w:trHeight w:val="542" w:hRule="atLeast"/>
          <w:jc w:val="center"/>
        </w:trPr>
        <w:tc>
          <w:tcPr>
            <w:tcW w:w="9825" w:type="dxa"/>
            <w:gridSpan w:val="6"/>
            <w:vAlign w:val="top"/>
          </w:tcPr>
          <w:p w14:paraId="73098551">
            <w:pPr>
              <w:keepNext w:val="0"/>
              <w:keepLines w:val="0"/>
              <w:pageBreakBefore w:val="0"/>
              <w:widowControl/>
              <w:kinsoku/>
              <w:wordWrap/>
              <w:overflowPunct/>
              <w:topLinePunct w:val="0"/>
              <w:autoSpaceDE/>
              <w:autoSpaceDN/>
              <w:bidi w:val="0"/>
              <w:adjustRightInd/>
              <w:snapToGrid w:val="0"/>
              <w:spacing w:line="300" w:lineRule="auto"/>
              <w:jc w:val="both"/>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注：带载总量48KW,平均1个机柜4KW，计划带载8个机柜，满载供电时间不低于4小时，所投产品需考虑电池架利旧市电输入配电柜利旧，UPS输入电缆利旧。</w:t>
            </w:r>
          </w:p>
        </w:tc>
      </w:tr>
      <w:tr w14:paraId="6A8F3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dxa"/>
          <w:trHeight w:val="542" w:hRule="atLeast"/>
          <w:jc w:val="center"/>
        </w:trPr>
        <w:tc>
          <w:tcPr>
            <w:tcW w:w="9825" w:type="dxa"/>
            <w:gridSpan w:val="6"/>
            <w:vAlign w:val="center"/>
          </w:tcPr>
          <w:p w14:paraId="58327607">
            <w:pPr>
              <w:keepNext w:val="0"/>
              <w:keepLines w:val="0"/>
              <w:pageBreakBefore w:val="0"/>
              <w:widowControl/>
              <w:kinsoku/>
              <w:wordWrap/>
              <w:overflowPunct/>
              <w:topLinePunct w:val="0"/>
              <w:autoSpaceDE/>
              <w:autoSpaceDN/>
              <w:bidi w:val="0"/>
              <w:adjustRightInd/>
              <w:snapToGrid w:val="0"/>
              <w:spacing w:line="300" w:lineRule="auto"/>
              <w:jc w:val="center"/>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公安新增设备清单</w:t>
            </w:r>
          </w:p>
        </w:tc>
      </w:tr>
      <w:tr w14:paraId="3B28E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dxa"/>
          <w:trHeight w:val="542" w:hRule="atLeast"/>
          <w:jc w:val="center"/>
        </w:trPr>
        <w:tc>
          <w:tcPr>
            <w:tcW w:w="311" w:type="dxa"/>
            <w:vAlign w:val="center"/>
          </w:tcPr>
          <w:p w14:paraId="1B230E4A">
            <w:pPr>
              <w:keepNext w:val="0"/>
              <w:keepLines w:val="0"/>
              <w:pageBreakBefore w:val="0"/>
              <w:widowControl/>
              <w:kinsoku/>
              <w:wordWrap/>
              <w:overflowPunct/>
              <w:topLinePunct w:val="0"/>
              <w:autoSpaceDE/>
              <w:autoSpaceDN/>
              <w:bidi w:val="0"/>
              <w:adjustRightInd/>
              <w:snapToGrid w:val="0"/>
              <w:spacing w:line="300" w:lineRule="auto"/>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w:t>
            </w:r>
          </w:p>
        </w:tc>
        <w:tc>
          <w:tcPr>
            <w:tcW w:w="1147" w:type="dxa"/>
            <w:tcMar>
              <w:top w:w="15" w:type="dxa"/>
              <w:left w:w="15" w:type="dxa"/>
              <w:bottom w:w="0" w:type="dxa"/>
              <w:right w:w="15" w:type="dxa"/>
            </w:tcMar>
            <w:vAlign w:val="center"/>
          </w:tcPr>
          <w:p w14:paraId="7AE6F0BD">
            <w:pPr>
              <w:keepNext w:val="0"/>
              <w:keepLines w:val="0"/>
              <w:pageBreakBefore w:val="0"/>
              <w:widowControl/>
              <w:kinsoku/>
              <w:wordWrap/>
              <w:overflowPunct/>
              <w:topLinePunct w:val="0"/>
              <w:autoSpaceDE/>
              <w:autoSpaceDN/>
              <w:bidi w:val="0"/>
              <w:adjustRightInd/>
              <w:snapToGrid w:val="0"/>
              <w:spacing w:line="300" w:lineRule="auto"/>
              <w:jc w:val="center"/>
              <w:textAlignment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公安网服务器</w:t>
            </w:r>
          </w:p>
        </w:tc>
        <w:tc>
          <w:tcPr>
            <w:tcW w:w="5629" w:type="dxa"/>
            <w:vAlign w:val="top"/>
          </w:tcPr>
          <w:p w14:paraId="0D7817E1">
            <w:pPr>
              <w:keepNext w:val="0"/>
              <w:keepLines w:val="0"/>
              <w:pageBreakBefore w:val="0"/>
              <w:widowControl/>
              <w:kinsoku/>
              <w:wordWrap/>
              <w:overflowPunct/>
              <w:topLinePunct w:val="0"/>
              <w:autoSpaceDE/>
              <w:autoSpaceDN/>
              <w:bidi w:val="0"/>
              <w:adjustRightInd/>
              <w:snapToGrid w:val="0"/>
              <w:spacing w:line="300" w:lineRule="auto"/>
              <w:jc w:val="both"/>
              <w:textAlignment w:val="center"/>
              <w:rPr>
                <w:rFonts w:hint="eastAsia" w:asciiTheme="minorEastAsia" w:hAnsiTheme="minorEastAsia" w:eastAsiaTheme="minorEastAsia" w:cstheme="minorEastAsia"/>
                <w:color w:val="auto"/>
                <w:kern w:val="0"/>
                <w:sz w:val="24"/>
                <w:szCs w:val="24"/>
                <w:highlight w:val="none"/>
                <w:lang w:eastAsia="zh-CN" w:bidi="ar"/>
              </w:rPr>
            </w:pPr>
            <w:r>
              <w:rPr>
                <w:rFonts w:hint="eastAsia" w:asciiTheme="minorEastAsia" w:hAnsiTheme="minorEastAsia" w:eastAsiaTheme="minorEastAsia" w:cstheme="minorEastAsia"/>
                <w:color w:val="auto"/>
                <w:kern w:val="0"/>
                <w:sz w:val="24"/>
                <w:szCs w:val="24"/>
                <w:highlight w:val="none"/>
                <w:lang w:bidi="ar"/>
              </w:rPr>
              <w:t>1</w:t>
            </w:r>
            <w:r>
              <w:rPr>
                <w:rFonts w:hint="eastAsia" w:asciiTheme="minorEastAsia" w:hAnsiTheme="minorEastAsia" w:eastAsiaTheme="minorEastAsia" w:cstheme="minorEastAsia"/>
                <w:color w:val="auto"/>
                <w:kern w:val="0"/>
                <w:sz w:val="24"/>
                <w:szCs w:val="24"/>
                <w:highlight w:val="none"/>
                <w:lang w:val="en-US" w:eastAsia="zh-CN" w:bidi="ar"/>
              </w:rPr>
              <w:t>.</w:t>
            </w:r>
            <w:r>
              <w:rPr>
                <w:rFonts w:hint="eastAsia" w:asciiTheme="minorEastAsia" w:hAnsiTheme="minorEastAsia" w:eastAsiaTheme="minorEastAsia" w:cstheme="minorEastAsia"/>
                <w:color w:val="auto"/>
                <w:kern w:val="0"/>
                <w:sz w:val="24"/>
                <w:szCs w:val="24"/>
                <w:highlight w:val="none"/>
                <w:lang w:bidi="ar"/>
              </w:rPr>
              <w:t>品牌要求 国产服务器品牌</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2</w:t>
            </w:r>
            <w:r>
              <w:rPr>
                <w:rFonts w:hint="eastAsia" w:asciiTheme="minorEastAsia" w:hAnsiTheme="minorEastAsia" w:eastAsiaTheme="minorEastAsia" w:cstheme="minorEastAsia"/>
                <w:color w:val="auto"/>
                <w:kern w:val="0"/>
                <w:sz w:val="24"/>
                <w:szCs w:val="24"/>
                <w:highlight w:val="none"/>
                <w:lang w:val="en-US" w:eastAsia="zh-CN" w:bidi="ar"/>
              </w:rPr>
              <w:t>.</w:t>
            </w:r>
            <w:r>
              <w:rPr>
                <w:rFonts w:hint="eastAsia" w:asciiTheme="minorEastAsia" w:hAnsiTheme="minorEastAsia" w:eastAsiaTheme="minorEastAsia" w:cstheme="minorEastAsia"/>
                <w:color w:val="auto"/>
                <w:kern w:val="0"/>
                <w:sz w:val="24"/>
                <w:szCs w:val="24"/>
                <w:highlight w:val="none"/>
                <w:lang w:bidi="ar"/>
              </w:rPr>
              <w:t>机型 2U机架式服务器</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3</w:t>
            </w:r>
            <w:r>
              <w:rPr>
                <w:rFonts w:hint="eastAsia" w:asciiTheme="minorEastAsia" w:hAnsiTheme="minorEastAsia" w:eastAsiaTheme="minorEastAsia" w:cstheme="minorEastAsia"/>
                <w:color w:val="auto"/>
                <w:kern w:val="0"/>
                <w:sz w:val="24"/>
                <w:szCs w:val="24"/>
                <w:highlight w:val="none"/>
                <w:lang w:val="en-US" w:eastAsia="zh-CN" w:bidi="ar"/>
              </w:rPr>
              <w:t>.</w:t>
            </w:r>
            <w:r>
              <w:rPr>
                <w:rFonts w:hint="eastAsia" w:asciiTheme="minorEastAsia" w:hAnsiTheme="minorEastAsia" w:eastAsiaTheme="minorEastAsia" w:cstheme="minorEastAsia"/>
                <w:color w:val="auto"/>
                <w:kern w:val="0"/>
                <w:sz w:val="24"/>
                <w:szCs w:val="24"/>
                <w:highlight w:val="none"/>
                <w:lang w:bidi="ar"/>
              </w:rPr>
              <w:t>处理器 配置2颗≥2.0GHz/12核/30MB/150W</w:t>
            </w:r>
            <w:r>
              <w:rPr>
                <w:rFonts w:hint="eastAsia" w:asciiTheme="minorEastAsia" w:hAnsiTheme="minorEastAsia" w:eastAsiaTheme="minorEastAsia" w:cstheme="minorEastAsia"/>
                <w:color w:val="auto"/>
                <w:kern w:val="0"/>
                <w:sz w:val="24"/>
                <w:szCs w:val="24"/>
                <w:highlight w:val="none"/>
                <w:lang w:val="en-US" w:eastAsia="zh-CN" w:bidi="ar"/>
              </w:rPr>
              <w:t xml:space="preserve"> </w:t>
            </w:r>
            <w:r>
              <w:rPr>
                <w:rFonts w:hint="eastAsia" w:asciiTheme="minorEastAsia" w:hAnsiTheme="minorEastAsia" w:eastAsiaTheme="minorEastAsia" w:cstheme="minorEastAsia"/>
                <w:color w:val="auto"/>
                <w:kern w:val="0"/>
                <w:sz w:val="24"/>
                <w:szCs w:val="24"/>
                <w:highlight w:val="none"/>
                <w:lang w:bidi="ar"/>
              </w:rPr>
              <w:t>CPU，最大支持2颗处理器</w:t>
            </w:r>
            <w:r>
              <w:rPr>
                <w:rFonts w:hint="eastAsia" w:asciiTheme="minorEastAsia" w:hAnsiTheme="minorEastAsia" w:eastAsiaTheme="minorEastAsia" w:cstheme="minorEastAsia"/>
                <w:color w:val="auto"/>
                <w:kern w:val="0"/>
                <w:sz w:val="24"/>
                <w:szCs w:val="24"/>
                <w:highlight w:val="none"/>
                <w:lang w:eastAsia="zh-CN" w:bidi="ar"/>
              </w:rPr>
              <w:t>。</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4</w:t>
            </w:r>
            <w:r>
              <w:rPr>
                <w:rFonts w:hint="eastAsia" w:asciiTheme="minorEastAsia" w:hAnsiTheme="minorEastAsia" w:eastAsiaTheme="minorEastAsia" w:cstheme="minorEastAsia"/>
                <w:color w:val="auto"/>
                <w:kern w:val="0"/>
                <w:sz w:val="24"/>
                <w:szCs w:val="24"/>
                <w:highlight w:val="none"/>
                <w:lang w:val="en-US" w:eastAsia="zh-CN" w:bidi="ar"/>
              </w:rPr>
              <w:t>.</w:t>
            </w:r>
            <w:r>
              <w:rPr>
                <w:rFonts w:hint="eastAsia" w:asciiTheme="minorEastAsia" w:hAnsiTheme="minorEastAsia" w:eastAsiaTheme="minorEastAsia" w:cstheme="minorEastAsia"/>
                <w:color w:val="auto"/>
                <w:kern w:val="0"/>
                <w:sz w:val="24"/>
                <w:szCs w:val="24"/>
                <w:highlight w:val="none"/>
                <w:lang w:bidi="ar"/>
              </w:rPr>
              <w:t>内存配置≥32GB DDR5 5600MHz ECC RDIMM内存，支持≥16个内存插槽，支持内存ECC，内存镜像等多种保护模式</w:t>
            </w:r>
            <w:r>
              <w:rPr>
                <w:rFonts w:hint="eastAsia" w:asciiTheme="minorEastAsia" w:hAnsiTheme="minorEastAsia" w:eastAsiaTheme="minorEastAsia" w:cstheme="minorEastAsia"/>
                <w:color w:val="auto"/>
                <w:kern w:val="0"/>
                <w:sz w:val="24"/>
                <w:szCs w:val="24"/>
                <w:highlight w:val="none"/>
                <w:lang w:eastAsia="zh-CN" w:bidi="ar"/>
              </w:rPr>
              <w:t>。</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5</w:t>
            </w:r>
            <w:r>
              <w:rPr>
                <w:rFonts w:hint="eastAsia" w:asciiTheme="minorEastAsia" w:hAnsiTheme="minorEastAsia" w:eastAsiaTheme="minorEastAsia" w:cstheme="minorEastAsia"/>
                <w:color w:val="auto"/>
                <w:kern w:val="0"/>
                <w:sz w:val="24"/>
                <w:szCs w:val="24"/>
                <w:highlight w:val="none"/>
                <w:lang w:val="en-US" w:eastAsia="zh-CN" w:bidi="ar"/>
              </w:rPr>
              <w:t>.</w:t>
            </w:r>
            <w:r>
              <w:rPr>
                <w:rFonts w:hint="eastAsia" w:asciiTheme="minorEastAsia" w:hAnsiTheme="minorEastAsia" w:eastAsiaTheme="minorEastAsia" w:cstheme="minorEastAsia"/>
                <w:color w:val="auto"/>
                <w:kern w:val="0"/>
                <w:sz w:val="24"/>
                <w:szCs w:val="24"/>
                <w:highlight w:val="none"/>
                <w:lang w:bidi="ar"/>
              </w:rPr>
              <w:t>硬盘</w:t>
            </w:r>
            <w:r>
              <w:rPr>
                <w:rFonts w:hint="eastAsia" w:asciiTheme="minorEastAsia" w:hAnsiTheme="minorEastAsia" w:eastAsiaTheme="minorEastAsia" w:cstheme="minorEastAsia"/>
                <w:color w:val="auto"/>
                <w:kern w:val="0"/>
                <w:sz w:val="24"/>
                <w:szCs w:val="24"/>
                <w:highlight w:val="none"/>
                <w:lang w:eastAsia="zh-CN" w:bidi="ar"/>
              </w:rPr>
              <w:t>“</w:t>
            </w:r>
            <w:r>
              <w:rPr>
                <w:rFonts w:hint="eastAsia" w:asciiTheme="minorEastAsia" w:hAnsiTheme="minorEastAsia" w:eastAsiaTheme="minorEastAsia" w:cstheme="minorEastAsia"/>
                <w:color w:val="auto"/>
                <w:kern w:val="0"/>
                <w:sz w:val="24"/>
                <w:szCs w:val="24"/>
                <w:highlight w:val="none"/>
                <w:lang w:bidi="ar"/>
              </w:rPr>
              <w:t>本次配置≥2块4TB SATA硬盘</w:t>
            </w:r>
            <w:r>
              <w:rPr>
                <w:rFonts w:hint="eastAsia" w:asciiTheme="minorEastAsia" w:hAnsiTheme="minorEastAsia" w:eastAsiaTheme="minorEastAsia" w:cstheme="minorEastAsia"/>
                <w:color w:val="auto"/>
                <w:kern w:val="0"/>
                <w:sz w:val="24"/>
                <w:szCs w:val="24"/>
                <w:highlight w:val="none"/>
                <w:lang w:eastAsia="zh-CN" w:bidi="ar"/>
              </w:rPr>
              <w:t>”</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6</w:t>
            </w:r>
            <w:r>
              <w:rPr>
                <w:rFonts w:hint="eastAsia" w:asciiTheme="minorEastAsia" w:hAnsiTheme="minorEastAsia" w:eastAsiaTheme="minorEastAsia" w:cstheme="minorEastAsia"/>
                <w:color w:val="auto"/>
                <w:kern w:val="0"/>
                <w:sz w:val="24"/>
                <w:szCs w:val="24"/>
                <w:highlight w:val="none"/>
                <w:lang w:val="en-US" w:eastAsia="zh-CN" w:bidi="ar"/>
              </w:rPr>
              <w:t>.</w:t>
            </w:r>
            <w:r>
              <w:rPr>
                <w:rFonts w:hint="eastAsia" w:asciiTheme="minorEastAsia" w:hAnsiTheme="minorEastAsia" w:eastAsiaTheme="minorEastAsia" w:cstheme="minorEastAsia"/>
                <w:color w:val="auto"/>
                <w:kern w:val="0"/>
                <w:sz w:val="24"/>
                <w:szCs w:val="24"/>
                <w:highlight w:val="none"/>
                <w:lang w:bidi="ar"/>
              </w:rPr>
              <w:t>硬盘控制器</w:t>
            </w:r>
            <w:r>
              <w:rPr>
                <w:rFonts w:hint="eastAsia" w:asciiTheme="minorEastAsia" w:hAnsiTheme="minorEastAsia" w:eastAsiaTheme="minorEastAsia" w:cstheme="minorEastAsia"/>
                <w:color w:val="auto"/>
                <w:kern w:val="0"/>
                <w:sz w:val="24"/>
                <w:szCs w:val="24"/>
                <w:highlight w:val="none"/>
                <w:lang w:eastAsia="zh-CN" w:bidi="ar"/>
              </w:rPr>
              <w:t>“</w:t>
            </w:r>
            <w:r>
              <w:rPr>
                <w:rFonts w:hint="eastAsia" w:asciiTheme="minorEastAsia" w:hAnsiTheme="minorEastAsia" w:eastAsiaTheme="minorEastAsia" w:cstheme="minorEastAsia"/>
                <w:color w:val="auto"/>
                <w:kern w:val="0"/>
                <w:sz w:val="24"/>
                <w:szCs w:val="24"/>
                <w:highlight w:val="none"/>
                <w:lang w:bidi="ar"/>
              </w:rPr>
              <w:t>最大支持4个3.5寸硬盘或者6个2.5寸硬盘，最大兼容6个NVMe，支持热插拔支持2个M.2</w:t>
            </w:r>
            <w:r>
              <w:rPr>
                <w:rFonts w:hint="eastAsia" w:asciiTheme="minorEastAsia" w:hAnsiTheme="minorEastAsia" w:eastAsiaTheme="minorEastAsia" w:cstheme="minorEastAsia"/>
                <w:color w:val="auto"/>
                <w:kern w:val="0"/>
                <w:sz w:val="24"/>
                <w:szCs w:val="24"/>
                <w:highlight w:val="none"/>
                <w:lang w:eastAsia="zh-CN" w:bidi="ar"/>
              </w:rPr>
              <w:t>”。</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7</w:t>
            </w:r>
            <w:r>
              <w:rPr>
                <w:rFonts w:hint="eastAsia" w:asciiTheme="minorEastAsia" w:hAnsiTheme="minorEastAsia" w:eastAsiaTheme="minorEastAsia" w:cstheme="minorEastAsia"/>
                <w:color w:val="auto"/>
                <w:kern w:val="0"/>
                <w:sz w:val="24"/>
                <w:szCs w:val="24"/>
                <w:highlight w:val="none"/>
                <w:lang w:val="en-US" w:eastAsia="zh-CN" w:bidi="ar"/>
              </w:rPr>
              <w:t>.</w:t>
            </w:r>
            <w:r>
              <w:rPr>
                <w:rFonts w:hint="eastAsia" w:asciiTheme="minorEastAsia" w:hAnsiTheme="minorEastAsia" w:eastAsiaTheme="minorEastAsia" w:cstheme="minorEastAsia"/>
                <w:color w:val="auto"/>
                <w:kern w:val="0"/>
                <w:sz w:val="24"/>
                <w:szCs w:val="24"/>
                <w:highlight w:val="none"/>
                <w:lang w:bidi="ar"/>
              </w:rPr>
              <w:t>扩展插槽  最大支持5个PCIe 扩展插槽，包含1个OCP专属插槽。可支持2个双宽GPU卡</w:t>
            </w:r>
            <w:r>
              <w:rPr>
                <w:rFonts w:hint="eastAsia" w:asciiTheme="minorEastAsia" w:hAnsiTheme="minorEastAsia" w:eastAsiaTheme="minorEastAsia" w:cstheme="minorEastAsia"/>
                <w:color w:val="auto"/>
                <w:kern w:val="0"/>
                <w:sz w:val="24"/>
                <w:szCs w:val="24"/>
                <w:highlight w:val="none"/>
                <w:lang w:eastAsia="zh-CN" w:bidi="ar"/>
              </w:rPr>
              <w:t>。</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8</w:t>
            </w:r>
            <w:r>
              <w:rPr>
                <w:rFonts w:hint="eastAsia" w:asciiTheme="minorEastAsia" w:hAnsiTheme="minorEastAsia" w:eastAsiaTheme="minorEastAsia" w:cstheme="minorEastAsia"/>
                <w:color w:val="auto"/>
                <w:kern w:val="0"/>
                <w:sz w:val="24"/>
                <w:szCs w:val="24"/>
                <w:highlight w:val="none"/>
                <w:lang w:val="en-US" w:eastAsia="zh-CN" w:bidi="ar"/>
              </w:rPr>
              <w:t>.</w:t>
            </w:r>
            <w:r>
              <w:rPr>
                <w:rFonts w:hint="eastAsia" w:asciiTheme="minorEastAsia" w:hAnsiTheme="minorEastAsia" w:eastAsiaTheme="minorEastAsia" w:cstheme="minorEastAsia"/>
                <w:color w:val="auto"/>
                <w:kern w:val="0"/>
                <w:sz w:val="24"/>
                <w:szCs w:val="24"/>
                <w:highlight w:val="none"/>
                <w:lang w:bidi="ar"/>
              </w:rPr>
              <w:t>电源 ≥800W；配置2颗冗余电源</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9</w:t>
            </w:r>
            <w:r>
              <w:rPr>
                <w:rFonts w:hint="eastAsia" w:asciiTheme="minorEastAsia" w:hAnsiTheme="minorEastAsia" w:eastAsiaTheme="minorEastAsia" w:cstheme="minorEastAsia"/>
                <w:color w:val="auto"/>
                <w:kern w:val="0"/>
                <w:sz w:val="24"/>
                <w:szCs w:val="24"/>
                <w:highlight w:val="none"/>
                <w:lang w:val="en-US" w:eastAsia="zh-CN" w:bidi="ar"/>
              </w:rPr>
              <w:t>.</w:t>
            </w:r>
            <w:r>
              <w:rPr>
                <w:rFonts w:hint="eastAsia" w:asciiTheme="minorEastAsia" w:hAnsiTheme="minorEastAsia" w:eastAsiaTheme="minorEastAsia" w:cstheme="minorEastAsia"/>
                <w:color w:val="auto"/>
                <w:kern w:val="0"/>
                <w:sz w:val="24"/>
                <w:szCs w:val="24"/>
                <w:highlight w:val="none"/>
                <w:lang w:bidi="ar"/>
              </w:rPr>
              <w:t>风扇支持≥4个风扇，支持N+1冗余</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10</w:t>
            </w:r>
            <w:r>
              <w:rPr>
                <w:rFonts w:hint="eastAsia" w:asciiTheme="minorEastAsia" w:hAnsiTheme="minorEastAsia" w:eastAsiaTheme="minorEastAsia" w:cstheme="minorEastAsia"/>
                <w:color w:val="auto"/>
                <w:kern w:val="0"/>
                <w:sz w:val="24"/>
                <w:szCs w:val="24"/>
                <w:highlight w:val="none"/>
                <w:lang w:val="en-US" w:eastAsia="zh-CN" w:bidi="ar"/>
              </w:rPr>
              <w:t>.</w:t>
            </w:r>
            <w:r>
              <w:rPr>
                <w:rFonts w:hint="eastAsia" w:asciiTheme="minorEastAsia" w:hAnsiTheme="minorEastAsia" w:eastAsiaTheme="minorEastAsia" w:cstheme="minorEastAsia"/>
                <w:color w:val="auto"/>
                <w:kern w:val="0"/>
                <w:sz w:val="24"/>
                <w:szCs w:val="24"/>
                <w:highlight w:val="none"/>
                <w:lang w:bidi="ar"/>
              </w:rPr>
              <w:t>网络 1个OCP 3.0，具备NCSI；板载2个千兆RJ45接口</w:t>
            </w:r>
            <w:r>
              <w:rPr>
                <w:rFonts w:hint="eastAsia" w:asciiTheme="minorEastAsia" w:hAnsiTheme="minorEastAsia" w:eastAsiaTheme="minorEastAsia" w:cstheme="minorEastAsia"/>
                <w:color w:val="auto"/>
                <w:kern w:val="0"/>
                <w:sz w:val="24"/>
                <w:szCs w:val="24"/>
                <w:highlight w:val="none"/>
                <w:lang w:eastAsia="zh-CN" w:bidi="ar"/>
              </w:rPr>
              <w:t>。</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11</w:t>
            </w:r>
            <w:r>
              <w:rPr>
                <w:rFonts w:hint="eastAsia" w:asciiTheme="minorEastAsia" w:hAnsiTheme="minorEastAsia" w:eastAsiaTheme="minorEastAsia" w:cstheme="minorEastAsia"/>
                <w:color w:val="auto"/>
                <w:kern w:val="0"/>
                <w:sz w:val="24"/>
                <w:szCs w:val="24"/>
                <w:highlight w:val="none"/>
                <w:lang w:val="en-US" w:eastAsia="zh-CN" w:bidi="ar"/>
              </w:rPr>
              <w:t>.</w:t>
            </w:r>
            <w:r>
              <w:rPr>
                <w:rFonts w:hint="eastAsia" w:asciiTheme="minorEastAsia" w:hAnsiTheme="minorEastAsia" w:eastAsiaTheme="minorEastAsia" w:cstheme="minorEastAsia"/>
                <w:color w:val="auto"/>
                <w:kern w:val="0"/>
                <w:sz w:val="24"/>
                <w:szCs w:val="24"/>
                <w:highlight w:val="none"/>
                <w:lang w:bidi="ar"/>
              </w:rPr>
              <w:t xml:space="preserve">功能管理 </w:t>
            </w:r>
            <w:r>
              <w:rPr>
                <w:rFonts w:hint="eastAsia" w:asciiTheme="minorEastAsia" w:hAnsiTheme="minorEastAsia" w:eastAsiaTheme="minorEastAsia" w:cstheme="minorEastAsia"/>
                <w:color w:val="auto"/>
                <w:kern w:val="0"/>
                <w:sz w:val="24"/>
                <w:szCs w:val="24"/>
                <w:highlight w:val="none"/>
                <w:lang w:eastAsia="zh-CN" w:bidi="ar"/>
              </w:rPr>
              <w:t>“</w:t>
            </w:r>
            <w:r>
              <w:rPr>
                <w:rFonts w:hint="eastAsia" w:asciiTheme="minorEastAsia" w:hAnsiTheme="minorEastAsia" w:eastAsiaTheme="minorEastAsia" w:cstheme="minorEastAsia"/>
                <w:color w:val="auto"/>
                <w:kern w:val="0"/>
                <w:sz w:val="24"/>
                <w:szCs w:val="24"/>
                <w:highlight w:val="none"/>
                <w:lang w:bidi="ar"/>
              </w:rPr>
              <w:t>集成BMC芯片，提供1个1Gbps RJ45管理口，支持Redfish、SNMP、IPMI 2.0等标准接口，提供全面的故障诊断、自动化运维、远程管理等功能</w:t>
            </w:r>
            <w:r>
              <w:rPr>
                <w:rFonts w:hint="eastAsia" w:asciiTheme="minorEastAsia" w:hAnsiTheme="minorEastAsia" w:eastAsiaTheme="minorEastAsia" w:cstheme="minorEastAsia"/>
                <w:color w:val="auto"/>
                <w:kern w:val="0"/>
                <w:sz w:val="24"/>
                <w:szCs w:val="24"/>
                <w:highlight w:val="none"/>
                <w:lang w:eastAsia="zh-CN" w:bidi="ar"/>
              </w:rPr>
              <w:t>”。</w:t>
            </w:r>
          </w:p>
          <w:p w14:paraId="50031BE9">
            <w:pPr>
              <w:keepNext w:val="0"/>
              <w:keepLines w:val="0"/>
              <w:pageBreakBefore w:val="0"/>
              <w:widowControl/>
              <w:kinsoku/>
              <w:wordWrap/>
              <w:overflowPunct/>
              <w:topLinePunct w:val="0"/>
              <w:autoSpaceDE/>
              <w:autoSpaceDN/>
              <w:bidi w:val="0"/>
              <w:adjustRightInd/>
              <w:snapToGrid w:val="0"/>
              <w:spacing w:line="300" w:lineRule="auto"/>
              <w:jc w:val="both"/>
              <w:textAlignment w:val="center"/>
              <w:rPr>
                <w:rFonts w:hint="default"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注：所购设备必须按照采购人实际工作需求进行软硬件配置（双机热备及旧服务器冷备等），并试运行符合采购人需求后方可验收，如不满足要求采购人有权拒收设备。</w:t>
            </w:r>
          </w:p>
        </w:tc>
        <w:tc>
          <w:tcPr>
            <w:tcW w:w="721" w:type="dxa"/>
            <w:vAlign w:val="center"/>
          </w:tcPr>
          <w:p w14:paraId="5CC6085D">
            <w:pPr>
              <w:keepNext w:val="0"/>
              <w:keepLines w:val="0"/>
              <w:pageBreakBefore w:val="0"/>
              <w:widowControl/>
              <w:kinsoku/>
              <w:wordWrap/>
              <w:overflowPunct/>
              <w:topLinePunct w:val="0"/>
              <w:autoSpaceDE/>
              <w:autoSpaceDN/>
              <w:bidi w:val="0"/>
              <w:adjustRightInd/>
              <w:snapToGrid w:val="0"/>
              <w:spacing w:line="300" w:lineRule="auto"/>
              <w:jc w:val="center"/>
              <w:textAlignment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2台</w:t>
            </w:r>
          </w:p>
        </w:tc>
        <w:tc>
          <w:tcPr>
            <w:tcW w:w="1112" w:type="dxa"/>
            <w:vAlign w:val="center"/>
          </w:tcPr>
          <w:p w14:paraId="3259C368">
            <w:pPr>
              <w:keepNext w:val="0"/>
              <w:keepLines w:val="0"/>
              <w:pageBreakBefore w:val="0"/>
              <w:widowControl/>
              <w:kinsoku/>
              <w:wordWrap/>
              <w:overflowPunct/>
              <w:topLinePunct w:val="0"/>
              <w:autoSpaceDE/>
              <w:autoSpaceDN/>
              <w:bidi w:val="0"/>
              <w:adjustRightInd/>
              <w:snapToGrid w:val="0"/>
              <w:spacing w:line="300" w:lineRule="auto"/>
              <w:jc w:val="center"/>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36000</w:t>
            </w:r>
          </w:p>
        </w:tc>
        <w:tc>
          <w:tcPr>
            <w:tcW w:w="905" w:type="dxa"/>
            <w:vMerge w:val="restart"/>
            <w:vAlign w:val="center"/>
          </w:tcPr>
          <w:p w14:paraId="09FC2D9F">
            <w:pPr>
              <w:keepNext w:val="0"/>
              <w:keepLines w:val="0"/>
              <w:pageBreakBefore w:val="0"/>
              <w:widowControl/>
              <w:kinsoku/>
              <w:wordWrap/>
              <w:overflowPunct/>
              <w:topLinePunct w:val="0"/>
              <w:autoSpaceDE/>
              <w:autoSpaceDN/>
              <w:bidi w:val="0"/>
              <w:adjustRightInd/>
              <w:snapToGrid w:val="0"/>
              <w:spacing w:line="300" w:lineRule="auto"/>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工业</w:t>
            </w:r>
          </w:p>
        </w:tc>
      </w:tr>
      <w:tr w14:paraId="6704B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dxa"/>
          <w:trHeight w:val="542" w:hRule="atLeast"/>
          <w:jc w:val="center"/>
        </w:trPr>
        <w:tc>
          <w:tcPr>
            <w:tcW w:w="311" w:type="dxa"/>
            <w:vAlign w:val="center"/>
          </w:tcPr>
          <w:p w14:paraId="7558B3AB">
            <w:pPr>
              <w:keepNext w:val="0"/>
              <w:keepLines w:val="0"/>
              <w:pageBreakBefore w:val="0"/>
              <w:widowControl/>
              <w:kinsoku/>
              <w:wordWrap/>
              <w:overflowPunct/>
              <w:topLinePunct w:val="0"/>
              <w:autoSpaceDE/>
              <w:autoSpaceDN/>
              <w:bidi w:val="0"/>
              <w:adjustRightInd/>
              <w:snapToGrid w:val="0"/>
              <w:spacing w:line="300" w:lineRule="auto"/>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w:t>
            </w:r>
          </w:p>
        </w:tc>
        <w:tc>
          <w:tcPr>
            <w:tcW w:w="1147" w:type="dxa"/>
            <w:tcMar>
              <w:top w:w="15" w:type="dxa"/>
              <w:left w:w="15" w:type="dxa"/>
              <w:bottom w:w="0" w:type="dxa"/>
              <w:right w:w="15" w:type="dxa"/>
            </w:tcMar>
            <w:vAlign w:val="center"/>
          </w:tcPr>
          <w:p w14:paraId="76AB434C">
            <w:pPr>
              <w:keepNext w:val="0"/>
              <w:keepLines w:val="0"/>
              <w:pageBreakBefore w:val="0"/>
              <w:widowControl/>
              <w:kinsoku/>
              <w:wordWrap/>
              <w:overflowPunct/>
              <w:topLinePunct w:val="0"/>
              <w:autoSpaceDE/>
              <w:autoSpaceDN/>
              <w:bidi w:val="0"/>
              <w:adjustRightInd/>
              <w:snapToGrid w:val="0"/>
              <w:spacing w:line="300" w:lineRule="auto"/>
              <w:jc w:val="center"/>
              <w:textAlignment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防火墙</w:t>
            </w:r>
          </w:p>
        </w:tc>
        <w:tc>
          <w:tcPr>
            <w:tcW w:w="5629" w:type="dxa"/>
            <w:vAlign w:val="top"/>
          </w:tcPr>
          <w:p w14:paraId="2B14E448">
            <w:pPr>
              <w:keepNext w:val="0"/>
              <w:keepLines w:val="0"/>
              <w:pageBreakBefore w:val="0"/>
              <w:widowControl/>
              <w:kinsoku/>
              <w:wordWrap/>
              <w:overflowPunct/>
              <w:topLinePunct w:val="0"/>
              <w:autoSpaceDE/>
              <w:autoSpaceDN/>
              <w:bidi w:val="0"/>
              <w:adjustRightInd/>
              <w:snapToGrid w:val="0"/>
              <w:spacing w:line="300" w:lineRule="auto"/>
              <w:jc w:val="both"/>
              <w:textAlignment w:val="center"/>
              <w:rPr>
                <w:rFonts w:hint="eastAsia" w:asciiTheme="minorEastAsia" w:hAnsiTheme="minorEastAsia" w:eastAsiaTheme="minorEastAsia" w:cstheme="minorEastAsia"/>
                <w:color w:val="auto"/>
                <w:kern w:val="0"/>
                <w:sz w:val="24"/>
                <w:szCs w:val="24"/>
                <w:highlight w:val="none"/>
                <w:lang w:eastAsia="zh-CN" w:bidi="ar"/>
              </w:rPr>
            </w:pPr>
            <w:r>
              <w:rPr>
                <w:rFonts w:hint="eastAsia" w:asciiTheme="minorEastAsia" w:hAnsiTheme="minorEastAsia" w:eastAsiaTheme="minorEastAsia" w:cstheme="minorEastAsia"/>
                <w:color w:val="auto"/>
                <w:kern w:val="0"/>
                <w:sz w:val="24"/>
                <w:szCs w:val="24"/>
                <w:highlight w:val="none"/>
                <w:lang w:bidi="ar"/>
              </w:rPr>
              <w:t>1</w:t>
            </w:r>
            <w:r>
              <w:rPr>
                <w:rFonts w:hint="eastAsia" w:asciiTheme="minorEastAsia" w:hAnsiTheme="minorEastAsia" w:eastAsiaTheme="minorEastAsia" w:cstheme="minorEastAsia"/>
                <w:color w:val="auto"/>
                <w:kern w:val="0"/>
                <w:sz w:val="24"/>
                <w:szCs w:val="24"/>
                <w:highlight w:val="none"/>
                <w:lang w:val="en-US" w:eastAsia="zh-CN" w:bidi="ar"/>
              </w:rPr>
              <w:t>.</w:t>
            </w:r>
            <w:r>
              <w:rPr>
                <w:rFonts w:hint="eastAsia" w:asciiTheme="minorEastAsia" w:hAnsiTheme="minorEastAsia" w:eastAsiaTheme="minorEastAsia" w:cstheme="minorEastAsia"/>
                <w:color w:val="auto"/>
                <w:kern w:val="0"/>
                <w:sz w:val="24"/>
                <w:szCs w:val="24"/>
                <w:highlight w:val="none"/>
                <w:lang w:bidi="ar"/>
              </w:rPr>
              <w:t>标准机架式设备，具备千兆电口≥8个，千兆光口≥2个,双电源</w:t>
            </w:r>
            <w:r>
              <w:rPr>
                <w:rFonts w:hint="eastAsia" w:asciiTheme="minorEastAsia" w:hAnsiTheme="minorEastAsia" w:eastAsiaTheme="minorEastAsia" w:cstheme="minorEastAsia"/>
                <w:color w:val="auto"/>
                <w:kern w:val="0"/>
                <w:sz w:val="24"/>
                <w:szCs w:val="24"/>
                <w:highlight w:val="none"/>
                <w:lang w:eastAsia="zh-CN" w:bidi="ar"/>
              </w:rPr>
              <w:t>。</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2</w:t>
            </w:r>
            <w:r>
              <w:rPr>
                <w:rFonts w:hint="eastAsia" w:asciiTheme="minorEastAsia" w:hAnsiTheme="minorEastAsia" w:eastAsiaTheme="minorEastAsia" w:cstheme="minorEastAsia"/>
                <w:color w:val="auto"/>
                <w:kern w:val="0"/>
                <w:sz w:val="24"/>
                <w:szCs w:val="24"/>
                <w:highlight w:val="none"/>
                <w:lang w:val="en-US" w:eastAsia="zh-CN" w:bidi="ar"/>
              </w:rPr>
              <w:t>.</w:t>
            </w:r>
            <w:r>
              <w:rPr>
                <w:rFonts w:hint="eastAsia" w:asciiTheme="minorEastAsia" w:hAnsiTheme="minorEastAsia" w:eastAsiaTheme="minorEastAsia" w:cstheme="minorEastAsia"/>
                <w:color w:val="auto"/>
                <w:kern w:val="0"/>
                <w:sz w:val="24"/>
                <w:szCs w:val="24"/>
                <w:highlight w:val="none"/>
                <w:lang w:bidi="ar"/>
              </w:rPr>
              <w:t>整机网络吞吐量≥4Gbps，每秒新建连接数≥10000，最大并发连接数≥80万</w:t>
            </w:r>
            <w:r>
              <w:rPr>
                <w:rFonts w:hint="eastAsia" w:asciiTheme="minorEastAsia" w:hAnsiTheme="minorEastAsia" w:eastAsiaTheme="minorEastAsia" w:cstheme="minorEastAsia"/>
                <w:color w:val="auto"/>
                <w:kern w:val="0"/>
                <w:sz w:val="24"/>
                <w:szCs w:val="24"/>
                <w:highlight w:val="none"/>
                <w:lang w:eastAsia="zh-CN" w:bidi="ar"/>
              </w:rPr>
              <w:t>。</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3</w:t>
            </w:r>
            <w:r>
              <w:rPr>
                <w:rFonts w:hint="eastAsia" w:asciiTheme="minorEastAsia" w:hAnsiTheme="minorEastAsia" w:eastAsiaTheme="minorEastAsia" w:cstheme="minorEastAsia"/>
                <w:color w:val="auto"/>
                <w:kern w:val="0"/>
                <w:sz w:val="24"/>
                <w:szCs w:val="24"/>
                <w:highlight w:val="none"/>
                <w:lang w:val="en-US" w:eastAsia="zh-CN" w:bidi="ar"/>
              </w:rPr>
              <w:t>.</w:t>
            </w:r>
            <w:r>
              <w:rPr>
                <w:rFonts w:hint="eastAsia" w:asciiTheme="minorEastAsia" w:hAnsiTheme="minorEastAsia" w:eastAsiaTheme="minorEastAsia" w:cstheme="minorEastAsia"/>
                <w:color w:val="auto"/>
                <w:kern w:val="0"/>
                <w:sz w:val="24"/>
                <w:szCs w:val="24"/>
                <w:highlight w:val="none"/>
                <w:lang w:bidi="ar"/>
              </w:rPr>
              <w:t>支持二层模式（透明模式）、三层模式（路由和NAT模式）和混合模式，双机模式支持A/S，A/A方式部署，支持配置同步，会话同步和用户状态同步</w:t>
            </w:r>
            <w:r>
              <w:rPr>
                <w:rFonts w:hint="eastAsia" w:asciiTheme="minorEastAsia" w:hAnsiTheme="minorEastAsia" w:eastAsiaTheme="minorEastAsia" w:cstheme="minorEastAsia"/>
                <w:color w:val="auto"/>
                <w:kern w:val="0"/>
                <w:sz w:val="24"/>
                <w:szCs w:val="24"/>
                <w:highlight w:val="none"/>
                <w:lang w:eastAsia="zh-CN" w:bidi="ar"/>
              </w:rPr>
              <w:t>。</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4</w:t>
            </w:r>
            <w:r>
              <w:rPr>
                <w:rFonts w:hint="eastAsia" w:asciiTheme="minorEastAsia" w:hAnsiTheme="minorEastAsia" w:eastAsiaTheme="minorEastAsia" w:cstheme="minorEastAsia"/>
                <w:color w:val="auto"/>
                <w:kern w:val="0"/>
                <w:sz w:val="24"/>
                <w:szCs w:val="24"/>
                <w:highlight w:val="none"/>
                <w:lang w:val="en-US" w:eastAsia="zh-CN" w:bidi="ar"/>
              </w:rPr>
              <w:t>.</w:t>
            </w:r>
            <w:r>
              <w:rPr>
                <w:rFonts w:hint="eastAsia" w:asciiTheme="minorEastAsia" w:hAnsiTheme="minorEastAsia" w:eastAsiaTheme="minorEastAsia" w:cstheme="minorEastAsia"/>
                <w:color w:val="auto"/>
                <w:kern w:val="0"/>
                <w:sz w:val="24"/>
                <w:szCs w:val="24"/>
                <w:highlight w:val="none"/>
                <w:lang w:bidi="ar"/>
              </w:rPr>
              <w:t>访问控制策略支持基于源/目的IP，源/目的端口，源/目的区域，用户（组），应用/服务类型的细化控制方式</w:t>
            </w:r>
            <w:r>
              <w:rPr>
                <w:rFonts w:hint="eastAsia" w:asciiTheme="minorEastAsia" w:hAnsiTheme="minorEastAsia" w:eastAsiaTheme="minorEastAsia" w:cstheme="minorEastAsia"/>
                <w:color w:val="auto"/>
                <w:kern w:val="0"/>
                <w:sz w:val="24"/>
                <w:szCs w:val="24"/>
                <w:highlight w:val="none"/>
                <w:lang w:eastAsia="zh-CN" w:bidi="ar"/>
              </w:rPr>
              <w:t>。</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5</w:t>
            </w:r>
            <w:r>
              <w:rPr>
                <w:rFonts w:hint="eastAsia" w:asciiTheme="minorEastAsia" w:hAnsiTheme="minorEastAsia" w:eastAsiaTheme="minorEastAsia" w:cstheme="minorEastAsia"/>
                <w:color w:val="auto"/>
                <w:kern w:val="0"/>
                <w:sz w:val="24"/>
                <w:szCs w:val="24"/>
                <w:highlight w:val="none"/>
                <w:lang w:val="en-US" w:eastAsia="zh-CN" w:bidi="ar"/>
              </w:rPr>
              <w:t>.</w:t>
            </w:r>
            <w:r>
              <w:rPr>
                <w:rFonts w:hint="eastAsia" w:asciiTheme="minorEastAsia" w:hAnsiTheme="minorEastAsia" w:eastAsiaTheme="minorEastAsia" w:cstheme="minorEastAsia"/>
                <w:color w:val="auto"/>
                <w:kern w:val="0"/>
                <w:sz w:val="24"/>
                <w:szCs w:val="24"/>
                <w:highlight w:val="none"/>
                <w:lang w:bidi="ar"/>
              </w:rPr>
              <w:t>支持IPv4／v6 NAT地址转换，支持源目的地址转换，目的地址转换和双向地址转换，支持针对源IP或者目的IP进行连接数控制</w:t>
            </w:r>
            <w:r>
              <w:rPr>
                <w:rFonts w:hint="eastAsia" w:asciiTheme="minorEastAsia" w:hAnsiTheme="minorEastAsia" w:eastAsiaTheme="minorEastAsia" w:cstheme="minorEastAsia"/>
                <w:color w:val="auto"/>
                <w:kern w:val="0"/>
                <w:sz w:val="24"/>
                <w:szCs w:val="24"/>
                <w:highlight w:val="none"/>
                <w:lang w:eastAsia="zh-CN" w:bidi="ar"/>
              </w:rPr>
              <w:t>。</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6</w:t>
            </w:r>
            <w:r>
              <w:rPr>
                <w:rFonts w:hint="eastAsia" w:asciiTheme="minorEastAsia" w:hAnsiTheme="minorEastAsia" w:eastAsiaTheme="minorEastAsia" w:cstheme="minorEastAsia"/>
                <w:color w:val="auto"/>
                <w:kern w:val="0"/>
                <w:sz w:val="24"/>
                <w:szCs w:val="24"/>
                <w:highlight w:val="none"/>
                <w:lang w:val="en-US" w:eastAsia="zh-CN" w:bidi="ar"/>
              </w:rPr>
              <w:t>.</w:t>
            </w:r>
            <w:r>
              <w:rPr>
                <w:rFonts w:hint="eastAsia" w:asciiTheme="minorEastAsia" w:hAnsiTheme="minorEastAsia" w:eastAsiaTheme="minorEastAsia" w:cstheme="minorEastAsia"/>
                <w:color w:val="auto"/>
                <w:kern w:val="0"/>
                <w:sz w:val="24"/>
                <w:szCs w:val="24"/>
                <w:highlight w:val="none"/>
                <w:lang w:bidi="ar"/>
              </w:rPr>
              <w:t>支持多虚一部署，可将两台物理设备虚拟化成一台逻辑上的设备，支持将一台逻辑上的设备虚拟化成多个虚拟防火墙，并可查看各虚拟防火墙的CPU和内存利用率、新建、并发和吞吐信息，并可单独重启特定虚拟防火墙</w:t>
            </w:r>
            <w:r>
              <w:rPr>
                <w:rFonts w:hint="eastAsia" w:asciiTheme="minorEastAsia" w:hAnsiTheme="minorEastAsia" w:eastAsiaTheme="minorEastAsia" w:cstheme="minorEastAsia"/>
                <w:color w:val="auto"/>
                <w:kern w:val="0"/>
                <w:sz w:val="24"/>
                <w:szCs w:val="24"/>
                <w:highlight w:val="none"/>
                <w:lang w:eastAsia="zh-CN" w:bidi="ar"/>
              </w:rPr>
              <w:t>。</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7</w:t>
            </w:r>
            <w:r>
              <w:rPr>
                <w:rFonts w:hint="eastAsia" w:asciiTheme="minorEastAsia" w:hAnsiTheme="minorEastAsia" w:eastAsiaTheme="minorEastAsia" w:cstheme="minorEastAsia"/>
                <w:color w:val="auto"/>
                <w:kern w:val="0"/>
                <w:sz w:val="24"/>
                <w:szCs w:val="24"/>
                <w:highlight w:val="none"/>
                <w:lang w:val="en-US" w:eastAsia="zh-CN" w:bidi="ar"/>
              </w:rPr>
              <w:t>.</w:t>
            </w:r>
            <w:r>
              <w:rPr>
                <w:rFonts w:hint="eastAsia" w:asciiTheme="minorEastAsia" w:hAnsiTheme="minorEastAsia" w:eastAsiaTheme="minorEastAsia" w:cstheme="minorEastAsia"/>
                <w:color w:val="auto"/>
                <w:kern w:val="0"/>
                <w:sz w:val="24"/>
                <w:szCs w:val="24"/>
                <w:highlight w:val="none"/>
                <w:lang w:bidi="ar"/>
              </w:rPr>
              <w:t>支持对安全策略进行冗余分析，并支持按不同时间段筛选未匹配的策略功能，且可以对其进行禁/启用或者删除操作。</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8</w:t>
            </w:r>
            <w:r>
              <w:rPr>
                <w:rFonts w:hint="eastAsia" w:asciiTheme="minorEastAsia" w:hAnsiTheme="minorEastAsia" w:eastAsiaTheme="minorEastAsia" w:cstheme="minorEastAsia"/>
                <w:color w:val="auto"/>
                <w:kern w:val="0"/>
                <w:sz w:val="24"/>
                <w:szCs w:val="24"/>
                <w:highlight w:val="none"/>
                <w:lang w:val="en-US" w:eastAsia="zh-CN" w:bidi="ar"/>
              </w:rPr>
              <w:t>.</w:t>
            </w:r>
            <w:r>
              <w:rPr>
                <w:rFonts w:hint="eastAsia" w:asciiTheme="minorEastAsia" w:hAnsiTheme="minorEastAsia" w:eastAsiaTheme="minorEastAsia" w:cstheme="minorEastAsia"/>
                <w:color w:val="auto"/>
                <w:kern w:val="0"/>
                <w:sz w:val="24"/>
                <w:szCs w:val="24"/>
                <w:highlight w:val="none"/>
                <w:lang w:bidi="ar"/>
              </w:rPr>
              <w:t>支持自动生成安全策略。统一管理平台可通过对流量日志的统计整理，自动生成安全策略，并下发给防火墙设备，提高运维人员工作效率</w:t>
            </w:r>
            <w:r>
              <w:rPr>
                <w:rFonts w:hint="eastAsia" w:asciiTheme="minorEastAsia" w:hAnsiTheme="minorEastAsia" w:eastAsiaTheme="minorEastAsia" w:cstheme="minorEastAsia"/>
                <w:color w:val="auto"/>
                <w:kern w:val="0"/>
                <w:sz w:val="24"/>
                <w:szCs w:val="24"/>
                <w:highlight w:val="none"/>
                <w:lang w:eastAsia="zh-CN" w:bidi="ar"/>
              </w:rPr>
              <w:t>。</w:t>
            </w:r>
            <w:r>
              <w:rPr>
                <w:rFonts w:hint="eastAsia" w:asciiTheme="minorEastAsia" w:hAnsiTheme="minorEastAsia" w:eastAsiaTheme="minorEastAsia" w:cstheme="minorEastAsia"/>
                <w:color w:val="auto"/>
                <w:kern w:val="0"/>
                <w:sz w:val="24"/>
                <w:szCs w:val="24"/>
                <w:highlight w:val="none"/>
                <w:lang w:bidi="ar"/>
              </w:rPr>
              <w:t xml:space="preserve"> </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9</w:t>
            </w:r>
            <w:r>
              <w:rPr>
                <w:rFonts w:hint="eastAsia" w:asciiTheme="minorEastAsia" w:hAnsiTheme="minorEastAsia" w:eastAsiaTheme="minorEastAsia" w:cstheme="minorEastAsia"/>
                <w:color w:val="auto"/>
                <w:kern w:val="0"/>
                <w:sz w:val="24"/>
                <w:szCs w:val="24"/>
                <w:highlight w:val="none"/>
                <w:lang w:val="en-US" w:eastAsia="zh-CN" w:bidi="ar"/>
              </w:rPr>
              <w:t>.</w:t>
            </w:r>
            <w:r>
              <w:rPr>
                <w:rFonts w:hint="eastAsia" w:asciiTheme="minorEastAsia" w:hAnsiTheme="minorEastAsia" w:eastAsiaTheme="minorEastAsia" w:cstheme="minorEastAsia"/>
                <w:color w:val="auto"/>
                <w:kern w:val="0"/>
                <w:sz w:val="24"/>
                <w:szCs w:val="24"/>
                <w:highlight w:val="none"/>
                <w:lang w:bidi="ar"/>
              </w:rPr>
              <w:t>支持通过命令行的方式对设备内部数据流进行分析，可快速定位造成故障的防火墙内部功能模块，便于进行故障排查</w:t>
            </w:r>
            <w:r>
              <w:rPr>
                <w:rFonts w:hint="eastAsia" w:asciiTheme="minorEastAsia" w:hAnsiTheme="minorEastAsia" w:eastAsiaTheme="minorEastAsia" w:cstheme="minorEastAsia"/>
                <w:color w:val="auto"/>
                <w:kern w:val="0"/>
                <w:sz w:val="24"/>
                <w:szCs w:val="24"/>
                <w:highlight w:val="none"/>
                <w:lang w:eastAsia="zh-CN" w:bidi="ar"/>
              </w:rPr>
              <w:t>。</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10</w:t>
            </w:r>
            <w:r>
              <w:rPr>
                <w:rFonts w:hint="eastAsia" w:asciiTheme="minorEastAsia" w:hAnsiTheme="minorEastAsia" w:eastAsiaTheme="minorEastAsia" w:cstheme="minorEastAsia"/>
                <w:color w:val="auto"/>
                <w:kern w:val="0"/>
                <w:sz w:val="24"/>
                <w:szCs w:val="24"/>
                <w:highlight w:val="none"/>
                <w:lang w:val="en-US" w:eastAsia="zh-CN" w:bidi="ar"/>
              </w:rPr>
              <w:t>.</w:t>
            </w:r>
            <w:r>
              <w:rPr>
                <w:rFonts w:hint="eastAsia" w:asciiTheme="minorEastAsia" w:hAnsiTheme="minorEastAsia" w:eastAsiaTheme="minorEastAsia" w:cstheme="minorEastAsia"/>
                <w:color w:val="auto"/>
                <w:kern w:val="0"/>
                <w:sz w:val="24"/>
                <w:szCs w:val="24"/>
                <w:highlight w:val="none"/>
                <w:lang w:bidi="ar"/>
              </w:rPr>
              <w:t xml:space="preserve">入侵防护漏洞规则特征库数量在6000条以上，入侵防护漏洞特征具备中文相关介绍，包括但不限于漏洞名称，危险等级，对应CVE编号 </w:t>
            </w:r>
            <w:r>
              <w:rPr>
                <w:rFonts w:hint="eastAsia" w:asciiTheme="minorEastAsia" w:hAnsiTheme="minorEastAsia" w:eastAsiaTheme="minorEastAsia" w:cstheme="minorEastAsia"/>
                <w:color w:val="auto"/>
                <w:kern w:val="0"/>
                <w:sz w:val="24"/>
                <w:szCs w:val="24"/>
                <w:highlight w:val="none"/>
                <w:lang w:eastAsia="zh-CN" w:bidi="ar"/>
              </w:rPr>
              <w:t>。</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11</w:t>
            </w:r>
            <w:r>
              <w:rPr>
                <w:rFonts w:hint="eastAsia" w:asciiTheme="minorEastAsia" w:hAnsiTheme="minorEastAsia" w:eastAsiaTheme="minorEastAsia" w:cstheme="minorEastAsia"/>
                <w:color w:val="auto"/>
                <w:kern w:val="0"/>
                <w:sz w:val="24"/>
                <w:szCs w:val="24"/>
                <w:highlight w:val="none"/>
                <w:lang w:val="en-US" w:eastAsia="zh-CN" w:bidi="ar"/>
              </w:rPr>
              <w:t>.</w:t>
            </w:r>
            <w:r>
              <w:rPr>
                <w:rFonts w:hint="eastAsia" w:asciiTheme="minorEastAsia" w:hAnsiTheme="minorEastAsia" w:eastAsiaTheme="minorEastAsia" w:cstheme="minorEastAsia"/>
                <w:color w:val="auto"/>
                <w:kern w:val="0"/>
                <w:sz w:val="24"/>
                <w:szCs w:val="24"/>
                <w:highlight w:val="none"/>
                <w:lang w:bidi="ar"/>
              </w:rPr>
              <w:t>支持应用识别及URL过滤功能，可识别3000种以上应用，支持URL重定向</w:t>
            </w:r>
            <w:r>
              <w:rPr>
                <w:rFonts w:hint="eastAsia" w:asciiTheme="minorEastAsia" w:hAnsiTheme="minorEastAsia" w:eastAsiaTheme="minorEastAsia" w:cstheme="minorEastAsia"/>
                <w:color w:val="auto"/>
                <w:kern w:val="0"/>
                <w:sz w:val="24"/>
                <w:szCs w:val="24"/>
                <w:highlight w:val="none"/>
                <w:lang w:eastAsia="zh-CN" w:bidi="ar"/>
              </w:rPr>
              <w:t>。</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12</w:t>
            </w:r>
            <w:r>
              <w:rPr>
                <w:rFonts w:hint="eastAsia" w:asciiTheme="minorEastAsia" w:hAnsiTheme="minorEastAsia" w:eastAsiaTheme="minorEastAsia" w:cstheme="minorEastAsia"/>
                <w:color w:val="auto"/>
                <w:kern w:val="0"/>
                <w:sz w:val="24"/>
                <w:szCs w:val="24"/>
                <w:highlight w:val="none"/>
                <w:lang w:val="en-US" w:eastAsia="zh-CN" w:bidi="ar"/>
              </w:rPr>
              <w:t>.</w:t>
            </w:r>
            <w:r>
              <w:rPr>
                <w:rFonts w:hint="eastAsia" w:asciiTheme="minorEastAsia" w:hAnsiTheme="minorEastAsia" w:eastAsiaTheme="minorEastAsia" w:cstheme="minorEastAsia"/>
                <w:color w:val="auto"/>
                <w:kern w:val="0"/>
                <w:sz w:val="24"/>
                <w:szCs w:val="24"/>
                <w:highlight w:val="none"/>
                <w:lang w:bidi="ar"/>
              </w:rPr>
              <w:t>提供SQL注入攻击、XSS攻击的检测和防御功能，对Web服务系统提供保护</w:t>
            </w:r>
            <w:r>
              <w:rPr>
                <w:rFonts w:hint="eastAsia" w:asciiTheme="minorEastAsia" w:hAnsiTheme="minorEastAsia" w:eastAsiaTheme="minorEastAsia" w:cstheme="minorEastAsia"/>
                <w:color w:val="auto"/>
                <w:kern w:val="0"/>
                <w:sz w:val="24"/>
                <w:szCs w:val="24"/>
                <w:highlight w:val="none"/>
                <w:lang w:eastAsia="zh-CN" w:bidi="ar"/>
              </w:rPr>
              <w:t>。</w:t>
            </w:r>
          </w:p>
          <w:p w14:paraId="36A0E267">
            <w:pPr>
              <w:keepNext w:val="0"/>
              <w:keepLines w:val="0"/>
              <w:pageBreakBefore w:val="0"/>
              <w:widowControl/>
              <w:kinsoku/>
              <w:wordWrap/>
              <w:overflowPunct/>
              <w:topLinePunct w:val="0"/>
              <w:autoSpaceDE/>
              <w:autoSpaceDN/>
              <w:bidi w:val="0"/>
              <w:adjustRightInd/>
              <w:snapToGrid w:val="0"/>
              <w:spacing w:line="300" w:lineRule="auto"/>
              <w:jc w:val="both"/>
              <w:textAlignment w:val="center"/>
              <w:rPr>
                <w:rFonts w:hint="default"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b/>
                <w:bCs/>
                <w:color w:val="auto"/>
                <w:kern w:val="0"/>
                <w:sz w:val="24"/>
                <w:szCs w:val="24"/>
                <w:highlight w:val="none"/>
                <w:lang w:val="en-US" w:eastAsia="zh-CN" w:bidi="ar"/>
              </w:rPr>
              <w:t>注：所投产品要求符合GB 42250-2022《信息安全技术网络安全专用产品安全技术要求》，提供具备资格的机构出具的安全认证或安全检测的有效证明材料、或已获得《计算机信息系统安全专用产品销售许可证》（应处于有效期内）</w:t>
            </w:r>
          </w:p>
        </w:tc>
        <w:tc>
          <w:tcPr>
            <w:tcW w:w="721" w:type="dxa"/>
            <w:vAlign w:val="center"/>
          </w:tcPr>
          <w:p w14:paraId="4100A2D2">
            <w:pPr>
              <w:keepNext w:val="0"/>
              <w:keepLines w:val="0"/>
              <w:pageBreakBefore w:val="0"/>
              <w:widowControl/>
              <w:kinsoku/>
              <w:wordWrap/>
              <w:overflowPunct/>
              <w:topLinePunct w:val="0"/>
              <w:autoSpaceDE/>
              <w:autoSpaceDN/>
              <w:bidi w:val="0"/>
              <w:adjustRightInd/>
              <w:snapToGrid w:val="0"/>
              <w:spacing w:line="300" w:lineRule="auto"/>
              <w:jc w:val="center"/>
              <w:textAlignment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1台</w:t>
            </w:r>
          </w:p>
        </w:tc>
        <w:tc>
          <w:tcPr>
            <w:tcW w:w="1112" w:type="dxa"/>
            <w:vAlign w:val="center"/>
          </w:tcPr>
          <w:p w14:paraId="2041284D">
            <w:pPr>
              <w:keepNext w:val="0"/>
              <w:keepLines w:val="0"/>
              <w:pageBreakBefore w:val="0"/>
              <w:widowControl/>
              <w:kinsoku/>
              <w:wordWrap/>
              <w:overflowPunct/>
              <w:topLinePunct w:val="0"/>
              <w:autoSpaceDE/>
              <w:autoSpaceDN/>
              <w:bidi w:val="0"/>
              <w:adjustRightInd/>
              <w:snapToGrid w:val="0"/>
              <w:spacing w:line="300" w:lineRule="auto"/>
              <w:jc w:val="center"/>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33000</w:t>
            </w:r>
          </w:p>
        </w:tc>
        <w:tc>
          <w:tcPr>
            <w:tcW w:w="905" w:type="dxa"/>
            <w:vMerge w:val="continue"/>
            <w:vAlign w:val="center"/>
          </w:tcPr>
          <w:p w14:paraId="7DF93493">
            <w:pPr>
              <w:keepNext w:val="0"/>
              <w:keepLines w:val="0"/>
              <w:pageBreakBefore w:val="0"/>
              <w:widowControl/>
              <w:kinsoku/>
              <w:wordWrap/>
              <w:overflowPunct/>
              <w:topLinePunct w:val="0"/>
              <w:autoSpaceDE/>
              <w:autoSpaceDN/>
              <w:bidi w:val="0"/>
              <w:adjustRightInd/>
              <w:snapToGrid w:val="0"/>
              <w:spacing w:line="300" w:lineRule="auto"/>
              <w:jc w:val="center"/>
              <w:rPr>
                <w:rFonts w:hint="eastAsia" w:asciiTheme="minorEastAsia" w:hAnsiTheme="minorEastAsia" w:eastAsiaTheme="minorEastAsia" w:cstheme="minorEastAsia"/>
                <w:color w:val="auto"/>
                <w:sz w:val="24"/>
                <w:szCs w:val="24"/>
                <w:highlight w:val="none"/>
              </w:rPr>
            </w:pPr>
          </w:p>
        </w:tc>
      </w:tr>
      <w:tr w14:paraId="2D395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 w:type="dxa"/>
          <w:trHeight w:val="542" w:hRule="atLeast"/>
          <w:jc w:val="center"/>
        </w:trPr>
        <w:tc>
          <w:tcPr>
            <w:tcW w:w="311" w:type="dxa"/>
            <w:vAlign w:val="center"/>
          </w:tcPr>
          <w:p w14:paraId="53E96D70">
            <w:pPr>
              <w:keepNext w:val="0"/>
              <w:keepLines w:val="0"/>
              <w:pageBreakBefore w:val="0"/>
              <w:widowControl/>
              <w:kinsoku/>
              <w:wordWrap/>
              <w:overflowPunct/>
              <w:topLinePunct w:val="0"/>
              <w:autoSpaceDE/>
              <w:autoSpaceDN/>
              <w:bidi w:val="0"/>
              <w:adjustRightInd/>
              <w:snapToGrid w:val="0"/>
              <w:spacing w:line="300" w:lineRule="auto"/>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w:t>
            </w:r>
          </w:p>
        </w:tc>
        <w:tc>
          <w:tcPr>
            <w:tcW w:w="1147" w:type="dxa"/>
            <w:tcMar>
              <w:top w:w="15" w:type="dxa"/>
              <w:left w:w="15" w:type="dxa"/>
              <w:bottom w:w="0" w:type="dxa"/>
              <w:right w:w="15" w:type="dxa"/>
            </w:tcMar>
            <w:vAlign w:val="center"/>
          </w:tcPr>
          <w:p w14:paraId="0DBE11A8">
            <w:pPr>
              <w:keepNext w:val="0"/>
              <w:keepLines w:val="0"/>
              <w:pageBreakBefore w:val="0"/>
              <w:widowControl/>
              <w:kinsoku/>
              <w:wordWrap/>
              <w:overflowPunct/>
              <w:topLinePunct w:val="0"/>
              <w:autoSpaceDE/>
              <w:autoSpaceDN/>
              <w:bidi w:val="0"/>
              <w:adjustRightInd/>
              <w:snapToGrid w:val="0"/>
              <w:spacing w:line="300" w:lineRule="auto"/>
              <w:jc w:val="center"/>
              <w:textAlignment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光端机</w:t>
            </w:r>
          </w:p>
        </w:tc>
        <w:tc>
          <w:tcPr>
            <w:tcW w:w="5629" w:type="dxa"/>
            <w:vAlign w:val="top"/>
          </w:tcPr>
          <w:p w14:paraId="50AC526D">
            <w:pPr>
              <w:keepNext w:val="0"/>
              <w:keepLines w:val="0"/>
              <w:pageBreakBefore w:val="0"/>
              <w:widowControl/>
              <w:kinsoku/>
              <w:wordWrap/>
              <w:overflowPunct/>
              <w:topLinePunct w:val="0"/>
              <w:autoSpaceDE/>
              <w:autoSpaceDN/>
              <w:bidi w:val="0"/>
              <w:adjustRightInd/>
              <w:snapToGrid w:val="0"/>
              <w:spacing w:line="300" w:lineRule="auto"/>
              <w:jc w:val="both"/>
              <w:textAlignment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1</w:t>
            </w:r>
            <w:r>
              <w:rPr>
                <w:rFonts w:hint="eastAsia" w:asciiTheme="minorEastAsia" w:hAnsiTheme="minorEastAsia" w:eastAsiaTheme="minorEastAsia" w:cstheme="minorEastAsia"/>
                <w:color w:val="auto"/>
                <w:kern w:val="0"/>
                <w:sz w:val="24"/>
                <w:szCs w:val="24"/>
                <w:highlight w:val="none"/>
                <w:lang w:val="en-US" w:eastAsia="zh-CN" w:bidi="ar"/>
              </w:rPr>
              <w:t>.</w:t>
            </w:r>
            <w:r>
              <w:rPr>
                <w:rFonts w:hint="eastAsia" w:asciiTheme="minorEastAsia" w:hAnsiTheme="minorEastAsia" w:eastAsiaTheme="minorEastAsia" w:cstheme="minorEastAsia"/>
                <w:color w:val="auto"/>
                <w:kern w:val="0"/>
                <w:sz w:val="24"/>
                <w:szCs w:val="24"/>
                <w:highlight w:val="none"/>
                <w:lang w:bidi="ar"/>
              </w:rPr>
              <w:t>设备采用19英寸 1U标准机箱</w:t>
            </w:r>
            <w:r>
              <w:rPr>
                <w:rFonts w:hint="eastAsia" w:asciiTheme="minorEastAsia" w:hAnsiTheme="minorEastAsia" w:eastAsiaTheme="minorEastAsia" w:cstheme="minorEastAsia"/>
                <w:color w:val="auto"/>
                <w:kern w:val="0"/>
                <w:sz w:val="24"/>
                <w:szCs w:val="24"/>
                <w:highlight w:val="none"/>
                <w:lang w:eastAsia="zh-CN" w:bidi="ar"/>
              </w:rPr>
              <w:t>。</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2</w:t>
            </w:r>
            <w:r>
              <w:rPr>
                <w:rFonts w:hint="eastAsia" w:asciiTheme="minorEastAsia" w:hAnsiTheme="minorEastAsia" w:eastAsiaTheme="minorEastAsia" w:cstheme="minorEastAsia"/>
                <w:color w:val="auto"/>
                <w:kern w:val="0"/>
                <w:sz w:val="24"/>
                <w:szCs w:val="24"/>
                <w:highlight w:val="none"/>
                <w:lang w:val="en-US" w:eastAsia="zh-CN" w:bidi="ar"/>
              </w:rPr>
              <w:t>.</w:t>
            </w:r>
            <w:r>
              <w:rPr>
                <w:rFonts w:hint="eastAsia" w:asciiTheme="minorEastAsia" w:hAnsiTheme="minorEastAsia" w:eastAsiaTheme="minorEastAsia" w:cstheme="minorEastAsia"/>
                <w:color w:val="auto"/>
                <w:kern w:val="0"/>
                <w:sz w:val="24"/>
                <w:szCs w:val="24"/>
                <w:highlight w:val="none"/>
                <w:lang w:bidi="ar"/>
              </w:rPr>
              <w:t>提供3个业务槽位</w:t>
            </w:r>
            <w:r>
              <w:rPr>
                <w:rFonts w:hint="eastAsia" w:asciiTheme="minorEastAsia" w:hAnsiTheme="minorEastAsia" w:eastAsiaTheme="minorEastAsia" w:cstheme="minorEastAsia"/>
                <w:color w:val="auto"/>
                <w:kern w:val="0"/>
                <w:sz w:val="24"/>
                <w:szCs w:val="24"/>
                <w:highlight w:val="none"/>
                <w:lang w:eastAsia="zh-CN" w:bidi="ar"/>
              </w:rPr>
              <w:t>。</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3</w:t>
            </w:r>
            <w:r>
              <w:rPr>
                <w:rFonts w:hint="eastAsia" w:asciiTheme="minorEastAsia" w:hAnsiTheme="minorEastAsia" w:eastAsiaTheme="minorEastAsia" w:cstheme="minorEastAsia"/>
                <w:color w:val="auto"/>
                <w:kern w:val="0"/>
                <w:sz w:val="24"/>
                <w:szCs w:val="24"/>
                <w:highlight w:val="none"/>
                <w:lang w:val="en-US" w:eastAsia="zh-CN" w:bidi="ar"/>
              </w:rPr>
              <w:t>.</w:t>
            </w:r>
            <w:r>
              <w:rPr>
                <w:rFonts w:hint="eastAsia" w:asciiTheme="minorEastAsia" w:hAnsiTheme="minorEastAsia" w:eastAsiaTheme="minorEastAsia" w:cstheme="minorEastAsia"/>
                <w:color w:val="auto"/>
                <w:kern w:val="0"/>
                <w:sz w:val="24"/>
                <w:szCs w:val="24"/>
                <w:highlight w:val="none"/>
                <w:lang w:bidi="ar"/>
              </w:rPr>
              <w:t>支持AC220V或DC</w:t>
            </w:r>
            <w:r>
              <w:rPr>
                <w:rFonts w:hint="eastAsia" w:asciiTheme="minorEastAsia" w:hAnsiTheme="minorEastAsia" w:eastAsiaTheme="minorEastAsia" w:cstheme="minorEastAsia"/>
                <w:color w:val="auto"/>
                <w:kern w:val="0"/>
                <w:sz w:val="24"/>
                <w:szCs w:val="24"/>
                <w:highlight w:val="none"/>
                <w:lang w:val="en-US" w:eastAsia="zh-CN" w:bidi="ar"/>
              </w:rPr>
              <w:t xml:space="preserve"> </w:t>
            </w:r>
            <w:r>
              <w:rPr>
                <w:rFonts w:hint="eastAsia" w:asciiTheme="minorEastAsia" w:hAnsiTheme="minorEastAsia" w:eastAsiaTheme="minorEastAsia" w:cstheme="minorEastAsia"/>
                <w:color w:val="auto"/>
                <w:kern w:val="0"/>
                <w:sz w:val="24"/>
                <w:szCs w:val="24"/>
                <w:highlight w:val="none"/>
                <w:lang w:bidi="ar"/>
              </w:rPr>
              <w:t>48V电源供电</w:t>
            </w:r>
            <w:r>
              <w:rPr>
                <w:rFonts w:hint="eastAsia" w:asciiTheme="minorEastAsia" w:hAnsiTheme="minorEastAsia" w:eastAsiaTheme="minorEastAsia" w:cstheme="minorEastAsia"/>
                <w:color w:val="auto"/>
                <w:kern w:val="0"/>
                <w:sz w:val="24"/>
                <w:szCs w:val="24"/>
                <w:highlight w:val="none"/>
                <w:lang w:eastAsia="zh-CN" w:bidi="ar"/>
              </w:rPr>
              <w:t>。</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4</w:t>
            </w:r>
            <w:r>
              <w:rPr>
                <w:rFonts w:hint="eastAsia" w:asciiTheme="minorEastAsia" w:hAnsiTheme="minorEastAsia" w:eastAsiaTheme="minorEastAsia" w:cstheme="minorEastAsia"/>
                <w:color w:val="auto"/>
                <w:kern w:val="0"/>
                <w:sz w:val="24"/>
                <w:szCs w:val="24"/>
                <w:highlight w:val="none"/>
                <w:lang w:val="en-US" w:eastAsia="zh-CN" w:bidi="ar"/>
              </w:rPr>
              <w:t>.</w:t>
            </w:r>
            <w:r>
              <w:rPr>
                <w:rFonts w:hint="eastAsia" w:asciiTheme="minorEastAsia" w:hAnsiTheme="minorEastAsia" w:eastAsiaTheme="minorEastAsia" w:cstheme="minorEastAsia"/>
                <w:color w:val="auto"/>
                <w:kern w:val="0"/>
                <w:sz w:val="24"/>
                <w:szCs w:val="24"/>
                <w:highlight w:val="none"/>
                <w:lang w:bidi="ar"/>
              </w:rPr>
              <w:t>光口为2.5G时提供2个物理隔离线速千兆以太网口、4个物理隔离线速百兆以太网口。最大24路E1接口，3个槽位时，最大支持30路电话接口，E1接口和电话接口采用插盘配置，E1每盘不少于8路，电话≥10路。</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5</w:t>
            </w:r>
            <w:r>
              <w:rPr>
                <w:rFonts w:hint="eastAsia" w:asciiTheme="minorEastAsia" w:hAnsiTheme="minorEastAsia" w:eastAsiaTheme="minorEastAsia" w:cstheme="minorEastAsia"/>
                <w:color w:val="auto"/>
                <w:kern w:val="0"/>
                <w:sz w:val="24"/>
                <w:szCs w:val="24"/>
                <w:highlight w:val="none"/>
                <w:lang w:val="en-US" w:eastAsia="zh-CN" w:bidi="ar"/>
              </w:rPr>
              <w:t>.</w:t>
            </w:r>
            <w:r>
              <w:rPr>
                <w:rFonts w:hint="eastAsia" w:asciiTheme="minorEastAsia" w:hAnsiTheme="minorEastAsia" w:eastAsiaTheme="minorEastAsia" w:cstheme="minorEastAsia"/>
                <w:color w:val="auto"/>
                <w:kern w:val="0"/>
                <w:sz w:val="24"/>
                <w:szCs w:val="24"/>
                <w:highlight w:val="none"/>
                <w:lang w:bidi="ar"/>
              </w:rPr>
              <w:t>远端设备的槽位上要能够提供光口中继盘，把中心端的业务转接到更远的远端，每个下行光口远端设备要能提供百兆网、E1、和电话等。</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6</w:t>
            </w:r>
            <w:r>
              <w:rPr>
                <w:rFonts w:hint="eastAsia" w:asciiTheme="minorEastAsia" w:hAnsiTheme="minorEastAsia" w:eastAsiaTheme="minorEastAsia" w:cstheme="minorEastAsia"/>
                <w:color w:val="auto"/>
                <w:kern w:val="0"/>
                <w:sz w:val="24"/>
                <w:szCs w:val="24"/>
                <w:highlight w:val="none"/>
                <w:lang w:val="en-US" w:eastAsia="zh-CN" w:bidi="ar"/>
              </w:rPr>
              <w:t>.</w:t>
            </w:r>
            <w:r>
              <w:rPr>
                <w:rFonts w:hint="eastAsia" w:asciiTheme="minorEastAsia" w:hAnsiTheme="minorEastAsia" w:eastAsiaTheme="minorEastAsia" w:cstheme="minorEastAsia"/>
                <w:color w:val="auto"/>
                <w:kern w:val="0"/>
                <w:sz w:val="24"/>
                <w:szCs w:val="24"/>
                <w:highlight w:val="none"/>
                <w:lang w:bidi="ar"/>
              </w:rPr>
              <w:t>设备要能提供可能用到的多种接口盘，如以太网接口扩展盘、视频编解码盘、EM2/4线音频盘、RS232/RS422/RS485盘等。</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7</w:t>
            </w:r>
            <w:r>
              <w:rPr>
                <w:rFonts w:hint="eastAsia" w:asciiTheme="minorEastAsia" w:hAnsiTheme="minorEastAsia" w:eastAsiaTheme="minorEastAsia" w:cstheme="minorEastAsia"/>
                <w:color w:val="auto"/>
                <w:kern w:val="0"/>
                <w:sz w:val="24"/>
                <w:szCs w:val="24"/>
                <w:highlight w:val="none"/>
                <w:lang w:val="en-US" w:eastAsia="zh-CN" w:bidi="ar"/>
              </w:rPr>
              <w:t>.</w:t>
            </w:r>
            <w:r>
              <w:rPr>
                <w:rFonts w:hint="eastAsia" w:asciiTheme="minorEastAsia" w:hAnsiTheme="minorEastAsia" w:eastAsiaTheme="minorEastAsia" w:cstheme="minorEastAsia"/>
                <w:color w:val="auto"/>
                <w:kern w:val="0"/>
                <w:sz w:val="24"/>
                <w:szCs w:val="24"/>
                <w:highlight w:val="none"/>
                <w:lang w:bidi="ar"/>
              </w:rPr>
              <w:t>支持在光口自环的的情况，以太网业务具有解环功能。避免广播风暴。</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8</w:t>
            </w:r>
            <w:r>
              <w:rPr>
                <w:rFonts w:hint="eastAsia" w:asciiTheme="minorEastAsia" w:hAnsiTheme="minorEastAsia" w:eastAsiaTheme="minorEastAsia" w:cstheme="minorEastAsia"/>
                <w:color w:val="auto"/>
                <w:kern w:val="0"/>
                <w:sz w:val="24"/>
                <w:szCs w:val="24"/>
                <w:highlight w:val="none"/>
                <w:lang w:val="en-US" w:eastAsia="zh-CN" w:bidi="ar"/>
              </w:rPr>
              <w:t>.</w:t>
            </w:r>
            <w:r>
              <w:rPr>
                <w:rFonts w:hint="eastAsia" w:asciiTheme="minorEastAsia" w:hAnsiTheme="minorEastAsia" w:eastAsiaTheme="minorEastAsia" w:cstheme="minorEastAsia"/>
                <w:color w:val="auto"/>
                <w:kern w:val="0"/>
                <w:sz w:val="24"/>
                <w:szCs w:val="24"/>
                <w:highlight w:val="none"/>
                <w:lang w:bidi="ar"/>
              </w:rPr>
              <w:t>最大提供两个光传输接口，实现双光口互备份功能。光口形式为SFP（可插拔式光模块），无中继传输距离≥40公里。</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9</w:t>
            </w:r>
            <w:r>
              <w:rPr>
                <w:rFonts w:hint="eastAsia" w:asciiTheme="minorEastAsia" w:hAnsiTheme="minorEastAsia" w:eastAsiaTheme="minorEastAsia" w:cstheme="minorEastAsia"/>
                <w:color w:val="auto"/>
                <w:kern w:val="0"/>
                <w:sz w:val="24"/>
                <w:szCs w:val="24"/>
                <w:highlight w:val="none"/>
                <w:lang w:val="en-US" w:eastAsia="zh-CN" w:bidi="ar"/>
              </w:rPr>
              <w:t>.</w:t>
            </w:r>
            <w:r>
              <w:rPr>
                <w:rFonts w:hint="eastAsia" w:asciiTheme="minorEastAsia" w:hAnsiTheme="minorEastAsia" w:eastAsiaTheme="minorEastAsia" w:cstheme="minorEastAsia"/>
                <w:color w:val="auto"/>
                <w:kern w:val="0"/>
                <w:sz w:val="24"/>
                <w:szCs w:val="24"/>
                <w:highlight w:val="none"/>
                <w:lang w:bidi="ar"/>
              </w:rPr>
              <w:t>业务板卡模块化设计，支持热插拔功能，售后和维护简单方便</w:t>
            </w:r>
            <w:r>
              <w:rPr>
                <w:rFonts w:hint="eastAsia" w:asciiTheme="minorEastAsia" w:hAnsiTheme="minorEastAsia" w:eastAsiaTheme="minorEastAsia" w:cstheme="minorEastAsia"/>
                <w:color w:val="auto"/>
                <w:kern w:val="0"/>
                <w:sz w:val="24"/>
                <w:szCs w:val="24"/>
                <w:highlight w:val="none"/>
                <w:lang w:eastAsia="zh-CN" w:bidi="ar"/>
              </w:rPr>
              <w:t>。</w:t>
            </w:r>
            <w:r>
              <w:rPr>
                <w:rFonts w:hint="eastAsia" w:asciiTheme="minorEastAsia" w:hAnsiTheme="minorEastAsia" w:eastAsiaTheme="minorEastAsia" w:cstheme="minorEastAsia"/>
                <w:color w:val="auto"/>
                <w:kern w:val="0"/>
                <w:sz w:val="24"/>
                <w:szCs w:val="24"/>
                <w:highlight w:val="none"/>
                <w:lang w:bidi="ar"/>
              </w:rPr>
              <w:br w:type="textWrapping"/>
            </w:r>
            <w:r>
              <w:rPr>
                <w:rFonts w:hint="eastAsia" w:asciiTheme="minorEastAsia" w:hAnsiTheme="minorEastAsia" w:eastAsiaTheme="minorEastAsia" w:cstheme="minorEastAsia"/>
                <w:color w:val="auto"/>
                <w:kern w:val="0"/>
                <w:sz w:val="24"/>
                <w:szCs w:val="24"/>
                <w:highlight w:val="none"/>
                <w:lang w:bidi="ar"/>
              </w:rPr>
              <w:t>10</w:t>
            </w:r>
            <w:r>
              <w:rPr>
                <w:rFonts w:hint="eastAsia" w:asciiTheme="minorEastAsia" w:hAnsiTheme="minorEastAsia" w:eastAsiaTheme="minorEastAsia" w:cstheme="minorEastAsia"/>
                <w:color w:val="auto"/>
                <w:kern w:val="0"/>
                <w:sz w:val="24"/>
                <w:szCs w:val="24"/>
                <w:highlight w:val="none"/>
                <w:lang w:val="en-US" w:eastAsia="zh-CN" w:bidi="ar"/>
              </w:rPr>
              <w:t>.</w:t>
            </w:r>
            <w:r>
              <w:rPr>
                <w:rFonts w:hint="eastAsia" w:asciiTheme="minorEastAsia" w:hAnsiTheme="minorEastAsia" w:eastAsiaTheme="minorEastAsia" w:cstheme="minorEastAsia"/>
                <w:color w:val="auto"/>
                <w:kern w:val="0"/>
                <w:sz w:val="24"/>
                <w:szCs w:val="24"/>
                <w:highlight w:val="none"/>
                <w:lang w:bidi="ar"/>
              </w:rPr>
              <w:t>设备支持网管功能，能实现局端远端统一管理；能检测和配置局端和远端的各种信息，告警信息并且能主动上报等软件功能。</w:t>
            </w:r>
          </w:p>
        </w:tc>
        <w:tc>
          <w:tcPr>
            <w:tcW w:w="721" w:type="dxa"/>
            <w:vAlign w:val="center"/>
          </w:tcPr>
          <w:p w14:paraId="53C79A54">
            <w:pPr>
              <w:keepNext w:val="0"/>
              <w:keepLines w:val="0"/>
              <w:pageBreakBefore w:val="0"/>
              <w:widowControl/>
              <w:kinsoku/>
              <w:wordWrap/>
              <w:overflowPunct/>
              <w:topLinePunct w:val="0"/>
              <w:autoSpaceDE/>
              <w:autoSpaceDN/>
              <w:bidi w:val="0"/>
              <w:adjustRightInd/>
              <w:snapToGrid w:val="0"/>
              <w:spacing w:line="300" w:lineRule="auto"/>
              <w:jc w:val="center"/>
              <w:textAlignment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3对</w:t>
            </w:r>
          </w:p>
        </w:tc>
        <w:tc>
          <w:tcPr>
            <w:tcW w:w="1112" w:type="dxa"/>
            <w:vAlign w:val="center"/>
          </w:tcPr>
          <w:p w14:paraId="328E32F3">
            <w:pPr>
              <w:keepNext w:val="0"/>
              <w:keepLines w:val="0"/>
              <w:pageBreakBefore w:val="0"/>
              <w:widowControl/>
              <w:kinsoku/>
              <w:wordWrap/>
              <w:overflowPunct/>
              <w:topLinePunct w:val="0"/>
              <w:autoSpaceDE/>
              <w:autoSpaceDN/>
              <w:bidi w:val="0"/>
              <w:adjustRightInd/>
              <w:snapToGrid w:val="0"/>
              <w:spacing w:line="300" w:lineRule="auto"/>
              <w:jc w:val="center"/>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28000</w:t>
            </w:r>
          </w:p>
        </w:tc>
        <w:tc>
          <w:tcPr>
            <w:tcW w:w="905" w:type="dxa"/>
            <w:vMerge w:val="continue"/>
            <w:vAlign w:val="center"/>
          </w:tcPr>
          <w:p w14:paraId="604D0028">
            <w:pPr>
              <w:keepNext w:val="0"/>
              <w:keepLines w:val="0"/>
              <w:pageBreakBefore w:val="0"/>
              <w:widowControl/>
              <w:kinsoku/>
              <w:wordWrap/>
              <w:overflowPunct/>
              <w:topLinePunct w:val="0"/>
              <w:autoSpaceDE/>
              <w:autoSpaceDN/>
              <w:bidi w:val="0"/>
              <w:adjustRightInd/>
              <w:snapToGrid w:val="0"/>
              <w:spacing w:line="300" w:lineRule="auto"/>
              <w:jc w:val="center"/>
              <w:rPr>
                <w:rFonts w:hint="eastAsia" w:asciiTheme="minorEastAsia" w:hAnsiTheme="minorEastAsia" w:eastAsiaTheme="minorEastAsia" w:cstheme="minorEastAsia"/>
                <w:color w:val="auto"/>
                <w:sz w:val="24"/>
                <w:szCs w:val="24"/>
                <w:highlight w:val="none"/>
              </w:rPr>
            </w:pPr>
          </w:p>
        </w:tc>
      </w:tr>
    </w:tbl>
    <w:p w14:paraId="34B4F5E9">
      <w:pPr>
        <w:widowControl w:val="0"/>
        <w:adjustRightInd w:val="0"/>
        <w:snapToGrid w:val="0"/>
        <w:spacing w:before="156" w:beforeLines="50" w:line="300" w:lineRule="auto"/>
        <w:ind w:firstLine="460" w:firstLineChars="192"/>
        <w:rPr>
          <w:rFonts w:hint="eastAsia"/>
          <w:color w:val="auto"/>
          <w:sz w:val="24"/>
          <w:szCs w:val="24"/>
          <w:highlight w:val="none"/>
        </w:rPr>
      </w:pPr>
      <w:r>
        <w:rPr>
          <w:rFonts w:hint="eastAsia"/>
          <w:color w:val="auto"/>
          <w:sz w:val="24"/>
          <w:szCs w:val="24"/>
          <w:highlight w:val="none"/>
        </w:rPr>
        <w:t>注：1、投标人按照上述各产品（货物）所对应标明的所属行业，判断所投标的各产品（货物）的制造企业是否属该行业（采购文件标明的）的小微企业。</w:t>
      </w:r>
    </w:p>
    <w:p w14:paraId="5020D5F7">
      <w:pPr>
        <w:widowControl w:val="0"/>
        <w:adjustRightInd w:val="0"/>
        <w:snapToGrid w:val="0"/>
        <w:spacing w:before="156" w:beforeLines="50" w:line="300" w:lineRule="auto"/>
        <w:ind w:firstLine="460" w:firstLineChars="192"/>
        <w:rPr>
          <w:rFonts w:hint="eastAsia"/>
          <w:color w:val="auto"/>
          <w:sz w:val="24"/>
          <w:szCs w:val="24"/>
          <w:highlight w:val="none"/>
        </w:rPr>
      </w:pPr>
      <w:r>
        <w:rPr>
          <w:rFonts w:hint="eastAsia"/>
          <w:color w:val="auto"/>
          <w:sz w:val="24"/>
          <w:szCs w:val="24"/>
          <w:highlight w:val="none"/>
        </w:rPr>
        <w:t>提醒：产品(货物）的制造企业不应按照自身的行业属性作为小微企业的判断标准（应按采购文件标明的产品所属行业进行判断）。</w:t>
      </w:r>
    </w:p>
    <w:p w14:paraId="15F44290">
      <w:pPr>
        <w:widowControl w:val="0"/>
        <w:adjustRightInd w:val="0"/>
        <w:snapToGrid w:val="0"/>
        <w:spacing w:before="156" w:beforeLines="50" w:line="300" w:lineRule="auto"/>
        <w:ind w:firstLine="463" w:firstLineChars="192"/>
        <w:rPr>
          <w:rFonts w:hint="eastAsia" w:eastAsia="宋体"/>
          <w:b/>
          <w:bCs/>
          <w:color w:val="auto"/>
          <w:sz w:val="24"/>
          <w:szCs w:val="24"/>
          <w:highlight w:val="none"/>
          <w:lang w:eastAsia="zh-CN"/>
        </w:rPr>
      </w:pPr>
      <w:r>
        <w:rPr>
          <w:rFonts w:hint="eastAsia"/>
          <w:b/>
          <w:bCs/>
          <w:color w:val="auto"/>
          <w:sz w:val="24"/>
          <w:szCs w:val="24"/>
          <w:highlight w:val="none"/>
        </w:rPr>
        <w:t>2、本标段（包）核心产品为：</w:t>
      </w:r>
      <w:r>
        <w:rPr>
          <w:rFonts w:hint="eastAsia"/>
          <w:b/>
          <w:bCs/>
          <w:color w:val="auto"/>
          <w:sz w:val="24"/>
          <w:szCs w:val="24"/>
          <w:highlight w:val="none"/>
          <w:lang w:eastAsia="zh-CN"/>
        </w:rPr>
        <w:t>公安网服务器</w:t>
      </w:r>
    </w:p>
    <w:p w14:paraId="1F985A46">
      <w:pPr>
        <w:widowControl w:val="0"/>
        <w:adjustRightInd w:val="0"/>
        <w:snapToGrid w:val="0"/>
        <w:spacing w:before="156" w:beforeLines="50" w:line="300" w:lineRule="auto"/>
        <w:ind w:firstLine="460" w:firstLineChars="192"/>
        <w:rPr>
          <w:rFonts w:hint="eastAsia"/>
          <w:color w:val="auto"/>
          <w:sz w:val="24"/>
          <w:szCs w:val="24"/>
          <w:highlight w:val="none"/>
        </w:rPr>
      </w:pPr>
      <w:r>
        <w:rPr>
          <w:rFonts w:hint="eastAsia"/>
          <w:color w:val="auto"/>
          <w:sz w:val="24"/>
          <w:szCs w:val="24"/>
          <w:highlight w:val="none"/>
        </w:rPr>
        <w:t>3、如涉及台式计算机、便携式计算机、一体式计算机、工作站、通用服务器、操作系统、数据库的，按第六章14-2附件要求执行。</w:t>
      </w:r>
    </w:p>
    <w:p w14:paraId="3201B885">
      <w:pPr>
        <w:widowControl w:val="0"/>
        <w:adjustRightInd w:val="0"/>
        <w:snapToGrid w:val="0"/>
        <w:spacing w:before="156" w:beforeLines="50" w:line="300" w:lineRule="auto"/>
        <w:ind w:firstLine="460" w:firstLineChars="192"/>
        <w:rPr>
          <w:rFonts w:hint="eastAsia"/>
          <w:color w:val="auto"/>
          <w:sz w:val="24"/>
          <w:szCs w:val="24"/>
          <w:highlight w:val="none"/>
        </w:rPr>
      </w:pPr>
      <w:r>
        <w:rPr>
          <w:rFonts w:hint="eastAsia"/>
          <w:color w:val="auto"/>
          <w:sz w:val="24"/>
          <w:szCs w:val="24"/>
          <w:highlight w:val="none"/>
        </w:rPr>
        <w:t>4、投标人享受《国务院办公厅关于在政府采购中实施本国产品标准及相关政策的通知》20%价格扣除的，按《国务院办公厅关于在政府采购中实施本国产品标准及相关政策的通知》要求执行。</w:t>
      </w:r>
    </w:p>
    <w:p w14:paraId="689FD81B">
      <w:pPr>
        <w:widowControl w:val="0"/>
        <w:adjustRightInd w:val="0"/>
        <w:snapToGrid w:val="0"/>
        <w:spacing w:before="156" w:beforeLines="50" w:line="300" w:lineRule="auto"/>
        <w:ind w:firstLine="460" w:firstLineChars="192"/>
        <w:rPr>
          <w:rFonts w:hint="eastAsia" w:eastAsia="宋体"/>
          <w:color w:val="auto"/>
          <w:sz w:val="24"/>
          <w:szCs w:val="24"/>
          <w:highlight w:val="none"/>
          <w:lang w:val="en-US" w:eastAsia="zh-CN"/>
        </w:rPr>
      </w:pPr>
      <w:r>
        <w:rPr>
          <w:rFonts w:hint="eastAsia"/>
          <w:color w:val="auto"/>
          <w:sz w:val="24"/>
          <w:szCs w:val="24"/>
          <w:highlight w:val="none"/>
          <w:lang w:val="en-US" w:eastAsia="zh-CN"/>
        </w:rPr>
        <w:t>5、本项目必须按照采购人实际工作需求进行相应配置，并试运行符合采购人需求后方可进入验收程序。</w:t>
      </w:r>
    </w:p>
    <w:p w14:paraId="32DFE4C8">
      <w:pPr>
        <w:widowControl w:val="0"/>
        <w:adjustRightInd w:val="0"/>
        <w:snapToGrid w:val="0"/>
        <w:spacing w:before="156" w:beforeLines="50" w:line="300" w:lineRule="auto"/>
        <w:ind w:firstLine="460" w:firstLineChars="192"/>
        <w:rPr>
          <w:rFonts w:hint="eastAsia"/>
          <w:color w:val="auto"/>
          <w:sz w:val="24"/>
          <w:szCs w:val="24"/>
          <w:highlight w:val="none"/>
        </w:rPr>
      </w:pPr>
      <w:r>
        <w:rPr>
          <w:rFonts w:hint="eastAsia"/>
          <w:color w:val="auto"/>
          <w:sz w:val="24"/>
          <w:szCs w:val="24"/>
          <w:highlight w:val="none"/>
        </w:rPr>
        <w:t>2.4.1 应遵循第三章投标人须知3.7.4项规定。</w:t>
      </w:r>
    </w:p>
    <w:p w14:paraId="1AD9A7FA">
      <w:pPr>
        <w:widowControl w:val="0"/>
        <w:adjustRightInd w:val="0"/>
        <w:snapToGrid w:val="0"/>
        <w:spacing w:before="156" w:beforeLines="50" w:line="300" w:lineRule="auto"/>
        <w:ind w:firstLine="460" w:firstLineChars="192"/>
        <w:rPr>
          <w:rFonts w:hint="eastAsia"/>
          <w:color w:val="auto"/>
          <w:sz w:val="24"/>
          <w:szCs w:val="24"/>
          <w:highlight w:val="none"/>
        </w:rPr>
      </w:pPr>
      <w:r>
        <w:rPr>
          <w:rFonts w:hint="eastAsia"/>
          <w:color w:val="auto"/>
          <w:sz w:val="24"/>
          <w:szCs w:val="24"/>
          <w:highlight w:val="none"/>
        </w:rPr>
        <w:t>2.4.2 成交供应商负责产品的安装、调试，并具备正常使用条件。</w:t>
      </w:r>
    </w:p>
    <w:p w14:paraId="136D685F">
      <w:pPr>
        <w:widowControl w:val="0"/>
        <w:adjustRightInd w:val="0"/>
        <w:snapToGrid w:val="0"/>
        <w:spacing w:before="156" w:beforeLines="50" w:line="300" w:lineRule="auto"/>
        <w:rPr>
          <w:rFonts w:ascii="宋体" w:cs="宋体"/>
          <w:b/>
          <w:color w:val="auto"/>
          <w:sz w:val="24"/>
          <w:szCs w:val="24"/>
          <w:highlight w:val="none"/>
        </w:rPr>
      </w:pPr>
    </w:p>
    <w:p w14:paraId="41AD4B90">
      <w:pPr>
        <w:adjustRightInd w:val="0"/>
        <w:snapToGrid w:val="0"/>
        <w:spacing w:before="156" w:beforeLines="50" w:line="300" w:lineRule="auto"/>
        <w:ind w:firstLine="482" w:firstLineChars="200"/>
        <w:rPr>
          <w:rFonts w:ascii="黑体" w:hAnsi="黑体" w:eastAsia="黑体"/>
          <w:b/>
          <w:color w:val="auto"/>
          <w:sz w:val="24"/>
          <w:szCs w:val="24"/>
          <w:highlight w:val="none"/>
        </w:rPr>
      </w:pPr>
      <w:r>
        <w:rPr>
          <w:rFonts w:ascii="黑体" w:hAnsi="黑体" w:eastAsia="黑体"/>
          <w:b/>
          <w:color w:val="auto"/>
          <w:sz w:val="24"/>
          <w:szCs w:val="24"/>
          <w:highlight w:val="none"/>
        </w:rPr>
        <w:t>2.</w:t>
      </w:r>
      <w:r>
        <w:rPr>
          <w:rFonts w:hint="eastAsia" w:ascii="黑体" w:hAnsi="黑体" w:eastAsia="黑体"/>
          <w:b/>
          <w:color w:val="auto"/>
          <w:sz w:val="24"/>
          <w:szCs w:val="24"/>
          <w:highlight w:val="none"/>
        </w:rPr>
        <w:t>5</w:t>
      </w:r>
      <w:r>
        <w:rPr>
          <w:rFonts w:ascii="黑体" w:hAnsi="黑体" w:eastAsia="黑体"/>
          <w:b/>
          <w:color w:val="auto"/>
          <w:sz w:val="24"/>
          <w:szCs w:val="24"/>
          <w:highlight w:val="none"/>
        </w:rPr>
        <w:t xml:space="preserve"> </w:t>
      </w:r>
      <w:r>
        <w:rPr>
          <w:rFonts w:hint="eastAsia" w:ascii="黑体" w:hAnsi="黑体" w:eastAsia="黑体"/>
          <w:b/>
          <w:color w:val="auto"/>
          <w:sz w:val="24"/>
          <w:szCs w:val="24"/>
          <w:highlight w:val="none"/>
        </w:rPr>
        <w:t>安</w:t>
      </w:r>
      <w:r>
        <w:rPr>
          <w:rFonts w:ascii="黑体" w:hAnsi="黑体" w:eastAsia="黑体"/>
          <w:b/>
          <w:color w:val="auto"/>
          <w:sz w:val="24"/>
          <w:szCs w:val="24"/>
          <w:highlight w:val="none"/>
        </w:rPr>
        <w:t>全</w:t>
      </w:r>
    </w:p>
    <w:p w14:paraId="6144E349">
      <w:pPr>
        <w:widowControl w:val="0"/>
        <w:adjustRightInd w:val="0"/>
        <w:snapToGrid w:val="0"/>
        <w:spacing w:before="156" w:beforeLines="50" w:line="300" w:lineRule="auto"/>
        <w:ind w:left="22" w:firstLine="555"/>
        <w:jc w:val="left"/>
        <w:rPr>
          <w:rFonts w:ascii="宋体" w:hAnsi="宋体"/>
          <w:color w:val="auto"/>
          <w:sz w:val="24"/>
          <w:szCs w:val="24"/>
          <w:highlight w:val="none"/>
        </w:rPr>
      </w:pPr>
      <w:r>
        <w:rPr>
          <w:rFonts w:hint="eastAsia" w:ascii="宋体" w:hAnsi="宋体"/>
          <w:color w:val="auto"/>
          <w:sz w:val="24"/>
          <w:szCs w:val="24"/>
          <w:highlight w:val="none"/>
        </w:rPr>
        <w:t>投标产品应符合国家、行业的各</w:t>
      </w:r>
      <w:r>
        <w:rPr>
          <w:rFonts w:ascii="宋体" w:hAnsi="宋体"/>
          <w:color w:val="auto"/>
          <w:sz w:val="24"/>
          <w:szCs w:val="24"/>
          <w:highlight w:val="none"/>
        </w:rPr>
        <w:t>项</w:t>
      </w:r>
      <w:r>
        <w:rPr>
          <w:rFonts w:hint="eastAsia" w:ascii="宋体" w:hAnsi="宋体"/>
          <w:color w:val="auto"/>
          <w:sz w:val="24"/>
          <w:szCs w:val="24"/>
          <w:highlight w:val="none"/>
        </w:rPr>
        <w:t>安全标准，投</w:t>
      </w:r>
      <w:r>
        <w:rPr>
          <w:rFonts w:ascii="宋体" w:hAnsi="宋体"/>
          <w:color w:val="auto"/>
          <w:sz w:val="24"/>
          <w:szCs w:val="24"/>
          <w:highlight w:val="none"/>
        </w:rPr>
        <w:t>标</w:t>
      </w:r>
      <w:r>
        <w:rPr>
          <w:rFonts w:hint="eastAsia" w:ascii="宋体" w:hAnsi="宋体"/>
          <w:color w:val="auto"/>
          <w:sz w:val="24"/>
          <w:szCs w:val="24"/>
          <w:highlight w:val="none"/>
        </w:rPr>
        <w:t>人</w:t>
      </w:r>
      <w:r>
        <w:rPr>
          <w:rFonts w:ascii="宋体" w:hAnsi="宋体"/>
          <w:color w:val="auto"/>
          <w:sz w:val="24"/>
          <w:szCs w:val="24"/>
          <w:highlight w:val="none"/>
        </w:rPr>
        <w:t>对</w:t>
      </w:r>
      <w:r>
        <w:rPr>
          <w:rFonts w:hint="eastAsia" w:ascii="宋体" w:hAnsi="宋体"/>
          <w:color w:val="auto"/>
          <w:sz w:val="24"/>
          <w:szCs w:val="24"/>
          <w:highlight w:val="none"/>
        </w:rPr>
        <w:t>投标产品的</w:t>
      </w:r>
      <w:r>
        <w:rPr>
          <w:rFonts w:ascii="宋体" w:hAnsi="宋体"/>
          <w:color w:val="auto"/>
          <w:sz w:val="24"/>
          <w:szCs w:val="24"/>
          <w:highlight w:val="none"/>
        </w:rPr>
        <w:t>安全性承担全部责任。</w:t>
      </w:r>
      <w:r>
        <w:rPr>
          <w:rFonts w:hint="eastAsia" w:ascii="宋体" w:hAnsi="宋体"/>
          <w:color w:val="auto"/>
          <w:sz w:val="24"/>
          <w:szCs w:val="24"/>
          <w:highlight w:val="none"/>
        </w:rPr>
        <w:t>生产或销售不符合保障人身、财产安全的国家标准、行业标准的产品，将</w:t>
      </w:r>
      <w:r>
        <w:rPr>
          <w:rFonts w:ascii="宋体" w:hAnsi="宋体"/>
          <w:color w:val="auto"/>
          <w:sz w:val="24"/>
          <w:szCs w:val="24"/>
          <w:highlight w:val="none"/>
        </w:rPr>
        <w:t>依法承担民事及相应刑事责任</w:t>
      </w:r>
      <w:r>
        <w:rPr>
          <w:rFonts w:hint="eastAsia" w:ascii="宋体" w:hAnsi="宋体"/>
          <w:color w:val="auto"/>
          <w:sz w:val="24"/>
          <w:szCs w:val="24"/>
          <w:highlight w:val="none"/>
        </w:rPr>
        <w:t>。合</w:t>
      </w:r>
      <w:r>
        <w:rPr>
          <w:rFonts w:ascii="宋体" w:hAnsi="宋体"/>
          <w:color w:val="auto"/>
          <w:sz w:val="24"/>
          <w:szCs w:val="24"/>
          <w:highlight w:val="none"/>
        </w:rPr>
        <w:t>同履行中的安全责任由</w:t>
      </w:r>
      <w:r>
        <w:rPr>
          <w:rFonts w:hint="eastAsia"/>
          <w:color w:val="auto"/>
          <w:sz w:val="24"/>
          <w:szCs w:val="24"/>
          <w:highlight w:val="none"/>
        </w:rPr>
        <w:t>成交供应商</w:t>
      </w:r>
      <w:r>
        <w:rPr>
          <w:rFonts w:ascii="宋体" w:hAnsi="宋体"/>
          <w:color w:val="auto"/>
          <w:sz w:val="24"/>
          <w:szCs w:val="24"/>
          <w:highlight w:val="none"/>
        </w:rPr>
        <w:t>承担全部责任。</w:t>
      </w:r>
    </w:p>
    <w:p w14:paraId="6CE0378F">
      <w:pPr>
        <w:adjustRightInd w:val="0"/>
        <w:snapToGrid w:val="0"/>
        <w:spacing w:before="156" w:beforeLines="50" w:line="300" w:lineRule="auto"/>
        <w:ind w:firstLine="482" w:firstLineChars="200"/>
        <w:rPr>
          <w:rFonts w:ascii="黑体" w:hAnsi="黑体" w:eastAsia="黑体"/>
          <w:b/>
          <w:color w:val="auto"/>
          <w:sz w:val="24"/>
          <w:szCs w:val="24"/>
          <w:highlight w:val="none"/>
        </w:rPr>
      </w:pPr>
      <w:r>
        <w:rPr>
          <w:rFonts w:ascii="黑体" w:hAnsi="黑体" w:eastAsia="黑体"/>
          <w:b/>
          <w:color w:val="auto"/>
          <w:sz w:val="24"/>
          <w:szCs w:val="24"/>
          <w:highlight w:val="none"/>
        </w:rPr>
        <w:t>2.</w:t>
      </w:r>
      <w:r>
        <w:rPr>
          <w:rFonts w:hint="eastAsia" w:ascii="黑体" w:hAnsi="黑体" w:eastAsia="黑体"/>
          <w:b/>
          <w:color w:val="auto"/>
          <w:sz w:val="24"/>
          <w:szCs w:val="24"/>
          <w:highlight w:val="none"/>
        </w:rPr>
        <w:t>6</w:t>
      </w:r>
      <w:r>
        <w:rPr>
          <w:rFonts w:ascii="黑体" w:hAnsi="黑体" w:eastAsia="黑体"/>
          <w:b/>
          <w:color w:val="auto"/>
          <w:sz w:val="24"/>
          <w:szCs w:val="24"/>
          <w:highlight w:val="none"/>
        </w:rPr>
        <w:t xml:space="preserve"> </w:t>
      </w:r>
      <w:r>
        <w:rPr>
          <w:rFonts w:hint="eastAsia" w:ascii="黑体" w:hAnsi="黑体" w:eastAsia="黑体"/>
          <w:b/>
          <w:color w:val="auto"/>
          <w:sz w:val="24"/>
          <w:szCs w:val="24"/>
          <w:highlight w:val="none"/>
        </w:rPr>
        <w:t>投</w:t>
      </w:r>
      <w:r>
        <w:rPr>
          <w:rFonts w:ascii="黑体" w:hAnsi="黑体" w:eastAsia="黑体"/>
          <w:b/>
          <w:color w:val="auto"/>
          <w:sz w:val="24"/>
          <w:szCs w:val="24"/>
          <w:highlight w:val="none"/>
        </w:rPr>
        <w:t>标文件</w:t>
      </w:r>
      <w:r>
        <w:rPr>
          <w:rFonts w:hint="eastAsia" w:ascii="黑体" w:hAnsi="黑体" w:eastAsia="黑体"/>
          <w:b/>
          <w:color w:val="auto"/>
          <w:sz w:val="24"/>
          <w:szCs w:val="24"/>
          <w:highlight w:val="none"/>
        </w:rPr>
        <w:t>对“基本技术要求”的</w:t>
      </w:r>
      <w:r>
        <w:rPr>
          <w:rFonts w:ascii="黑体" w:hAnsi="黑体" w:eastAsia="黑体"/>
          <w:b/>
          <w:color w:val="auto"/>
          <w:sz w:val="24"/>
          <w:szCs w:val="24"/>
          <w:highlight w:val="none"/>
        </w:rPr>
        <w:t>响应</w:t>
      </w:r>
    </w:p>
    <w:p w14:paraId="5A87647A">
      <w:pPr>
        <w:widowControl w:val="0"/>
        <w:adjustRightInd w:val="0"/>
        <w:snapToGrid w:val="0"/>
        <w:spacing w:before="156" w:beforeLines="50" w:line="300" w:lineRule="auto"/>
        <w:ind w:left="22" w:firstLine="555"/>
        <w:jc w:val="left"/>
        <w:rPr>
          <w:rFonts w:ascii="宋体" w:hAnsi="宋体"/>
          <w:color w:val="auto"/>
          <w:sz w:val="24"/>
          <w:szCs w:val="24"/>
          <w:highlight w:val="none"/>
        </w:rPr>
      </w:pPr>
      <w:r>
        <w:rPr>
          <w:rFonts w:hint="eastAsia" w:ascii="宋体" w:hAnsi="宋体"/>
          <w:color w:val="auto"/>
          <w:sz w:val="24"/>
          <w:szCs w:val="24"/>
          <w:highlight w:val="none"/>
        </w:rPr>
        <w:t>“基本技术要求”为采购</w:t>
      </w:r>
      <w:r>
        <w:rPr>
          <w:rFonts w:ascii="宋体" w:hAnsi="宋体"/>
          <w:color w:val="auto"/>
          <w:sz w:val="24"/>
          <w:szCs w:val="24"/>
          <w:highlight w:val="none"/>
        </w:rPr>
        <w:t>需求的</w:t>
      </w:r>
      <w:r>
        <w:rPr>
          <w:rFonts w:hint="eastAsia" w:ascii="宋体" w:hAnsi="宋体"/>
          <w:color w:val="auto"/>
          <w:sz w:val="24"/>
          <w:szCs w:val="24"/>
          <w:highlight w:val="none"/>
        </w:rPr>
        <w:t>基础</w:t>
      </w:r>
      <w:r>
        <w:rPr>
          <w:rFonts w:ascii="宋体" w:hAnsi="宋体"/>
          <w:color w:val="auto"/>
          <w:sz w:val="24"/>
          <w:szCs w:val="24"/>
          <w:highlight w:val="none"/>
        </w:rPr>
        <w:t>性</w:t>
      </w:r>
      <w:r>
        <w:rPr>
          <w:rFonts w:hint="eastAsia" w:ascii="宋体" w:hAnsi="宋体"/>
          <w:color w:val="auto"/>
          <w:sz w:val="24"/>
          <w:szCs w:val="24"/>
          <w:highlight w:val="none"/>
        </w:rPr>
        <w:t>要求，投</w:t>
      </w:r>
      <w:r>
        <w:rPr>
          <w:rFonts w:ascii="宋体" w:hAnsi="宋体"/>
          <w:color w:val="auto"/>
          <w:sz w:val="24"/>
          <w:szCs w:val="24"/>
          <w:highlight w:val="none"/>
        </w:rPr>
        <w:t>标产品应当明确，</w:t>
      </w:r>
      <w:r>
        <w:rPr>
          <w:rFonts w:hint="eastAsia" w:ascii="宋体" w:hAnsi="宋体"/>
          <w:color w:val="auto"/>
          <w:sz w:val="24"/>
          <w:szCs w:val="24"/>
          <w:highlight w:val="none"/>
        </w:rPr>
        <w:t>投</w:t>
      </w:r>
      <w:r>
        <w:rPr>
          <w:rFonts w:ascii="宋体" w:hAnsi="宋体"/>
          <w:color w:val="auto"/>
          <w:sz w:val="24"/>
          <w:szCs w:val="24"/>
          <w:highlight w:val="none"/>
        </w:rPr>
        <w:t>标</w:t>
      </w:r>
      <w:r>
        <w:rPr>
          <w:rFonts w:hint="eastAsia" w:ascii="宋体" w:hAnsi="宋体"/>
          <w:color w:val="auto"/>
          <w:sz w:val="24"/>
          <w:szCs w:val="24"/>
          <w:highlight w:val="none"/>
        </w:rPr>
        <w:t>技术参数应最</w:t>
      </w:r>
      <w:r>
        <w:rPr>
          <w:rFonts w:ascii="宋体" w:hAnsi="宋体"/>
          <w:color w:val="auto"/>
          <w:sz w:val="24"/>
          <w:szCs w:val="24"/>
          <w:highlight w:val="none"/>
        </w:rPr>
        <w:t>终指向具体明确的产</w:t>
      </w:r>
      <w:r>
        <w:rPr>
          <w:rFonts w:hint="eastAsia" w:ascii="宋体" w:hAnsi="宋体"/>
          <w:color w:val="auto"/>
          <w:sz w:val="24"/>
          <w:szCs w:val="24"/>
          <w:highlight w:val="none"/>
        </w:rPr>
        <w:t>品。投</w:t>
      </w:r>
      <w:r>
        <w:rPr>
          <w:rFonts w:ascii="宋体" w:hAnsi="宋体"/>
          <w:color w:val="auto"/>
          <w:sz w:val="24"/>
          <w:szCs w:val="24"/>
          <w:highlight w:val="none"/>
        </w:rPr>
        <w:t>标</w:t>
      </w:r>
      <w:r>
        <w:rPr>
          <w:rFonts w:hint="eastAsia" w:ascii="宋体" w:hAnsi="宋体"/>
          <w:color w:val="auto"/>
          <w:sz w:val="24"/>
          <w:szCs w:val="24"/>
          <w:highlight w:val="none"/>
        </w:rPr>
        <w:t>文</w:t>
      </w:r>
      <w:r>
        <w:rPr>
          <w:rFonts w:ascii="宋体" w:hAnsi="宋体"/>
          <w:color w:val="auto"/>
          <w:sz w:val="24"/>
          <w:szCs w:val="24"/>
          <w:highlight w:val="none"/>
        </w:rPr>
        <w:t>件</w:t>
      </w:r>
      <w:r>
        <w:rPr>
          <w:rFonts w:hint="eastAsia" w:ascii="宋体" w:hAnsi="宋体"/>
          <w:color w:val="auto"/>
          <w:sz w:val="24"/>
          <w:szCs w:val="24"/>
          <w:highlight w:val="none"/>
        </w:rPr>
        <w:t>技术参数抄袭谈判文件“基本技术要求”，投</w:t>
      </w:r>
      <w:r>
        <w:rPr>
          <w:rFonts w:ascii="宋体" w:hAnsi="宋体"/>
          <w:color w:val="auto"/>
          <w:sz w:val="24"/>
          <w:szCs w:val="24"/>
          <w:highlight w:val="none"/>
        </w:rPr>
        <w:t>标产品</w:t>
      </w:r>
      <w:r>
        <w:rPr>
          <w:rFonts w:hint="eastAsia" w:ascii="宋体" w:hAnsi="宋体"/>
          <w:color w:val="auto"/>
          <w:sz w:val="24"/>
          <w:szCs w:val="24"/>
          <w:highlight w:val="none"/>
        </w:rPr>
        <w:t>不</w:t>
      </w:r>
      <w:r>
        <w:rPr>
          <w:rFonts w:ascii="宋体" w:hAnsi="宋体"/>
          <w:color w:val="auto"/>
          <w:sz w:val="24"/>
          <w:szCs w:val="24"/>
          <w:highlight w:val="none"/>
        </w:rPr>
        <w:t>明确</w:t>
      </w:r>
      <w:r>
        <w:rPr>
          <w:rFonts w:hint="eastAsia" w:ascii="宋体" w:hAnsi="宋体"/>
          <w:color w:val="auto"/>
          <w:sz w:val="24"/>
          <w:szCs w:val="24"/>
          <w:highlight w:val="none"/>
        </w:rPr>
        <w:t>的</w:t>
      </w:r>
      <w:r>
        <w:rPr>
          <w:rFonts w:ascii="宋体" w:hAnsi="宋体"/>
          <w:color w:val="auto"/>
          <w:sz w:val="24"/>
          <w:szCs w:val="24"/>
          <w:highlight w:val="none"/>
        </w:rPr>
        <w:t>、或</w:t>
      </w:r>
      <w:r>
        <w:rPr>
          <w:rFonts w:hint="eastAsia" w:ascii="宋体" w:hAnsi="宋体"/>
          <w:color w:val="auto"/>
          <w:sz w:val="24"/>
          <w:szCs w:val="24"/>
          <w:highlight w:val="none"/>
        </w:rPr>
        <w:t>与投</w:t>
      </w:r>
      <w:r>
        <w:rPr>
          <w:rFonts w:ascii="宋体" w:hAnsi="宋体"/>
          <w:color w:val="auto"/>
          <w:sz w:val="24"/>
          <w:szCs w:val="24"/>
          <w:highlight w:val="none"/>
        </w:rPr>
        <w:t>标产品</w:t>
      </w:r>
      <w:r>
        <w:rPr>
          <w:rFonts w:hint="eastAsia" w:ascii="宋体" w:hAnsi="宋体"/>
          <w:color w:val="auto"/>
          <w:sz w:val="24"/>
          <w:szCs w:val="24"/>
          <w:highlight w:val="none"/>
        </w:rPr>
        <w:t>不</w:t>
      </w:r>
      <w:r>
        <w:rPr>
          <w:rFonts w:ascii="宋体" w:hAnsi="宋体"/>
          <w:color w:val="auto"/>
          <w:sz w:val="24"/>
          <w:szCs w:val="24"/>
          <w:highlight w:val="none"/>
        </w:rPr>
        <w:t>一致</w:t>
      </w:r>
      <w:r>
        <w:rPr>
          <w:rFonts w:hint="eastAsia" w:ascii="宋体" w:hAnsi="宋体"/>
          <w:color w:val="auto"/>
          <w:sz w:val="24"/>
          <w:szCs w:val="24"/>
          <w:highlight w:val="none"/>
        </w:rPr>
        <w:t>的</w:t>
      </w:r>
      <w:r>
        <w:rPr>
          <w:rFonts w:ascii="宋体" w:hAnsi="宋体"/>
          <w:color w:val="auto"/>
          <w:sz w:val="24"/>
          <w:szCs w:val="24"/>
          <w:highlight w:val="none"/>
        </w:rPr>
        <w:t>，</w:t>
      </w:r>
      <w:r>
        <w:rPr>
          <w:rFonts w:hint="eastAsia" w:ascii="宋体" w:hAnsi="宋体"/>
          <w:color w:val="auto"/>
          <w:sz w:val="24"/>
          <w:szCs w:val="24"/>
          <w:highlight w:val="none"/>
        </w:rPr>
        <w:t>谈判小组有权按照实质性判断原则评定其为无效投标。</w:t>
      </w:r>
    </w:p>
    <w:p w14:paraId="0620F8A6">
      <w:pPr>
        <w:adjustRightInd w:val="0"/>
        <w:snapToGrid w:val="0"/>
        <w:spacing w:before="156" w:beforeLines="50" w:line="300" w:lineRule="auto"/>
        <w:ind w:firstLine="482" w:firstLineChars="200"/>
        <w:rPr>
          <w:rFonts w:ascii="黑体" w:hAnsi="黑体" w:eastAsia="黑体"/>
          <w:b/>
          <w:color w:val="auto"/>
          <w:sz w:val="24"/>
          <w:szCs w:val="24"/>
          <w:highlight w:val="none"/>
        </w:rPr>
      </w:pPr>
      <w:r>
        <w:rPr>
          <w:rFonts w:ascii="黑体" w:hAnsi="黑体" w:eastAsia="黑体"/>
          <w:b/>
          <w:color w:val="auto"/>
          <w:sz w:val="24"/>
          <w:szCs w:val="24"/>
          <w:highlight w:val="none"/>
        </w:rPr>
        <w:t>2.</w:t>
      </w:r>
      <w:r>
        <w:rPr>
          <w:rFonts w:hint="eastAsia" w:ascii="黑体" w:hAnsi="黑体" w:eastAsia="黑体"/>
          <w:b/>
          <w:color w:val="auto"/>
          <w:sz w:val="24"/>
          <w:szCs w:val="24"/>
          <w:highlight w:val="none"/>
        </w:rPr>
        <w:t>7技术偏离</w:t>
      </w:r>
    </w:p>
    <w:p w14:paraId="154B335A">
      <w:pPr>
        <w:widowControl w:val="0"/>
        <w:adjustRightInd w:val="0"/>
        <w:snapToGrid w:val="0"/>
        <w:spacing w:before="156" w:beforeLines="50" w:line="300" w:lineRule="auto"/>
        <w:ind w:left="22" w:firstLine="555"/>
        <w:jc w:val="left"/>
        <w:rPr>
          <w:rFonts w:hint="eastAsia"/>
          <w:color w:val="auto"/>
          <w:sz w:val="24"/>
          <w:szCs w:val="24"/>
          <w:highlight w:val="none"/>
        </w:rPr>
      </w:pPr>
      <w:r>
        <w:rPr>
          <w:color w:val="auto"/>
          <w:sz w:val="24"/>
          <w:szCs w:val="24"/>
          <w:highlight w:val="none"/>
        </w:rPr>
        <w:t>2.</w:t>
      </w:r>
      <w:r>
        <w:rPr>
          <w:rFonts w:hint="eastAsia"/>
          <w:color w:val="auto"/>
          <w:sz w:val="24"/>
          <w:szCs w:val="24"/>
          <w:highlight w:val="none"/>
        </w:rPr>
        <w:t>7</w:t>
      </w:r>
      <w:r>
        <w:rPr>
          <w:color w:val="auto"/>
          <w:sz w:val="24"/>
          <w:szCs w:val="24"/>
          <w:highlight w:val="none"/>
        </w:rPr>
        <w:t xml:space="preserve">.1 </w:t>
      </w:r>
      <w:r>
        <w:rPr>
          <w:rFonts w:hint="eastAsia"/>
          <w:color w:val="auto"/>
          <w:sz w:val="24"/>
          <w:szCs w:val="24"/>
          <w:highlight w:val="none"/>
        </w:rPr>
        <w:t>“基本技术要求”列示的参数、规格为基础</w:t>
      </w:r>
      <w:r>
        <w:rPr>
          <w:color w:val="auto"/>
          <w:sz w:val="24"/>
          <w:szCs w:val="24"/>
          <w:highlight w:val="none"/>
        </w:rPr>
        <w:t>性</w:t>
      </w:r>
      <w:r>
        <w:rPr>
          <w:rFonts w:hint="eastAsia"/>
          <w:color w:val="auto"/>
          <w:sz w:val="24"/>
          <w:szCs w:val="24"/>
          <w:highlight w:val="none"/>
        </w:rPr>
        <w:t>要求，投标人可提供质量性能参数相等或优于的其他产品；投</w:t>
      </w:r>
      <w:r>
        <w:rPr>
          <w:color w:val="auto"/>
          <w:sz w:val="24"/>
          <w:szCs w:val="24"/>
          <w:highlight w:val="none"/>
        </w:rPr>
        <w:t>标产品的</w:t>
      </w:r>
      <w:r>
        <w:rPr>
          <w:rFonts w:hint="eastAsia"/>
          <w:color w:val="auto"/>
          <w:sz w:val="24"/>
          <w:szCs w:val="24"/>
          <w:highlight w:val="none"/>
        </w:rPr>
        <w:t>规格参数与“基本技术要求”不</w:t>
      </w:r>
      <w:r>
        <w:rPr>
          <w:color w:val="auto"/>
          <w:sz w:val="24"/>
          <w:szCs w:val="24"/>
          <w:highlight w:val="none"/>
        </w:rPr>
        <w:t>同</w:t>
      </w:r>
      <w:r>
        <w:rPr>
          <w:rFonts w:hint="eastAsia"/>
          <w:color w:val="auto"/>
          <w:sz w:val="24"/>
          <w:szCs w:val="24"/>
          <w:highlight w:val="none"/>
        </w:rPr>
        <w:t>、</w:t>
      </w:r>
      <w:r>
        <w:rPr>
          <w:color w:val="auto"/>
          <w:sz w:val="24"/>
          <w:szCs w:val="24"/>
          <w:highlight w:val="none"/>
        </w:rPr>
        <w:t>且</w:t>
      </w:r>
      <w:r>
        <w:rPr>
          <w:rFonts w:hint="eastAsia"/>
          <w:color w:val="auto"/>
          <w:sz w:val="24"/>
          <w:szCs w:val="24"/>
          <w:highlight w:val="none"/>
        </w:rPr>
        <w:t>投标人认</w:t>
      </w:r>
      <w:r>
        <w:rPr>
          <w:color w:val="auto"/>
          <w:sz w:val="24"/>
          <w:szCs w:val="24"/>
          <w:highlight w:val="none"/>
        </w:rPr>
        <w:t>为</w:t>
      </w:r>
      <w:r>
        <w:rPr>
          <w:rFonts w:hint="eastAsia"/>
          <w:color w:val="auto"/>
          <w:sz w:val="24"/>
          <w:szCs w:val="24"/>
          <w:highlight w:val="none"/>
        </w:rPr>
        <w:t>投</w:t>
      </w:r>
      <w:r>
        <w:rPr>
          <w:color w:val="auto"/>
          <w:sz w:val="24"/>
          <w:szCs w:val="24"/>
          <w:highlight w:val="none"/>
        </w:rPr>
        <w:t>标产品的</w:t>
      </w:r>
      <w:r>
        <w:rPr>
          <w:rFonts w:hint="eastAsia"/>
          <w:color w:val="auto"/>
          <w:sz w:val="24"/>
          <w:szCs w:val="24"/>
          <w:highlight w:val="none"/>
        </w:rPr>
        <w:t>规格参数等</w:t>
      </w:r>
      <w:r>
        <w:rPr>
          <w:color w:val="auto"/>
          <w:sz w:val="24"/>
          <w:szCs w:val="24"/>
          <w:highlight w:val="none"/>
        </w:rPr>
        <w:t>于或优于</w:t>
      </w:r>
      <w:r>
        <w:rPr>
          <w:rFonts w:hint="eastAsia"/>
          <w:color w:val="auto"/>
          <w:sz w:val="24"/>
          <w:szCs w:val="24"/>
          <w:highlight w:val="none"/>
        </w:rPr>
        <w:t>“基本技术要求”的</w:t>
      </w:r>
      <w:r>
        <w:rPr>
          <w:color w:val="auto"/>
          <w:sz w:val="24"/>
          <w:szCs w:val="24"/>
          <w:highlight w:val="none"/>
        </w:rPr>
        <w:t>，</w:t>
      </w:r>
      <w:r>
        <w:rPr>
          <w:rFonts w:hint="eastAsia"/>
          <w:color w:val="auto"/>
          <w:sz w:val="24"/>
          <w:szCs w:val="24"/>
          <w:highlight w:val="none"/>
        </w:rPr>
        <w:t>投标人应提供相关证明材料（如权威评测资料、及印刷品产品说明书或印刷品图册等）以供谈判小组评审投标产品是</w:t>
      </w:r>
      <w:r>
        <w:rPr>
          <w:color w:val="auto"/>
          <w:sz w:val="24"/>
          <w:szCs w:val="24"/>
          <w:highlight w:val="none"/>
        </w:rPr>
        <w:t>否</w:t>
      </w:r>
      <w:r>
        <w:rPr>
          <w:rFonts w:hint="eastAsia"/>
          <w:color w:val="auto"/>
          <w:sz w:val="24"/>
          <w:szCs w:val="24"/>
          <w:highlight w:val="none"/>
        </w:rPr>
        <w:t>等于或优于“基本技术要求”、从而</w:t>
      </w:r>
      <w:r>
        <w:rPr>
          <w:color w:val="auto"/>
          <w:sz w:val="24"/>
          <w:szCs w:val="24"/>
          <w:highlight w:val="none"/>
        </w:rPr>
        <w:t>评定</w:t>
      </w:r>
      <w:r>
        <w:rPr>
          <w:rFonts w:hint="eastAsia"/>
          <w:color w:val="auto"/>
          <w:sz w:val="24"/>
          <w:szCs w:val="24"/>
          <w:highlight w:val="none"/>
        </w:rPr>
        <w:t>投标产品是</w:t>
      </w:r>
      <w:r>
        <w:rPr>
          <w:color w:val="auto"/>
          <w:sz w:val="24"/>
          <w:szCs w:val="24"/>
          <w:highlight w:val="none"/>
        </w:rPr>
        <w:t>否</w:t>
      </w:r>
      <w:r>
        <w:rPr>
          <w:rFonts w:hint="eastAsia"/>
          <w:color w:val="auto"/>
          <w:sz w:val="24"/>
          <w:szCs w:val="24"/>
          <w:highlight w:val="none"/>
        </w:rPr>
        <w:t>满</w:t>
      </w:r>
      <w:r>
        <w:rPr>
          <w:color w:val="auto"/>
          <w:sz w:val="24"/>
          <w:szCs w:val="24"/>
          <w:highlight w:val="none"/>
        </w:rPr>
        <w:t>足</w:t>
      </w:r>
      <w:r>
        <w:rPr>
          <w:rFonts w:hint="eastAsia"/>
          <w:color w:val="auto"/>
          <w:sz w:val="24"/>
          <w:szCs w:val="24"/>
          <w:highlight w:val="none"/>
        </w:rPr>
        <w:t>“基本技术要求”。</w:t>
      </w:r>
    </w:p>
    <w:p w14:paraId="130D0E52">
      <w:pPr>
        <w:widowControl w:val="0"/>
        <w:adjustRightInd w:val="0"/>
        <w:snapToGrid w:val="0"/>
        <w:spacing w:before="156" w:beforeLines="50" w:line="300" w:lineRule="auto"/>
        <w:ind w:left="22" w:firstLine="555"/>
        <w:jc w:val="left"/>
        <w:rPr>
          <w:color w:val="auto"/>
          <w:sz w:val="24"/>
          <w:szCs w:val="24"/>
          <w:highlight w:val="none"/>
        </w:rPr>
      </w:pPr>
      <w:r>
        <w:rPr>
          <w:rFonts w:hint="eastAsia"/>
          <w:color w:val="auto"/>
          <w:sz w:val="24"/>
          <w:szCs w:val="24"/>
          <w:highlight w:val="none"/>
        </w:rPr>
        <w:t>“基本技术要求”列示的参数、规格为区</w:t>
      </w:r>
      <w:r>
        <w:rPr>
          <w:color w:val="auto"/>
          <w:sz w:val="24"/>
          <w:szCs w:val="24"/>
          <w:highlight w:val="none"/>
        </w:rPr>
        <w:t>间性描述的，</w:t>
      </w:r>
      <w:r>
        <w:rPr>
          <w:rFonts w:hint="eastAsia"/>
          <w:color w:val="auto"/>
          <w:sz w:val="24"/>
          <w:szCs w:val="24"/>
          <w:highlight w:val="none"/>
        </w:rPr>
        <w:t>投</w:t>
      </w:r>
      <w:r>
        <w:rPr>
          <w:color w:val="auto"/>
          <w:sz w:val="24"/>
          <w:szCs w:val="24"/>
          <w:highlight w:val="none"/>
        </w:rPr>
        <w:t>标产品</w:t>
      </w:r>
      <w:r>
        <w:rPr>
          <w:rFonts w:hint="eastAsia"/>
          <w:color w:val="auto"/>
          <w:sz w:val="24"/>
          <w:szCs w:val="24"/>
          <w:highlight w:val="none"/>
        </w:rPr>
        <w:t>参数规格</w:t>
      </w:r>
      <w:r>
        <w:rPr>
          <w:color w:val="auto"/>
          <w:sz w:val="24"/>
          <w:szCs w:val="24"/>
          <w:highlight w:val="none"/>
        </w:rPr>
        <w:t>在此区间内的</w:t>
      </w:r>
      <w:r>
        <w:rPr>
          <w:rFonts w:hint="eastAsia"/>
          <w:color w:val="auto"/>
          <w:sz w:val="24"/>
          <w:szCs w:val="24"/>
          <w:highlight w:val="none"/>
        </w:rPr>
        <w:t>、则</w:t>
      </w:r>
      <w:r>
        <w:rPr>
          <w:color w:val="auto"/>
          <w:sz w:val="24"/>
          <w:szCs w:val="24"/>
          <w:highlight w:val="none"/>
        </w:rPr>
        <w:t>显见的为</w:t>
      </w:r>
      <w:r>
        <w:rPr>
          <w:rFonts w:hint="eastAsia"/>
          <w:color w:val="auto"/>
          <w:sz w:val="24"/>
          <w:szCs w:val="24"/>
          <w:highlight w:val="none"/>
        </w:rPr>
        <w:t>符</w:t>
      </w:r>
      <w:r>
        <w:rPr>
          <w:color w:val="auto"/>
          <w:sz w:val="24"/>
          <w:szCs w:val="24"/>
          <w:highlight w:val="none"/>
        </w:rPr>
        <w:t>合</w:t>
      </w:r>
      <w:r>
        <w:rPr>
          <w:rFonts w:hint="eastAsia"/>
          <w:color w:val="auto"/>
          <w:sz w:val="24"/>
          <w:szCs w:val="24"/>
          <w:highlight w:val="none"/>
        </w:rPr>
        <w:t>“基本技术要求”。</w:t>
      </w:r>
    </w:p>
    <w:p w14:paraId="3461F280">
      <w:pPr>
        <w:widowControl w:val="0"/>
        <w:adjustRightInd w:val="0"/>
        <w:snapToGrid w:val="0"/>
        <w:spacing w:before="156" w:beforeLines="50" w:line="300" w:lineRule="auto"/>
        <w:ind w:left="22" w:firstLine="555"/>
        <w:jc w:val="left"/>
        <w:rPr>
          <w:color w:val="auto"/>
          <w:sz w:val="24"/>
          <w:szCs w:val="24"/>
          <w:highlight w:val="none"/>
        </w:rPr>
      </w:pPr>
      <w:r>
        <w:rPr>
          <w:color w:val="auto"/>
          <w:sz w:val="24"/>
          <w:szCs w:val="24"/>
          <w:highlight w:val="none"/>
        </w:rPr>
        <w:t>如</w:t>
      </w:r>
      <w:r>
        <w:rPr>
          <w:rFonts w:hint="eastAsia"/>
          <w:color w:val="auto"/>
          <w:sz w:val="24"/>
          <w:szCs w:val="24"/>
          <w:highlight w:val="none"/>
        </w:rPr>
        <w:t>“基本技术要求”中列示有品牌</w:t>
      </w:r>
      <w:r>
        <w:rPr>
          <w:color w:val="auto"/>
          <w:sz w:val="24"/>
          <w:szCs w:val="24"/>
          <w:highlight w:val="none"/>
        </w:rPr>
        <w:t>、</w:t>
      </w:r>
      <w:r>
        <w:rPr>
          <w:rFonts w:hint="eastAsia"/>
          <w:color w:val="auto"/>
          <w:sz w:val="24"/>
          <w:szCs w:val="24"/>
          <w:highlight w:val="none"/>
        </w:rPr>
        <w:t>型号、生</w:t>
      </w:r>
      <w:r>
        <w:rPr>
          <w:color w:val="auto"/>
          <w:sz w:val="24"/>
          <w:szCs w:val="24"/>
          <w:highlight w:val="none"/>
        </w:rPr>
        <w:t>产供应商名称</w:t>
      </w:r>
      <w:r>
        <w:rPr>
          <w:rFonts w:hint="eastAsia"/>
          <w:color w:val="auto"/>
          <w:sz w:val="24"/>
          <w:szCs w:val="24"/>
          <w:highlight w:val="none"/>
        </w:rPr>
        <w:t>、</w:t>
      </w:r>
      <w:r>
        <w:rPr>
          <w:color w:val="auto"/>
          <w:sz w:val="24"/>
          <w:szCs w:val="24"/>
          <w:highlight w:val="none"/>
        </w:rPr>
        <w:t>专利、商标</w:t>
      </w:r>
      <w:r>
        <w:rPr>
          <w:rFonts w:hint="eastAsia"/>
          <w:color w:val="auto"/>
          <w:sz w:val="24"/>
          <w:szCs w:val="24"/>
          <w:highlight w:val="none"/>
        </w:rPr>
        <w:t>的</w:t>
      </w:r>
      <w:r>
        <w:rPr>
          <w:color w:val="auto"/>
          <w:sz w:val="24"/>
          <w:szCs w:val="24"/>
          <w:highlight w:val="none"/>
        </w:rPr>
        <w:t>，</w:t>
      </w:r>
      <w:r>
        <w:rPr>
          <w:rFonts w:hint="eastAsia"/>
          <w:color w:val="auto"/>
          <w:sz w:val="24"/>
          <w:szCs w:val="24"/>
          <w:highlight w:val="none"/>
        </w:rPr>
        <w:t>均为“参</w:t>
      </w:r>
      <w:r>
        <w:rPr>
          <w:color w:val="auto"/>
          <w:sz w:val="24"/>
          <w:szCs w:val="24"/>
          <w:highlight w:val="none"/>
        </w:rPr>
        <w:t>照或相当于</w:t>
      </w:r>
      <w:r>
        <w:rPr>
          <w:rFonts w:hint="eastAsia"/>
          <w:color w:val="auto"/>
          <w:sz w:val="24"/>
          <w:szCs w:val="24"/>
          <w:highlight w:val="none"/>
        </w:rPr>
        <w:t>”的</w:t>
      </w:r>
      <w:r>
        <w:rPr>
          <w:color w:val="auto"/>
          <w:sz w:val="24"/>
          <w:szCs w:val="24"/>
          <w:highlight w:val="none"/>
        </w:rPr>
        <w:t>技术标准</w:t>
      </w:r>
      <w:r>
        <w:rPr>
          <w:rFonts w:hint="eastAsia"/>
          <w:color w:val="auto"/>
          <w:sz w:val="24"/>
          <w:szCs w:val="24"/>
          <w:highlight w:val="none"/>
        </w:rPr>
        <w:t>，投标人可提供等于或优于的其他产品（其他</w:t>
      </w:r>
      <w:r>
        <w:rPr>
          <w:color w:val="auto"/>
          <w:sz w:val="24"/>
          <w:szCs w:val="24"/>
          <w:highlight w:val="none"/>
        </w:rPr>
        <w:t>的</w:t>
      </w:r>
      <w:r>
        <w:rPr>
          <w:rFonts w:hint="eastAsia"/>
          <w:color w:val="auto"/>
          <w:sz w:val="24"/>
          <w:szCs w:val="24"/>
          <w:highlight w:val="none"/>
        </w:rPr>
        <w:t>品牌、型号、生产供应商、专利、商标</w:t>
      </w:r>
      <w:r>
        <w:rPr>
          <w:color w:val="auto"/>
          <w:sz w:val="24"/>
          <w:szCs w:val="24"/>
          <w:highlight w:val="none"/>
        </w:rPr>
        <w:t>）</w:t>
      </w:r>
      <w:r>
        <w:rPr>
          <w:rFonts w:hint="eastAsia"/>
          <w:color w:val="auto"/>
          <w:sz w:val="24"/>
          <w:szCs w:val="24"/>
          <w:highlight w:val="none"/>
        </w:rPr>
        <w:t>；投标人应提供相关证明材料（如权威评测资料、及印刷品产品说明书或印刷品图册等）以供谈判小组评审投标产品是否等于或优于“基本技术要求”、从而评定投标产品是否满足“基本技术要求”。</w:t>
      </w:r>
    </w:p>
    <w:p w14:paraId="0EBACBBF">
      <w:pPr>
        <w:widowControl w:val="0"/>
        <w:adjustRightInd w:val="0"/>
        <w:snapToGrid w:val="0"/>
        <w:spacing w:before="156" w:beforeLines="50" w:line="300" w:lineRule="auto"/>
        <w:ind w:firstLine="540"/>
        <w:rPr>
          <w:rFonts w:ascii="宋体" w:hAnsi="宋体"/>
          <w:color w:val="auto"/>
          <w:sz w:val="24"/>
          <w:szCs w:val="24"/>
          <w:highlight w:val="none"/>
        </w:rPr>
      </w:pPr>
      <w:r>
        <w:rPr>
          <w:rFonts w:hint="eastAsia"/>
          <w:color w:val="auto"/>
          <w:sz w:val="24"/>
          <w:szCs w:val="24"/>
          <w:highlight w:val="none"/>
        </w:rPr>
        <w:t>2.7.2★</w:t>
      </w:r>
      <w:r>
        <w:rPr>
          <w:rFonts w:hint="eastAsia" w:ascii="黑体" w:hAnsi="黑体" w:eastAsia="黑体"/>
          <w:b/>
          <w:color w:val="auto"/>
          <w:sz w:val="24"/>
          <w:szCs w:val="24"/>
          <w:highlight w:val="none"/>
        </w:rPr>
        <w:t>不</w:t>
      </w:r>
      <w:r>
        <w:rPr>
          <w:rFonts w:ascii="黑体" w:hAnsi="黑体" w:eastAsia="黑体"/>
          <w:b/>
          <w:color w:val="auto"/>
          <w:sz w:val="24"/>
          <w:szCs w:val="24"/>
          <w:highlight w:val="none"/>
        </w:rPr>
        <w:t>接受负</w:t>
      </w:r>
      <w:r>
        <w:rPr>
          <w:rFonts w:hint="eastAsia" w:ascii="黑体" w:hAnsi="黑体" w:eastAsia="黑体"/>
          <w:b/>
          <w:color w:val="auto"/>
          <w:sz w:val="24"/>
          <w:szCs w:val="24"/>
          <w:highlight w:val="none"/>
        </w:rPr>
        <w:t>偏差，低</w:t>
      </w:r>
      <w:r>
        <w:rPr>
          <w:rFonts w:ascii="黑体" w:hAnsi="黑体" w:eastAsia="黑体"/>
          <w:b/>
          <w:color w:val="auto"/>
          <w:sz w:val="24"/>
          <w:szCs w:val="24"/>
          <w:highlight w:val="none"/>
        </w:rPr>
        <w:t>于</w:t>
      </w:r>
      <w:r>
        <w:rPr>
          <w:rFonts w:hint="eastAsia" w:ascii="黑体" w:hAnsi="黑体" w:eastAsia="黑体"/>
          <w:b/>
          <w:color w:val="auto"/>
          <w:sz w:val="24"/>
          <w:szCs w:val="24"/>
          <w:highlight w:val="none"/>
        </w:rPr>
        <w:t>“基本技术要求”</w:t>
      </w:r>
      <w:r>
        <w:rPr>
          <w:rFonts w:ascii="黑体" w:hAnsi="黑体" w:eastAsia="黑体"/>
          <w:b/>
          <w:color w:val="auto"/>
          <w:sz w:val="24"/>
          <w:szCs w:val="24"/>
          <w:highlight w:val="none"/>
        </w:rPr>
        <w:t>的、为无效投标。</w:t>
      </w:r>
    </w:p>
    <w:p w14:paraId="7067571A">
      <w:pPr>
        <w:widowControl w:val="0"/>
        <w:adjustRightInd w:val="0"/>
        <w:snapToGrid w:val="0"/>
        <w:spacing w:before="156" w:beforeLines="50" w:line="300" w:lineRule="auto"/>
        <w:ind w:left="22" w:firstLine="555"/>
        <w:jc w:val="left"/>
        <w:rPr>
          <w:color w:val="auto"/>
          <w:sz w:val="24"/>
          <w:szCs w:val="24"/>
          <w:highlight w:val="none"/>
        </w:rPr>
      </w:pPr>
      <w:r>
        <w:rPr>
          <w:rFonts w:ascii="宋体" w:hAnsi="宋体"/>
          <w:color w:val="auto"/>
          <w:sz w:val="24"/>
          <w:szCs w:val="24"/>
          <w:highlight w:val="none"/>
        </w:rPr>
        <w:t>2.</w:t>
      </w:r>
      <w:r>
        <w:rPr>
          <w:rFonts w:hint="eastAsia" w:ascii="宋体" w:hAnsi="宋体"/>
          <w:color w:val="auto"/>
          <w:sz w:val="24"/>
          <w:szCs w:val="24"/>
          <w:highlight w:val="none"/>
        </w:rPr>
        <w:t>7</w:t>
      </w:r>
      <w:r>
        <w:rPr>
          <w:rFonts w:ascii="宋体" w:hAnsi="宋体"/>
          <w:color w:val="auto"/>
          <w:sz w:val="24"/>
          <w:szCs w:val="24"/>
          <w:highlight w:val="none"/>
        </w:rPr>
        <w:t>.</w:t>
      </w:r>
      <w:r>
        <w:rPr>
          <w:rFonts w:hint="eastAsia" w:ascii="宋体" w:hAnsi="宋体"/>
          <w:color w:val="auto"/>
          <w:sz w:val="24"/>
          <w:szCs w:val="24"/>
          <w:highlight w:val="none"/>
        </w:rPr>
        <w:t>3</w:t>
      </w:r>
      <w:r>
        <w:rPr>
          <w:rFonts w:ascii="宋体" w:hAnsi="宋体"/>
          <w:color w:val="auto"/>
          <w:sz w:val="24"/>
          <w:szCs w:val="24"/>
          <w:highlight w:val="none"/>
        </w:rPr>
        <w:t xml:space="preserve"> </w:t>
      </w:r>
      <w:r>
        <w:rPr>
          <w:rFonts w:hint="eastAsia" w:ascii="宋体" w:hAnsi="宋体"/>
          <w:color w:val="auto"/>
          <w:sz w:val="24"/>
          <w:szCs w:val="24"/>
          <w:highlight w:val="none"/>
        </w:rPr>
        <w:t>除谈判文件“基本技术要求”有明确说明外，投标人所投标的各项产品均应为该产品的标准</w:t>
      </w:r>
      <w:r>
        <w:rPr>
          <w:rFonts w:hint="eastAsia"/>
          <w:color w:val="auto"/>
          <w:sz w:val="24"/>
          <w:szCs w:val="24"/>
          <w:highlight w:val="none"/>
        </w:rPr>
        <w:t>配置、不应改变或调换厂家的出厂标准配置；如确因市场因素无法按上述规格产品进行投标，应提供优于“基本技术要求”的同类产品进行投标，投标人应提供印刷品产品说明书或印刷品图册等予以佐证（电子档）。</w:t>
      </w:r>
    </w:p>
    <w:p w14:paraId="4FE8441B">
      <w:pPr>
        <w:widowControl w:val="0"/>
        <w:adjustRightInd w:val="0"/>
        <w:snapToGrid w:val="0"/>
        <w:spacing w:before="156" w:beforeLines="50" w:line="300" w:lineRule="auto"/>
        <w:ind w:firstLine="540"/>
        <w:rPr>
          <w:rFonts w:ascii="宋体" w:hAnsi="宋体"/>
          <w:color w:val="auto"/>
          <w:sz w:val="24"/>
          <w:szCs w:val="24"/>
          <w:highlight w:val="none"/>
        </w:rPr>
      </w:pPr>
      <w:r>
        <w:rPr>
          <w:rFonts w:ascii="宋体" w:hAnsi="宋体"/>
          <w:color w:val="auto"/>
          <w:sz w:val="24"/>
          <w:szCs w:val="24"/>
          <w:highlight w:val="none"/>
        </w:rPr>
        <w:t>2.</w:t>
      </w:r>
      <w:r>
        <w:rPr>
          <w:rFonts w:hint="eastAsia" w:ascii="宋体" w:hAnsi="宋体"/>
          <w:color w:val="auto"/>
          <w:sz w:val="24"/>
          <w:szCs w:val="24"/>
          <w:highlight w:val="none"/>
        </w:rPr>
        <w:t>7</w:t>
      </w:r>
      <w:r>
        <w:rPr>
          <w:rFonts w:ascii="宋体" w:hAnsi="宋体"/>
          <w:color w:val="auto"/>
          <w:sz w:val="24"/>
          <w:szCs w:val="24"/>
          <w:highlight w:val="none"/>
        </w:rPr>
        <w:t>.</w:t>
      </w:r>
      <w:r>
        <w:rPr>
          <w:rFonts w:hint="eastAsia" w:ascii="宋体" w:hAnsi="宋体"/>
          <w:color w:val="auto"/>
          <w:sz w:val="24"/>
          <w:szCs w:val="24"/>
          <w:highlight w:val="none"/>
        </w:rPr>
        <w:t>4 投标文件对技术偏差的描述要求：见第三章投标人须知</w:t>
      </w:r>
      <w:r>
        <w:rPr>
          <w:rFonts w:ascii="宋体" w:hAnsi="宋体"/>
          <w:color w:val="auto"/>
          <w:sz w:val="24"/>
          <w:szCs w:val="24"/>
          <w:highlight w:val="none"/>
        </w:rPr>
        <w:t>3.7.3</w:t>
      </w:r>
      <w:r>
        <w:rPr>
          <w:rFonts w:hint="eastAsia" w:ascii="宋体" w:hAnsi="宋体"/>
          <w:color w:val="auto"/>
          <w:sz w:val="24"/>
          <w:szCs w:val="24"/>
          <w:highlight w:val="none"/>
        </w:rPr>
        <w:t>项。</w:t>
      </w:r>
    </w:p>
    <w:p w14:paraId="51C9BF35">
      <w:pPr>
        <w:widowControl w:val="0"/>
        <w:adjustRightInd w:val="0"/>
        <w:snapToGrid w:val="0"/>
        <w:spacing w:before="156" w:beforeLines="50" w:line="300" w:lineRule="auto"/>
        <w:ind w:firstLine="540"/>
        <w:rPr>
          <w:rFonts w:ascii="宋体" w:hAnsi="宋体"/>
          <w:color w:val="auto"/>
          <w:sz w:val="24"/>
          <w:szCs w:val="24"/>
          <w:highlight w:val="none"/>
        </w:rPr>
      </w:pPr>
    </w:p>
    <w:p w14:paraId="235DFC71">
      <w:pPr>
        <w:widowControl w:val="0"/>
        <w:adjustRightInd w:val="0"/>
        <w:snapToGrid w:val="0"/>
        <w:spacing w:before="156" w:beforeLines="50" w:line="300" w:lineRule="auto"/>
        <w:ind w:left="23" w:firstLine="556"/>
        <w:outlineLvl w:val="1"/>
        <w:rPr>
          <w:rFonts w:ascii="黑体" w:hAnsi="黑体" w:eastAsia="黑体"/>
          <w:b/>
          <w:color w:val="auto"/>
          <w:sz w:val="24"/>
          <w:szCs w:val="24"/>
          <w:highlight w:val="none"/>
        </w:rPr>
      </w:pPr>
      <w:bookmarkStart w:id="17" w:name="_Toc13891"/>
      <w:r>
        <w:rPr>
          <w:rFonts w:hint="eastAsia" w:ascii="黑体" w:hAnsi="黑体" w:eastAsia="黑体"/>
          <w:b/>
          <w:color w:val="auto"/>
          <w:sz w:val="24"/>
          <w:szCs w:val="24"/>
          <w:highlight w:val="none"/>
        </w:rPr>
        <w:t xml:space="preserve">2.8 </w:t>
      </w:r>
      <w:r>
        <w:rPr>
          <w:rFonts w:ascii="黑体" w:hAnsi="黑体" w:eastAsia="黑体"/>
          <w:b/>
          <w:color w:val="auto"/>
          <w:sz w:val="24"/>
          <w:szCs w:val="24"/>
          <w:highlight w:val="none"/>
        </w:rPr>
        <w:t xml:space="preserve"> </w:t>
      </w:r>
      <w:r>
        <w:rPr>
          <w:rFonts w:hint="eastAsia" w:ascii="黑体" w:hAnsi="黑体" w:eastAsia="黑体"/>
          <w:b/>
          <w:color w:val="auto"/>
          <w:sz w:val="24"/>
          <w:szCs w:val="24"/>
          <w:highlight w:val="none"/>
        </w:rPr>
        <w:t>售后服务的基本条款（采购标的需满足的服务标准、期限、效率等要求）</w:t>
      </w:r>
      <w:bookmarkEnd w:id="17"/>
    </w:p>
    <w:p w14:paraId="6ECB4344">
      <w:pPr>
        <w:widowControl w:val="0"/>
        <w:adjustRightInd w:val="0"/>
        <w:snapToGrid w:val="0"/>
        <w:spacing w:before="156" w:beforeLines="50" w:line="300" w:lineRule="auto"/>
        <w:ind w:firstLine="538"/>
        <w:rPr>
          <w:rFonts w:ascii="宋体" w:hAnsi="宋体"/>
          <w:color w:val="auto"/>
          <w:sz w:val="24"/>
          <w:szCs w:val="24"/>
          <w:highlight w:val="none"/>
        </w:rPr>
      </w:pPr>
      <w:r>
        <w:rPr>
          <w:color w:val="auto"/>
          <w:sz w:val="24"/>
          <w:szCs w:val="24"/>
          <w:highlight w:val="none"/>
        </w:rPr>
        <w:t>2.</w:t>
      </w:r>
      <w:r>
        <w:rPr>
          <w:rFonts w:hint="eastAsia"/>
          <w:color w:val="auto"/>
          <w:sz w:val="24"/>
          <w:szCs w:val="24"/>
          <w:highlight w:val="none"/>
        </w:rPr>
        <w:t>8</w:t>
      </w:r>
      <w:r>
        <w:rPr>
          <w:color w:val="auto"/>
          <w:sz w:val="24"/>
          <w:szCs w:val="24"/>
          <w:highlight w:val="none"/>
        </w:rPr>
        <w:t>.1</w:t>
      </w:r>
      <w:r>
        <w:rPr>
          <w:rFonts w:hint="eastAsia" w:ascii="宋体" w:hAnsi="宋体"/>
          <w:color w:val="auto"/>
          <w:sz w:val="24"/>
          <w:szCs w:val="24"/>
          <w:highlight w:val="none"/>
        </w:rPr>
        <w:t>货物的保修除按国家有关规定、各产品生产厂家规定及项目特殊要求处理外，还应满足下述条款：</w:t>
      </w:r>
    </w:p>
    <w:p w14:paraId="26886014">
      <w:pPr>
        <w:widowControl w:val="0"/>
        <w:adjustRightInd w:val="0"/>
        <w:snapToGrid w:val="0"/>
        <w:spacing w:before="156" w:beforeLines="50" w:line="300" w:lineRule="auto"/>
        <w:ind w:firstLine="538"/>
        <w:rPr>
          <w:rFonts w:ascii="宋体" w:hAnsi="宋体"/>
          <w:color w:val="auto"/>
          <w:sz w:val="24"/>
          <w:szCs w:val="24"/>
          <w:highlight w:val="none"/>
        </w:rPr>
      </w:pPr>
      <w:r>
        <w:rPr>
          <w:rFonts w:hint="eastAsia" w:ascii="宋体" w:hAnsi="宋体"/>
          <w:color w:val="auto"/>
          <w:sz w:val="24"/>
          <w:szCs w:val="24"/>
          <w:highlight w:val="none"/>
        </w:rPr>
        <w:t>（</w:t>
      </w:r>
      <w:r>
        <w:rPr>
          <w:rFonts w:ascii="宋体" w:hAnsi="宋体"/>
          <w:color w:val="auto"/>
          <w:sz w:val="24"/>
          <w:szCs w:val="24"/>
          <w:highlight w:val="none"/>
        </w:rPr>
        <w:t>1</w:t>
      </w:r>
      <w:r>
        <w:rPr>
          <w:rFonts w:hint="eastAsia" w:ascii="宋体" w:hAnsi="宋体"/>
          <w:color w:val="auto"/>
          <w:sz w:val="24"/>
          <w:szCs w:val="24"/>
          <w:highlight w:val="none"/>
        </w:rPr>
        <w:t>）谈判文件中未明确列明保修条款的产品，均需提供至少</w:t>
      </w:r>
      <w:r>
        <w:rPr>
          <w:rFonts w:hint="eastAsia" w:ascii="宋体" w:hAnsi="宋体"/>
          <w:color w:val="auto"/>
          <w:sz w:val="24"/>
          <w:szCs w:val="24"/>
          <w:highlight w:val="none"/>
          <w:lang w:eastAsia="zh-CN"/>
        </w:rPr>
        <w:t>三</w:t>
      </w:r>
      <w:r>
        <w:rPr>
          <w:rFonts w:hint="eastAsia" w:ascii="宋体" w:hAnsi="宋体"/>
          <w:color w:val="auto"/>
          <w:sz w:val="24"/>
          <w:szCs w:val="24"/>
          <w:highlight w:val="none"/>
        </w:rPr>
        <w:t>年的免费保修；国家规定或产品生产厂家规定大于</w:t>
      </w:r>
      <w:r>
        <w:rPr>
          <w:rFonts w:hint="eastAsia" w:ascii="宋体" w:hAnsi="宋体"/>
          <w:color w:val="auto"/>
          <w:sz w:val="24"/>
          <w:szCs w:val="24"/>
          <w:highlight w:val="none"/>
          <w:lang w:eastAsia="zh-CN"/>
        </w:rPr>
        <w:t>三</w:t>
      </w:r>
      <w:r>
        <w:rPr>
          <w:rFonts w:hint="eastAsia" w:ascii="宋体" w:hAnsi="宋体"/>
          <w:color w:val="auto"/>
          <w:sz w:val="24"/>
          <w:szCs w:val="24"/>
          <w:highlight w:val="none"/>
        </w:rPr>
        <w:t>年的，按国家规定与厂家规定最有利于采购人原则执行；谈判文件已明确列明大于</w:t>
      </w:r>
      <w:r>
        <w:rPr>
          <w:rFonts w:hint="eastAsia" w:ascii="宋体" w:hAnsi="宋体"/>
          <w:color w:val="auto"/>
          <w:sz w:val="24"/>
          <w:szCs w:val="24"/>
          <w:highlight w:val="none"/>
          <w:lang w:eastAsia="zh-CN"/>
        </w:rPr>
        <w:t>三</w:t>
      </w:r>
      <w:r>
        <w:rPr>
          <w:rFonts w:hint="eastAsia" w:ascii="宋体" w:hAnsi="宋体"/>
          <w:color w:val="auto"/>
          <w:sz w:val="24"/>
          <w:szCs w:val="24"/>
          <w:highlight w:val="none"/>
        </w:rPr>
        <w:t>年保修的，按该条款及其响应执行，并终身维护；</w:t>
      </w:r>
    </w:p>
    <w:p w14:paraId="5AC02123">
      <w:pPr>
        <w:widowControl w:val="0"/>
        <w:adjustRightInd w:val="0"/>
        <w:snapToGrid w:val="0"/>
        <w:spacing w:before="156" w:beforeLines="50" w:line="300" w:lineRule="auto"/>
        <w:ind w:left="22" w:firstLine="538"/>
        <w:rPr>
          <w:rFonts w:ascii="宋体" w:hAnsi="宋体"/>
          <w:color w:val="auto"/>
          <w:sz w:val="24"/>
          <w:szCs w:val="24"/>
          <w:highlight w:val="none"/>
        </w:rPr>
      </w:pPr>
      <w:r>
        <w:rPr>
          <w:rFonts w:hint="eastAsia" w:ascii="宋体" w:hAnsi="宋体"/>
          <w:color w:val="auto"/>
          <w:sz w:val="24"/>
          <w:szCs w:val="24"/>
          <w:highlight w:val="none"/>
        </w:rPr>
        <w:t>（</w:t>
      </w:r>
      <w:r>
        <w:rPr>
          <w:rFonts w:ascii="宋体" w:hAnsi="宋体"/>
          <w:color w:val="auto"/>
          <w:sz w:val="24"/>
          <w:szCs w:val="24"/>
          <w:highlight w:val="none"/>
        </w:rPr>
        <w:t>2</w:t>
      </w:r>
      <w:r>
        <w:rPr>
          <w:rFonts w:hint="eastAsia" w:ascii="宋体" w:hAnsi="宋体"/>
          <w:color w:val="auto"/>
          <w:sz w:val="24"/>
          <w:szCs w:val="24"/>
          <w:highlight w:val="none"/>
        </w:rPr>
        <w:t>）保修期内货物发生故障系货物出现质量问题，必须无偿更换；</w:t>
      </w:r>
    </w:p>
    <w:p w14:paraId="55A22F42">
      <w:pPr>
        <w:widowControl w:val="0"/>
        <w:adjustRightInd w:val="0"/>
        <w:snapToGrid w:val="0"/>
        <w:spacing w:before="156" w:beforeLines="50" w:line="300" w:lineRule="auto"/>
        <w:ind w:firstLine="538"/>
        <w:rPr>
          <w:rFonts w:ascii="宋体" w:hAnsi="宋体"/>
          <w:color w:val="auto"/>
          <w:sz w:val="24"/>
          <w:szCs w:val="24"/>
          <w:highlight w:val="none"/>
        </w:rPr>
      </w:pPr>
      <w:r>
        <w:rPr>
          <w:rFonts w:hint="eastAsia" w:ascii="宋体" w:hAnsi="宋体"/>
          <w:color w:val="auto"/>
          <w:sz w:val="24"/>
          <w:szCs w:val="24"/>
          <w:highlight w:val="none"/>
        </w:rPr>
        <w:t>（</w:t>
      </w:r>
      <w:r>
        <w:rPr>
          <w:rFonts w:ascii="宋体" w:hAnsi="宋体"/>
          <w:color w:val="auto"/>
          <w:sz w:val="24"/>
          <w:szCs w:val="24"/>
          <w:highlight w:val="none"/>
        </w:rPr>
        <w:t>3</w:t>
      </w:r>
      <w:r>
        <w:rPr>
          <w:rFonts w:hint="eastAsia" w:ascii="宋体" w:hAnsi="宋体"/>
          <w:color w:val="auto"/>
          <w:sz w:val="24"/>
          <w:szCs w:val="24"/>
          <w:highlight w:val="none"/>
        </w:rPr>
        <w:t>）货物超过保修期发生故障，采购人可自由选择维修单位，如委托给成交供应商，成交供应商不得借故推诿，且维修费优于市场价格；</w:t>
      </w:r>
    </w:p>
    <w:p w14:paraId="682E6530">
      <w:pPr>
        <w:widowControl w:val="0"/>
        <w:adjustRightInd w:val="0"/>
        <w:snapToGrid w:val="0"/>
        <w:spacing w:before="156" w:beforeLines="50" w:line="300" w:lineRule="auto"/>
        <w:ind w:firstLine="538"/>
        <w:rPr>
          <w:rFonts w:hint="eastAsia" w:ascii="宋体" w:hAnsi="宋体"/>
          <w:color w:val="auto"/>
          <w:sz w:val="24"/>
          <w:szCs w:val="24"/>
          <w:highlight w:val="none"/>
        </w:rPr>
      </w:pPr>
      <w:r>
        <w:rPr>
          <w:rFonts w:hint="eastAsia" w:ascii="宋体" w:hAnsi="宋体"/>
          <w:color w:val="auto"/>
          <w:sz w:val="24"/>
          <w:szCs w:val="24"/>
          <w:highlight w:val="none"/>
        </w:rPr>
        <w:t>（</w:t>
      </w:r>
      <w:r>
        <w:rPr>
          <w:rFonts w:ascii="宋体" w:hAnsi="宋体"/>
          <w:color w:val="auto"/>
          <w:sz w:val="24"/>
          <w:szCs w:val="24"/>
          <w:highlight w:val="none"/>
        </w:rPr>
        <w:t>4</w:t>
      </w:r>
      <w:r>
        <w:rPr>
          <w:rFonts w:hint="eastAsia" w:ascii="宋体" w:hAnsi="宋体"/>
          <w:color w:val="auto"/>
          <w:sz w:val="24"/>
          <w:szCs w:val="24"/>
          <w:highlight w:val="none"/>
        </w:rPr>
        <w:t>）如货物发生故障，远程无法解决故障时应于4小时内到达现场处理、定期巡检、故障快速响应、远程运维及固件升级，确保系统稳定可靠运行，降低管理成本、减轻运维压力，为公安核心业务提供持续、高效的技术支撑。</w:t>
      </w:r>
    </w:p>
    <w:p w14:paraId="06D2C06C">
      <w:pPr>
        <w:widowControl w:val="0"/>
        <w:adjustRightInd w:val="0"/>
        <w:snapToGrid w:val="0"/>
        <w:spacing w:before="156" w:beforeLines="50" w:line="300" w:lineRule="auto"/>
        <w:ind w:firstLine="538"/>
        <w:rPr>
          <w:rFonts w:ascii="宋体" w:hAnsi="宋体"/>
          <w:color w:val="auto"/>
          <w:sz w:val="24"/>
          <w:szCs w:val="24"/>
          <w:highlight w:val="none"/>
        </w:rPr>
      </w:pPr>
      <w:r>
        <w:rPr>
          <w:color w:val="auto"/>
          <w:sz w:val="24"/>
          <w:szCs w:val="24"/>
          <w:highlight w:val="none"/>
        </w:rPr>
        <w:t>2.</w:t>
      </w:r>
      <w:r>
        <w:rPr>
          <w:rFonts w:hint="eastAsia"/>
          <w:color w:val="auto"/>
          <w:sz w:val="24"/>
          <w:szCs w:val="24"/>
          <w:highlight w:val="none"/>
        </w:rPr>
        <w:t>8</w:t>
      </w:r>
      <w:r>
        <w:rPr>
          <w:color w:val="auto"/>
          <w:sz w:val="24"/>
          <w:szCs w:val="24"/>
          <w:highlight w:val="none"/>
        </w:rPr>
        <w:t>.</w:t>
      </w:r>
      <w:r>
        <w:rPr>
          <w:rFonts w:ascii="宋体" w:hAnsi="宋体"/>
          <w:color w:val="auto"/>
          <w:sz w:val="24"/>
          <w:szCs w:val="24"/>
          <w:highlight w:val="none"/>
        </w:rPr>
        <w:t xml:space="preserve">2 </w:t>
      </w:r>
      <w:r>
        <w:rPr>
          <w:rFonts w:hint="eastAsia" w:ascii="宋体" w:hAnsi="宋体"/>
          <w:color w:val="auto"/>
          <w:sz w:val="24"/>
          <w:szCs w:val="24"/>
          <w:highlight w:val="none"/>
        </w:rPr>
        <w:t>在成交供应商</w:t>
      </w:r>
      <w:r>
        <w:rPr>
          <w:rFonts w:hint="eastAsia"/>
          <w:color w:val="auto"/>
          <w:sz w:val="24"/>
          <w:szCs w:val="24"/>
          <w:highlight w:val="none"/>
        </w:rPr>
        <w:t>未按照合同规定的地点交验前，货物毁坏或灭失，</w:t>
      </w:r>
      <w:r>
        <w:rPr>
          <w:rFonts w:hint="eastAsia" w:ascii="宋体" w:hAnsi="宋体"/>
          <w:color w:val="auto"/>
          <w:sz w:val="24"/>
          <w:szCs w:val="24"/>
          <w:highlight w:val="none"/>
        </w:rPr>
        <w:t>由成交供应商承担责任。</w:t>
      </w:r>
    </w:p>
    <w:p w14:paraId="5170E8DF">
      <w:pPr>
        <w:widowControl w:val="0"/>
        <w:adjustRightInd w:val="0"/>
        <w:snapToGrid w:val="0"/>
        <w:spacing w:before="156" w:beforeLines="50" w:line="300" w:lineRule="auto"/>
        <w:ind w:firstLine="538"/>
        <w:rPr>
          <w:rFonts w:ascii="仿宋_GB2312" w:eastAsia="仿宋_GB2312"/>
          <w:b/>
          <w:color w:val="auto"/>
          <w:sz w:val="28"/>
          <w:szCs w:val="28"/>
          <w:highlight w:val="none"/>
        </w:rPr>
      </w:pPr>
      <w:r>
        <w:rPr>
          <w:color w:val="auto"/>
          <w:sz w:val="24"/>
          <w:szCs w:val="24"/>
          <w:highlight w:val="none"/>
        </w:rPr>
        <w:t>2.</w:t>
      </w:r>
      <w:r>
        <w:rPr>
          <w:rFonts w:hint="eastAsia"/>
          <w:color w:val="auto"/>
          <w:sz w:val="24"/>
          <w:szCs w:val="24"/>
          <w:highlight w:val="none"/>
        </w:rPr>
        <w:t>8</w:t>
      </w:r>
      <w:r>
        <w:rPr>
          <w:color w:val="auto"/>
          <w:sz w:val="24"/>
          <w:szCs w:val="24"/>
          <w:highlight w:val="none"/>
        </w:rPr>
        <w:t>.</w:t>
      </w:r>
      <w:r>
        <w:rPr>
          <w:rFonts w:ascii="宋体" w:hAnsi="宋体"/>
          <w:color w:val="auto"/>
          <w:sz w:val="24"/>
          <w:szCs w:val="24"/>
          <w:highlight w:val="none"/>
        </w:rPr>
        <w:t>3</w:t>
      </w:r>
      <w:r>
        <w:rPr>
          <w:rFonts w:hint="eastAsia" w:ascii="宋体" w:hAnsi="宋体"/>
          <w:color w:val="auto"/>
          <w:sz w:val="24"/>
          <w:szCs w:val="24"/>
          <w:highlight w:val="none"/>
        </w:rPr>
        <w:t>投标人需提供详尽的售后服务承诺；如由产品生产厂家提供相关售后服务的，投标人负有连带售后服</w:t>
      </w:r>
      <w:r>
        <w:rPr>
          <w:rFonts w:hint="eastAsia"/>
          <w:color w:val="auto"/>
          <w:sz w:val="24"/>
          <w:szCs w:val="24"/>
          <w:highlight w:val="none"/>
        </w:rPr>
        <w:t>务责任。</w:t>
      </w:r>
    </w:p>
    <w:p w14:paraId="3E946B49">
      <w:pPr>
        <w:adjustRightInd w:val="0"/>
        <w:snapToGrid w:val="0"/>
        <w:spacing w:line="300" w:lineRule="auto"/>
        <w:ind w:firstLine="566" w:firstLineChars="235"/>
        <w:jc w:val="left"/>
        <w:rPr>
          <w:rFonts w:ascii="黑体" w:hAnsi="黑体" w:eastAsia="黑体"/>
          <w:b/>
          <w:color w:val="auto"/>
          <w:sz w:val="24"/>
          <w:szCs w:val="24"/>
          <w:highlight w:val="none"/>
        </w:rPr>
      </w:pPr>
      <w:r>
        <w:rPr>
          <w:rFonts w:ascii="黑体" w:hAnsi="黑体" w:eastAsia="黑体"/>
          <w:b/>
          <w:color w:val="auto"/>
          <w:sz w:val="24"/>
          <w:szCs w:val="24"/>
          <w:highlight w:val="none"/>
        </w:rPr>
        <w:t>2.</w:t>
      </w:r>
      <w:r>
        <w:rPr>
          <w:rFonts w:hint="eastAsia" w:ascii="黑体" w:hAnsi="黑体" w:eastAsia="黑体"/>
          <w:b/>
          <w:color w:val="auto"/>
          <w:sz w:val="24"/>
          <w:szCs w:val="24"/>
          <w:highlight w:val="none"/>
        </w:rPr>
        <w:t>9保险、货物包装</w:t>
      </w:r>
    </w:p>
    <w:p w14:paraId="5AF262AE">
      <w:pPr>
        <w:adjustRightInd w:val="0"/>
        <w:snapToGrid w:val="0"/>
        <w:spacing w:line="300" w:lineRule="auto"/>
        <w:ind w:firstLine="564" w:firstLineChars="235"/>
        <w:jc w:val="left"/>
        <w:rPr>
          <w:color w:val="auto"/>
          <w:sz w:val="24"/>
          <w:szCs w:val="24"/>
          <w:highlight w:val="none"/>
        </w:rPr>
      </w:pPr>
      <w:r>
        <w:rPr>
          <w:rFonts w:hint="eastAsia"/>
          <w:color w:val="auto"/>
          <w:sz w:val="24"/>
          <w:szCs w:val="24"/>
          <w:highlight w:val="none"/>
        </w:rPr>
        <w:t>2.9.1保险（如需）：</w:t>
      </w:r>
    </w:p>
    <w:p w14:paraId="5EE73966">
      <w:pPr>
        <w:adjustRightInd w:val="0"/>
        <w:snapToGrid w:val="0"/>
        <w:spacing w:line="300" w:lineRule="auto"/>
        <w:ind w:firstLine="564" w:firstLineChars="235"/>
        <w:jc w:val="left"/>
        <w:rPr>
          <w:color w:val="auto"/>
          <w:sz w:val="24"/>
          <w:szCs w:val="24"/>
          <w:highlight w:val="none"/>
        </w:rPr>
      </w:pPr>
      <w:r>
        <w:rPr>
          <w:rFonts w:hint="eastAsia"/>
          <w:color w:val="auto"/>
          <w:sz w:val="24"/>
          <w:szCs w:val="24"/>
          <w:highlight w:val="none"/>
        </w:rPr>
        <w:t>投标人应遵循国家相关保险的规定，依法办理采购需求范围内的相关法定保险，相关保险费用及相应责任由成交供应商承担。</w:t>
      </w:r>
    </w:p>
    <w:p w14:paraId="0F6F8FF6">
      <w:pPr>
        <w:adjustRightInd w:val="0"/>
        <w:snapToGrid w:val="0"/>
        <w:spacing w:line="300" w:lineRule="auto"/>
        <w:ind w:firstLine="564" w:firstLineChars="235"/>
        <w:jc w:val="left"/>
        <w:rPr>
          <w:color w:val="auto"/>
          <w:sz w:val="24"/>
          <w:szCs w:val="24"/>
          <w:highlight w:val="none"/>
        </w:rPr>
      </w:pPr>
      <w:r>
        <w:rPr>
          <w:rFonts w:hint="eastAsia"/>
          <w:color w:val="auto"/>
          <w:sz w:val="24"/>
          <w:szCs w:val="24"/>
          <w:highlight w:val="none"/>
        </w:rPr>
        <w:t>在成交供应商未按照合同规定的地点交验前，货物毁坏或灭失，人身、安全责任，均由成交供应商承担责任。投标人可以按照最有利于项目风险控制的原则，为项目办理货物、人身及第三方公众责任险。</w:t>
      </w:r>
    </w:p>
    <w:p w14:paraId="2795CD98">
      <w:pPr>
        <w:adjustRightInd w:val="0"/>
        <w:snapToGrid w:val="0"/>
        <w:spacing w:line="300" w:lineRule="auto"/>
        <w:ind w:firstLine="564" w:firstLineChars="235"/>
        <w:jc w:val="left"/>
        <w:rPr>
          <w:color w:val="auto"/>
          <w:sz w:val="24"/>
          <w:szCs w:val="24"/>
          <w:highlight w:val="none"/>
        </w:rPr>
      </w:pPr>
      <w:r>
        <w:rPr>
          <w:rFonts w:hint="eastAsia"/>
          <w:color w:val="auto"/>
          <w:sz w:val="24"/>
          <w:szCs w:val="24"/>
          <w:highlight w:val="none"/>
        </w:rPr>
        <w:t>2.9.2货物包装：</w:t>
      </w:r>
    </w:p>
    <w:p w14:paraId="7ABEAF49">
      <w:pPr>
        <w:adjustRightInd w:val="0"/>
        <w:snapToGrid w:val="0"/>
        <w:spacing w:line="300" w:lineRule="auto"/>
        <w:ind w:firstLine="564" w:firstLineChars="235"/>
        <w:jc w:val="left"/>
        <w:rPr>
          <w:color w:val="auto"/>
          <w:sz w:val="24"/>
          <w:szCs w:val="24"/>
          <w:highlight w:val="none"/>
        </w:rPr>
      </w:pPr>
      <w:r>
        <w:rPr>
          <w:rFonts w:hint="eastAsia"/>
          <w:color w:val="auto"/>
          <w:sz w:val="24"/>
          <w:szCs w:val="24"/>
          <w:highlight w:val="none"/>
        </w:rPr>
        <w:t>成交供应商负责按国家相关标准进行货物包装，设备的包装均应有良好的防湿、防锈、防潮、防雨、防腐及防碰撞的措施，凡由于包装不良造成的损失和由此产生的费用均由成交供应商承担。</w:t>
      </w:r>
    </w:p>
    <w:p w14:paraId="42207629">
      <w:pPr>
        <w:adjustRightInd w:val="0"/>
        <w:snapToGrid w:val="0"/>
        <w:spacing w:line="300" w:lineRule="auto"/>
        <w:ind w:firstLine="566" w:firstLineChars="235"/>
        <w:jc w:val="left"/>
        <w:rPr>
          <w:rFonts w:ascii="黑体" w:hAnsi="黑体" w:eastAsia="黑体"/>
          <w:b/>
          <w:color w:val="auto"/>
          <w:sz w:val="24"/>
          <w:szCs w:val="24"/>
          <w:highlight w:val="none"/>
        </w:rPr>
      </w:pPr>
      <w:r>
        <w:rPr>
          <w:rFonts w:ascii="黑体" w:hAnsi="黑体" w:eastAsia="黑体"/>
          <w:b/>
          <w:color w:val="auto"/>
          <w:sz w:val="24"/>
          <w:szCs w:val="24"/>
          <w:highlight w:val="none"/>
        </w:rPr>
        <w:t>2.</w:t>
      </w:r>
      <w:r>
        <w:rPr>
          <w:rFonts w:hint="eastAsia" w:ascii="黑体" w:hAnsi="黑体" w:eastAsia="黑体"/>
          <w:b/>
          <w:color w:val="auto"/>
          <w:sz w:val="24"/>
          <w:szCs w:val="24"/>
          <w:highlight w:val="none"/>
        </w:rPr>
        <w:t>10采购标的的验收标准</w:t>
      </w:r>
    </w:p>
    <w:p w14:paraId="2B77DE11">
      <w:pPr>
        <w:adjustRightInd w:val="0"/>
        <w:snapToGrid w:val="0"/>
        <w:spacing w:line="300" w:lineRule="auto"/>
        <w:ind w:firstLine="564" w:firstLineChars="235"/>
        <w:jc w:val="left"/>
        <w:rPr>
          <w:rFonts w:ascii="黑体" w:hAnsi="黑体" w:eastAsia="黑体"/>
          <w:b/>
          <w:color w:val="auto"/>
          <w:sz w:val="24"/>
          <w:szCs w:val="24"/>
          <w:highlight w:val="none"/>
        </w:rPr>
      </w:pPr>
      <w:r>
        <w:rPr>
          <w:rFonts w:hint="eastAsia" w:ascii="宋体" w:hAnsi="宋体" w:cs="楷体_GB2312"/>
          <w:color w:val="auto"/>
          <w:sz w:val="24"/>
          <w:highlight w:val="none"/>
          <w:lang w:val="zh-CN"/>
        </w:rPr>
        <w:t>见“第三章</w:t>
      </w:r>
      <w:r>
        <w:rPr>
          <w:rFonts w:ascii="宋体" w:hAnsi="宋体" w:cs="楷体_GB2312"/>
          <w:color w:val="auto"/>
          <w:sz w:val="24"/>
          <w:highlight w:val="none"/>
          <w:lang w:val="zh-CN"/>
        </w:rPr>
        <w:t xml:space="preserve"> </w:t>
      </w:r>
      <w:r>
        <w:rPr>
          <w:rFonts w:hint="eastAsia" w:ascii="宋体" w:hAnsi="宋体" w:cs="楷体_GB2312"/>
          <w:color w:val="auto"/>
          <w:sz w:val="24"/>
          <w:highlight w:val="none"/>
          <w:lang w:val="zh-CN"/>
        </w:rPr>
        <w:t>投标人须知”</w:t>
      </w:r>
      <w:r>
        <w:rPr>
          <w:rFonts w:ascii="宋体" w:hAnsi="宋体" w:cs="楷体_GB2312"/>
          <w:color w:val="auto"/>
          <w:sz w:val="24"/>
          <w:highlight w:val="none"/>
          <w:lang w:val="zh-CN"/>
        </w:rPr>
        <w:t xml:space="preserve"> </w:t>
      </w:r>
      <w:r>
        <w:rPr>
          <w:rFonts w:hint="eastAsia" w:ascii="宋体" w:hAnsi="宋体" w:cs="楷体_GB2312"/>
          <w:color w:val="auto"/>
          <w:sz w:val="24"/>
          <w:highlight w:val="none"/>
          <w:lang w:val="zh-CN"/>
        </w:rPr>
        <w:t>第</w:t>
      </w:r>
      <w:r>
        <w:rPr>
          <w:rFonts w:ascii="宋体" w:hAnsi="宋体" w:cs="楷体_GB2312"/>
          <w:color w:val="auto"/>
          <w:sz w:val="24"/>
          <w:highlight w:val="none"/>
          <w:lang w:val="zh-CN"/>
        </w:rPr>
        <w:t>8</w:t>
      </w:r>
      <w:r>
        <w:rPr>
          <w:rFonts w:hint="eastAsia" w:ascii="宋体" w:hAnsi="宋体" w:cs="楷体_GB2312"/>
          <w:color w:val="auto"/>
          <w:sz w:val="24"/>
          <w:highlight w:val="none"/>
          <w:lang w:val="zh-CN"/>
        </w:rPr>
        <w:t>条“验收”条款。</w:t>
      </w:r>
    </w:p>
    <w:p w14:paraId="06C4050B">
      <w:pPr>
        <w:adjustRightInd w:val="0"/>
        <w:snapToGrid w:val="0"/>
        <w:spacing w:before="156" w:beforeLines="50" w:line="300" w:lineRule="auto"/>
        <w:ind w:firstLine="566" w:firstLineChars="235"/>
        <w:rPr>
          <w:rFonts w:ascii="黑体" w:hAnsi="黑体" w:eastAsia="黑体"/>
          <w:b/>
          <w:color w:val="auto"/>
          <w:sz w:val="24"/>
          <w:szCs w:val="24"/>
          <w:highlight w:val="none"/>
        </w:rPr>
      </w:pPr>
      <w:r>
        <w:rPr>
          <w:rFonts w:ascii="黑体" w:hAnsi="黑体" w:eastAsia="黑体"/>
          <w:b/>
          <w:color w:val="auto"/>
          <w:sz w:val="24"/>
          <w:szCs w:val="24"/>
          <w:highlight w:val="none"/>
        </w:rPr>
        <w:t>2.</w:t>
      </w:r>
      <w:r>
        <w:rPr>
          <w:rFonts w:hint="eastAsia" w:ascii="黑体" w:hAnsi="黑体" w:eastAsia="黑体"/>
          <w:b/>
          <w:color w:val="auto"/>
          <w:sz w:val="24"/>
          <w:szCs w:val="24"/>
          <w:highlight w:val="none"/>
        </w:rPr>
        <w:t>11采购标的的其他技术、服务等要求</w:t>
      </w:r>
    </w:p>
    <w:p w14:paraId="784ECEEC">
      <w:pPr>
        <w:adjustRightInd w:val="0"/>
        <w:snapToGrid w:val="0"/>
        <w:spacing w:before="156" w:beforeLines="50" w:line="300" w:lineRule="auto"/>
        <w:ind w:firstLine="480" w:firstLineChars="200"/>
        <w:rPr>
          <w:rFonts w:hint="eastAsia"/>
          <w:color w:val="auto"/>
          <w:sz w:val="24"/>
          <w:szCs w:val="24"/>
          <w:highlight w:val="none"/>
          <w:lang w:val="en-US" w:eastAsia="zh-CN"/>
        </w:rPr>
      </w:pPr>
      <w:r>
        <w:rPr>
          <w:rFonts w:hint="eastAsia"/>
          <w:color w:val="auto"/>
          <w:sz w:val="24"/>
          <w:szCs w:val="24"/>
          <w:highlight w:val="none"/>
          <w:lang w:val="en-US" w:eastAsia="zh-CN"/>
        </w:rPr>
        <w:t xml:space="preserve"> 无</w:t>
      </w:r>
    </w:p>
    <w:p w14:paraId="761A72DD">
      <w:pPr>
        <w:adjustRightInd w:val="0"/>
        <w:snapToGrid w:val="0"/>
        <w:spacing w:before="156" w:beforeLines="50" w:line="300" w:lineRule="auto"/>
        <w:ind w:firstLine="480" w:firstLineChars="200"/>
        <w:rPr>
          <w:rFonts w:hint="eastAsia"/>
          <w:color w:val="auto"/>
          <w:sz w:val="24"/>
          <w:szCs w:val="24"/>
          <w:highlight w:val="none"/>
          <w:lang w:val="en-US" w:eastAsia="zh-CN"/>
        </w:rPr>
      </w:pPr>
    </w:p>
    <w:p w14:paraId="52A0CC9A">
      <w:pPr>
        <w:adjustRightInd w:val="0"/>
        <w:snapToGrid w:val="0"/>
        <w:spacing w:before="156" w:beforeLines="50" w:line="300" w:lineRule="auto"/>
        <w:ind w:firstLine="562" w:firstLineChars="200"/>
        <w:outlineLvl w:val="1"/>
        <w:rPr>
          <w:rFonts w:ascii="黑体" w:hAnsi="黑体" w:eastAsia="黑体"/>
          <w:b/>
          <w:color w:val="auto"/>
          <w:sz w:val="28"/>
          <w:highlight w:val="none"/>
        </w:rPr>
      </w:pPr>
      <w:bookmarkStart w:id="18" w:name="_Toc12252"/>
      <w:bookmarkStart w:id="19" w:name="_Toc65574702"/>
      <w:r>
        <w:rPr>
          <w:rFonts w:ascii="黑体" w:hAnsi="黑体" w:eastAsia="黑体"/>
          <w:b/>
          <w:color w:val="auto"/>
          <w:sz w:val="28"/>
          <w:highlight w:val="none"/>
        </w:rPr>
        <w:t xml:space="preserve">3. </w:t>
      </w:r>
      <w:r>
        <w:rPr>
          <w:rFonts w:hint="eastAsia" w:ascii="黑体" w:hAnsi="黑体" w:eastAsia="黑体"/>
          <w:b/>
          <w:color w:val="auto"/>
          <w:sz w:val="28"/>
          <w:highlight w:val="none"/>
        </w:rPr>
        <w:t>项目其他要求</w:t>
      </w:r>
      <w:bookmarkEnd w:id="18"/>
      <w:bookmarkEnd w:id="19"/>
    </w:p>
    <w:p w14:paraId="072695FD">
      <w:pPr>
        <w:adjustRightInd w:val="0"/>
        <w:snapToGrid w:val="0"/>
        <w:spacing w:before="156" w:beforeLines="50" w:line="300" w:lineRule="auto"/>
        <w:ind w:firstLine="480" w:firstLineChars="200"/>
        <w:rPr>
          <w:rFonts w:ascii="黑体" w:hAnsi="黑体" w:eastAsia="黑体"/>
          <w:b/>
          <w:color w:val="auto"/>
          <w:sz w:val="24"/>
          <w:szCs w:val="24"/>
          <w:highlight w:val="none"/>
        </w:rPr>
      </w:pPr>
      <w:r>
        <w:rPr>
          <w:rFonts w:hint="eastAsia"/>
          <w:color w:val="auto"/>
          <w:sz w:val="24"/>
          <w:szCs w:val="24"/>
          <w:highlight w:val="none"/>
          <w:lang w:val="en-US" w:eastAsia="zh-CN"/>
        </w:rPr>
        <w:t>无</w:t>
      </w:r>
    </w:p>
    <w:p w14:paraId="727BB294">
      <w:pPr>
        <w:spacing w:line="360" w:lineRule="auto"/>
        <w:ind w:right="238"/>
        <w:jc w:val="center"/>
        <w:outlineLvl w:val="0"/>
        <w:rPr>
          <w:rFonts w:eastAsia="黑体"/>
          <w:b/>
          <w:color w:val="auto"/>
          <w:spacing w:val="36"/>
          <w:sz w:val="36"/>
          <w:szCs w:val="36"/>
          <w:highlight w:val="none"/>
        </w:rPr>
      </w:pPr>
      <w:r>
        <w:rPr>
          <w:rFonts w:eastAsia="黑体"/>
          <w:b/>
          <w:color w:val="auto"/>
          <w:spacing w:val="36"/>
          <w:sz w:val="36"/>
          <w:szCs w:val="36"/>
          <w:highlight w:val="none"/>
        </w:rPr>
        <w:br w:type="page"/>
      </w:r>
    </w:p>
    <w:p w14:paraId="7F499EE3">
      <w:pPr>
        <w:spacing w:line="360" w:lineRule="auto"/>
        <w:ind w:right="238"/>
        <w:jc w:val="center"/>
        <w:outlineLvl w:val="0"/>
        <w:rPr>
          <w:rFonts w:eastAsia="黑体"/>
          <w:b/>
          <w:color w:val="auto"/>
          <w:sz w:val="36"/>
          <w:szCs w:val="36"/>
          <w:highlight w:val="none"/>
        </w:rPr>
      </w:pPr>
      <w:bookmarkStart w:id="20" w:name="_Toc20754"/>
      <w:r>
        <w:rPr>
          <w:rFonts w:hint="eastAsia" w:eastAsia="黑体"/>
          <w:b/>
          <w:color w:val="auto"/>
          <w:sz w:val="36"/>
          <w:szCs w:val="36"/>
          <w:highlight w:val="none"/>
        </w:rPr>
        <w:t>第三章 投标人须知</w:t>
      </w:r>
      <w:bookmarkEnd w:id="20"/>
    </w:p>
    <w:p w14:paraId="5E53816E">
      <w:pPr>
        <w:spacing w:line="360" w:lineRule="auto"/>
        <w:ind w:right="238"/>
        <w:jc w:val="left"/>
        <w:outlineLvl w:val="1"/>
        <w:rPr>
          <w:rFonts w:eastAsia="黑体"/>
          <w:b/>
          <w:color w:val="auto"/>
          <w:sz w:val="28"/>
          <w:szCs w:val="28"/>
          <w:highlight w:val="none"/>
        </w:rPr>
      </w:pPr>
      <w:bookmarkStart w:id="21" w:name="_Toc1887"/>
      <w:r>
        <w:rPr>
          <w:rFonts w:hint="eastAsia" w:eastAsia="黑体"/>
          <w:b/>
          <w:color w:val="auto"/>
          <w:sz w:val="28"/>
          <w:szCs w:val="28"/>
          <w:highlight w:val="none"/>
        </w:rPr>
        <w:t>投标人须知前附表</w:t>
      </w:r>
      <w:bookmarkEnd w:id="21"/>
    </w:p>
    <w:tbl>
      <w:tblPr>
        <w:tblStyle w:val="16"/>
        <w:tblW w:w="9755" w:type="dxa"/>
        <w:jc w:val="center"/>
        <w:tblLayout w:type="fixed"/>
        <w:tblCellMar>
          <w:top w:w="0" w:type="dxa"/>
          <w:left w:w="108" w:type="dxa"/>
          <w:bottom w:w="0" w:type="dxa"/>
          <w:right w:w="108" w:type="dxa"/>
        </w:tblCellMar>
      </w:tblPr>
      <w:tblGrid>
        <w:gridCol w:w="608"/>
        <w:gridCol w:w="694"/>
        <w:gridCol w:w="1874"/>
        <w:gridCol w:w="6579"/>
      </w:tblGrid>
      <w:tr w14:paraId="743C58A7">
        <w:tblPrEx>
          <w:tblCellMar>
            <w:top w:w="0" w:type="dxa"/>
            <w:left w:w="108" w:type="dxa"/>
            <w:bottom w:w="0" w:type="dxa"/>
            <w:right w:w="108" w:type="dxa"/>
          </w:tblCellMar>
        </w:tblPrEx>
        <w:trPr>
          <w:trHeight w:val="571" w:hRule="atLeast"/>
          <w:jc w:val="center"/>
        </w:trPr>
        <w:tc>
          <w:tcPr>
            <w:tcW w:w="608" w:type="dxa"/>
            <w:tcBorders>
              <w:top w:val="single" w:color="auto" w:sz="12" w:space="0"/>
              <w:left w:val="single" w:color="auto" w:sz="12" w:space="0"/>
              <w:bottom w:val="single" w:color="auto" w:sz="6" w:space="0"/>
              <w:right w:val="single" w:color="auto" w:sz="6" w:space="0"/>
            </w:tcBorders>
          </w:tcPr>
          <w:p w14:paraId="34DA2A5C">
            <w:pPr>
              <w:autoSpaceDE w:val="0"/>
              <w:autoSpaceDN w:val="0"/>
              <w:adjustRightInd w:val="0"/>
              <w:spacing w:line="240" w:lineRule="auto"/>
              <w:rPr>
                <w:rFonts w:ascii="宋体" w:cs="楷体_GB2312"/>
                <w:b/>
                <w:bCs/>
                <w:color w:val="auto"/>
                <w:sz w:val="24"/>
                <w:highlight w:val="none"/>
                <w:lang w:val="zh-CN"/>
              </w:rPr>
            </w:pPr>
            <w:r>
              <w:rPr>
                <w:rFonts w:hint="eastAsia" w:ascii="宋体" w:hAnsi="宋体" w:cs="楷体_GB2312"/>
                <w:b/>
                <w:bCs/>
                <w:color w:val="auto"/>
                <w:sz w:val="24"/>
                <w:highlight w:val="none"/>
                <w:lang w:val="zh-CN"/>
              </w:rPr>
              <w:t>章节</w:t>
            </w:r>
          </w:p>
        </w:tc>
        <w:tc>
          <w:tcPr>
            <w:tcW w:w="694" w:type="dxa"/>
            <w:tcBorders>
              <w:top w:val="single" w:color="auto" w:sz="12" w:space="0"/>
              <w:left w:val="single" w:color="auto" w:sz="12" w:space="0"/>
              <w:bottom w:val="single" w:color="auto" w:sz="6" w:space="0"/>
              <w:right w:val="single" w:color="auto" w:sz="6" w:space="0"/>
            </w:tcBorders>
            <w:vAlign w:val="center"/>
          </w:tcPr>
          <w:p w14:paraId="62C72BCB">
            <w:pPr>
              <w:autoSpaceDE w:val="0"/>
              <w:autoSpaceDN w:val="0"/>
              <w:adjustRightInd w:val="0"/>
              <w:spacing w:line="240" w:lineRule="auto"/>
              <w:ind w:right="-126" w:rightChars="-60"/>
              <w:rPr>
                <w:rFonts w:ascii="宋体" w:cs="楷体_GB2312"/>
                <w:b/>
                <w:bCs/>
                <w:color w:val="auto"/>
                <w:sz w:val="24"/>
                <w:highlight w:val="none"/>
                <w:lang w:val="zh-CN"/>
              </w:rPr>
            </w:pPr>
            <w:r>
              <w:rPr>
                <w:rFonts w:hint="eastAsia" w:ascii="宋体" w:hAnsi="宋体" w:cs="楷体_GB2312"/>
                <w:b/>
                <w:bCs/>
                <w:color w:val="auto"/>
                <w:sz w:val="24"/>
                <w:highlight w:val="none"/>
                <w:lang w:val="zh-CN"/>
              </w:rPr>
              <w:t>条款号</w:t>
            </w:r>
          </w:p>
        </w:tc>
        <w:tc>
          <w:tcPr>
            <w:tcW w:w="1874" w:type="dxa"/>
            <w:tcBorders>
              <w:top w:val="single" w:color="auto" w:sz="12" w:space="0"/>
              <w:left w:val="single" w:color="auto" w:sz="6" w:space="0"/>
              <w:bottom w:val="single" w:color="auto" w:sz="6" w:space="0"/>
              <w:right w:val="single" w:color="auto" w:sz="6" w:space="0"/>
            </w:tcBorders>
            <w:vAlign w:val="center"/>
          </w:tcPr>
          <w:p w14:paraId="44DD1DC8">
            <w:pPr>
              <w:autoSpaceDE w:val="0"/>
              <w:autoSpaceDN w:val="0"/>
              <w:adjustRightInd w:val="0"/>
              <w:spacing w:line="240" w:lineRule="auto"/>
              <w:jc w:val="center"/>
              <w:rPr>
                <w:rFonts w:ascii="宋体" w:cs="楷体_GB2312"/>
                <w:b/>
                <w:bCs/>
                <w:color w:val="auto"/>
                <w:sz w:val="24"/>
                <w:highlight w:val="none"/>
                <w:lang w:val="zh-CN"/>
              </w:rPr>
            </w:pPr>
            <w:r>
              <w:rPr>
                <w:rFonts w:hint="eastAsia" w:ascii="宋体" w:hAnsi="宋体" w:cs="楷体_GB2312"/>
                <w:b/>
                <w:bCs/>
                <w:color w:val="auto"/>
                <w:sz w:val="24"/>
                <w:highlight w:val="none"/>
                <w:lang w:val="zh-CN"/>
              </w:rPr>
              <w:t>条款名称</w:t>
            </w:r>
          </w:p>
        </w:tc>
        <w:tc>
          <w:tcPr>
            <w:tcW w:w="6579" w:type="dxa"/>
            <w:tcBorders>
              <w:top w:val="single" w:color="auto" w:sz="12" w:space="0"/>
              <w:left w:val="single" w:color="auto" w:sz="6" w:space="0"/>
              <w:bottom w:val="single" w:color="auto" w:sz="6" w:space="0"/>
              <w:right w:val="single" w:color="auto" w:sz="12" w:space="0"/>
            </w:tcBorders>
            <w:vAlign w:val="center"/>
          </w:tcPr>
          <w:p w14:paraId="49A000F3">
            <w:pPr>
              <w:autoSpaceDE w:val="0"/>
              <w:autoSpaceDN w:val="0"/>
              <w:adjustRightInd w:val="0"/>
              <w:spacing w:line="240" w:lineRule="auto"/>
              <w:jc w:val="center"/>
              <w:rPr>
                <w:rFonts w:ascii="宋体" w:cs="楷体_GB2312"/>
                <w:b/>
                <w:bCs/>
                <w:color w:val="auto"/>
                <w:sz w:val="24"/>
                <w:highlight w:val="none"/>
                <w:lang w:val="zh-CN"/>
              </w:rPr>
            </w:pPr>
            <w:r>
              <w:rPr>
                <w:rFonts w:hint="eastAsia" w:ascii="宋体" w:hAnsi="宋体" w:cs="楷体_GB2312"/>
                <w:b/>
                <w:bCs/>
                <w:color w:val="auto"/>
                <w:sz w:val="24"/>
                <w:highlight w:val="none"/>
                <w:lang w:val="zh-CN"/>
              </w:rPr>
              <w:t>编列内容</w:t>
            </w:r>
          </w:p>
        </w:tc>
      </w:tr>
      <w:tr w14:paraId="49CA2D9D">
        <w:tblPrEx>
          <w:tblCellMar>
            <w:top w:w="0" w:type="dxa"/>
            <w:left w:w="108" w:type="dxa"/>
            <w:bottom w:w="0" w:type="dxa"/>
            <w:right w:w="108" w:type="dxa"/>
          </w:tblCellMar>
        </w:tblPrEx>
        <w:trPr>
          <w:trHeight w:val="649" w:hRule="atLeast"/>
          <w:jc w:val="center"/>
        </w:trPr>
        <w:tc>
          <w:tcPr>
            <w:tcW w:w="608" w:type="dxa"/>
            <w:vMerge w:val="restart"/>
            <w:tcBorders>
              <w:top w:val="single" w:color="auto" w:sz="6" w:space="0"/>
              <w:left w:val="single" w:color="auto" w:sz="12" w:space="0"/>
              <w:right w:val="single" w:color="auto" w:sz="6" w:space="0"/>
            </w:tcBorders>
            <w:vAlign w:val="center"/>
          </w:tcPr>
          <w:p w14:paraId="0B5D37E2">
            <w:pPr>
              <w:autoSpaceDE w:val="0"/>
              <w:autoSpaceDN w:val="0"/>
              <w:adjustRightInd w:val="0"/>
              <w:snapToGrid w:val="0"/>
              <w:spacing w:line="240" w:lineRule="auto"/>
              <w:rPr>
                <w:rFonts w:ascii="宋体" w:cs="楷体_GB2312"/>
                <w:b/>
                <w:bCs/>
                <w:color w:val="auto"/>
                <w:sz w:val="24"/>
                <w:highlight w:val="none"/>
              </w:rPr>
            </w:pPr>
            <w:r>
              <w:rPr>
                <w:rFonts w:hint="eastAsia" w:ascii="宋体" w:hAnsi="宋体" w:cs="楷体_GB2312"/>
                <w:b/>
                <w:bCs/>
                <w:color w:val="auto"/>
                <w:sz w:val="24"/>
                <w:highlight w:val="none"/>
              </w:rPr>
              <w:t>第一章</w:t>
            </w:r>
          </w:p>
        </w:tc>
        <w:tc>
          <w:tcPr>
            <w:tcW w:w="694" w:type="dxa"/>
            <w:tcBorders>
              <w:top w:val="single" w:color="auto" w:sz="6" w:space="0"/>
              <w:left w:val="single" w:color="auto" w:sz="12" w:space="0"/>
              <w:bottom w:val="single" w:color="auto" w:sz="6" w:space="0"/>
              <w:right w:val="single" w:color="auto" w:sz="6" w:space="0"/>
            </w:tcBorders>
            <w:vAlign w:val="center"/>
          </w:tcPr>
          <w:p w14:paraId="669FECDD">
            <w:pPr>
              <w:autoSpaceDE w:val="0"/>
              <w:autoSpaceDN w:val="0"/>
              <w:adjustRightInd w:val="0"/>
              <w:snapToGrid w:val="0"/>
              <w:spacing w:line="240" w:lineRule="auto"/>
              <w:jc w:val="center"/>
              <w:rPr>
                <w:rFonts w:ascii="宋体" w:cs="楷体_GB2312"/>
                <w:b/>
                <w:bCs/>
                <w:color w:val="auto"/>
                <w:szCs w:val="21"/>
                <w:highlight w:val="none"/>
              </w:rPr>
            </w:pPr>
            <w:r>
              <w:rPr>
                <w:rFonts w:ascii="宋体" w:hAnsi="宋体" w:cs="楷体_GB2312"/>
                <w:b/>
                <w:bCs/>
                <w:color w:val="auto"/>
                <w:szCs w:val="21"/>
                <w:highlight w:val="none"/>
              </w:rPr>
              <w:t>1.</w:t>
            </w:r>
            <w:r>
              <w:rPr>
                <w:rFonts w:hint="eastAsia" w:ascii="宋体" w:hAnsi="宋体" w:cs="楷体_GB2312"/>
                <w:b/>
                <w:bCs/>
                <w:color w:val="auto"/>
                <w:szCs w:val="21"/>
                <w:highlight w:val="none"/>
              </w:rPr>
              <w:t>2</w:t>
            </w:r>
          </w:p>
        </w:tc>
        <w:tc>
          <w:tcPr>
            <w:tcW w:w="1874" w:type="dxa"/>
            <w:tcBorders>
              <w:top w:val="single" w:color="auto" w:sz="6" w:space="0"/>
              <w:left w:val="single" w:color="auto" w:sz="6" w:space="0"/>
              <w:bottom w:val="single" w:color="auto" w:sz="6" w:space="0"/>
              <w:right w:val="single" w:color="auto" w:sz="6" w:space="0"/>
            </w:tcBorders>
            <w:vAlign w:val="center"/>
          </w:tcPr>
          <w:p w14:paraId="5E18C471">
            <w:pPr>
              <w:autoSpaceDE w:val="0"/>
              <w:autoSpaceDN w:val="0"/>
              <w:adjustRightInd w:val="0"/>
              <w:snapToGrid w:val="0"/>
              <w:spacing w:line="240" w:lineRule="auto"/>
              <w:jc w:val="center"/>
              <w:rPr>
                <w:rFonts w:ascii="宋体" w:cs="楷体_GB2312"/>
                <w:color w:val="auto"/>
                <w:sz w:val="24"/>
                <w:highlight w:val="none"/>
                <w:lang w:val="zh-CN"/>
              </w:rPr>
            </w:pPr>
            <w:r>
              <w:rPr>
                <w:rFonts w:hint="eastAsia" w:ascii="宋体" w:hAnsi="宋体" w:cs="楷体_GB2312"/>
                <w:b/>
                <w:bCs/>
                <w:color w:val="auto"/>
                <w:sz w:val="24"/>
                <w:highlight w:val="none"/>
              </w:rPr>
              <w:t>采购项目名称</w:t>
            </w:r>
          </w:p>
        </w:tc>
        <w:tc>
          <w:tcPr>
            <w:tcW w:w="6579" w:type="dxa"/>
            <w:tcBorders>
              <w:top w:val="single" w:color="auto" w:sz="6" w:space="0"/>
              <w:left w:val="single" w:color="auto" w:sz="6" w:space="0"/>
              <w:bottom w:val="single" w:color="auto" w:sz="6" w:space="0"/>
              <w:right w:val="single" w:color="auto" w:sz="12" w:space="0"/>
            </w:tcBorders>
            <w:vAlign w:val="center"/>
          </w:tcPr>
          <w:p w14:paraId="526F4C47">
            <w:pPr>
              <w:autoSpaceDE w:val="0"/>
              <w:autoSpaceDN w:val="0"/>
              <w:adjustRightInd w:val="0"/>
              <w:snapToGrid w:val="0"/>
              <w:spacing w:before="156" w:beforeLines="50" w:line="240" w:lineRule="auto"/>
              <w:rPr>
                <w:rFonts w:ascii="宋体" w:cs="楷体_GB2312"/>
                <w:color w:val="auto"/>
                <w:sz w:val="24"/>
                <w:highlight w:val="none"/>
                <w:lang w:val="zh-CN"/>
              </w:rPr>
            </w:pPr>
            <w:r>
              <w:rPr>
                <w:rFonts w:hint="eastAsia"/>
                <w:color w:val="auto"/>
                <w:sz w:val="24"/>
                <w:szCs w:val="24"/>
                <w:highlight w:val="none"/>
              </w:rPr>
              <w:t>见“第一章谈判公告”相应条款</w:t>
            </w:r>
          </w:p>
        </w:tc>
      </w:tr>
      <w:tr w14:paraId="681548EE">
        <w:tblPrEx>
          <w:tblCellMar>
            <w:top w:w="0" w:type="dxa"/>
            <w:left w:w="108" w:type="dxa"/>
            <w:bottom w:w="0" w:type="dxa"/>
            <w:right w:w="108" w:type="dxa"/>
          </w:tblCellMar>
        </w:tblPrEx>
        <w:trPr>
          <w:trHeight w:val="531" w:hRule="atLeast"/>
          <w:jc w:val="center"/>
        </w:trPr>
        <w:tc>
          <w:tcPr>
            <w:tcW w:w="608" w:type="dxa"/>
            <w:vMerge w:val="continue"/>
            <w:tcBorders>
              <w:top w:val="single" w:color="auto" w:sz="6" w:space="0"/>
              <w:left w:val="single" w:color="auto" w:sz="12" w:space="0"/>
              <w:right w:val="single" w:color="auto" w:sz="6" w:space="0"/>
            </w:tcBorders>
            <w:vAlign w:val="center"/>
          </w:tcPr>
          <w:p w14:paraId="6082AA83">
            <w:pPr>
              <w:autoSpaceDE w:val="0"/>
              <w:autoSpaceDN w:val="0"/>
              <w:adjustRightInd w:val="0"/>
              <w:snapToGrid w:val="0"/>
              <w:spacing w:line="240" w:lineRule="auto"/>
              <w:rPr>
                <w:rFonts w:ascii="宋体" w:cs="楷体_GB2312"/>
                <w:b/>
                <w:bCs/>
                <w:color w:val="auto"/>
                <w:sz w:val="24"/>
                <w:highlight w:val="none"/>
              </w:rPr>
            </w:pPr>
          </w:p>
        </w:tc>
        <w:tc>
          <w:tcPr>
            <w:tcW w:w="694" w:type="dxa"/>
            <w:tcBorders>
              <w:top w:val="single" w:color="auto" w:sz="6" w:space="0"/>
              <w:left w:val="single" w:color="auto" w:sz="12" w:space="0"/>
              <w:bottom w:val="single" w:color="auto" w:sz="6" w:space="0"/>
              <w:right w:val="single" w:color="auto" w:sz="6" w:space="0"/>
            </w:tcBorders>
            <w:vAlign w:val="center"/>
          </w:tcPr>
          <w:p w14:paraId="6A8CAE52">
            <w:pPr>
              <w:autoSpaceDE w:val="0"/>
              <w:autoSpaceDN w:val="0"/>
              <w:adjustRightInd w:val="0"/>
              <w:snapToGrid w:val="0"/>
              <w:spacing w:line="240" w:lineRule="auto"/>
              <w:jc w:val="center"/>
              <w:rPr>
                <w:rFonts w:ascii="宋体" w:cs="楷体_GB2312"/>
                <w:b/>
                <w:bCs/>
                <w:color w:val="auto"/>
                <w:szCs w:val="21"/>
                <w:highlight w:val="none"/>
              </w:rPr>
            </w:pPr>
            <w:r>
              <w:rPr>
                <w:rFonts w:ascii="宋体" w:hAnsi="宋体" w:cs="楷体_GB2312"/>
                <w:b/>
                <w:bCs/>
                <w:color w:val="auto"/>
                <w:szCs w:val="21"/>
                <w:highlight w:val="none"/>
              </w:rPr>
              <w:t>1.</w:t>
            </w:r>
            <w:r>
              <w:rPr>
                <w:rFonts w:hint="eastAsia" w:ascii="宋体" w:hAnsi="宋体" w:cs="楷体_GB2312"/>
                <w:b/>
                <w:bCs/>
                <w:color w:val="auto"/>
                <w:szCs w:val="21"/>
                <w:highlight w:val="none"/>
              </w:rPr>
              <w:t>1</w:t>
            </w:r>
          </w:p>
        </w:tc>
        <w:tc>
          <w:tcPr>
            <w:tcW w:w="1874" w:type="dxa"/>
            <w:tcBorders>
              <w:top w:val="single" w:color="auto" w:sz="6" w:space="0"/>
              <w:left w:val="single" w:color="auto" w:sz="6" w:space="0"/>
              <w:bottom w:val="single" w:color="auto" w:sz="6" w:space="0"/>
              <w:right w:val="single" w:color="auto" w:sz="6" w:space="0"/>
            </w:tcBorders>
            <w:vAlign w:val="center"/>
          </w:tcPr>
          <w:p w14:paraId="0D7ED939">
            <w:pPr>
              <w:autoSpaceDE w:val="0"/>
              <w:autoSpaceDN w:val="0"/>
              <w:adjustRightInd w:val="0"/>
              <w:snapToGrid w:val="0"/>
              <w:spacing w:line="240" w:lineRule="auto"/>
              <w:jc w:val="center"/>
              <w:rPr>
                <w:rFonts w:ascii="宋体" w:cs="楷体_GB2312"/>
                <w:b/>
                <w:bCs/>
                <w:color w:val="auto"/>
                <w:sz w:val="24"/>
                <w:highlight w:val="none"/>
              </w:rPr>
            </w:pPr>
            <w:r>
              <w:rPr>
                <w:rFonts w:hint="eastAsia" w:ascii="宋体" w:hAnsi="宋体" w:cs="楷体_GB2312"/>
                <w:b/>
                <w:bCs/>
                <w:color w:val="auto"/>
                <w:sz w:val="24"/>
                <w:highlight w:val="none"/>
              </w:rPr>
              <w:t>项目编号</w:t>
            </w:r>
          </w:p>
        </w:tc>
        <w:tc>
          <w:tcPr>
            <w:tcW w:w="6579" w:type="dxa"/>
            <w:tcBorders>
              <w:top w:val="single" w:color="auto" w:sz="6" w:space="0"/>
              <w:left w:val="single" w:color="auto" w:sz="6" w:space="0"/>
              <w:bottom w:val="single" w:color="auto" w:sz="6" w:space="0"/>
              <w:right w:val="single" w:color="auto" w:sz="12" w:space="0"/>
            </w:tcBorders>
            <w:vAlign w:val="center"/>
          </w:tcPr>
          <w:p w14:paraId="14293789">
            <w:pPr>
              <w:autoSpaceDE w:val="0"/>
              <w:autoSpaceDN w:val="0"/>
              <w:adjustRightInd w:val="0"/>
              <w:snapToGrid w:val="0"/>
              <w:spacing w:before="156" w:beforeLines="50" w:line="240" w:lineRule="auto"/>
              <w:rPr>
                <w:color w:val="auto"/>
                <w:sz w:val="24"/>
                <w:szCs w:val="24"/>
                <w:highlight w:val="none"/>
              </w:rPr>
            </w:pPr>
            <w:r>
              <w:rPr>
                <w:rFonts w:hint="eastAsia"/>
                <w:color w:val="auto"/>
                <w:sz w:val="24"/>
                <w:szCs w:val="24"/>
                <w:highlight w:val="none"/>
              </w:rPr>
              <w:t>见“第一章谈判公告”相应条款</w:t>
            </w:r>
          </w:p>
        </w:tc>
      </w:tr>
      <w:tr w14:paraId="7BF6D785">
        <w:tblPrEx>
          <w:tblCellMar>
            <w:top w:w="0" w:type="dxa"/>
            <w:left w:w="108" w:type="dxa"/>
            <w:bottom w:w="0" w:type="dxa"/>
            <w:right w:w="108" w:type="dxa"/>
          </w:tblCellMar>
        </w:tblPrEx>
        <w:trPr>
          <w:trHeight w:val="567" w:hRule="atLeast"/>
          <w:jc w:val="center"/>
        </w:trPr>
        <w:tc>
          <w:tcPr>
            <w:tcW w:w="608" w:type="dxa"/>
            <w:vMerge w:val="continue"/>
            <w:tcBorders>
              <w:top w:val="single" w:color="auto" w:sz="6" w:space="0"/>
              <w:left w:val="single" w:color="auto" w:sz="12" w:space="0"/>
              <w:right w:val="single" w:color="auto" w:sz="6" w:space="0"/>
            </w:tcBorders>
            <w:vAlign w:val="center"/>
          </w:tcPr>
          <w:p w14:paraId="40391B5D">
            <w:pPr>
              <w:autoSpaceDE w:val="0"/>
              <w:autoSpaceDN w:val="0"/>
              <w:adjustRightInd w:val="0"/>
              <w:snapToGrid w:val="0"/>
              <w:spacing w:line="240" w:lineRule="auto"/>
              <w:rPr>
                <w:rFonts w:ascii="宋体" w:cs="楷体_GB2312"/>
                <w:b/>
                <w:bCs/>
                <w:color w:val="auto"/>
                <w:sz w:val="24"/>
                <w:highlight w:val="none"/>
              </w:rPr>
            </w:pPr>
          </w:p>
        </w:tc>
        <w:tc>
          <w:tcPr>
            <w:tcW w:w="694" w:type="dxa"/>
            <w:tcBorders>
              <w:top w:val="single" w:color="auto" w:sz="6" w:space="0"/>
              <w:left w:val="single" w:color="auto" w:sz="12" w:space="0"/>
              <w:bottom w:val="single" w:color="auto" w:sz="6" w:space="0"/>
              <w:right w:val="single" w:color="auto" w:sz="6" w:space="0"/>
            </w:tcBorders>
            <w:vAlign w:val="center"/>
          </w:tcPr>
          <w:p w14:paraId="31AD2173">
            <w:pPr>
              <w:autoSpaceDE w:val="0"/>
              <w:autoSpaceDN w:val="0"/>
              <w:adjustRightInd w:val="0"/>
              <w:snapToGrid w:val="0"/>
              <w:spacing w:line="240" w:lineRule="auto"/>
              <w:jc w:val="center"/>
              <w:rPr>
                <w:rFonts w:ascii="宋体" w:cs="楷体_GB2312"/>
                <w:b/>
                <w:bCs/>
                <w:color w:val="auto"/>
                <w:szCs w:val="21"/>
                <w:highlight w:val="none"/>
              </w:rPr>
            </w:pPr>
            <w:r>
              <w:rPr>
                <w:rFonts w:ascii="宋体" w:hAnsi="宋体" w:cs="楷体_GB2312"/>
                <w:b/>
                <w:bCs/>
                <w:color w:val="auto"/>
                <w:szCs w:val="21"/>
                <w:highlight w:val="none"/>
              </w:rPr>
              <w:t>1.3</w:t>
            </w:r>
          </w:p>
        </w:tc>
        <w:tc>
          <w:tcPr>
            <w:tcW w:w="1874" w:type="dxa"/>
            <w:tcBorders>
              <w:top w:val="single" w:color="auto" w:sz="6" w:space="0"/>
              <w:left w:val="single" w:color="auto" w:sz="6" w:space="0"/>
              <w:bottom w:val="single" w:color="auto" w:sz="6" w:space="0"/>
              <w:right w:val="single" w:color="auto" w:sz="6" w:space="0"/>
            </w:tcBorders>
            <w:vAlign w:val="center"/>
          </w:tcPr>
          <w:p w14:paraId="5FDD6CDF">
            <w:pPr>
              <w:autoSpaceDE w:val="0"/>
              <w:autoSpaceDN w:val="0"/>
              <w:adjustRightInd w:val="0"/>
              <w:snapToGrid w:val="0"/>
              <w:spacing w:line="240" w:lineRule="auto"/>
              <w:jc w:val="center"/>
              <w:rPr>
                <w:rFonts w:ascii="宋体" w:cs="楷体_GB2312"/>
                <w:b/>
                <w:bCs/>
                <w:color w:val="auto"/>
                <w:sz w:val="24"/>
                <w:highlight w:val="none"/>
                <w:lang w:val="zh-CN"/>
              </w:rPr>
            </w:pPr>
            <w:r>
              <w:rPr>
                <w:rFonts w:hint="eastAsia" w:ascii="宋体" w:hAnsi="宋体" w:cs="楷体_GB2312"/>
                <w:b/>
                <w:bCs/>
                <w:color w:val="auto"/>
                <w:sz w:val="24"/>
                <w:highlight w:val="none"/>
                <w:lang w:val="zh-CN"/>
              </w:rPr>
              <w:t>采购方式</w:t>
            </w:r>
          </w:p>
        </w:tc>
        <w:tc>
          <w:tcPr>
            <w:tcW w:w="6579" w:type="dxa"/>
            <w:tcBorders>
              <w:top w:val="single" w:color="auto" w:sz="6" w:space="0"/>
              <w:left w:val="single" w:color="auto" w:sz="6" w:space="0"/>
              <w:bottom w:val="single" w:color="auto" w:sz="6" w:space="0"/>
              <w:right w:val="single" w:color="auto" w:sz="12" w:space="0"/>
            </w:tcBorders>
            <w:vAlign w:val="center"/>
          </w:tcPr>
          <w:p w14:paraId="0FB7B271">
            <w:pPr>
              <w:autoSpaceDE w:val="0"/>
              <w:autoSpaceDN w:val="0"/>
              <w:adjustRightInd w:val="0"/>
              <w:snapToGrid w:val="0"/>
              <w:spacing w:before="156" w:beforeLines="50" w:line="240" w:lineRule="auto"/>
              <w:rPr>
                <w:rFonts w:ascii="宋体" w:cs="楷体_GB2312"/>
                <w:color w:val="auto"/>
                <w:sz w:val="24"/>
                <w:highlight w:val="none"/>
                <w:lang w:val="zh-CN"/>
              </w:rPr>
            </w:pPr>
            <w:r>
              <w:rPr>
                <w:rFonts w:hint="eastAsia"/>
                <w:color w:val="auto"/>
                <w:sz w:val="24"/>
                <w:szCs w:val="24"/>
                <w:highlight w:val="none"/>
              </w:rPr>
              <w:t>见“第一章谈判公告”相应条款</w:t>
            </w:r>
          </w:p>
        </w:tc>
      </w:tr>
      <w:tr w14:paraId="3C2944A2">
        <w:tblPrEx>
          <w:tblCellMar>
            <w:top w:w="0" w:type="dxa"/>
            <w:left w:w="108" w:type="dxa"/>
            <w:bottom w:w="0" w:type="dxa"/>
            <w:right w:w="108" w:type="dxa"/>
          </w:tblCellMar>
        </w:tblPrEx>
        <w:trPr>
          <w:trHeight w:val="370" w:hRule="atLeast"/>
          <w:jc w:val="center"/>
        </w:trPr>
        <w:tc>
          <w:tcPr>
            <w:tcW w:w="608" w:type="dxa"/>
            <w:vMerge w:val="continue"/>
            <w:tcBorders>
              <w:left w:val="single" w:color="auto" w:sz="12" w:space="0"/>
              <w:right w:val="single" w:color="auto" w:sz="6" w:space="0"/>
            </w:tcBorders>
          </w:tcPr>
          <w:p w14:paraId="73B19E46">
            <w:pPr>
              <w:autoSpaceDE w:val="0"/>
              <w:autoSpaceDN w:val="0"/>
              <w:adjustRightInd w:val="0"/>
              <w:snapToGrid w:val="0"/>
              <w:spacing w:line="240" w:lineRule="auto"/>
              <w:jc w:val="center"/>
              <w:rPr>
                <w:rFonts w:ascii="宋体" w:cs="楷体_GB2312"/>
                <w:b/>
                <w:bCs/>
                <w:color w:val="auto"/>
                <w:sz w:val="24"/>
                <w:highlight w:val="none"/>
                <w:lang w:val="zh-CN"/>
              </w:rPr>
            </w:pPr>
          </w:p>
        </w:tc>
        <w:tc>
          <w:tcPr>
            <w:tcW w:w="694" w:type="dxa"/>
            <w:tcBorders>
              <w:top w:val="single" w:color="auto" w:sz="6" w:space="0"/>
              <w:left w:val="single" w:color="auto" w:sz="12" w:space="0"/>
              <w:bottom w:val="single" w:color="auto" w:sz="6" w:space="0"/>
              <w:right w:val="single" w:color="auto" w:sz="6" w:space="0"/>
            </w:tcBorders>
            <w:vAlign w:val="center"/>
          </w:tcPr>
          <w:p w14:paraId="4CB6327A">
            <w:pPr>
              <w:autoSpaceDE w:val="0"/>
              <w:autoSpaceDN w:val="0"/>
              <w:adjustRightInd w:val="0"/>
              <w:snapToGrid w:val="0"/>
              <w:spacing w:line="240" w:lineRule="auto"/>
              <w:jc w:val="center"/>
              <w:rPr>
                <w:rFonts w:ascii="宋体" w:cs="楷体_GB2312"/>
                <w:b/>
                <w:bCs/>
                <w:color w:val="auto"/>
                <w:szCs w:val="21"/>
                <w:highlight w:val="none"/>
                <w:lang w:val="zh-CN"/>
              </w:rPr>
            </w:pPr>
            <w:r>
              <w:rPr>
                <w:rFonts w:ascii="宋体" w:hAnsi="宋体" w:cs="楷体_GB2312"/>
                <w:b/>
                <w:bCs/>
                <w:color w:val="auto"/>
                <w:szCs w:val="21"/>
                <w:highlight w:val="none"/>
                <w:lang w:val="zh-CN"/>
              </w:rPr>
              <w:t>1.</w:t>
            </w:r>
            <w:r>
              <w:rPr>
                <w:rFonts w:hint="eastAsia" w:ascii="宋体" w:hAnsi="宋体" w:cs="楷体_GB2312"/>
                <w:b/>
                <w:bCs/>
                <w:color w:val="auto"/>
                <w:szCs w:val="21"/>
                <w:highlight w:val="none"/>
                <w:lang w:val="zh-CN"/>
              </w:rPr>
              <w:t>4</w:t>
            </w:r>
          </w:p>
        </w:tc>
        <w:tc>
          <w:tcPr>
            <w:tcW w:w="1874" w:type="dxa"/>
            <w:tcBorders>
              <w:top w:val="single" w:color="auto" w:sz="6" w:space="0"/>
              <w:left w:val="single" w:color="auto" w:sz="6" w:space="0"/>
              <w:bottom w:val="single" w:color="auto" w:sz="6" w:space="0"/>
              <w:right w:val="single" w:color="auto" w:sz="6" w:space="0"/>
            </w:tcBorders>
            <w:vAlign w:val="center"/>
          </w:tcPr>
          <w:p w14:paraId="18931F0B">
            <w:pPr>
              <w:autoSpaceDE w:val="0"/>
              <w:autoSpaceDN w:val="0"/>
              <w:adjustRightInd w:val="0"/>
              <w:snapToGrid w:val="0"/>
              <w:spacing w:line="240" w:lineRule="auto"/>
              <w:jc w:val="center"/>
              <w:rPr>
                <w:rFonts w:ascii="宋体" w:cs="楷体_GB2312"/>
                <w:b/>
                <w:bCs/>
                <w:color w:val="auto"/>
                <w:sz w:val="24"/>
                <w:highlight w:val="none"/>
                <w:lang w:val="zh-CN"/>
              </w:rPr>
            </w:pPr>
            <w:r>
              <w:rPr>
                <w:rFonts w:hint="eastAsia" w:ascii="宋体" w:hAnsi="宋体" w:cs="楷体_GB2312"/>
                <w:b/>
                <w:bCs/>
                <w:color w:val="auto"/>
                <w:sz w:val="24"/>
                <w:highlight w:val="none"/>
                <w:lang w:val="zh-CN"/>
              </w:rPr>
              <w:t>预算金额</w:t>
            </w:r>
          </w:p>
        </w:tc>
        <w:tc>
          <w:tcPr>
            <w:tcW w:w="6579" w:type="dxa"/>
            <w:tcBorders>
              <w:top w:val="single" w:color="auto" w:sz="6" w:space="0"/>
              <w:left w:val="single" w:color="auto" w:sz="6" w:space="0"/>
              <w:bottom w:val="single" w:color="auto" w:sz="6" w:space="0"/>
              <w:right w:val="single" w:color="auto" w:sz="12" w:space="0"/>
            </w:tcBorders>
            <w:vAlign w:val="center"/>
          </w:tcPr>
          <w:p w14:paraId="6C1C59E7">
            <w:pPr>
              <w:autoSpaceDE w:val="0"/>
              <w:autoSpaceDN w:val="0"/>
              <w:adjustRightInd w:val="0"/>
              <w:snapToGrid w:val="0"/>
              <w:spacing w:before="156" w:beforeLines="50" w:line="240" w:lineRule="auto"/>
              <w:rPr>
                <w:rFonts w:ascii="宋体" w:cs="楷体_GB2312"/>
                <w:color w:val="auto"/>
                <w:sz w:val="24"/>
                <w:highlight w:val="none"/>
                <w:lang w:val="zh-CN"/>
              </w:rPr>
            </w:pPr>
            <w:r>
              <w:rPr>
                <w:rFonts w:hint="eastAsia"/>
                <w:color w:val="auto"/>
                <w:sz w:val="24"/>
                <w:szCs w:val="24"/>
                <w:highlight w:val="none"/>
              </w:rPr>
              <w:t>见“第一章谈判公告”相应条款。</w:t>
            </w:r>
            <w:r>
              <w:rPr>
                <w:rFonts w:hint="eastAsia" w:ascii="宋体" w:hAnsi="宋体" w:cs="楷体_GB2312"/>
                <w:b/>
                <w:color w:val="auto"/>
                <w:sz w:val="24"/>
                <w:highlight w:val="none"/>
                <w:lang w:val="zh-CN"/>
              </w:rPr>
              <w:t>注：投标人的投标报价未超过预算金额的不足三家时，该项目（标段&lt;包&gt;）终止。</w:t>
            </w:r>
          </w:p>
        </w:tc>
      </w:tr>
      <w:tr w14:paraId="56B5E443">
        <w:tblPrEx>
          <w:tblCellMar>
            <w:top w:w="0" w:type="dxa"/>
            <w:left w:w="108" w:type="dxa"/>
            <w:bottom w:w="0" w:type="dxa"/>
            <w:right w:w="108" w:type="dxa"/>
          </w:tblCellMar>
        </w:tblPrEx>
        <w:trPr>
          <w:trHeight w:val="90" w:hRule="atLeast"/>
          <w:jc w:val="center"/>
        </w:trPr>
        <w:tc>
          <w:tcPr>
            <w:tcW w:w="608" w:type="dxa"/>
            <w:vMerge w:val="continue"/>
            <w:tcBorders>
              <w:left w:val="single" w:color="auto" w:sz="12" w:space="0"/>
              <w:right w:val="single" w:color="auto" w:sz="6" w:space="0"/>
            </w:tcBorders>
          </w:tcPr>
          <w:p w14:paraId="01FBB321">
            <w:pPr>
              <w:autoSpaceDE w:val="0"/>
              <w:autoSpaceDN w:val="0"/>
              <w:adjustRightInd w:val="0"/>
              <w:snapToGrid w:val="0"/>
              <w:spacing w:line="240" w:lineRule="auto"/>
              <w:jc w:val="center"/>
              <w:rPr>
                <w:rFonts w:ascii="宋体" w:cs="楷体_GB2312"/>
                <w:b/>
                <w:bCs/>
                <w:color w:val="auto"/>
                <w:sz w:val="24"/>
                <w:highlight w:val="none"/>
                <w:lang w:val="zh-CN"/>
              </w:rPr>
            </w:pPr>
          </w:p>
        </w:tc>
        <w:tc>
          <w:tcPr>
            <w:tcW w:w="694" w:type="dxa"/>
            <w:tcBorders>
              <w:top w:val="single" w:color="auto" w:sz="6" w:space="0"/>
              <w:left w:val="single" w:color="auto" w:sz="12" w:space="0"/>
              <w:bottom w:val="single" w:color="auto" w:sz="6" w:space="0"/>
              <w:right w:val="single" w:color="auto" w:sz="6" w:space="0"/>
            </w:tcBorders>
            <w:vAlign w:val="center"/>
          </w:tcPr>
          <w:p w14:paraId="2BE29806">
            <w:pPr>
              <w:autoSpaceDE w:val="0"/>
              <w:autoSpaceDN w:val="0"/>
              <w:adjustRightInd w:val="0"/>
              <w:snapToGrid w:val="0"/>
              <w:spacing w:line="240" w:lineRule="auto"/>
              <w:jc w:val="center"/>
              <w:rPr>
                <w:rFonts w:ascii="宋体" w:cs="楷体_GB2312"/>
                <w:b/>
                <w:bCs/>
                <w:color w:val="auto"/>
                <w:szCs w:val="21"/>
                <w:highlight w:val="none"/>
                <w:lang w:val="zh-CN"/>
              </w:rPr>
            </w:pPr>
            <w:r>
              <w:rPr>
                <w:rFonts w:ascii="宋体" w:hAnsi="宋体" w:cs="楷体_GB2312"/>
                <w:b/>
                <w:bCs/>
                <w:color w:val="auto"/>
                <w:szCs w:val="21"/>
                <w:highlight w:val="none"/>
                <w:lang w:val="zh-CN"/>
              </w:rPr>
              <w:t>2</w:t>
            </w:r>
          </w:p>
        </w:tc>
        <w:tc>
          <w:tcPr>
            <w:tcW w:w="1874" w:type="dxa"/>
            <w:tcBorders>
              <w:top w:val="single" w:color="auto" w:sz="6" w:space="0"/>
              <w:left w:val="single" w:color="auto" w:sz="6" w:space="0"/>
              <w:bottom w:val="single" w:color="auto" w:sz="6" w:space="0"/>
              <w:right w:val="single" w:color="auto" w:sz="6" w:space="0"/>
            </w:tcBorders>
            <w:vAlign w:val="center"/>
          </w:tcPr>
          <w:p w14:paraId="173C0139">
            <w:pPr>
              <w:autoSpaceDE w:val="0"/>
              <w:autoSpaceDN w:val="0"/>
              <w:adjustRightInd w:val="0"/>
              <w:snapToGrid w:val="0"/>
              <w:spacing w:line="240" w:lineRule="auto"/>
              <w:ind w:right="-73" w:rightChars="-35"/>
              <w:jc w:val="center"/>
              <w:rPr>
                <w:rFonts w:ascii="宋体"/>
                <w:b/>
                <w:color w:val="auto"/>
                <w:sz w:val="24"/>
                <w:szCs w:val="24"/>
                <w:highlight w:val="none"/>
              </w:rPr>
            </w:pPr>
            <w:r>
              <w:rPr>
                <w:rFonts w:hint="eastAsia" w:ascii="宋体" w:hAnsi="宋体"/>
                <w:b/>
                <w:color w:val="auto"/>
                <w:sz w:val="24"/>
                <w:szCs w:val="24"/>
                <w:highlight w:val="none"/>
              </w:rPr>
              <w:t>申请人的资格要求及相关证明材料要求</w:t>
            </w:r>
          </w:p>
        </w:tc>
        <w:tc>
          <w:tcPr>
            <w:tcW w:w="6579" w:type="dxa"/>
            <w:tcBorders>
              <w:top w:val="single" w:color="auto" w:sz="6" w:space="0"/>
              <w:left w:val="single" w:color="auto" w:sz="6" w:space="0"/>
              <w:bottom w:val="single" w:color="auto" w:sz="6" w:space="0"/>
              <w:right w:val="single" w:color="auto" w:sz="12" w:space="0"/>
            </w:tcBorders>
            <w:vAlign w:val="center"/>
          </w:tcPr>
          <w:p w14:paraId="1640CD6E">
            <w:pPr>
              <w:autoSpaceDE w:val="0"/>
              <w:autoSpaceDN w:val="0"/>
              <w:adjustRightInd w:val="0"/>
              <w:snapToGrid w:val="0"/>
              <w:spacing w:before="156" w:beforeLines="50" w:line="240" w:lineRule="auto"/>
              <w:rPr>
                <w:color w:val="auto"/>
                <w:sz w:val="24"/>
                <w:szCs w:val="24"/>
                <w:highlight w:val="none"/>
              </w:rPr>
            </w:pPr>
            <w:r>
              <w:rPr>
                <w:rFonts w:hint="eastAsia"/>
                <w:color w:val="auto"/>
                <w:sz w:val="24"/>
                <w:szCs w:val="24"/>
                <w:highlight w:val="none"/>
              </w:rPr>
              <w:t>见“第一章谈判公告”相应条款</w:t>
            </w:r>
          </w:p>
        </w:tc>
      </w:tr>
      <w:tr w14:paraId="4E6BBC2E">
        <w:tblPrEx>
          <w:tblCellMar>
            <w:top w:w="0" w:type="dxa"/>
            <w:left w:w="108" w:type="dxa"/>
            <w:bottom w:w="0" w:type="dxa"/>
            <w:right w:w="108" w:type="dxa"/>
          </w:tblCellMar>
        </w:tblPrEx>
        <w:trPr>
          <w:trHeight w:val="90" w:hRule="atLeast"/>
          <w:jc w:val="center"/>
        </w:trPr>
        <w:tc>
          <w:tcPr>
            <w:tcW w:w="608" w:type="dxa"/>
            <w:vMerge w:val="continue"/>
            <w:tcBorders>
              <w:left w:val="single" w:color="auto" w:sz="12" w:space="0"/>
              <w:right w:val="single" w:color="auto" w:sz="6" w:space="0"/>
            </w:tcBorders>
          </w:tcPr>
          <w:p w14:paraId="3A663539">
            <w:pPr>
              <w:autoSpaceDE w:val="0"/>
              <w:autoSpaceDN w:val="0"/>
              <w:adjustRightInd w:val="0"/>
              <w:snapToGrid w:val="0"/>
              <w:spacing w:line="240" w:lineRule="auto"/>
              <w:jc w:val="center"/>
              <w:rPr>
                <w:rFonts w:ascii="宋体" w:cs="楷体_GB2312"/>
                <w:b/>
                <w:bCs/>
                <w:color w:val="auto"/>
                <w:sz w:val="24"/>
                <w:highlight w:val="none"/>
                <w:lang w:val="zh-CN"/>
              </w:rPr>
            </w:pPr>
          </w:p>
        </w:tc>
        <w:tc>
          <w:tcPr>
            <w:tcW w:w="694" w:type="dxa"/>
            <w:tcBorders>
              <w:top w:val="single" w:color="auto" w:sz="6" w:space="0"/>
              <w:left w:val="single" w:color="auto" w:sz="12" w:space="0"/>
              <w:bottom w:val="single" w:color="auto" w:sz="6" w:space="0"/>
              <w:right w:val="single" w:color="auto" w:sz="6" w:space="0"/>
            </w:tcBorders>
            <w:vAlign w:val="center"/>
          </w:tcPr>
          <w:p w14:paraId="17B46573">
            <w:pPr>
              <w:autoSpaceDE w:val="0"/>
              <w:autoSpaceDN w:val="0"/>
              <w:adjustRightInd w:val="0"/>
              <w:snapToGrid w:val="0"/>
              <w:spacing w:line="240" w:lineRule="auto"/>
              <w:jc w:val="center"/>
              <w:rPr>
                <w:rFonts w:ascii="宋体" w:cs="楷体_GB2312"/>
                <w:b/>
                <w:bCs/>
                <w:color w:val="auto"/>
                <w:szCs w:val="21"/>
                <w:highlight w:val="none"/>
                <w:lang w:val="zh-CN"/>
              </w:rPr>
            </w:pPr>
            <w:r>
              <w:rPr>
                <w:rFonts w:hint="eastAsia" w:ascii="宋体" w:hAnsi="宋体" w:cs="楷体_GB2312"/>
                <w:b/>
                <w:bCs/>
                <w:color w:val="auto"/>
                <w:szCs w:val="21"/>
                <w:highlight w:val="none"/>
                <w:lang w:val="zh-CN"/>
              </w:rPr>
              <w:t>8.1</w:t>
            </w:r>
          </w:p>
        </w:tc>
        <w:tc>
          <w:tcPr>
            <w:tcW w:w="1874" w:type="dxa"/>
            <w:tcBorders>
              <w:top w:val="single" w:color="auto" w:sz="6" w:space="0"/>
              <w:left w:val="single" w:color="auto" w:sz="6" w:space="0"/>
              <w:bottom w:val="single" w:color="auto" w:sz="6" w:space="0"/>
              <w:right w:val="single" w:color="auto" w:sz="6" w:space="0"/>
            </w:tcBorders>
            <w:vAlign w:val="center"/>
          </w:tcPr>
          <w:p w14:paraId="1541ED70">
            <w:pPr>
              <w:autoSpaceDE w:val="0"/>
              <w:autoSpaceDN w:val="0"/>
              <w:adjustRightInd w:val="0"/>
              <w:snapToGrid w:val="0"/>
              <w:spacing w:line="240" w:lineRule="auto"/>
              <w:ind w:right="-73" w:rightChars="-35"/>
              <w:jc w:val="center"/>
              <w:rPr>
                <w:rFonts w:ascii="宋体"/>
                <w:b/>
                <w:color w:val="auto"/>
                <w:sz w:val="24"/>
                <w:szCs w:val="24"/>
                <w:highlight w:val="none"/>
              </w:rPr>
            </w:pPr>
            <w:r>
              <w:rPr>
                <w:rFonts w:hint="eastAsia" w:ascii="宋体" w:hAnsi="宋体"/>
                <w:b/>
                <w:color w:val="auto"/>
                <w:sz w:val="24"/>
                <w:szCs w:val="24"/>
                <w:highlight w:val="none"/>
              </w:rPr>
              <w:t>采购人</w:t>
            </w:r>
          </w:p>
        </w:tc>
        <w:tc>
          <w:tcPr>
            <w:tcW w:w="6579" w:type="dxa"/>
            <w:tcBorders>
              <w:top w:val="single" w:color="auto" w:sz="6" w:space="0"/>
              <w:left w:val="single" w:color="auto" w:sz="6" w:space="0"/>
              <w:bottom w:val="single" w:color="auto" w:sz="6" w:space="0"/>
              <w:right w:val="single" w:color="auto" w:sz="12" w:space="0"/>
            </w:tcBorders>
            <w:vAlign w:val="center"/>
          </w:tcPr>
          <w:p w14:paraId="63B1F67B">
            <w:pPr>
              <w:autoSpaceDE w:val="0"/>
              <w:autoSpaceDN w:val="0"/>
              <w:adjustRightInd w:val="0"/>
              <w:snapToGrid w:val="0"/>
              <w:spacing w:before="156" w:beforeLines="50" w:line="240" w:lineRule="auto"/>
              <w:rPr>
                <w:color w:val="auto"/>
                <w:sz w:val="24"/>
                <w:szCs w:val="24"/>
                <w:highlight w:val="none"/>
              </w:rPr>
            </w:pPr>
            <w:r>
              <w:rPr>
                <w:rFonts w:hint="eastAsia"/>
                <w:color w:val="auto"/>
                <w:sz w:val="24"/>
                <w:szCs w:val="24"/>
                <w:highlight w:val="none"/>
              </w:rPr>
              <w:t>见“第一章谈判公告”相应条款</w:t>
            </w:r>
          </w:p>
        </w:tc>
      </w:tr>
      <w:tr w14:paraId="0625E115">
        <w:tblPrEx>
          <w:tblCellMar>
            <w:top w:w="0" w:type="dxa"/>
            <w:left w:w="108" w:type="dxa"/>
            <w:bottom w:w="0" w:type="dxa"/>
            <w:right w:w="108" w:type="dxa"/>
          </w:tblCellMar>
        </w:tblPrEx>
        <w:trPr>
          <w:trHeight w:val="90" w:hRule="atLeast"/>
          <w:jc w:val="center"/>
        </w:trPr>
        <w:tc>
          <w:tcPr>
            <w:tcW w:w="608" w:type="dxa"/>
            <w:vMerge w:val="continue"/>
            <w:tcBorders>
              <w:left w:val="single" w:color="auto" w:sz="12" w:space="0"/>
              <w:bottom w:val="single" w:color="auto" w:sz="6" w:space="0"/>
              <w:right w:val="single" w:color="auto" w:sz="6" w:space="0"/>
            </w:tcBorders>
          </w:tcPr>
          <w:p w14:paraId="7517B118">
            <w:pPr>
              <w:autoSpaceDE w:val="0"/>
              <w:autoSpaceDN w:val="0"/>
              <w:adjustRightInd w:val="0"/>
              <w:snapToGrid w:val="0"/>
              <w:spacing w:line="240" w:lineRule="auto"/>
              <w:jc w:val="center"/>
              <w:rPr>
                <w:rFonts w:ascii="宋体" w:cs="楷体_GB2312"/>
                <w:b/>
                <w:bCs/>
                <w:color w:val="auto"/>
                <w:sz w:val="24"/>
                <w:highlight w:val="none"/>
                <w:lang w:val="zh-CN"/>
              </w:rPr>
            </w:pPr>
          </w:p>
        </w:tc>
        <w:tc>
          <w:tcPr>
            <w:tcW w:w="694" w:type="dxa"/>
            <w:tcBorders>
              <w:top w:val="single" w:color="auto" w:sz="6" w:space="0"/>
              <w:left w:val="single" w:color="auto" w:sz="12" w:space="0"/>
              <w:bottom w:val="single" w:color="auto" w:sz="6" w:space="0"/>
              <w:right w:val="single" w:color="auto" w:sz="6" w:space="0"/>
            </w:tcBorders>
            <w:vAlign w:val="center"/>
          </w:tcPr>
          <w:p w14:paraId="18D32679">
            <w:pPr>
              <w:autoSpaceDE w:val="0"/>
              <w:autoSpaceDN w:val="0"/>
              <w:adjustRightInd w:val="0"/>
              <w:snapToGrid w:val="0"/>
              <w:spacing w:line="240" w:lineRule="auto"/>
              <w:jc w:val="center"/>
              <w:rPr>
                <w:rFonts w:ascii="宋体" w:cs="楷体_GB2312"/>
                <w:b/>
                <w:bCs/>
                <w:color w:val="auto"/>
                <w:szCs w:val="21"/>
                <w:highlight w:val="none"/>
                <w:lang w:val="zh-CN"/>
              </w:rPr>
            </w:pPr>
            <w:r>
              <w:rPr>
                <w:rFonts w:hint="eastAsia" w:ascii="宋体" w:hAnsi="宋体" w:cs="楷体_GB2312"/>
                <w:b/>
                <w:bCs/>
                <w:color w:val="auto"/>
                <w:szCs w:val="21"/>
                <w:highlight w:val="none"/>
                <w:lang w:val="zh-CN"/>
              </w:rPr>
              <w:t>8.2</w:t>
            </w:r>
          </w:p>
        </w:tc>
        <w:tc>
          <w:tcPr>
            <w:tcW w:w="1874" w:type="dxa"/>
            <w:tcBorders>
              <w:top w:val="single" w:color="auto" w:sz="6" w:space="0"/>
              <w:left w:val="single" w:color="auto" w:sz="6" w:space="0"/>
              <w:bottom w:val="single" w:color="auto" w:sz="6" w:space="0"/>
              <w:right w:val="single" w:color="auto" w:sz="6" w:space="0"/>
            </w:tcBorders>
            <w:vAlign w:val="center"/>
          </w:tcPr>
          <w:p w14:paraId="2E8FB2C1">
            <w:pPr>
              <w:autoSpaceDE w:val="0"/>
              <w:autoSpaceDN w:val="0"/>
              <w:adjustRightInd w:val="0"/>
              <w:snapToGrid w:val="0"/>
              <w:spacing w:line="240" w:lineRule="auto"/>
              <w:ind w:right="-73" w:rightChars="-35"/>
              <w:jc w:val="center"/>
              <w:rPr>
                <w:rFonts w:ascii="宋体"/>
                <w:b/>
                <w:color w:val="auto"/>
                <w:sz w:val="24"/>
                <w:szCs w:val="24"/>
                <w:highlight w:val="none"/>
              </w:rPr>
            </w:pPr>
            <w:r>
              <w:rPr>
                <w:rFonts w:hint="eastAsia" w:ascii="宋体" w:hAnsi="宋体"/>
                <w:b/>
                <w:color w:val="auto"/>
                <w:sz w:val="24"/>
                <w:szCs w:val="24"/>
                <w:highlight w:val="none"/>
              </w:rPr>
              <w:t>采购代理机构</w:t>
            </w:r>
          </w:p>
        </w:tc>
        <w:tc>
          <w:tcPr>
            <w:tcW w:w="6579" w:type="dxa"/>
            <w:tcBorders>
              <w:top w:val="single" w:color="auto" w:sz="6" w:space="0"/>
              <w:left w:val="single" w:color="auto" w:sz="6" w:space="0"/>
              <w:bottom w:val="single" w:color="auto" w:sz="6" w:space="0"/>
              <w:right w:val="single" w:color="auto" w:sz="12" w:space="0"/>
            </w:tcBorders>
            <w:vAlign w:val="center"/>
          </w:tcPr>
          <w:p w14:paraId="47D7D421">
            <w:pPr>
              <w:autoSpaceDE w:val="0"/>
              <w:autoSpaceDN w:val="0"/>
              <w:adjustRightInd w:val="0"/>
              <w:snapToGrid w:val="0"/>
              <w:spacing w:before="156" w:beforeLines="50" w:line="240" w:lineRule="auto"/>
              <w:rPr>
                <w:color w:val="auto"/>
                <w:sz w:val="24"/>
                <w:szCs w:val="24"/>
                <w:highlight w:val="none"/>
              </w:rPr>
            </w:pPr>
            <w:r>
              <w:rPr>
                <w:rFonts w:hint="eastAsia"/>
                <w:color w:val="auto"/>
                <w:sz w:val="24"/>
                <w:szCs w:val="24"/>
                <w:highlight w:val="none"/>
              </w:rPr>
              <w:t>见“第一章谈判公告”相应条款</w:t>
            </w:r>
          </w:p>
        </w:tc>
      </w:tr>
      <w:tr w14:paraId="44556C33">
        <w:tblPrEx>
          <w:tblCellMar>
            <w:top w:w="0" w:type="dxa"/>
            <w:left w:w="108" w:type="dxa"/>
            <w:bottom w:w="0" w:type="dxa"/>
            <w:right w:w="108" w:type="dxa"/>
          </w:tblCellMar>
        </w:tblPrEx>
        <w:trPr>
          <w:trHeight w:val="90" w:hRule="atLeast"/>
          <w:jc w:val="center"/>
        </w:trPr>
        <w:tc>
          <w:tcPr>
            <w:tcW w:w="608" w:type="dxa"/>
            <w:vMerge w:val="restart"/>
            <w:tcBorders>
              <w:top w:val="single" w:color="auto" w:sz="6" w:space="0"/>
              <w:left w:val="single" w:color="auto" w:sz="12" w:space="0"/>
              <w:right w:val="single" w:color="auto" w:sz="6" w:space="0"/>
            </w:tcBorders>
            <w:vAlign w:val="center"/>
          </w:tcPr>
          <w:p w14:paraId="0B6A5A91">
            <w:pPr>
              <w:autoSpaceDE w:val="0"/>
              <w:autoSpaceDN w:val="0"/>
              <w:adjustRightInd w:val="0"/>
              <w:snapToGrid w:val="0"/>
              <w:spacing w:line="240" w:lineRule="auto"/>
              <w:jc w:val="center"/>
              <w:rPr>
                <w:rFonts w:ascii="宋体" w:cs="楷体_GB2312"/>
                <w:b/>
                <w:bCs/>
                <w:color w:val="auto"/>
                <w:sz w:val="24"/>
                <w:highlight w:val="none"/>
                <w:lang w:val="zh-CN"/>
              </w:rPr>
            </w:pPr>
            <w:r>
              <w:rPr>
                <w:rFonts w:hint="eastAsia" w:ascii="宋体" w:hAnsi="宋体" w:cs="楷体_GB2312"/>
                <w:b/>
                <w:bCs/>
                <w:color w:val="auto"/>
                <w:sz w:val="24"/>
                <w:highlight w:val="none"/>
                <w:lang w:val="zh-CN"/>
              </w:rPr>
              <w:t>第二章</w:t>
            </w:r>
          </w:p>
        </w:tc>
        <w:tc>
          <w:tcPr>
            <w:tcW w:w="694" w:type="dxa"/>
            <w:tcBorders>
              <w:top w:val="single" w:color="auto" w:sz="6" w:space="0"/>
              <w:left w:val="single" w:color="auto" w:sz="12" w:space="0"/>
              <w:bottom w:val="single" w:color="auto" w:sz="6" w:space="0"/>
              <w:right w:val="single" w:color="auto" w:sz="6" w:space="0"/>
            </w:tcBorders>
            <w:vAlign w:val="center"/>
          </w:tcPr>
          <w:p w14:paraId="41DEF2EA">
            <w:pPr>
              <w:autoSpaceDE w:val="0"/>
              <w:autoSpaceDN w:val="0"/>
              <w:adjustRightInd w:val="0"/>
              <w:snapToGrid w:val="0"/>
              <w:spacing w:line="240" w:lineRule="auto"/>
              <w:jc w:val="center"/>
              <w:rPr>
                <w:rFonts w:ascii="宋体" w:cs="楷体_GB2312"/>
                <w:b/>
                <w:bCs/>
                <w:color w:val="auto"/>
                <w:szCs w:val="21"/>
                <w:highlight w:val="none"/>
                <w:lang w:val="zh-CN"/>
              </w:rPr>
            </w:pPr>
            <w:r>
              <w:rPr>
                <w:rFonts w:ascii="宋体" w:hAnsi="宋体" w:cs="楷体_GB2312"/>
                <w:b/>
                <w:bCs/>
                <w:color w:val="auto"/>
                <w:szCs w:val="21"/>
                <w:highlight w:val="none"/>
                <w:lang w:val="zh-CN"/>
              </w:rPr>
              <w:t>1.2</w:t>
            </w:r>
          </w:p>
        </w:tc>
        <w:tc>
          <w:tcPr>
            <w:tcW w:w="1874" w:type="dxa"/>
            <w:tcBorders>
              <w:top w:val="single" w:color="auto" w:sz="6" w:space="0"/>
              <w:left w:val="single" w:color="auto" w:sz="6" w:space="0"/>
              <w:bottom w:val="single" w:color="auto" w:sz="6" w:space="0"/>
              <w:right w:val="single" w:color="auto" w:sz="6" w:space="0"/>
            </w:tcBorders>
            <w:vAlign w:val="center"/>
          </w:tcPr>
          <w:p w14:paraId="08E385B3">
            <w:pPr>
              <w:autoSpaceDE w:val="0"/>
              <w:autoSpaceDN w:val="0"/>
              <w:adjustRightInd w:val="0"/>
              <w:snapToGrid w:val="0"/>
              <w:spacing w:line="240" w:lineRule="auto"/>
              <w:jc w:val="center"/>
              <w:rPr>
                <w:rFonts w:ascii="宋体" w:cs="楷体_GB2312"/>
                <w:b/>
                <w:bCs/>
                <w:color w:val="auto"/>
                <w:sz w:val="24"/>
                <w:highlight w:val="none"/>
                <w:lang w:val="zh-CN"/>
              </w:rPr>
            </w:pPr>
            <w:r>
              <w:rPr>
                <w:rFonts w:hint="eastAsia" w:ascii="宋体" w:hAnsi="宋体"/>
                <w:b/>
                <w:color w:val="auto"/>
                <w:sz w:val="24"/>
                <w:szCs w:val="24"/>
                <w:highlight w:val="none"/>
              </w:rPr>
              <w:t>标段（包）划分</w:t>
            </w:r>
          </w:p>
        </w:tc>
        <w:tc>
          <w:tcPr>
            <w:tcW w:w="6579" w:type="dxa"/>
            <w:tcBorders>
              <w:top w:val="single" w:color="auto" w:sz="6" w:space="0"/>
              <w:left w:val="single" w:color="auto" w:sz="6" w:space="0"/>
              <w:bottom w:val="single" w:color="auto" w:sz="6" w:space="0"/>
              <w:right w:val="single" w:color="auto" w:sz="12" w:space="0"/>
            </w:tcBorders>
            <w:vAlign w:val="center"/>
          </w:tcPr>
          <w:p w14:paraId="0A687817">
            <w:pPr>
              <w:autoSpaceDE w:val="0"/>
              <w:autoSpaceDN w:val="0"/>
              <w:adjustRightInd w:val="0"/>
              <w:snapToGrid w:val="0"/>
              <w:spacing w:before="156" w:beforeLines="50" w:line="240" w:lineRule="auto"/>
              <w:rPr>
                <w:rFonts w:ascii="宋体" w:cs="楷体_GB2312"/>
                <w:color w:val="auto"/>
                <w:sz w:val="24"/>
                <w:highlight w:val="none"/>
                <w:lang w:val="zh-CN"/>
              </w:rPr>
            </w:pPr>
            <w:r>
              <w:rPr>
                <w:rFonts w:hint="eastAsia"/>
                <w:color w:val="auto"/>
                <w:sz w:val="24"/>
                <w:szCs w:val="24"/>
                <w:highlight w:val="none"/>
              </w:rPr>
              <w:t>见“第二章采购项目及技术服务要求”相应条款</w:t>
            </w:r>
          </w:p>
        </w:tc>
      </w:tr>
      <w:tr w14:paraId="117F4387">
        <w:tblPrEx>
          <w:tblCellMar>
            <w:top w:w="0" w:type="dxa"/>
            <w:left w:w="108" w:type="dxa"/>
            <w:bottom w:w="0" w:type="dxa"/>
            <w:right w:w="108" w:type="dxa"/>
          </w:tblCellMar>
        </w:tblPrEx>
        <w:trPr>
          <w:trHeight w:val="90" w:hRule="atLeast"/>
          <w:jc w:val="center"/>
        </w:trPr>
        <w:tc>
          <w:tcPr>
            <w:tcW w:w="608" w:type="dxa"/>
            <w:vMerge w:val="continue"/>
            <w:tcBorders>
              <w:left w:val="single" w:color="auto" w:sz="12" w:space="0"/>
              <w:right w:val="single" w:color="auto" w:sz="6" w:space="0"/>
            </w:tcBorders>
          </w:tcPr>
          <w:p w14:paraId="30EFEF0C">
            <w:pPr>
              <w:autoSpaceDE w:val="0"/>
              <w:autoSpaceDN w:val="0"/>
              <w:adjustRightInd w:val="0"/>
              <w:snapToGrid w:val="0"/>
              <w:spacing w:line="240" w:lineRule="auto"/>
              <w:jc w:val="center"/>
              <w:rPr>
                <w:rFonts w:ascii="宋体" w:cs="楷体_GB2312"/>
                <w:b/>
                <w:bCs/>
                <w:color w:val="auto"/>
                <w:sz w:val="24"/>
                <w:highlight w:val="none"/>
                <w:lang w:val="zh-CN"/>
              </w:rPr>
            </w:pPr>
          </w:p>
        </w:tc>
        <w:tc>
          <w:tcPr>
            <w:tcW w:w="694" w:type="dxa"/>
            <w:tcBorders>
              <w:top w:val="single" w:color="auto" w:sz="6" w:space="0"/>
              <w:left w:val="single" w:color="auto" w:sz="12" w:space="0"/>
              <w:bottom w:val="single" w:color="auto" w:sz="6" w:space="0"/>
              <w:right w:val="single" w:color="auto" w:sz="6" w:space="0"/>
            </w:tcBorders>
            <w:vAlign w:val="center"/>
          </w:tcPr>
          <w:p w14:paraId="3659A3D8">
            <w:pPr>
              <w:autoSpaceDE w:val="0"/>
              <w:autoSpaceDN w:val="0"/>
              <w:adjustRightInd w:val="0"/>
              <w:snapToGrid w:val="0"/>
              <w:spacing w:line="240" w:lineRule="auto"/>
              <w:jc w:val="center"/>
              <w:rPr>
                <w:rFonts w:ascii="宋体" w:cs="楷体_GB2312"/>
                <w:b/>
                <w:bCs/>
                <w:color w:val="auto"/>
                <w:szCs w:val="21"/>
                <w:highlight w:val="none"/>
                <w:lang w:val="zh-CN"/>
              </w:rPr>
            </w:pPr>
            <w:r>
              <w:rPr>
                <w:rFonts w:ascii="宋体" w:hAnsi="宋体" w:cs="楷体_GB2312"/>
                <w:b/>
                <w:bCs/>
                <w:color w:val="auto"/>
                <w:szCs w:val="21"/>
                <w:highlight w:val="none"/>
                <w:lang w:val="zh-CN"/>
              </w:rPr>
              <w:t>1.2</w:t>
            </w:r>
          </w:p>
        </w:tc>
        <w:tc>
          <w:tcPr>
            <w:tcW w:w="1874" w:type="dxa"/>
            <w:tcBorders>
              <w:top w:val="single" w:color="auto" w:sz="6" w:space="0"/>
              <w:left w:val="single" w:color="auto" w:sz="6" w:space="0"/>
              <w:bottom w:val="single" w:color="auto" w:sz="6" w:space="0"/>
              <w:right w:val="single" w:color="auto" w:sz="6" w:space="0"/>
            </w:tcBorders>
            <w:vAlign w:val="center"/>
          </w:tcPr>
          <w:p w14:paraId="520A4EEB">
            <w:pPr>
              <w:autoSpaceDE w:val="0"/>
              <w:autoSpaceDN w:val="0"/>
              <w:adjustRightInd w:val="0"/>
              <w:snapToGrid w:val="0"/>
              <w:spacing w:line="240" w:lineRule="auto"/>
              <w:jc w:val="center"/>
              <w:rPr>
                <w:rFonts w:ascii="宋体" w:cs="楷体_GB2312"/>
                <w:b/>
                <w:bCs/>
                <w:color w:val="auto"/>
                <w:sz w:val="24"/>
                <w:highlight w:val="none"/>
                <w:lang w:val="zh-CN"/>
              </w:rPr>
            </w:pPr>
            <w:r>
              <w:rPr>
                <w:rFonts w:hint="eastAsia" w:ascii="宋体" w:hAnsi="宋体" w:cs="楷体_GB2312"/>
                <w:b/>
                <w:bCs/>
                <w:color w:val="auto"/>
                <w:sz w:val="24"/>
                <w:highlight w:val="none"/>
              </w:rPr>
              <w:t>交验</w:t>
            </w:r>
            <w:r>
              <w:rPr>
                <w:rFonts w:hint="eastAsia" w:ascii="宋体" w:hAnsi="宋体" w:cs="楷体_GB2312"/>
                <w:b/>
                <w:bCs/>
                <w:color w:val="auto"/>
                <w:sz w:val="24"/>
                <w:highlight w:val="none"/>
                <w:lang w:val="zh-CN"/>
              </w:rPr>
              <w:t>期</w:t>
            </w:r>
          </w:p>
        </w:tc>
        <w:tc>
          <w:tcPr>
            <w:tcW w:w="6579" w:type="dxa"/>
            <w:tcBorders>
              <w:top w:val="single" w:color="auto" w:sz="6" w:space="0"/>
              <w:left w:val="single" w:color="auto" w:sz="6" w:space="0"/>
              <w:bottom w:val="single" w:color="auto" w:sz="6" w:space="0"/>
              <w:right w:val="single" w:color="auto" w:sz="12" w:space="0"/>
            </w:tcBorders>
            <w:vAlign w:val="center"/>
          </w:tcPr>
          <w:p w14:paraId="4AD54499">
            <w:pPr>
              <w:autoSpaceDE w:val="0"/>
              <w:autoSpaceDN w:val="0"/>
              <w:adjustRightInd w:val="0"/>
              <w:snapToGrid w:val="0"/>
              <w:spacing w:before="156" w:beforeLines="50" w:line="240" w:lineRule="auto"/>
              <w:rPr>
                <w:rFonts w:ascii="宋体" w:cs="楷体_GB2312"/>
                <w:bCs/>
                <w:color w:val="auto"/>
                <w:sz w:val="24"/>
                <w:highlight w:val="none"/>
                <w:lang w:val="zh-CN"/>
              </w:rPr>
            </w:pPr>
            <w:r>
              <w:rPr>
                <w:rFonts w:hint="eastAsia" w:ascii="宋体" w:hAnsi="宋体"/>
                <w:color w:val="auto"/>
                <w:sz w:val="24"/>
                <w:highlight w:val="none"/>
              </w:rPr>
              <w:t>见“第二部分采购项目及技术服务要求”</w:t>
            </w:r>
            <w:r>
              <w:rPr>
                <w:rFonts w:hint="eastAsia"/>
                <w:color w:val="auto"/>
                <w:sz w:val="24"/>
                <w:szCs w:val="24"/>
                <w:highlight w:val="none"/>
              </w:rPr>
              <w:t>相应条款</w:t>
            </w:r>
          </w:p>
        </w:tc>
      </w:tr>
      <w:tr w14:paraId="0B356988">
        <w:tblPrEx>
          <w:tblCellMar>
            <w:top w:w="0" w:type="dxa"/>
            <w:left w:w="108" w:type="dxa"/>
            <w:bottom w:w="0" w:type="dxa"/>
            <w:right w:w="108" w:type="dxa"/>
          </w:tblCellMar>
        </w:tblPrEx>
        <w:trPr>
          <w:trHeight w:val="90" w:hRule="atLeast"/>
          <w:jc w:val="center"/>
        </w:trPr>
        <w:tc>
          <w:tcPr>
            <w:tcW w:w="608" w:type="dxa"/>
            <w:vMerge w:val="continue"/>
            <w:tcBorders>
              <w:left w:val="single" w:color="auto" w:sz="12" w:space="0"/>
              <w:right w:val="single" w:color="auto" w:sz="6" w:space="0"/>
            </w:tcBorders>
          </w:tcPr>
          <w:p w14:paraId="1C061BC0">
            <w:pPr>
              <w:autoSpaceDE w:val="0"/>
              <w:autoSpaceDN w:val="0"/>
              <w:adjustRightInd w:val="0"/>
              <w:snapToGrid w:val="0"/>
              <w:spacing w:line="240" w:lineRule="auto"/>
              <w:jc w:val="center"/>
              <w:rPr>
                <w:rFonts w:ascii="宋体" w:cs="楷体_GB2312"/>
                <w:b/>
                <w:bCs/>
                <w:color w:val="auto"/>
                <w:sz w:val="24"/>
                <w:highlight w:val="none"/>
                <w:lang w:val="zh-CN"/>
              </w:rPr>
            </w:pPr>
          </w:p>
        </w:tc>
        <w:tc>
          <w:tcPr>
            <w:tcW w:w="694" w:type="dxa"/>
            <w:tcBorders>
              <w:top w:val="single" w:color="auto" w:sz="6" w:space="0"/>
              <w:left w:val="single" w:color="auto" w:sz="12" w:space="0"/>
              <w:bottom w:val="single" w:color="auto" w:sz="6" w:space="0"/>
              <w:right w:val="single" w:color="auto" w:sz="6" w:space="0"/>
            </w:tcBorders>
            <w:vAlign w:val="center"/>
          </w:tcPr>
          <w:p w14:paraId="0F0AA4FE">
            <w:pPr>
              <w:autoSpaceDE w:val="0"/>
              <w:autoSpaceDN w:val="0"/>
              <w:adjustRightInd w:val="0"/>
              <w:snapToGrid w:val="0"/>
              <w:spacing w:line="240" w:lineRule="auto"/>
              <w:jc w:val="center"/>
              <w:rPr>
                <w:rFonts w:ascii="宋体" w:cs="楷体_GB2312"/>
                <w:b/>
                <w:bCs/>
                <w:color w:val="auto"/>
                <w:szCs w:val="21"/>
                <w:highlight w:val="none"/>
                <w:lang w:val="zh-CN"/>
              </w:rPr>
            </w:pPr>
            <w:r>
              <w:rPr>
                <w:rFonts w:ascii="宋体" w:hAnsi="宋体" w:cs="楷体_GB2312"/>
                <w:b/>
                <w:bCs/>
                <w:color w:val="auto"/>
                <w:szCs w:val="21"/>
                <w:highlight w:val="none"/>
                <w:lang w:val="zh-CN"/>
              </w:rPr>
              <w:t>1.2</w:t>
            </w:r>
          </w:p>
        </w:tc>
        <w:tc>
          <w:tcPr>
            <w:tcW w:w="1874" w:type="dxa"/>
            <w:tcBorders>
              <w:top w:val="single" w:color="auto" w:sz="6" w:space="0"/>
              <w:left w:val="single" w:color="auto" w:sz="6" w:space="0"/>
              <w:bottom w:val="single" w:color="auto" w:sz="6" w:space="0"/>
              <w:right w:val="single" w:color="auto" w:sz="6" w:space="0"/>
            </w:tcBorders>
            <w:vAlign w:val="center"/>
          </w:tcPr>
          <w:p w14:paraId="2CBAAB05">
            <w:pPr>
              <w:autoSpaceDE w:val="0"/>
              <w:autoSpaceDN w:val="0"/>
              <w:adjustRightInd w:val="0"/>
              <w:snapToGrid w:val="0"/>
              <w:spacing w:line="240" w:lineRule="auto"/>
              <w:jc w:val="center"/>
              <w:rPr>
                <w:rFonts w:ascii="宋体" w:cs="楷体_GB2312"/>
                <w:b/>
                <w:bCs/>
                <w:color w:val="auto"/>
                <w:sz w:val="24"/>
                <w:highlight w:val="none"/>
                <w:lang w:val="zh-CN"/>
              </w:rPr>
            </w:pPr>
            <w:r>
              <w:rPr>
                <w:rFonts w:hint="eastAsia" w:ascii="宋体" w:hAnsi="宋体" w:cs="楷体_GB2312"/>
                <w:b/>
                <w:bCs/>
                <w:color w:val="auto"/>
                <w:sz w:val="24"/>
                <w:highlight w:val="none"/>
                <w:lang w:val="zh-CN"/>
              </w:rPr>
              <w:t>交验地</w:t>
            </w:r>
          </w:p>
        </w:tc>
        <w:tc>
          <w:tcPr>
            <w:tcW w:w="6579" w:type="dxa"/>
            <w:tcBorders>
              <w:top w:val="single" w:color="auto" w:sz="6" w:space="0"/>
              <w:left w:val="single" w:color="auto" w:sz="6" w:space="0"/>
              <w:bottom w:val="single" w:color="auto" w:sz="6" w:space="0"/>
              <w:right w:val="single" w:color="auto" w:sz="12" w:space="0"/>
            </w:tcBorders>
            <w:vAlign w:val="center"/>
          </w:tcPr>
          <w:p w14:paraId="43469C0F">
            <w:pPr>
              <w:autoSpaceDE w:val="0"/>
              <w:autoSpaceDN w:val="0"/>
              <w:adjustRightInd w:val="0"/>
              <w:snapToGrid w:val="0"/>
              <w:spacing w:before="156" w:beforeLines="50" w:line="240" w:lineRule="auto"/>
              <w:rPr>
                <w:rFonts w:ascii="宋体" w:cs="楷体_GB2312"/>
                <w:color w:val="auto"/>
                <w:sz w:val="24"/>
                <w:highlight w:val="none"/>
                <w:lang w:val="zh-CN"/>
              </w:rPr>
            </w:pPr>
            <w:r>
              <w:rPr>
                <w:rFonts w:hint="eastAsia" w:ascii="宋体" w:hAnsi="宋体" w:cs="楷体_GB2312"/>
                <w:color w:val="auto"/>
                <w:sz w:val="24"/>
                <w:highlight w:val="none"/>
                <w:lang w:val="zh-CN"/>
              </w:rPr>
              <w:t>见“第二</w:t>
            </w:r>
            <w:r>
              <w:rPr>
                <w:rFonts w:hint="eastAsia"/>
                <w:color w:val="auto"/>
                <w:sz w:val="24"/>
                <w:szCs w:val="24"/>
                <w:highlight w:val="none"/>
              </w:rPr>
              <w:t>章</w:t>
            </w:r>
            <w:r>
              <w:rPr>
                <w:rFonts w:hint="eastAsia" w:ascii="宋体" w:hAnsi="宋体" w:cs="楷体_GB2312"/>
                <w:color w:val="auto"/>
                <w:sz w:val="24"/>
                <w:highlight w:val="none"/>
                <w:lang w:val="zh-CN"/>
              </w:rPr>
              <w:t>采购项目及技术服务要求”</w:t>
            </w:r>
            <w:r>
              <w:rPr>
                <w:rFonts w:hint="eastAsia"/>
                <w:color w:val="auto"/>
                <w:sz w:val="24"/>
                <w:szCs w:val="24"/>
                <w:highlight w:val="none"/>
              </w:rPr>
              <w:t>相应条款</w:t>
            </w:r>
          </w:p>
        </w:tc>
      </w:tr>
      <w:tr w14:paraId="2B94D0D6">
        <w:tblPrEx>
          <w:tblCellMar>
            <w:top w:w="0" w:type="dxa"/>
            <w:left w:w="108" w:type="dxa"/>
            <w:bottom w:w="0" w:type="dxa"/>
            <w:right w:w="108" w:type="dxa"/>
          </w:tblCellMar>
        </w:tblPrEx>
        <w:trPr>
          <w:trHeight w:val="90" w:hRule="atLeast"/>
          <w:jc w:val="center"/>
        </w:trPr>
        <w:tc>
          <w:tcPr>
            <w:tcW w:w="608" w:type="dxa"/>
            <w:vMerge w:val="continue"/>
            <w:tcBorders>
              <w:left w:val="single" w:color="auto" w:sz="12" w:space="0"/>
              <w:right w:val="single" w:color="auto" w:sz="6" w:space="0"/>
            </w:tcBorders>
          </w:tcPr>
          <w:p w14:paraId="5CBE2744">
            <w:pPr>
              <w:autoSpaceDE w:val="0"/>
              <w:autoSpaceDN w:val="0"/>
              <w:adjustRightInd w:val="0"/>
              <w:snapToGrid w:val="0"/>
              <w:spacing w:line="240" w:lineRule="auto"/>
              <w:jc w:val="center"/>
              <w:rPr>
                <w:rFonts w:ascii="宋体" w:cs="楷体_GB2312"/>
                <w:b/>
                <w:bCs/>
                <w:color w:val="auto"/>
                <w:sz w:val="24"/>
                <w:highlight w:val="none"/>
                <w:lang w:val="zh-CN"/>
              </w:rPr>
            </w:pPr>
          </w:p>
        </w:tc>
        <w:tc>
          <w:tcPr>
            <w:tcW w:w="694" w:type="dxa"/>
            <w:tcBorders>
              <w:top w:val="single" w:color="auto" w:sz="6" w:space="0"/>
              <w:left w:val="single" w:color="auto" w:sz="12" w:space="0"/>
              <w:bottom w:val="single" w:color="auto" w:sz="6" w:space="0"/>
              <w:right w:val="single" w:color="auto" w:sz="6" w:space="0"/>
            </w:tcBorders>
            <w:vAlign w:val="center"/>
          </w:tcPr>
          <w:p w14:paraId="30CD3BE6">
            <w:pPr>
              <w:autoSpaceDE w:val="0"/>
              <w:autoSpaceDN w:val="0"/>
              <w:adjustRightInd w:val="0"/>
              <w:snapToGrid w:val="0"/>
              <w:spacing w:line="240" w:lineRule="auto"/>
              <w:jc w:val="center"/>
              <w:rPr>
                <w:rFonts w:ascii="宋体" w:cs="楷体_GB2312"/>
                <w:b/>
                <w:bCs/>
                <w:color w:val="auto"/>
                <w:szCs w:val="21"/>
                <w:highlight w:val="none"/>
                <w:lang w:val="zh-CN"/>
              </w:rPr>
            </w:pPr>
            <w:r>
              <w:rPr>
                <w:rFonts w:ascii="宋体" w:hAnsi="宋体" w:cs="楷体_GB2312"/>
                <w:b/>
                <w:bCs/>
                <w:color w:val="auto"/>
                <w:szCs w:val="21"/>
                <w:highlight w:val="none"/>
                <w:lang w:val="zh-CN"/>
              </w:rPr>
              <w:t>1.3</w:t>
            </w:r>
          </w:p>
        </w:tc>
        <w:tc>
          <w:tcPr>
            <w:tcW w:w="1874" w:type="dxa"/>
            <w:tcBorders>
              <w:top w:val="single" w:color="auto" w:sz="6" w:space="0"/>
              <w:left w:val="single" w:color="auto" w:sz="6" w:space="0"/>
              <w:bottom w:val="single" w:color="auto" w:sz="6" w:space="0"/>
              <w:right w:val="single" w:color="auto" w:sz="6" w:space="0"/>
            </w:tcBorders>
            <w:vAlign w:val="center"/>
          </w:tcPr>
          <w:p w14:paraId="34959C8C">
            <w:pPr>
              <w:autoSpaceDE w:val="0"/>
              <w:autoSpaceDN w:val="0"/>
              <w:adjustRightInd w:val="0"/>
              <w:snapToGrid w:val="0"/>
              <w:spacing w:line="240" w:lineRule="auto"/>
              <w:jc w:val="center"/>
              <w:rPr>
                <w:rFonts w:ascii="宋体"/>
                <w:b/>
                <w:color w:val="auto"/>
                <w:sz w:val="24"/>
                <w:szCs w:val="24"/>
                <w:highlight w:val="none"/>
              </w:rPr>
            </w:pPr>
            <w:r>
              <w:rPr>
                <w:rFonts w:hint="eastAsia" w:ascii="宋体" w:hAnsi="宋体"/>
                <w:b/>
                <w:color w:val="auto"/>
                <w:sz w:val="24"/>
                <w:szCs w:val="24"/>
                <w:highlight w:val="none"/>
              </w:rPr>
              <w:t>投标报价</w:t>
            </w:r>
          </w:p>
        </w:tc>
        <w:tc>
          <w:tcPr>
            <w:tcW w:w="6579" w:type="dxa"/>
            <w:tcBorders>
              <w:top w:val="single" w:color="auto" w:sz="6" w:space="0"/>
              <w:left w:val="single" w:color="auto" w:sz="6" w:space="0"/>
              <w:bottom w:val="single" w:color="auto" w:sz="6" w:space="0"/>
              <w:right w:val="single" w:color="auto" w:sz="12" w:space="0"/>
            </w:tcBorders>
            <w:vAlign w:val="center"/>
          </w:tcPr>
          <w:p w14:paraId="648E91E8">
            <w:pPr>
              <w:autoSpaceDE w:val="0"/>
              <w:autoSpaceDN w:val="0"/>
              <w:adjustRightInd w:val="0"/>
              <w:snapToGrid w:val="0"/>
              <w:spacing w:before="156" w:beforeLines="50" w:line="240" w:lineRule="auto"/>
              <w:rPr>
                <w:color w:val="auto"/>
                <w:sz w:val="24"/>
                <w:szCs w:val="24"/>
                <w:highlight w:val="none"/>
              </w:rPr>
            </w:pPr>
            <w:r>
              <w:rPr>
                <w:rFonts w:hint="eastAsia"/>
                <w:color w:val="auto"/>
                <w:sz w:val="24"/>
                <w:szCs w:val="24"/>
                <w:highlight w:val="none"/>
              </w:rPr>
              <w:t>见“第二章采购项目及技术服务要求”相应条款</w:t>
            </w:r>
          </w:p>
        </w:tc>
      </w:tr>
      <w:tr w14:paraId="5D722E3E">
        <w:tblPrEx>
          <w:tblCellMar>
            <w:top w:w="0" w:type="dxa"/>
            <w:left w:w="108" w:type="dxa"/>
            <w:bottom w:w="0" w:type="dxa"/>
            <w:right w:w="108" w:type="dxa"/>
          </w:tblCellMar>
        </w:tblPrEx>
        <w:trPr>
          <w:trHeight w:val="321" w:hRule="atLeast"/>
          <w:jc w:val="center"/>
        </w:trPr>
        <w:tc>
          <w:tcPr>
            <w:tcW w:w="608" w:type="dxa"/>
            <w:vMerge w:val="continue"/>
            <w:tcBorders>
              <w:left w:val="single" w:color="auto" w:sz="12" w:space="0"/>
              <w:right w:val="single" w:color="auto" w:sz="6" w:space="0"/>
            </w:tcBorders>
          </w:tcPr>
          <w:p w14:paraId="52207795">
            <w:pPr>
              <w:autoSpaceDE w:val="0"/>
              <w:autoSpaceDN w:val="0"/>
              <w:adjustRightInd w:val="0"/>
              <w:snapToGrid w:val="0"/>
              <w:spacing w:line="240" w:lineRule="auto"/>
              <w:jc w:val="center"/>
              <w:rPr>
                <w:rFonts w:ascii="宋体" w:cs="楷体_GB2312"/>
                <w:b/>
                <w:bCs/>
                <w:color w:val="auto"/>
                <w:sz w:val="24"/>
                <w:highlight w:val="none"/>
                <w:lang w:val="zh-CN"/>
              </w:rPr>
            </w:pPr>
          </w:p>
        </w:tc>
        <w:tc>
          <w:tcPr>
            <w:tcW w:w="694" w:type="dxa"/>
            <w:tcBorders>
              <w:top w:val="single" w:color="auto" w:sz="6" w:space="0"/>
              <w:left w:val="single" w:color="auto" w:sz="12" w:space="0"/>
              <w:bottom w:val="single" w:color="auto" w:sz="6" w:space="0"/>
              <w:right w:val="single" w:color="auto" w:sz="6" w:space="0"/>
            </w:tcBorders>
            <w:vAlign w:val="center"/>
          </w:tcPr>
          <w:p w14:paraId="1F438954">
            <w:pPr>
              <w:autoSpaceDE w:val="0"/>
              <w:autoSpaceDN w:val="0"/>
              <w:adjustRightInd w:val="0"/>
              <w:snapToGrid w:val="0"/>
              <w:spacing w:line="240" w:lineRule="auto"/>
              <w:jc w:val="center"/>
              <w:rPr>
                <w:rFonts w:ascii="宋体" w:cs="楷体_GB2312"/>
                <w:b/>
                <w:bCs/>
                <w:color w:val="auto"/>
                <w:szCs w:val="21"/>
                <w:highlight w:val="none"/>
                <w:lang w:val="zh-CN"/>
              </w:rPr>
            </w:pPr>
            <w:r>
              <w:rPr>
                <w:rFonts w:ascii="宋体" w:hAnsi="宋体" w:cs="楷体_GB2312"/>
                <w:b/>
                <w:bCs/>
                <w:color w:val="auto"/>
                <w:szCs w:val="21"/>
                <w:highlight w:val="none"/>
                <w:lang w:val="zh-CN"/>
              </w:rPr>
              <w:t>2</w:t>
            </w:r>
          </w:p>
        </w:tc>
        <w:tc>
          <w:tcPr>
            <w:tcW w:w="1874" w:type="dxa"/>
            <w:tcBorders>
              <w:top w:val="single" w:color="auto" w:sz="6" w:space="0"/>
              <w:left w:val="single" w:color="auto" w:sz="6" w:space="0"/>
              <w:bottom w:val="single" w:color="auto" w:sz="6" w:space="0"/>
              <w:right w:val="single" w:color="auto" w:sz="6" w:space="0"/>
            </w:tcBorders>
            <w:vAlign w:val="center"/>
          </w:tcPr>
          <w:p w14:paraId="721EC0BB">
            <w:pPr>
              <w:autoSpaceDE w:val="0"/>
              <w:autoSpaceDN w:val="0"/>
              <w:adjustRightInd w:val="0"/>
              <w:snapToGrid w:val="0"/>
              <w:spacing w:line="240" w:lineRule="auto"/>
              <w:jc w:val="center"/>
              <w:rPr>
                <w:rFonts w:ascii="宋体" w:cs="楷体_GB2312"/>
                <w:b/>
                <w:bCs/>
                <w:color w:val="auto"/>
                <w:sz w:val="24"/>
                <w:highlight w:val="none"/>
                <w:lang w:val="zh-CN"/>
              </w:rPr>
            </w:pPr>
            <w:r>
              <w:rPr>
                <w:rFonts w:hint="eastAsia" w:ascii="宋体" w:hAnsi="宋体" w:cs="楷体_GB2312"/>
                <w:b/>
                <w:bCs/>
                <w:color w:val="auto"/>
                <w:sz w:val="24"/>
                <w:highlight w:val="none"/>
                <w:lang w:val="zh-CN"/>
              </w:rPr>
              <w:t>标段（包）内容（范围）及基本技术要求</w:t>
            </w:r>
          </w:p>
        </w:tc>
        <w:tc>
          <w:tcPr>
            <w:tcW w:w="6579" w:type="dxa"/>
            <w:tcBorders>
              <w:top w:val="single" w:color="auto" w:sz="6" w:space="0"/>
              <w:left w:val="single" w:color="auto" w:sz="6" w:space="0"/>
              <w:bottom w:val="single" w:color="auto" w:sz="6" w:space="0"/>
              <w:right w:val="single" w:color="auto" w:sz="12" w:space="0"/>
            </w:tcBorders>
            <w:vAlign w:val="center"/>
          </w:tcPr>
          <w:p w14:paraId="7195A5E6">
            <w:pPr>
              <w:autoSpaceDE w:val="0"/>
              <w:autoSpaceDN w:val="0"/>
              <w:adjustRightInd w:val="0"/>
              <w:snapToGrid w:val="0"/>
              <w:spacing w:before="156" w:beforeLines="50" w:line="240" w:lineRule="auto"/>
              <w:rPr>
                <w:rFonts w:ascii="宋体" w:cs="楷体_GB2312"/>
                <w:color w:val="auto"/>
                <w:sz w:val="24"/>
                <w:highlight w:val="none"/>
                <w:lang w:val="zh-CN"/>
              </w:rPr>
            </w:pPr>
            <w:r>
              <w:rPr>
                <w:rFonts w:hint="eastAsia" w:ascii="宋体" w:hAnsi="宋体" w:cs="楷体_GB2312"/>
                <w:color w:val="auto"/>
                <w:sz w:val="24"/>
                <w:highlight w:val="none"/>
                <w:lang w:val="zh-CN"/>
              </w:rPr>
              <w:t>见“第二</w:t>
            </w:r>
            <w:r>
              <w:rPr>
                <w:rFonts w:hint="eastAsia"/>
                <w:color w:val="auto"/>
                <w:sz w:val="24"/>
                <w:szCs w:val="24"/>
                <w:highlight w:val="none"/>
              </w:rPr>
              <w:t>章</w:t>
            </w:r>
            <w:r>
              <w:rPr>
                <w:rFonts w:hint="eastAsia" w:ascii="宋体" w:hAnsi="宋体" w:cs="楷体_GB2312"/>
                <w:color w:val="auto"/>
                <w:sz w:val="24"/>
                <w:highlight w:val="none"/>
                <w:lang w:val="zh-CN"/>
              </w:rPr>
              <w:t>采购项目及技术服务要求”</w:t>
            </w:r>
            <w:r>
              <w:rPr>
                <w:rFonts w:hint="eastAsia"/>
                <w:color w:val="auto"/>
                <w:sz w:val="24"/>
                <w:szCs w:val="24"/>
                <w:highlight w:val="none"/>
              </w:rPr>
              <w:t>相应条款</w:t>
            </w:r>
          </w:p>
        </w:tc>
      </w:tr>
      <w:tr w14:paraId="28EEE4D9">
        <w:tblPrEx>
          <w:tblCellMar>
            <w:top w:w="0" w:type="dxa"/>
            <w:left w:w="108" w:type="dxa"/>
            <w:bottom w:w="0" w:type="dxa"/>
            <w:right w:w="108" w:type="dxa"/>
          </w:tblCellMar>
        </w:tblPrEx>
        <w:trPr>
          <w:trHeight w:val="321" w:hRule="atLeast"/>
          <w:jc w:val="center"/>
        </w:trPr>
        <w:tc>
          <w:tcPr>
            <w:tcW w:w="608" w:type="dxa"/>
            <w:vMerge w:val="continue"/>
            <w:tcBorders>
              <w:left w:val="single" w:color="auto" w:sz="12" w:space="0"/>
              <w:right w:val="single" w:color="auto" w:sz="6" w:space="0"/>
            </w:tcBorders>
          </w:tcPr>
          <w:p w14:paraId="5D5A3F67">
            <w:pPr>
              <w:autoSpaceDE w:val="0"/>
              <w:autoSpaceDN w:val="0"/>
              <w:adjustRightInd w:val="0"/>
              <w:snapToGrid w:val="0"/>
              <w:spacing w:line="240" w:lineRule="auto"/>
              <w:jc w:val="center"/>
              <w:rPr>
                <w:rFonts w:ascii="宋体" w:cs="楷体_GB2312"/>
                <w:b/>
                <w:bCs/>
                <w:color w:val="auto"/>
                <w:sz w:val="24"/>
                <w:highlight w:val="none"/>
                <w:lang w:val="zh-CN"/>
              </w:rPr>
            </w:pPr>
          </w:p>
        </w:tc>
        <w:tc>
          <w:tcPr>
            <w:tcW w:w="694" w:type="dxa"/>
            <w:tcBorders>
              <w:top w:val="single" w:color="auto" w:sz="6" w:space="0"/>
              <w:left w:val="single" w:color="auto" w:sz="12" w:space="0"/>
              <w:bottom w:val="single" w:color="auto" w:sz="6" w:space="0"/>
              <w:right w:val="single" w:color="auto" w:sz="6" w:space="0"/>
            </w:tcBorders>
            <w:vAlign w:val="center"/>
          </w:tcPr>
          <w:p w14:paraId="2976569D">
            <w:pPr>
              <w:autoSpaceDE w:val="0"/>
              <w:autoSpaceDN w:val="0"/>
              <w:adjustRightInd w:val="0"/>
              <w:snapToGrid w:val="0"/>
              <w:spacing w:line="240" w:lineRule="auto"/>
              <w:jc w:val="center"/>
              <w:rPr>
                <w:rFonts w:ascii="宋体" w:cs="楷体_GB2312"/>
                <w:b/>
                <w:bCs/>
                <w:color w:val="auto"/>
                <w:szCs w:val="21"/>
                <w:highlight w:val="none"/>
                <w:lang w:val="zh-CN"/>
              </w:rPr>
            </w:pPr>
            <w:r>
              <w:rPr>
                <w:rFonts w:ascii="宋体" w:hAnsi="宋体" w:cs="楷体_GB2312"/>
                <w:b/>
                <w:bCs/>
                <w:color w:val="auto"/>
                <w:szCs w:val="21"/>
                <w:highlight w:val="none"/>
                <w:lang w:val="zh-CN"/>
              </w:rPr>
              <w:t>2.</w:t>
            </w:r>
            <w:r>
              <w:rPr>
                <w:rFonts w:hint="eastAsia" w:ascii="宋体" w:hAnsi="宋体" w:cs="楷体_GB2312"/>
                <w:b/>
                <w:bCs/>
                <w:color w:val="auto"/>
                <w:szCs w:val="21"/>
                <w:highlight w:val="none"/>
                <w:lang w:val="zh-CN"/>
              </w:rPr>
              <w:t>7</w:t>
            </w:r>
          </w:p>
        </w:tc>
        <w:tc>
          <w:tcPr>
            <w:tcW w:w="1874" w:type="dxa"/>
            <w:tcBorders>
              <w:top w:val="single" w:color="auto" w:sz="6" w:space="0"/>
              <w:left w:val="single" w:color="auto" w:sz="6" w:space="0"/>
              <w:bottom w:val="single" w:color="auto" w:sz="6" w:space="0"/>
              <w:right w:val="single" w:color="auto" w:sz="6" w:space="0"/>
            </w:tcBorders>
            <w:vAlign w:val="center"/>
          </w:tcPr>
          <w:p w14:paraId="23AFEC06">
            <w:pPr>
              <w:autoSpaceDE w:val="0"/>
              <w:autoSpaceDN w:val="0"/>
              <w:adjustRightInd w:val="0"/>
              <w:snapToGrid w:val="0"/>
              <w:spacing w:line="240" w:lineRule="auto"/>
              <w:jc w:val="center"/>
              <w:rPr>
                <w:rFonts w:ascii="宋体" w:cs="楷体_GB2312"/>
                <w:b/>
                <w:bCs/>
                <w:color w:val="auto"/>
                <w:sz w:val="24"/>
                <w:highlight w:val="none"/>
                <w:lang w:val="zh-CN"/>
              </w:rPr>
            </w:pPr>
            <w:r>
              <w:rPr>
                <w:rFonts w:hint="eastAsia" w:ascii="宋体" w:hAnsi="宋体" w:cs="楷体_GB2312"/>
                <w:b/>
                <w:bCs/>
                <w:color w:val="auto"/>
                <w:sz w:val="24"/>
                <w:highlight w:val="none"/>
                <w:lang w:val="zh-CN"/>
              </w:rPr>
              <w:t>技术偏离</w:t>
            </w:r>
          </w:p>
        </w:tc>
        <w:tc>
          <w:tcPr>
            <w:tcW w:w="6579" w:type="dxa"/>
            <w:tcBorders>
              <w:top w:val="single" w:color="auto" w:sz="6" w:space="0"/>
              <w:left w:val="single" w:color="auto" w:sz="6" w:space="0"/>
              <w:bottom w:val="single" w:color="auto" w:sz="6" w:space="0"/>
              <w:right w:val="single" w:color="auto" w:sz="12" w:space="0"/>
            </w:tcBorders>
            <w:vAlign w:val="center"/>
          </w:tcPr>
          <w:p w14:paraId="058B3EF1">
            <w:pPr>
              <w:autoSpaceDE w:val="0"/>
              <w:autoSpaceDN w:val="0"/>
              <w:adjustRightInd w:val="0"/>
              <w:snapToGrid w:val="0"/>
              <w:spacing w:before="156" w:beforeLines="50" w:line="240" w:lineRule="auto"/>
              <w:rPr>
                <w:rFonts w:ascii="宋体" w:cs="楷体_GB2312"/>
                <w:color w:val="auto"/>
                <w:sz w:val="24"/>
                <w:highlight w:val="none"/>
                <w:lang w:val="zh-CN"/>
              </w:rPr>
            </w:pPr>
            <w:r>
              <w:rPr>
                <w:rFonts w:hint="eastAsia" w:ascii="宋体" w:hAnsi="宋体" w:cs="楷体_GB2312"/>
                <w:color w:val="auto"/>
                <w:sz w:val="24"/>
                <w:highlight w:val="none"/>
                <w:lang w:val="zh-CN"/>
              </w:rPr>
              <w:t>见“第二</w:t>
            </w:r>
            <w:r>
              <w:rPr>
                <w:rFonts w:hint="eastAsia"/>
                <w:color w:val="auto"/>
                <w:sz w:val="24"/>
                <w:szCs w:val="24"/>
                <w:highlight w:val="none"/>
              </w:rPr>
              <w:t>章</w:t>
            </w:r>
            <w:r>
              <w:rPr>
                <w:rFonts w:hint="eastAsia" w:ascii="宋体" w:hAnsi="宋体" w:cs="楷体_GB2312"/>
                <w:color w:val="auto"/>
                <w:sz w:val="24"/>
                <w:highlight w:val="none"/>
                <w:lang w:val="zh-CN"/>
              </w:rPr>
              <w:t>采购项目及技术服务要求”</w:t>
            </w:r>
            <w:r>
              <w:rPr>
                <w:rFonts w:hint="eastAsia"/>
                <w:color w:val="auto"/>
                <w:sz w:val="24"/>
                <w:szCs w:val="24"/>
                <w:highlight w:val="none"/>
              </w:rPr>
              <w:t>相应条款</w:t>
            </w:r>
          </w:p>
        </w:tc>
      </w:tr>
      <w:tr w14:paraId="651C6DC6">
        <w:tblPrEx>
          <w:tblCellMar>
            <w:top w:w="0" w:type="dxa"/>
            <w:left w:w="108" w:type="dxa"/>
            <w:bottom w:w="0" w:type="dxa"/>
            <w:right w:w="108" w:type="dxa"/>
          </w:tblCellMar>
        </w:tblPrEx>
        <w:trPr>
          <w:trHeight w:val="303" w:hRule="atLeast"/>
          <w:jc w:val="center"/>
        </w:trPr>
        <w:tc>
          <w:tcPr>
            <w:tcW w:w="608" w:type="dxa"/>
            <w:vMerge w:val="continue"/>
            <w:tcBorders>
              <w:left w:val="single" w:color="auto" w:sz="12" w:space="0"/>
              <w:bottom w:val="single" w:color="auto" w:sz="6" w:space="0"/>
              <w:right w:val="single" w:color="auto" w:sz="6" w:space="0"/>
            </w:tcBorders>
          </w:tcPr>
          <w:p w14:paraId="3AB89E18">
            <w:pPr>
              <w:autoSpaceDE w:val="0"/>
              <w:autoSpaceDN w:val="0"/>
              <w:adjustRightInd w:val="0"/>
              <w:snapToGrid w:val="0"/>
              <w:spacing w:line="240" w:lineRule="auto"/>
              <w:jc w:val="center"/>
              <w:rPr>
                <w:rFonts w:ascii="宋体" w:cs="楷体_GB2312"/>
                <w:b/>
                <w:bCs/>
                <w:color w:val="auto"/>
                <w:sz w:val="24"/>
                <w:highlight w:val="none"/>
                <w:lang w:val="zh-CN"/>
              </w:rPr>
            </w:pPr>
          </w:p>
        </w:tc>
        <w:tc>
          <w:tcPr>
            <w:tcW w:w="694" w:type="dxa"/>
            <w:tcBorders>
              <w:top w:val="single" w:color="auto" w:sz="6" w:space="0"/>
              <w:left w:val="single" w:color="auto" w:sz="12" w:space="0"/>
              <w:bottom w:val="single" w:color="auto" w:sz="6" w:space="0"/>
              <w:right w:val="single" w:color="auto" w:sz="6" w:space="0"/>
            </w:tcBorders>
            <w:vAlign w:val="center"/>
          </w:tcPr>
          <w:p w14:paraId="74E6573F">
            <w:pPr>
              <w:autoSpaceDE w:val="0"/>
              <w:autoSpaceDN w:val="0"/>
              <w:adjustRightInd w:val="0"/>
              <w:snapToGrid w:val="0"/>
              <w:spacing w:line="240" w:lineRule="auto"/>
              <w:jc w:val="center"/>
              <w:rPr>
                <w:rFonts w:ascii="宋体" w:cs="楷体_GB2312"/>
                <w:b/>
                <w:bCs/>
                <w:color w:val="auto"/>
                <w:szCs w:val="21"/>
                <w:highlight w:val="none"/>
                <w:lang w:val="zh-CN"/>
              </w:rPr>
            </w:pPr>
            <w:r>
              <w:rPr>
                <w:rFonts w:hint="eastAsia" w:ascii="宋体" w:hAnsi="宋体" w:cs="楷体_GB2312"/>
                <w:b/>
                <w:bCs/>
                <w:color w:val="auto"/>
                <w:szCs w:val="21"/>
                <w:highlight w:val="none"/>
                <w:lang w:val="zh-CN"/>
              </w:rPr>
              <w:t>2.8</w:t>
            </w:r>
          </w:p>
        </w:tc>
        <w:tc>
          <w:tcPr>
            <w:tcW w:w="1874" w:type="dxa"/>
            <w:tcBorders>
              <w:top w:val="single" w:color="auto" w:sz="6" w:space="0"/>
              <w:left w:val="single" w:color="auto" w:sz="6" w:space="0"/>
              <w:bottom w:val="single" w:color="auto" w:sz="6" w:space="0"/>
              <w:right w:val="single" w:color="auto" w:sz="6" w:space="0"/>
            </w:tcBorders>
            <w:vAlign w:val="center"/>
          </w:tcPr>
          <w:p w14:paraId="014287D7">
            <w:pPr>
              <w:autoSpaceDE w:val="0"/>
              <w:autoSpaceDN w:val="0"/>
              <w:adjustRightInd w:val="0"/>
              <w:snapToGrid w:val="0"/>
              <w:spacing w:line="240" w:lineRule="auto"/>
              <w:jc w:val="center"/>
              <w:rPr>
                <w:rFonts w:ascii="宋体" w:cs="楷体_GB2312"/>
                <w:b/>
                <w:bCs/>
                <w:color w:val="auto"/>
                <w:sz w:val="24"/>
                <w:highlight w:val="none"/>
                <w:lang w:val="zh-CN"/>
              </w:rPr>
            </w:pPr>
            <w:r>
              <w:rPr>
                <w:rFonts w:hint="eastAsia" w:ascii="宋体" w:hAnsi="宋体" w:cs="楷体_GB2312"/>
                <w:b/>
                <w:bCs/>
                <w:color w:val="auto"/>
                <w:sz w:val="24"/>
                <w:highlight w:val="none"/>
                <w:lang w:val="zh-CN"/>
              </w:rPr>
              <w:t>售后服务</w:t>
            </w:r>
          </w:p>
        </w:tc>
        <w:tc>
          <w:tcPr>
            <w:tcW w:w="6579" w:type="dxa"/>
            <w:tcBorders>
              <w:top w:val="single" w:color="auto" w:sz="6" w:space="0"/>
              <w:left w:val="single" w:color="auto" w:sz="6" w:space="0"/>
              <w:bottom w:val="single" w:color="auto" w:sz="6" w:space="0"/>
              <w:right w:val="single" w:color="auto" w:sz="12" w:space="0"/>
            </w:tcBorders>
            <w:vAlign w:val="center"/>
          </w:tcPr>
          <w:p w14:paraId="7D008F27">
            <w:pPr>
              <w:autoSpaceDE w:val="0"/>
              <w:autoSpaceDN w:val="0"/>
              <w:adjustRightInd w:val="0"/>
              <w:snapToGrid w:val="0"/>
              <w:spacing w:before="156" w:beforeLines="50" w:line="240" w:lineRule="auto"/>
              <w:rPr>
                <w:rFonts w:ascii="宋体" w:cs="楷体_GB2312"/>
                <w:color w:val="auto"/>
                <w:sz w:val="24"/>
                <w:highlight w:val="none"/>
                <w:lang w:val="zh-CN"/>
              </w:rPr>
            </w:pPr>
            <w:r>
              <w:rPr>
                <w:rFonts w:hint="eastAsia" w:ascii="宋体" w:hAnsi="宋体" w:cs="楷体_GB2312"/>
                <w:color w:val="auto"/>
                <w:sz w:val="24"/>
                <w:highlight w:val="none"/>
                <w:lang w:val="zh-CN"/>
              </w:rPr>
              <w:t>见“第二章</w:t>
            </w:r>
            <w:r>
              <w:rPr>
                <w:rFonts w:ascii="宋体" w:hAnsi="宋体" w:cs="楷体_GB2312"/>
                <w:color w:val="auto"/>
                <w:sz w:val="24"/>
                <w:highlight w:val="none"/>
                <w:lang w:val="zh-CN"/>
              </w:rPr>
              <w:t xml:space="preserve"> </w:t>
            </w:r>
            <w:r>
              <w:rPr>
                <w:rFonts w:hint="eastAsia" w:ascii="宋体" w:hAnsi="宋体" w:cs="楷体_GB2312"/>
                <w:color w:val="auto"/>
                <w:sz w:val="24"/>
                <w:highlight w:val="none"/>
                <w:lang w:val="zh-CN"/>
              </w:rPr>
              <w:t>采购项目及技术服务要求”</w:t>
            </w:r>
            <w:r>
              <w:rPr>
                <w:rFonts w:hint="eastAsia"/>
                <w:color w:val="auto"/>
                <w:sz w:val="24"/>
                <w:szCs w:val="24"/>
                <w:highlight w:val="none"/>
              </w:rPr>
              <w:t>相应条款</w:t>
            </w:r>
          </w:p>
        </w:tc>
      </w:tr>
      <w:tr w14:paraId="321EEFBF">
        <w:tblPrEx>
          <w:tblCellMar>
            <w:top w:w="0" w:type="dxa"/>
            <w:left w:w="108" w:type="dxa"/>
            <w:bottom w:w="0" w:type="dxa"/>
            <w:right w:w="108" w:type="dxa"/>
          </w:tblCellMar>
        </w:tblPrEx>
        <w:trPr>
          <w:trHeight w:val="366" w:hRule="atLeast"/>
          <w:jc w:val="center"/>
        </w:trPr>
        <w:tc>
          <w:tcPr>
            <w:tcW w:w="608" w:type="dxa"/>
            <w:vMerge w:val="restart"/>
            <w:tcBorders>
              <w:top w:val="single" w:color="auto" w:sz="6" w:space="0"/>
              <w:left w:val="single" w:color="auto" w:sz="12" w:space="0"/>
              <w:right w:val="single" w:color="auto" w:sz="6" w:space="0"/>
            </w:tcBorders>
          </w:tcPr>
          <w:p w14:paraId="6373F02F">
            <w:pPr>
              <w:autoSpaceDE w:val="0"/>
              <w:autoSpaceDN w:val="0"/>
              <w:adjustRightInd w:val="0"/>
              <w:snapToGrid w:val="0"/>
              <w:spacing w:line="240" w:lineRule="auto"/>
              <w:jc w:val="center"/>
              <w:rPr>
                <w:rFonts w:ascii="宋体" w:cs="楷体_GB2312"/>
                <w:b/>
                <w:bCs/>
                <w:color w:val="auto"/>
                <w:sz w:val="24"/>
                <w:highlight w:val="none"/>
                <w:lang w:val="zh-CN"/>
              </w:rPr>
            </w:pPr>
            <w:r>
              <w:rPr>
                <w:rFonts w:hint="eastAsia" w:ascii="宋体" w:hAnsi="宋体" w:cs="楷体_GB2312"/>
                <w:b/>
                <w:bCs/>
                <w:color w:val="auto"/>
                <w:sz w:val="24"/>
                <w:highlight w:val="none"/>
                <w:lang w:val="zh-CN"/>
              </w:rPr>
              <w:t>第三章</w:t>
            </w:r>
          </w:p>
        </w:tc>
        <w:tc>
          <w:tcPr>
            <w:tcW w:w="694" w:type="dxa"/>
            <w:tcBorders>
              <w:top w:val="single" w:color="auto" w:sz="6" w:space="0"/>
              <w:left w:val="single" w:color="auto" w:sz="12" w:space="0"/>
              <w:bottom w:val="single" w:color="auto" w:sz="6" w:space="0"/>
              <w:right w:val="single" w:color="auto" w:sz="6" w:space="0"/>
            </w:tcBorders>
            <w:vAlign w:val="center"/>
          </w:tcPr>
          <w:p w14:paraId="34682120">
            <w:pPr>
              <w:autoSpaceDE w:val="0"/>
              <w:autoSpaceDN w:val="0"/>
              <w:adjustRightInd w:val="0"/>
              <w:snapToGrid w:val="0"/>
              <w:spacing w:line="240" w:lineRule="auto"/>
              <w:jc w:val="center"/>
              <w:rPr>
                <w:rFonts w:ascii="宋体" w:cs="楷体_GB2312"/>
                <w:b/>
                <w:bCs/>
                <w:color w:val="auto"/>
                <w:szCs w:val="21"/>
                <w:highlight w:val="none"/>
                <w:lang w:val="zh-CN"/>
              </w:rPr>
            </w:pPr>
            <w:r>
              <w:rPr>
                <w:rFonts w:ascii="宋体" w:hAnsi="宋体" w:cs="楷体_GB2312"/>
                <w:b/>
                <w:bCs/>
                <w:color w:val="auto"/>
                <w:szCs w:val="21"/>
                <w:highlight w:val="none"/>
                <w:lang w:val="zh-CN"/>
              </w:rPr>
              <w:t>1.4</w:t>
            </w:r>
          </w:p>
        </w:tc>
        <w:tc>
          <w:tcPr>
            <w:tcW w:w="1874" w:type="dxa"/>
            <w:tcBorders>
              <w:top w:val="single" w:color="auto" w:sz="6" w:space="0"/>
              <w:left w:val="single" w:color="auto" w:sz="6" w:space="0"/>
              <w:bottom w:val="single" w:color="auto" w:sz="6" w:space="0"/>
              <w:right w:val="single" w:color="auto" w:sz="6" w:space="0"/>
            </w:tcBorders>
            <w:vAlign w:val="center"/>
          </w:tcPr>
          <w:p w14:paraId="7F40B697">
            <w:pPr>
              <w:autoSpaceDE w:val="0"/>
              <w:autoSpaceDN w:val="0"/>
              <w:adjustRightInd w:val="0"/>
              <w:snapToGrid w:val="0"/>
              <w:spacing w:line="240" w:lineRule="auto"/>
              <w:jc w:val="center"/>
              <w:rPr>
                <w:rFonts w:ascii="宋体" w:cs="楷体_GB2312"/>
                <w:b/>
                <w:bCs/>
                <w:color w:val="auto"/>
                <w:sz w:val="24"/>
                <w:highlight w:val="none"/>
                <w:lang w:val="zh-CN"/>
              </w:rPr>
            </w:pPr>
            <w:r>
              <w:rPr>
                <w:rFonts w:hint="eastAsia" w:ascii="宋体" w:hAnsi="宋体" w:cs="楷体_GB2312"/>
                <w:b/>
                <w:bCs/>
                <w:color w:val="auto"/>
                <w:sz w:val="24"/>
                <w:highlight w:val="none"/>
                <w:lang w:val="zh-CN"/>
              </w:rPr>
              <w:t>联合体投标</w:t>
            </w:r>
          </w:p>
        </w:tc>
        <w:tc>
          <w:tcPr>
            <w:tcW w:w="6579" w:type="dxa"/>
            <w:tcBorders>
              <w:top w:val="single" w:color="auto" w:sz="6" w:space="0"/>
              <w:left w:val="single" w:color="auto" w:sz="6" w:space="0"/>
              <w:bottom w:val="single" w:color="auto" w:sz="6" w:space="0"/>
              <w:right w:val="single" w:color="auto" w:sz="12" w:space="0"/>
            </w:tcBorders>
            <w:vAlign w:val="center"/>
          </w:tcPr>
          <w:p w14:paraId="101996CC">
            <w:pPr>
              <w:autoSpaceDE w:val="0"/>
              <w:autoSpaceDN w:val="0"/>
              <w:adjustRightInd w:val="0"/>
              <w:snapToGrid w:val="0"/>
              <w:spacing w:before="156" w:beforeLines="50" w:line="240" w:lineRule="auto"/>
              <w:rPr>
                <w:rFonts w:ascii="宋体" w:cs="楷体_GB2312"/>
                <w:color w:val="auto"/>
                <w:sz w:val="24"/>
                <w:highlight w:val="none"/>
                <w:lang w:val="zh-CN"/>
              </w:rPr>
            </w:pPr>
            <w:r>
              <w:rPr>
                <w:rFonts w:hint="eastAsia" w:ascii="宋体" w:hAnsi="宋体" w:cs="楷体_GB2312"/>
                <w:color w:val="auto"/>
                <w:sz w:val="24"/>
                <w:highlight w:val="none"/>
                <w:lang w:val="zh-CN"/>
              </w:rPr>
              <w:t xml:space="preserve">不接受  </w:t>
            </w:r>
          </w:p>
        </w:tc>
      </w:tr>
      <w:tr w14:paraId="7D536518">
        <w:tblPrEx>
          <w:tblCellMar>
            <w:top w:w="0" w:type="dxa"/>
            <w:left w:w="108" w:type="dxa"/>
            <w:bottom w:w="0" w:type="dxa"/>
            <w:right w:w="108" w:type="dxa"/>
          </w:tblCellMar>
        </w:tblPrEx>
        <w:trPr>
          <w:trHeight w:val="447" w:hRule="atLeast"/>
          <w:jc w:val="center"/>
        </w:trPr>
        <w:tc>
          <w:tcPr>
            <w:tcW w:w="608" w:type="dxa"/>
            <w:vMerge w:val="continue"/>
            <w:tcBorders>
              <w:left w:val="single" w:color="auto" w:sz="12" w:space="0"/>
              <w:right w:val="single" w:color="auto" w:sz="6" w:space="0"/>
            </w:tcBorders>
          </w:tcPr>
          <w:p w14:paraId="536040B1">
            <w:pPr>
              <w:autoSpaceDE w:val="0"/>
              <w:autoSpaceDN w:val="0"/>
              <w:adjustRightInd w:val="0"/>
              <w:snapToGrid w:val="0"/>
              <w:spacing w:line="240" w:lineRule="auto"/>
              <w:jc w:val="center"/>
              <w:rPr>
                <w:rFonts w:ascii="宋体" w:cs="楷体_GB2312"/>
                <w:b/>
                <w:bCs/>
                <w:color w:val="auto"/>
                <w:sz w:val="24"/>
                <w:highlight w:val="none"/>
              </w:rPr>
            </w:pPr>
          </w:p>
        </w:tc>
        <w:tc>
          <w:tcPr>
            <w:tcW w:w="694" w:type="dxa"/>
            <w:tcBorders>
              <w:top w:val="single" w:color="auto" w:sz="6" w:space="0"/>
              <w:left w:val="single" w:color="auto" w:sz="12" w:space="0"/>
              <w:bottom w:val="single" w:color="auto" w:sz="6" w:space="0"/>
              <w:right w:val="single" w:color="auto" w:sz="6" w:space="0"/>
            </w:tcBorders>
            <w:vAlign w:val="center"/>
          </w:tcPr>
          <w:p w14:paraId="07F0432C">
            <w:pPr>
              <w:autoSpaceDE w:val="0"/>
              <w:autoSpaceDN w:val="0"/>
              <w:adjustRightInd w:val="0"/>
              <w:snapToGrid w:val="0"/>
              <w:spacing w:line="240" w:lineRule="auto"/>
              <w:jc w:val="center"/>
              <w:rPr>
                <w:rFonts w:ascii="宋体" w:cs="楷体_GB2312"/>
                <w:b/>
                <w:bCs/>
                <w:color w:val="auto"/>
                <w:szCs w:val="21"/>
                <w:highlight w:val="none"/>
              </w:rPr>
            </w:pPr>
            <w:r>
              <w:rPr>
                <w:rFonts w:ascii="宋体" w:hAnsi="宋体" w:cs="楷体_GB2312"/>
                <w:b/>
                <w:bCs/>
                <w:color w:val="auto"/>
                <w:szCs w:val="21"/>
                <w:highlight w:val="none"/>
              </w:rPr>
              <w:t>1.</w:t>
            </w:r>
            <w:r>
              <w:rPr>
                <w:rFonts w:hint="eastAsia" w:ascii="宋体" w:hAnsi="宋体" w:cs="楷体_GB2312"/>
                <w:b/>
                <w:bCs/>
                <w:color w:val="auto"/>
                <w:szCs w:val="21"/>
                <w:highlight w:val="none"/>
              </w:rPr>
              <w:t>10</w:t>
            </w:r>
          </w:p>
        </w:tc>
        <w:tc>
          <w:tcPr>
            <w:tcW w:w="1874" w:type="dxa"/>
            <w:tcBorders>
              <w:top w:val="single" w:color="auto" w:sz="6" w:space="0"/>
              <w:left w:val="single" w:color="auto" w:sz="6" w:space="0"/>
              <w:bottom w:val="single" w:color="auto" w:sz="6" w:space="0"/>
              <w:right w:val="single" w:color="auto" w:sz="6" w:space="0"/>
            </w:tcBorders>
            <w:vAlign w:val="center"/>
          </w:tcPr>
          <w:p w14:paraId="6F212380">
            <w:pPr>
              <w:autoSpaceDE w:val="0"/>
              <w:autoSpaceDN w:val="0"/>
              <w:adjustRightInd w:val="0"/>
              <w:snapToGrid w:val="0"/>
              <w:spacing w:line="240" w:lineRule="auto"/>
              <w:jc w:val="center"/>
              <w:rPr>
                <w:rFonts w:ascii="宋体" w:cs="楷体_GB2312"/>
                <w:b/>
                <w:bCs/>
                <w:color w:val="auto"/>
                <w:sz w:val="24"/>
                <w:highlight w:val="none"/>
                <w:lang w:val="zh-CN"/>
              </w:rPr>
            </w:pPr>
            <w:r>
              <w:rPr>
                <w:rFonts w:hint="eastAsia" w:ascii="宋体" w:hAnsi="宋体" w:cs="楷体_GB2312"/>
                <w:b/>
                <w:bCs/>
                <w:color w:val="auto"/>
                <w:sz w:val="24"/>
                <w:highlight w:val="none"/>
                <w:lang w:val="zh-CN"/>
              </w:rPr>
              <w:t>踏勘现场</w:t>
            </w:r>
          </w:p>
        </w:tc>
        <w:tc>
          <w:tcPr>
            <w:tcW w:w="6579" w:type="dxa"/>
            <w:tcBorders>
              <w:top w:val="single" w:color="auto" w:sz="6" w:space="0"/>
              <w:left w:val="single" w:color="auto" w:sz="6" w:space="0"/>
              <w:bottom w:val="single" w:color="auto" w:sz="6" w:space="0"/>
              <w:right w:val="single" w:color="auto" w:sz="12" w:space="0"/>
            </w:tcBorders>
            <w:vAlign w:val="center"/>
          </w:tcPr>
          <w:p w14:paraId="196F3F69">
            <w:pPr>
              <w:autoSpaceDE w:val="0"/>
              <w:autoSpaceDN w:val="0"/>
              <w:adjustRightInd w:val="0"/>
              <w:snapToGrid w:val="0"/>
              <w:spacing w:before="156" w:beforeLines="50" w:line="240" w:lineRule="auto"/>
              <w:rPr>
                <w:rFonts w:ascii="宋体" w:cs="楷体_GB2312"/>
                <w:color w:val="auto"/>
                <w:sz w:val="24"/>
                <w:highlight w:val="none"/>
                <w:lang w:val="zh-CN"/>
              </w:rPr>
            </w:pPr>
            <w:r>
              <w:rPr>
                <w:rFonts w:hint="eastAsia" w:ascii="宋体" w:hAnsi="宋体" w:cs="楷体_GB2312"/>
                <w:color w:val="auto"/>
                <w:sz w:val="24"/>
                <w:highlight w:val="none"/>
                <w:lang w:val="zh-CN"/>
              </w:rPr>
              <w:t>不组织</w:t>
            </w:r>
          </w:p>
        </w:tc>
      </w:tr>
      <w:tr w14:paraId="61D98A6B">
        <w:tblPrEx>
          <w:tblCellMar>
            <w:top w:w="0" w:type="dxa"/>
            <w:left w:w="108" w:type="dxa"/>
            <w:bottom w:w="0" w:type="dxa"/>
            <w:right w:w="108" w:type="dxa"/>
          </w:tblCellMar>
        </w:tblPrEx>
        <w:trPr>
          <w:trHeight w:val="447" w:hRule="atLeast"/>
          <w:jc w:val="center"/>
        </w:trPr>
        <w:tc>
          <w:tcPr>
            <w:tcW w:w="608" w:type="dxa"/>
            <w:vMerge w:val="continue"/>
            <w:tcBorders>
              <w:left w:val="single" w:color="auto" w:sz="12" w:space="0"/>
              <w:right w:val="single" w:color="auto" w:sz="6" w:space="0"/>
            </w:tcBorders>
          </w:tcPr>
          <w:p w14:paraId="25B05E7B">
            <w:pPr>
              <w:autoSpaceDE w:val="0"/>
              <w:autoSpaceDN w:val="0"/>
              <w:adjustRightInd w:val="0"/>
              <w:snapToGrid w:val="0"/>
              <w:spacing w:line="240" w:lineRule="auto"/>
              <w:jc w:val="center"/>
              <w:rPr>
                <w:rFonts w:ascii="宋体" w:cs="楷体_GB2312"/>
                <w:b/>
                <w:bCs/>
                <w:color w:val="auto"/>
                <w:sz w:val="24"/>
                <w:highlight w:val="none"/>
              </w:rPr>
            </w:pPr>
          </w:p>
        </w:tc>
        <w:tc>
          <w:tcPr>
            <w:tcW w:w="694" w:type="dxa"/>
            <w:tcBorders>
              <w:top w:val="single" w:color="auto" w:sz="6" w:space="0"/>
              <w:left w:val="single" w:color="auto" w:sz="12" w:space="0"/>
              <w:bottom w:val="single" w:color="auto" w:sz="6" w:space="0"/>
              <w:right w:val="single" w:color="auto" w:sz="6" w:space="0"/>
            </w:tcBorders>
            <w:vAlign w:val="center"/>
          </w:tcPr>
          <w:p w14:paraId="01239A1A">
            <w:pPr>
              <w:autoSpaceDE w:val="0"/>
              <w:autoSpaceDN w:val="0"/>
              <w:adjustRightInd w:val="0"/>
              <w:snapToGrid w:val="0"/>
              <w:spacing w:line="240" w:lineRule="auto"/>
              <w:ind w:right="-88" w:rightChars="-42"/>
              <w:jc w:val="center"/>
              <w:rPr>
                <w:rFonts w:ascii="宋体" w:cs="楷体_GB2312"/>
                <w:b/>
                <w:bCs/>
                <w:color w:val="auto"/>
                <w:szCs w:val="21"/>
                <w:highlight w:val="none"/>
              </w:rPr>
            </w:pPr>
            <w:r>
              <w:rPr>
                <w:rFonts w:ascii="宋体" w:hAnsi="宋体" w:cs="楷体_GB2312"/>
                <w:b/>
                <w:bCs/>
                <w:color w:val="auto"/>
                <w:szCs w:val="21"/>
                <w:highlight w:val="none"/>
              </w:rPr>
              <w:t>1.1</w:t>
            </w:r>
            <w:r>
              <w:rPr>
                <w:rFonts w:hint="eastAsia" w:ascii="宋体" w:hAnsi="宋体" w:cs="楷体_GB2312"/>
                <w:b/>
                <w:bCs/>
                <w:color w:val="auto"/>
                <w:szCs w:val="21"/>
                <w:highlight w:val="none"/>
              </w:rPr>
              <w:t>1</w:t>
            </w:r>
          </w:p>
        </w:tc>
        <w:tc>
          <w:tcPr>
            <w:tcW w:w="1874" w:type="dxa"/>
            <w:tcBorders>
              <w:top w:val="single" w:color="auto" w:sz="6" w:space="0"/>
              <w:left w:val="single" w:color="auto" w:sz="6" w:space="0"/>
              <w:bottom w:val="single" w:color="auto" w:sz="6" w:space="0"/>
              <w:right w:val="single" w:color="auto" w:sz="6" w:space="0"/>
            </w:tcBorders>
            <w:vAlign w:val="center"/>
          </w:tcPr>
          <w:p w14:paraId="2C78FBEA">
            <w:pPr>
              <w:autoSpaceDE w:val="0"/>
              <w:autoSpaceDN w:val="0"/>
              <w:adjustRightInd w:val="0"/>
              <w:snapToGrid w:val="0"/>
              <w:spacing w:line="240" w:lineRule="auto"/>
              <w:jc w:val="center"/>
              <w:rPr>
                <w:rFonts w:ascii="宋体" w:cs="楷体_GB2312"/>
                <w:b/>
                <w:bCs/>
                <w:color w:val="auto"/>
                <w:sz w:val="24"/>
                <w:highlight w:val="none"/>
                <w:lang w:val="zh-CN"/>
              </w:rPr>
            </w:pPr>
            <w:r>
              <w:rPr>
                <w:rFonts w:hint="eastAsia" w:ascii="宋体" w:hAnsi="宋体" w:cs="楷体_GB2312"/>
                <w:b/>
                <w:bCs/>
                <w:color w:val="auto"/>
                <w:sz w:val="24"/>
                <w:highlight w:val="none"/>
                <w:lang w:val="zh-CN"/>
              </w:rPr>
              <w:t>投标预备会</w:t>
            </w:r>
          </w:p>
        </w:tc>
        <w:tc>
          <w:tcPr>
            <w:tcW w:w="6579" w:type="dxa"/>
            <w:tcBorders>
              <w:top w:val="single" w:color="auto" w:sz="6" w:space="0"/>
              <w:left w:val="single" w:color="auto" w:sz="6" w:space="0"/>
              <w:bottom w:val="single" w:color="auto" w:sz="6" w:space="0"/>
              <w:right w:val="single" w:color="auto" w:sz="12" w:space="0"/>
            </w:tcBorders>
            <w:vAlign w:val="center"/>
          </w:tcPr>
          <w:p w14:paraId="7E1AB6E0">
            <w:pPr>
              <w:autoSpaceDE w:val="0"/>
              <w:autoSpaceDN w:val="0"/>
              <w:adjustRightInd w:val="0"/>
              <w:snapToGrid w:val="0"/>
              <w:spacing w:before="156" w:beforeLines="50" w:line="240" w:lineRule="auto"/>
              <w:rPr>
                <w:rFonts w:ascii="宋体" w:cs="楷体_GB2312"/>
                <w:color w:val="auto"/>
                <w:sz w:val="24"/>
                <w:highlight w:val="none"/>
                <w:lang w:val="zh-CN"/>
              </w:rPr>
            </w:pPr>
            <w:r>
              <w:rPr>
                <w:rFonts w:hint="eastAsia" w:ascii="宋体" w:hAnsi="宋体" w:cs="楷体_GB2312"/>
                <w:color w:val="auto"/>
                <w:sz w:val="24"/>
                <w:highlight w:val="none"/>
                <w:lang w:val="zh-CN"/>
              </w:rPr>
              <w:t>不召开</w:t>
            </w:r>
          </w:p>
        </w:tc>
      </w:tr>
      <w:tr w14:paraId="0A89F659">
        <w:tblPrEx>
          <w:tblCellMar>
            <w:top w:w="0" w:type="dxa"/>
            <w:left w:w="108" w:type="dxa"/>
            <w:bottom w:w="0" w:type="dxa"/>
            <w:right w:w="108" w:type="dxa"/>
          </w:tblCellMar>
        </w:tblPrEx>
        <w:trPr>
          <w:trHeight w:val="447" w:hRule="atLeast"/>
          <w:jc w:val="center"/>
        </w:trPr>
        <w:tc>
          <w:tcPr>
            <w:tcW w:w="608" w:type="dxa"/>
            <w:vMerge w:val="continue"/>
            <w:tcBorders>
              <w:left w:val="single" w:color="auto" w:sz="12" w:space="0"/>
              <w:right w:val="single" w:color="auto" w:sz="6" w:space="0"/>
            </w:tcBorders>
          </w:tcPr>
          <w:p w14:paraId="0CB5CA98">
            <w:pPr>
              <w:autoSpaceDE w:val="0"/>
              <w:autoSpaceDN w:val="0"/>
              <w:adjustRightInd w:val="0"/>
              <w:snapToGrid w:val="0"/>
              <w:spacing w:line="240" w:lineRule="auto"/>
              <w:jc w:val="center"/>
              <w:rPr>
                <w:rFonts w:ascii="宋体" w:cs="楷体_GB2312"/>
                <w:b/>
                <w:bCs/>
                <w:color w:val="auto"/>
                <w:sz w:val="24"/>
                <w:highlight w:val="none"/>
              </w:rPr>
            </w:pPr>
          </w:p>
        </w:tc>
        <w:tc>
          <w:tcPr>
            <w:tcW w:w="694" w:type="dxa"/>
            <w:tcBorders>
              <w:top w:val="single" w:color="auto" w:sz="6" w:space="0"/>
              <w:left w:val="single" w:color="auto" w:sz="12" w:space="0"/>
              <w:bottom w:val="single" w:color="auto" w:sz="6" w:space="0"/>
              <w:right w:val="single" w:color="auto" w:sz="6" w:space="0"/>
            </w:tcBorders>
            <w:vAlign w:val="center"/>
          </w:tcPr>
          <w:p w14:paraId="545707C7">
            <w:pPr>
              <w:autoSpaceDE w:val="0"/>
              <w:autoSpaceDN w:val="0"/>
              <w:adjustRightInd w:val="0"/>
              <w:snapToGrid w:val="0"/>
              <w:spacing w:line="240" w:lineRule="auto"/>
              <w:ind w:right="-88" w:rightChars="-42"/>
              <w:jc w:val="center"/>
              <w:rPr>
                <w:rFonts w:ascii="宋体" w:cs="楷体_GB2312"/>
                <w:b/>
                <w:bCs/>
                <w:color w:val="auto"/>
                <w:szCs w:val="21"/>
                <w:highlight w:val="none"/>
              </w:rPr>
            </w:pPr>
            <w:r>
              <w:rPr>
                <w:rFonts w:ascii="宋体" w:hAnsi="宋体" w:cs="楷体_GB2312"/>
                <w:b/>
                <w:bCs/>
                <w:color w:val="auto"/>
                <w:szCs w:val="21"/>
                <w:highlight w:val="none"/>
              </w:rPr>
              <w:t>1.1</w:t>
            </w:r>
            <w:r>
              <w:rPr>
                <w:rFonts w:hint="eastAsia" w:ascii="宋体" w:hAnsi="宋体" w:cs="楷体_GB2312"/>
                <w:b/>
                <w:bCs/>
                <w:color w:val="auto"/>
                <w:szCs w:val="21"/>
                <w:highlight w:val="none"/>
              </w:rPr>
              <w:t>2</w:t>
            </w:r>
          </w:p>
        </w:tc>
        <w:tc>
          <w:tcPr>
            <w:tcW w:w="1874" w:type="dxa"/>
            <w:tcBorders>
              <w:top w:val="single" w:color="auto" w:sz="6" w:space="0"/>
              <w:left w:val="single" w:color="auto" w:sz="6" w:space="0"/>
              <w:bottom w:val="single" w:color="auto" w:sz="6" w:space="0"/>
              <w:right w:val="single" w:color="auto" w:sz="6" w:space="0"/>
            </w:tcBorders>
            <w:vAlign w:val="center"/>
          </w:tcPr>
          <w:p w14:paraId="38CFCFA2">
            <w:pPr>
              <w:autoSpaceDE w:val="0"/>
              <w:autoSpaceDN w:val="0"/>
              <w:adjustRightInd w:val="0"/>
              <w:snapToGrid w:val="0"/>
              <w:spacing w:line="240" w:lineRule="auto"/>
              <w:jc w:val="center"/>
              <w:rPr>
                <w:rFonts w:ascii="宋体" w:cs="楷体_GB2312"/>
                <w:b/>
                <w:bCs/>
                <w:color w:val="auto"/>
                <w:sz w:val="24"/>
                <w:highlight w:val="none"/>
                <w:lang w:val="zh-CN"/>
              </w:rPr>
            </w:pPr>
            <w:r>
              <w:rPr>
                <w:rFonts w:hint="eastAsia" w:ascii="宋体" w:hAnsi="宋体" w:cs="楷体_GB2312"/>
                <w:b/>
                <w:bCs/>
                <w:color w:val="auto"/>
                <w:sz w:val="24"/>
                <w:highlight w:val="none"/>
                <w:lang w:val="zh-CN"/>
              </w:rPr>
              <w:t>分包</w:t>
            </w:r>
          </w:p>
        </w:tc>
        <w:tc>
          <w:tcPr>
            <w:tcW w:w="6579" w:type="dxa"/>
            <w:tcBorders>
              <w:top w:val="single" w:color="auto" w:sz="6" w:space="0"/>
              <w:left w:val="single" w:color="auto" w:sz="6" w:space="0"/>
              <w:bottom w:val="single" w:color="auto" w:sz="6" w:space="0"/>
              <w:right w:val="single" w:color="auto" w:sz="12" w:space="0"/>
            </w:tcBorders>
            <w:vAlign w:val="center"/>
          </w:tcPr>
          <w:p w14:paraId="3E0761FB">
            <w:pPr>
              <w:autoSpaceDE w:val="0"/>
              <w:autoSpaceDN w:val="0"/>
              <w:adjustRightInd w:val="0"/>
              <w:snapToGrid w:val="0"/>
              <w:spacing w:before="156" w:beforeLines="50" w:line="240" w:lineRule="auto"/>
              <w:rPr>
                <w:rFonts w:ascii="宋体" w:hAnsi="宋体" w:cs="楷体_GB2312"/>
                <w:color w:val="auto"/>
                <w:sz w:val="24"/>
                <w:highlight w:val="none"/>
                <w:lang w:val="zh-CN"/>
              </w:rPr>
            </w:pPr>
            <w:r>
              <w:rPr>
                <w:rFonts w:hint="eastAsia" w:ascii="宋体" w:hAnsi="宋体" w:cs="楷体_GB2312"/>
                <w:color w:val="auto"/>
                <w:sz w:val="24"/>
                <w:highlight w:val="none"/>
                <w:lang w:val="zh-CN"/>
              </w:rPr>
              <w:t xml:space="preserve">不允许  </w:t>
            </w:r>
          </w:p>
        </w:tc>
      </w:tr>
      <w:tr w14:paraId="7B09BE15">
        <w:tblPrEx>
          <w:tblCellMar>
            <w:top w:w="0" w:type="dxa"/>
            <w:left w:w="108" w:type="dxa"/>
            <w:bottom w:w="0" w:type="dxa"/>
            <w:right w:w="108" w:type="dxa"/>
          </w:tblCellMar>
        </w:tblPrEx>
        <w:trPr>
          <w:trHeight w:val="447" w:hRule="atLeast"/>
          <w:jc w:val="center"/>
        </w:trPr>
        <w:tc>
          <w:tcPr>
            <w:tcW w:w="608" w:type="dxa"/>
            <w:vMerge w:val="continue"/>
            <w:tcBorders>
              <w:left w:val="single" w:color="auto" w:sz="12" w:space="0"/>
              <w:right w:val="single" w:color="auto" w:sz="6" w:space="0"/>
            </w:tcBorders>
          </w:tcPr>
          <w:p w14:paraId="3D57A3D5">
            <w:pPr>
              <w:autoSpaceDE w:val="0"/>
              <w:autoSpaceDN w:val="0"/>
              <w:adjustRightInd w:val="0"/>
              <w:snapToGrid w:val="0"/>
              <w:spacing w:line="240" w:lineRule="auto"/>
              <w:jc w:val="center"/>
              <w:rPr>
                <w:rFonts w:ascii="宋体" w:cs="楷体_GB2312"/>
                <w:b/>
                <w:bCs/>
                <w:color w:val="auto"/>
                <w:sz w:val="24"/>
                <w:highlight w:val="none"/>
              </w:rPr>
            </w:pPr>
          </w:p>
        </w:tc>
        <w:tc>
          <w:tcPr>
            <w:tcW w:w="694" w:type="dxa"/>
            <w:tcBorders>
              <w:top w:val="single" w:color="auto" w:sz="6" w:space="0"/>
              <w:left w:val="single" w:color="auto" w:sz="12" w:space="0"/>
              <w:bottom w:val="single" w:color="auto" w:sz="6" w:space="0"/>
              <w:right w:val="single" w:color="auto" w:sz="6" w:space="0"/>
            </w:tcBorders>
            <w:vAlign w:val="center"/>
          </w:tcPr>
          <w:p w14:paraId="488E8E4F">
            <w:pPr>
              <w:autoSpaceDE w:val="0"/>
              <w:autoSpaceDN w:val="0"/>
              <w:adjustRightInd w:val="0"/>
              <w:snapToGrid w:val="0"/>
              <w:spacing w:line="240" w:lineRule="auto"/>
              <w:ind w:right="-88" w:rightChars="-42"/>
              <w:jc w:val="center"/>
              <w:rPr>
                <w:rFonts w:ascii="宋体" w:cs="楷体_GB2312"/>
                <w:b/>
                <w:bCs/>
                <w:color w:val="auto"/>
                <w:szCs w:val="21"/>
                <w:highlight w:val="none"/>
              </w:rPr>
            </w:pPr>
            <w:r>
              <w:rPr>
                <w:rFonts w:ascii="宋体" w:hAnsi="宋体" w:cs="楷体_GB2312"/>
                <w:b/>
                <w:bCs/>
                <w:color w:val="auto"/>
                <w:szCs w:val="21"/>
                <w:highlight w:val="none"/>
              </w:rPr>
              <w:t>2.1</w:t>
            </w:r>
          </w:p>
        </w:tc>
        <w:tc>
          <w:tcPr>
            <w:tcW w:w="1874" w:type="dxa"/>
            <w:tcBorders>
              <w:top w:val="single" w:color="auto" w:sz="6" w:space="0"/>
              <w:left w:val="single" w:color="auto" w:sz="6" w:space="0"/>
              <w:bottom w:val="single" w:color="auto" w:sz="6" w:space="0"/>
              <w:right w:val="single" w:color="auto" w:sz="6" w:space="0"/>
            </w:tcBorders>
            <w:vAlign w:val="center"/>
          </w:tcPr>
          <w:p w14:paraId="2E07E74E">
            <w:pPr>
              <w:autoSpaceDE w:val="0"/>
              <w:autoSpaceDN w:val="0"/>
              <w:adjustRightInd w:val="0"/>
              <w:snapToGrid w:val="0"/>
              <w:spacing w:line="240" w:lineRule="auto"/>
              <w:jc w:val="center"/>
              <w:rPr>
                <w:rFonts w:ascii="宋体" w:cs="楷体_GB2312"/>
                <w:b/>
                <w:bCs/>
                <w:color w:val="auto"/>
                <w:sz w:val="24"/>
                <w:highlight w:val="none"/>
                <w:lang w:val="zh-CN"/>
              </w:rPr>
            </w:pPr>
            <w:r>
              <w:rPr>
                <w:rFonts w:hint="eastAsia" w:ascii="宋体" w:hAnsi="宋体" w:cs="楷体_GB2312"/>
                <w:b/>
                <w:bCs/>
                <w:color w:val="auto"/>
                <w:sz w:val="24"/>
                <w:highlight w:val="none"/>
                <w:lang w:val="zh-CN"/>
              </w:rPr>
              <w:t>构成谈判文件的其他材料</w:t>
            </w:r>
          </w:p>
        </w:tc>
        <w:tc>
          <w:tcPr>
            <w:tcW w:w="6579" w:type="dxa"/>
            <w:tcBorders>
              <w:top w:val="single" w:color="auto" w:sz="6" w:space="0"/>
              <w:left w:val="single" w:color="auto" w:sz="6" w:space="0"/>
              <w:bottom w:val="single" w:color="auto" w:sz="6" w:space="0"/>
              <w:right w:val="single" w:color="auto" w:sz="12" w:space="0"/>
            </w:tcBorders>
            <w:vAlign w:val="center"/>
          </w:tcPr>
          <w:p w14:paraId="278BF5BD">
            <w:pPr>
              <w:autoSpaceDE w:val="0"/>
              <w:autoSpaceDN w:val="0"/>
              <w:adjustRightInd w:val="0"/>
              <w:snapToGrid w:val="0"/>
              <w:spacing w:before="156" w:beforeLines="50" w:line="240" w:lineRule="auto"/>
              <w:rPr>
                <w:rFonts w:ascii="宋体" w:cs="楷体_GB2312"/>
                <w:color w:val="auto"/>
                <w:sz w:val="24"/>
                <w:highlight w:val="none"/>
                <w:lang w:val="zh-CN"/>
              </w:rPr>
            </w:pPr>
            <w:r>
              <w:rPr>
                <w:rFonts w:hint="eastAsia" w:ascii="宋体" w:hAnsi="宋体" w:cs="楷体_GB2312"/>
                <w:color w:val="auto"/>
                <w:sz w:val="24"/>
                <w:highlight w:val="none"/>
                <w:lang w:val="zh-CN"/>
              </w:rPr>
              <w:t>见“第三章</w:t>
            </w:r>
            <w:r>
              <w:rPr>
                <w:rFonts w:ascii="宋体" w:hAnsi="宋体" w:cs="楷体_GB2312"/>
                <w:color w:val="auto"/>
                <w:sz w:val="24"/>
                <w:highlight w:val="none"/>
                <w:lang w:val="zh-CN"/>
              </w:rPr>
              <w:t xml:space="preserve"> </w:t>
            </w:r>
            <w:r>
              <w:rPr>
                <w:rFonts w:hint="eastAsia" w:ascii="宋体" w:hAnsi="宋体" w:cs="楷体_GB2312"/>
                <w:color w:val="auto"/>
                <w:sz w:val="24"/>
                <w:highlight w:val="none"/>
                <w:lang w:val="zh-CN"/>
              </w:rPr>
              <w:t>投标人须知”</w:t>
            </w:r>
            <w:r>
              <w:rPr>
                <w:rFonts w:ascii="宋体" w:hAnsi="宋体" w:cs="楷体_GB2312"/>
                <w:color w:val="auto"/>
                <w:sz w:val="24"/>
                <w:highlight w:val="none"/>
                <w:lang w:val="zh-CN"/>
              </w:rPr>
              <w:t xml:space="preserve"> </w:t>
            </w:r>
            <w:r>
              <w:rPr>
                <w:rFonts w:hint="eastAsia" w:ascii="宋体" w:hAnsi="宋体" w:cs="楷体_GB2312"/>
                <w:color w:val="auto"/>
                <w:sz w:val="24"/>
                <w:highlight w:val="none"/>
                <w:lang w:val="zh-CN"/>
              </w:rPr>
              <w:t>相应条款</w:t>
            </w:r>
          </w:p>
        </w:tc>
      </w:tr>
      <w:tr w14:paraId="6BC947DC">
        <w:tblPrEx>
          <w:tblCellMar>
            <w:top w:w="0" w:type="dxa"/>
            <w:left w:w="108" w:type="dxa"/>
            <w:bottom w:w="0" w:type="dxa"/>
            <w:right w:w="108" w:type="dxa"/>
          </w:tblCellMar>
        </w:tblPrEx>
        <w:trPr>
          <w:trHeight w:val="604" w:hRule="atLeast"/>
          <w:jc w:val="center"/>
        </w:trPr>
        <w:tc>
          <w:tcPr>
            <w:tcW w:w="608" w:type="dxa"/>
            <w:vMerge w:val="continue"/>
            <w:tcBorders>
              <w:left w:val="single" w:color="auto" w:sz="12" w:space="0"/>
              <w:right w:val="single" w:color="auto" w:sz="6" w:space="0"/>
            </w:tcBorders>
          </w:tcPr>
          <w:p w14:paraId="3A2A0A92">
            <w:pPr>
              <w:autoSpaceDE w:val="0"/>
              <w:autoSpaceDN w:val="0"/>
              <w:adjustRightInd w:val="0"/>
              <w:snapToGrid w:val="0"/>
              <w:spacing w:line="240" w:lineRule="auto"/>
              <w:jc w:val="center"/>
              <w:rPr>
                <w:rFonts w:ascii="宋体" w:cs="楷体_GB2312"/>
                <w:b/>
                <w:bCs/>
                <w:color w:val="auto"/>
                <w:sz w:val="24"/>
                <w:highlight w:val="none"/>
              </w:rPr>
            </w:pPr>
          </w:p>
        </w:tc>
        <w:tc>
          <w:tcPr>
            <w:tcW w:w="694" w:type="dxa"/>
            <w:tcBorders>
              <w:top w:val="single" w:color="auto" w:sz="6" w:space="0"/>
              <w:left w:val="single" w:color="auto" w:sz="12" w:space="0"/>
              <w:bottom w:val="single" w:color="auto" w:sz="6" w:space="0"/>
              <w:right w:val="single" w:color="auto" w:sz="6" w:space="0"/>
            </w:tcBorders>
            <w:vAlign w:val="center"/>
          </w:tcPr>
          <w:p w14:paraId="41EA2378">
            <w:pPr>
              <w:autoSpaceDE w:val="0"/>
              <w:autoSpaceDN w:val="0"/>
              <w:adjustRightInd w:val="0"/>
              <w:snapToGrid w:val="0"/>
              <w:spacing w:line="240" w:lineRule="auto"/>
              <w:ind w:left="-134" w:leftChars="-64" w:right="-88" w:rightChars="-42"/>
              <w:jc w:val="center"/>
              <w:rPr>
                <w:rFonts w:ascii="宋体" w:hAnsi="宋体" w:cs="楷体_GB2312"/>
                <w:b/>
                <w:bCs/>
                <w:color w:val="auto"/>
                <w:szCs w:val="21"/>
                <w:highlight w:val="none"/>
              </w:rPr>
            </w:pPr>
            <w:r>
              <w:rPr>
                <w:rFonts w:ascii="宋体" w:hAnsi="宋体" w:cs="楷体_GB2312"/>
                <w:b/>
                <w:bCs/>
                <w:color w:val="auto"/>
                <w:szCs w:val="21"/>
                <w:highlight w:val="none"/>
              </w:rPr>
              <w:t>2.2.1</w:t>
            </w:r>
          </w:p>
        </w:tc>
        <w:tc>
          <w:tcPr>
            <w:tcW w:w="1874" w:type="dxa"/>
            <w:tcBorders>
              <w:top w:val="single" w:color="auto" w:sz="6" w:space="0"/>
              <w:left w:val="single" w:color="auto" w:sz="6" w:space="0"/>
              <w:bottom w:val="single" w:color="auto" w:sz="6" w:space="0"/>
              <w:right w:val="single" w:color="auto" w:sz="6" w:space="0"/>
            </w:tcBorders>
            <w:vAlign w:val="center"/>
          </w:tcPr>
          <w:p w14:paraId="081419B8">
            <w:pPr>
              <w:autoSpaceDE w:val="0"/>
              <w:autoSpaceDN w:val="0"/>
              <w:adjustRightInd w:val="0"/>
              <w:snapToGrid w:val="0"/>
              <w:spacing w:line="240" w:lineRule="auto"/>
              <w:ind w:right="-178" w:rightChars="-85"/>
              <w:jc w:val="center"/>
              <w:rPr>
                <w:rFonts w:ascii="宋体" w:cs="楷体_GB2312"/>
                <w:b/>
                <w:bCs/>
                <w:color w:val="auto"/>
                <w:sz w:val="24"/>
                <w:highlight w:val="none"/>
                <w:lang w:val="zh-CN"/>
              </w:rPr>
            </w:pPr>
            <w:r>
              <w:rPr>
                <w:rFonts w:hint="eastAsia" w:ascii="宋体" w:hAnsi="宋体" w:cs="楷体_GB2312"/>
                <w:b/>
                <w:bCs/>
                <w:color w:val="auto"/>
                <w:sz w:val="24"/>
                <w:highlight w:val="none"/>
                <w:lang w:val="zh-CN"/>
              </w:rPr>
              <w:t>投标人提出问题的截止时间</w:t>
            </w:r>
          </w:p>
        </w:tc>
        <w:tc>
          <w:tcPr>
            <w:tcW w:w="6579" w:type="dxa"/>
            <w:tcBorders>
              <w:top w:val="single" w:color="auto" w:sz="6" w:space="0"/>
              <w:left w:val="single" w:color="auto" w:sz="6" w:space="0"/>
              <w:bottom w:val="single" w:color="auto" w:sz="6" w:space="0"/>
              <w:right w:val="single" w:color="auto" w:sz="12" w:space="0"/>
            </w:tcBorders>
            <w:vAlign w:val="center"/>
          </w:tcPr>
          <w:p w14:paraId="6078B83B">
            <w:pPr>
              <w:autoSpaceDE w:val="0"/>
              <w:autoSpaceDN w:val="0"/>
              <w:adjustRightInd w:val="0"/>
              <w:snapToGrid w:val="0"/>
              <w:spacing w:before="156" w:beforeLines="50" w:line="240" w:lineRule="auto"/>
              <w:rPr>
                <w:rFonts w:ascii="宋体" w:cs="楷体_GB2312"/>
                <w:color w:val="auto"/>
                <w:sz w:val="24"/>
                <w:highlight w:val="none"/>
                <w:lang w:val="zh-CN"/>
              </w:rPr>
            </w:pPr>
            <w:r>
              <w:rPr>
                <w:rFonts w:hint="eastAsia" w:ascii="宋体" w:hAnsi="宋体" w:cs="楷体_GB2312"/>
                <w:color w:val="auto"/>
                <w:sz w:val="24"/>
                <w:highlight w:val="none"/>
                <w:lang w:val="zh-CN"/>
              </w:rPr>
              <w:t>投标截止时间</w:t>
            </w:r>
            <w:r>
              <w:rPr>
                <w:rFonts w:ascii="宋体" w:hAnsi="宋体" w:cs="楷体_GB2312"/>
                <w:color w:val="auto"/>
                <w:sz w:val="24"/>
                <w:highlight w:val="none"/>
                <w:lang w:val="zh-CN"/>
              </w:rPr>
              <w:t>2</w:t>
            </w:r>
            <w:r>
              <w:rPr>
                <w:rFonts w:hint="eastAsia" w:ascii="宋体" w:hAnsi="宋体" w:cs="楷体_GB2312"/>
                <w:color w:val="auto"/>
                <w:sz w:val="24"/>
                <w:highlight w:val="none"/>
                <w:lang w:val="zh-CN"/>
              </w:rPr>
              <w:t>日前</w:t>
            </w:r>
            <w:r>
              <w:rPr>
                <w:rFonts w:ascii="宋体" w:cs="楷体_GB2312"/>
                <w:color w:val="auto"/>
                <w:sz w:val="24"/>
                <w:highlight w:val="none"/>
                <w:lang w:val="zh-CN"/>
              </w:rPr>
              <w:t xml:space="preserve"> </w:t>
            </w:r>
          </w:p>
        </w:tc>
      </w:tr>
      <w:tr w14:paraId="5E711193">
        <w:tblPrEx>
          <w:tblCellMar>
            <w:top w:w="0" w:type="dxa"/>
            <w:left w:w="108" w:type="dxa"/>
            <w:bottom w:w="0" w:type="dxa"/>
            <w:right w:w="108" w:type="dxa"/>
          </w:tblCellMar>
        </w:tblPrEx>
        <w:trPr>
          <w:trHeight w:val="300" w:hRule="atLeast"/>
          <w:jc w:val="center"/>
        </w:trPr>
        <w:tc>
          <w:tcPr>
            <w:tcW w:w="608" w:type="dxa"/>
            <w:vMerge w:val="continue"/>
            <w:tcBorders>
              <w:left w:val="single" w:color="auto" w:sz="12" w:space="0"/>
              <w:right w:val="single" w:color="auto" w:sz="6" w:space="0"/>
            </w:tcBorders>
          </w:tcPr>
          <w:p w14:paraId="7A8A16CD">
            <w:pPr>
              <w:autoSpaceDE w:val="0"/>
              <w:autoSpaceDN w:val="0"/>
              <w:adjustRightInd w:val="0"/>
              <w:snapToGrid w:val="0"/>
              <w:spacing w:line="240" w:lineRule="auto"/>
              <w:jc w:val="center"/>
              <w:rPr>
                <w:rFonts w:ascii="宋体" w:cs="楷体_GB2312"/>
                <w:b/>
                <w:bCs/>
                <w:color w:val="auto"/>
                <w:sz w:val="24"/>
                <w:highlight w:val="none"/>
                <w:lang w:val="zh-CN"/>
              </w:rPr>
            </w:pPr>
          </w:p>
        </w:tc>
        <w:tc>
          <w:tcPr>
            <w:tcW w:w="694" w:type="dxa"/>
            <w:tcBorders>
              <w:top w:val="single" w:color="auto" w:sz="6" w:space="0"/>
              <w:left w:val="single" w:color="auto" w:sz="12" w:space="0"/>
              <w:bottom w:val="single" w:color="auto" w:sz="6" w:space="0"/>
              <w:right w:val="single" w:color="auto" w:sz="6" w:space="0"/>
            </w:tcBorders>
            <w:vAlign w:val="center"/>
          </w:tcPr>
          <w:p w14:paraId="412B1591">
            <w:pPr>
              <w:autoSpaceDE w:val="0"/>
              <w:autoSpaceDN w:val="0"/>
              <w:adjustRightInd w:val="0"/>
              <w:snapToGrid w:val="0"/>
              <w:spacing w:line="240" w:lineRule="auto"/>
              <w:ind w:right="-88" w:rightChars="-42"/>
              <w:jc w:val="center"/>
              <w:rPr>
                <w:rFonts w:ascii="宋体" w:cs="楷体_GB2312"/>
                <w:b/>
                <w:bCs/>
                <w:color w:val="auto"/>
                <w:szCs w:val="21"/>
                <w:highlight w:val="none"/>
                <w:lang w:val="zh-CN"/>
              </w:rPr>
            </w:pPr>
            <w:r>
              <w:rPr>
                <w:rFonts w:ascii="宋体" w:hAnsi="宋体" w:cs="楷体_GB2312"/>
                <w:b/>
                <w:bCs/>
                <w:color w:val="auto"/>
                <w:szCs w:val="21"/>
                <w:highlight w:val="none"/>
                <w:lang w:val="zh-CN"/>
              </w:rPr>
              <w:t>2.3</w:t>
            </w:r>
          </w:p>
        </w:tc>
        <w:tc>
          <w:tcPr>
            <w:tcW w:w="1874" w:type="dxa"/>
            <w:tcBorders>
              <w:top w:val="single" w:color="auto" w:sz="6" w:space="0"/>
              <w:left w:val="single" w:color="auto" w:sz="6" w:space="0"/>
              <w:bottom w:val="single" w:color="auto" w:sz="6" w:space="0"/>
              <w:right w:val="single" w:color="auto" w:sz="6" w:space="0"/>
            </w:tcBorders>
            <w:vAlign w:val="center"/>
          </w:tcPr>
          <w:p w14:paraId="1CB17703">
            <w:pPr>
              <w:autoSpaceDE w:val="0"/>
              <w:autoSpaceDN w:val="0"/>
              <w:adjustRightInd w:val="0"/>
              <w:snapToGrid w:val="0"/>
              <w:spacing w:line="240" w:lineRule="auto"/>
              <w:ind w:right="-178" w:rightChars="-85"/>
              <w:jc w:val="center"/>
              <w:rPr>
                <w:rFonts w:ascii="宋体" w:cs="楷体_GB2312"/>
                <w:b/>
                <w:bCs/>
                <w:color w:val="auto"/>
                <w:sz w:val="24"/>
                <w:highlight w:val="none"/>
                <w:lang w:val="zh-CN"/>
              </w:rPr>
            </w:pPr>
            <w:r>
              <w:rPr>
                <w:rFonts w:hint="eastAsia" w:ascii="宋体" w:hAnsi="宋体" w:cs="楷体_GB2312"/>
                <w:b/>
                <w:bCs/>
                <w:color w:val="auto"/>
                <w:sz w:val="24"/>
                <w:highlight w:val="none"/>
                <w:lang w:val="zh-CN"/>
              </w:rPr>
              <w:t>谈判文件澄清修改补充时间</w:t>
            </w:r>
          </w:p>
        </w:tc>
        <w:tc>
          <w:tcPr>
            <w:tcW w:w="6579" w:type="dxa"/>
            <w:tcBorders>
              <w:top w:val="single" w:color="auto" w:sz="6" w:space="0"/>
              <w:left w:val="single" w:color="auto" w:sz="6" w:space="0"/>
              <w:bottom w:val="single" w:color="auto" w:sz="6" w:space="0"/>
              <w:right w:val="single" w:color="auto" w:sz="12" w:space="0"/>
            </w:tcBorders>
            <w:vAlign w:val="center"/>
          </w:tcPr>
          <w:p w14:paraId="2ED7D8FE">
            <w:pPr>
              <w:autoSpaceDE w:val="0"/>
              <w:autoSpaceDN w:val="0"/>
              <w:adjustRightInd w:val="0"/>
              <w:snapToGrid w:val="0"/>
              <w:spacing w:before="156" w:beforeLines="50" w:line="240" w:lineRule="auto"/>
              <w:rPr>
                <w:rFonts w:ascii="宋体" w:hAnsi="宋体" w:cs="楷体_GB2312"/>
                <w:color w:val="auto"/>
                <w:sz w:val="24"/>
                <w:highlight w:val="none"/>
                <w:lang w:val="zh-CN"/>
              </w:rPr>
            </w:pPr>
            <w:r>
              <w:rPr>
                <w:rFonts w:hint="eastAsia" w:ascii="宋体" w:hAnsi="宋体" w:cs="楷体_GB2312"/>
                <w:color w:val="auto"/>
                <w:sz w:val="24"/>
                <w:highlight w:val="none"/>
                <w:lang w:val="zh-CN"/>
              </w:rPr>
              <w:t>投标截止时间</w:t>
            </w:r>
            <w:r>
              <w:rPr>
                <w:rFonts w:ascii="宋体" w:hAnsi="宋体" w:cs="楷体_GB2312"/>
                <w:color w:val="auto"/>
                <w:sz w:val="24"/>
                <w:highlight w:val="none"/>
              </w:rPr>
              <w:t>3</w:t>
            </w:r>
            <w:r>
              <w:rPr>
                <w:rFonts w:hint="eastAsia" w:ascii="宋体" w:hAnsi="宋体" w:cs="楷体_GB2312"/>
                <w:color w:val="auto"/>
                <w:sz w:val="24"/>
                <w:highlight w:val="none"/>
              </w:rPr>
              <w:t>个工作</w:t>
            </w:r>
            <w:r>
              <w:rPr>
                <w:rFonts w:hint="eastAsia" w:ascii="宋体" w:hAnsi="宋体" w:cs="楷体_GB2312"/>
                <w:color w:val="auto"/>
                <w:sz w:val="24"/>
                <w:highlight w:val="none"/>
                <w:lang w:val="zh-CN"/>
              </w:rPr>
              <w:t>日前。</w:t>
            </w:r>
          </w:p>
        </w:tc>
      </w:tr>
      <w:tr w14:paraId="79671D12">
        <w:tblPrEx>
          <w:tblCellMar>
            <w:top w:w="0" w:type="dxa"/>
            <w:left w:w="108" w:type="dxa"/>
            <w:bottom w:w="0" w:type="dxa"/>
            <w:right w:w="108" w:type="dxa"/>
          </w:tblCellMar>
        </w:tblPrEx>
        <w:trPr>
          <w:trHeight w:val="300" w:hRule="atLeast"/>
          <w:jc w:val="center"/>
        </w:trPr>
        <w:tc>
          <w:tcPr>
            <w:tcW w:w="608" w:type="dxa"/>
            <w:vMerge w:val="continue"/>
            <w:tcBorders>
              <w:left w:val="single" w:color="auto" w:sz="12" w:space="0"/>
              <w:right w:val="single" w:color="auto" w:sz="6" w:space="0"/>
            </w:tcBorders>
          </w:tcPr>
          <w:p w14:paraId="55407E0C">
            <w:pPr>
              <w:autoSpaceDE w:val="0"/>
              <w:autoSpaceDN w:val="0"/>
              <w:adjustRightInd w:val="0"/>
              <w:snapToGrid w:val="0"/>
              <w:spacing w:line="240" w:lineRule="auto"/>
              <w:jc w:val="center"/>
              <w:rPr>
                <w:rFonts w:ascii="宋体" w:cs="楷体_GB2312"/>
                <w:b/>
                <w:bCs/>
                <w:color w:val="auto"/>
                <w:sz w:val="24"/>
                <w:highlight w:val="none"/>
                <w:lang w:val="zh-CN"/>
              </w:rPr>
            </w:pPr>
          </w:p>
        </w:tc>
        <w:tc>
          <w:tcPr>
            <w:tcW w:w="694" w:type="dxa"/>
            <w:tcBorders>
              <w:top w:val="single" w:color="auto" w:sz="6" w:space="0"/>
              <w:left w:val="single" w:color="auto" w:sz="12" w:space="0"/>
              <w:bottom w:val="single" w:color="auto" w:sz="6" w:space="0"/>
              <w:right w:val="single" w:color="auto" w:sz="6" w:space="0"/>
            </w:tcBorders>
            <w:vAlign w:val="center"/>
          </w:tcPr>
          <w:p w14:paraId="593A7831">
            <w:pPr>
              <w:autoSpaceDE w:val="0"/>
              <w:autoSpaceDN w:val="0"/>
              <w:adjustRightInd w:val="0"/>
              <w:snapToGrid w:val="0"/>
              <w:spacing w:line="240" w:lineRule="auto"/>
              <w:ind w:left="-134" w:leftChars="-64" w:right="-88" w:rightChars="-42"/>
              <w:jc w:val="center"/>
              <w:rPr>
                <w:rFonts w:ascii="宋体" w:hAnsi="宋体" w:cs="楷体_GB2312"/>
                <w:b/>
                <w:bCs/>
                <w:color w:val="auto"/>
                <w:szCs w:val="21"/>
                <w:highlight w:val="none"/>
              </w:rPr>
            </w:pPr>
            <w:r>
              <w:rPr>
                <w:rFonts w:ascii="宋体" w:hAnsi="宋体" w:cs="楷体_GB2312"/>
                <w:b/>
                <w:bCs/>
                <w:color w:val="auto"/>
                <w:szCs w:val="21"/>
                <w:highlight w:val="none"/>
              </w:rPr>
              <w:t>2.4</w:t>
            </w:r>
          </w:p>
        </w:tc>
        <w:tc>
          <w:tcPr>
            <w:tcW w:w="1874" w:type="dxa"/>
            <w:tcBorders>
              <w:top w:val="single" w:color="auto" w:sz="6" w:space="0"/>
              <w:left w:val="single" w:color="auto" w:sz="6" w:space="0"/>
              <w:bottom w:val="single" w:color="auto" w:sz="6" w:space="0"/>
              <w:right w:val="single" w:color="auto" w:sz="6" w:space="0"/>
            </w:tcBorders>
            <w:vAlign w:val="center"/>
          </w:tcPr>
          <w:p w14:paraId="4FD5285B">
            <w:pPr>
              <w:autoSpaceDE w:val="0"/>
              <w:autoSpaceDN w:val="0"/>
              <w:adjustRightInd w:val="0"/>
              <w:snapToGrid w:val="0"/>
              <w:spacing w:line="240" w:lineRule="auto"/>
              <w:ind w:left="-126" w:leftChars="-60" w:right="-36" w:rightChars="-17"/>
              <w:jc w:val="center"/>
              <w:rPr>
                <w:rFonts w:ascii="宋体" w:cs="楷体_GB2312"/>
                <w:b/>
                <w:bCs/>
                <w:color w:val="auto"/>
                <w:szCs w:val="21"/>
                <w:highlight w:val="none"/>
                <w:lang w:val="zh-CN"/>
              </w:rPr>
            </w:pPr>
            <w:r>
              <w:rPr>
                <w:rFonts w:hint="eastAsia" w:ascii="宋体" w:hAnsi="宋体" w:cs="楷体_GB2312"/>
                <w:b/>
                <w:bCs/>
                <w:color w:val="auto"/>
                <w:szCs w:val="21"/>
                <w:highlight w:val="none"/>
                <w:lang w:val="zh-CN"/>
              </w:rPr>
              <w:t>谈判文件的澄清修改补充告知方式</w:t>
            </w:r>
          </w:p>
        </w:tc>
        <w:tc>
          <w:tcPr>
            <w:tcW w:w="6579" w:type="dxa"/>
            <w:tcBorders>
              <w:top w:val="single" w:color="auto" w:sz="6" w:space="0"/>
              <w:left w:val="single" w:color="auto" w:sz="6" w:space="0"/>
              <w:bottom w:val="single" w:color="auto" w:sz="6" w:space="0"/>
              <w:right w:val="single" w:color="auto" w:sz="12" w:space="0"/>
            </w:tcBorders>
            <w:vAlign w:val="center"/>
          </w:tcPr>
          <w:p w14:paraId="262E6FB2">
            <w:pPr>
              <w:autoSpaceDE w:val="0"/>
              <w:autoSpaceDN w:val="0"/>
              <w:adjustRightInd w:val="0"/>
              <w:snapToGrid w:val="0"/>
              <w:spacing w:before="156" w:beforeLines="50" w:line="240" w:lineRule="auto"/>
              <w:rPr>
                <w:rFonts w:ascii="宋体" w:cs="楷体_GB2312"/>
                <w:color w:val="auto"/>
                <w:sz w:val="24"/>
                <w:highlight w:val="none"/>
                <w:lang w:val="zh-CN"/>
              </w:rPr>
            </w:pPr>
            <w:r>
              <w:rPr>
                <w:rFonts w:hint="eastAsia" w:ascii="宋体" w:hAnsi="宋体" w:cs="楷体_GB2312"/>
                <w:color w:val="auto"/>
                <w:sz w:val="24"/>
                <w:highlight w:val="none"/>
                <w:lang w:val="zh-CN"/>
              </w:rPr>
              <w:t>见“第三章</w:t>
            </w:r>
            <w:r>
              <w:rPr>
                <w:rFonts w:ascii="宋体" w:hAnsi="宋体" w:cs="楷体_GB2312"/>
                <w:color w:val="auto"/>
                <w:sz w:val="24"/>
                <w:highlight w:val="none"/>
                <w:lang w:val="zh-CN"/>
              </w:rPr>
              <w:t xml:space="preserve"> </w:t>
            </w:r>
            <w:r>
              <w:rPr>
                <w:rFonts w:hint="eastAsia" w:ascii="宋体" w:hAnsi="宋体" w:cs="楷体_GB2312"/>
                <w:color w:val="auto"/>
                <w:sz w:val="24"/>
                <w:highlight w:val="none"/>
                <w:lang w:val="zh-CN"/>
              </w:rPr>
              <w:t>投标人须知”</w:t>
            </w:r>
            <w:r>
              <w:rPr>
                <w:rFonts w:ascii="宋体" w:hAnsi="宋体" w:cs="楷体_GB2312"/>
                <w:color w:val="auto"/>
                <w:sz w:val="24"/>
                <w:highlight w:val="none"/>
                <w:lang w:val="zh-CN"/>
              </w:rPr>
              <w:t xml:space="preserve"> </w:t>
            </w:r>
            <w:r>
              <w:rPr>
                <w:rFonts w:hint="eastAsia" w:ascii="宋体" w:hAnsi="宋体" w:cs="楷体_GB2312"/>
                <w:color w:val="auto"/>
                <w:sz w:val="24"/>
                <w:highlight w:val="none"/>
                <w:lang w:val="zh-CN"/>
              </w:rPr>
              <w:t>相应条款</w:t>
            </w:r>
          </w:p>
        </w:tc>
      </w:tr>
      <w:tr w14:paraId="3CE8E080">
        <w:tblPrEx>
          <w:tblCellMar>
            <w:top w:w="0" w:type="dxa"/>
            <w:left w:w="108" w:type="dxa"/>
            <w:bottom w:w="0" w:type="dxa"/>
            <w:right w:w="108" w:type="dxa"/>
          </w:tblCellMar>
        </w:tblPrEx>
        <w:trPr>
          <w:trHeight w:val="535" w:hRule="atLeast"/>
          <w:jc w:val="center"/>
        </w:trPr>
        <w:tc>
          <w:tcPr>
            <w:tcW w:w="608" w:type="dxa"/>
            <w:vMerge w:val="continue"/>
            <w:tcBorders>
              <w:left w:val="single" w:color="auto" w:sz="12" w:space="0"/>
              <w:bottom w:val="single" w:color="auto" w:sz="6" w:space="0"/>
              <w:right w:val="single" w:color="auto" w:sz="6" w:space="0"/>
            </w:tcBorders>
          </w:tcPr>
          <w:p w14:paraId="0E474D9D">
            <w:pPr>
              <w:autoSpaceDE w:val="0"/>
              <w:autoSpaceDN w:val="0"/>
              <w:adjustRightInd w:val="0"/>
              <w:snapToGrid w:val="0"/>
              <w:spacing w:line="240" w:lineRule="auto"/>
              <w:jc w:val="center"/>
              <w:rPr>
                <w:rFonts w:ascii="宋体" w:cs="楷体_GB2312"/>
                <w:b/>
                <w:bCs/>
                <w:color w:val="auto"/>
                <w:sz w:val="24"/>
                <w:highlight w:val="none"/>
                <w:lang w:val="zh-CN"/>
              </w:rPr>
            </w:pPr>
          </w:p>
        </w:tc>
        <w:tc>
          <w:tcPr>
            <w:tcW w:w="694" w:type="dxa"/>
            <w:tcBorders>
              <w:top w:val="single" w:color="auto" w:sz="6" w:space="0"/>
              <w:left w:val="single" w:color="auto" w:sz="12" w:space="0"/>
              <w:bottom w:val="single" w:color="auto" w:sz="6" w:space="0"/>
              <w:right w:val="single" w:color="auto" w:sz="6" w:space="0"/>
            </w:tcBorders>
            <w:vAlign w:val="center"/>
          </w:tcPr>
          <w:p w14:paraId="5711E2D4">
            <w:pPr>
              <w:autoSpaceDE w:val="0"/>
              <w:autoSpaceDN w:val="0"/>
              <w:adjustRightInd w:val="0"/>
              <w:snapToGrid w:val="0"/>
              <w:spacing w:line="240" w:lineRule="auto"/>
              <w:ind w:right="-88" w:rightChars="-42"/>
              <w:jc w:val="center"/>
              <w:rPr>
                <w:rFonts w:ascii="宋体" w:cs="楷体_GB2312"/>
                <w:b/>
                <w:bCs/>
                <w:color w:val="auto"/>
                <w:szCs w:val="21"/>
                <w:highlight w:val="none"/>
                <w:lang w:val="zh-CN"/>
              </w:rPr>
            </w:pPr>
            <w:r>
              <w:rPr>
                <w:rFonts w:ascii="宋体" w:hAnsi="宋体" w:cs="楷体_GB2312"/>
                <w:b/>
                <w:bCs/>
                <w:color w:val="auto"/>
                <w:szCs w:val="21"/>
                <w:highlight w:val="none"/>
                <w:lang w:val="zh-CN"/>
              </w:rPr>
              <w:t>3.2</w:t>
            </w:r>
          </w:p>
        </w:tc>
        <w:tc>
          <w:tcPr>
            <w:tcW w:w="1874" w:type="dxa"/>
            <w:tcBorders>
              <w:top w:val="single" w:color="auto" w:sz="6" w:space="0"/>
              <w:left w:val="single" w:color="auto" w:sz="6" w:space="0"/>
              <w:bottom w:val="single" w:color="auto" w:sz="6" w:space="0"/>
              <w:right w:val="single" w:color="auto" w:sz="6" w:space="0"/>
            </w:tcBorders>
            <w:vAlign w:val="center"/>
          </w:tcPr>
          <w:p w14:paraId="37B8991D">
            <w:pPr>
              <w:autoSpaceDE w:val="0"/>
              <w:autoSpaceDN w:val="0"/>
              <w:adjustRightInd w:val="0"/>
              <w:snapToGrid w:val="0"/>
              <w:spacing w:line="240" w:lineRule="auto"/>
              <w:jc w:val="center"/>
              <w:rPr>
                <w:rFonts w:ascii="宋体" w:cs="楷体_GB2312"/>
                <w:b/>
                <w:bCs/>
                <w:color w:val="auto"/>
                <w:sz w:val="24"/>
                <w:highlight w:val="none"/>
                <w:lang w:val="zh-CN"/>
              </w:rPr>
            </w:pPr>
            <w:r>
              <w:rPr>
                <w:rFonts w:hint="eastAsia" w:ascii="宋体" w:hAnsi="宋体" w:cs="楷体_GB2312"/>
                <w:b/>
                <w:bCs/>
                <w:color w:val="auto"/>
                <w:sz w:val="24"/>
                <w:highlight w:val="none"/>
                <w:lang w:val="zh-CN"/>
              </w:rPr>
              <w:t>投标文件的组成</w:t>
            </w:r>
          </w:p>
        </w:tc>
        <w:tc>
          <w:tcPr>
            <w:tcW w:w="6579" w:type="dxa"/>
            <w:tcBorders>
              <w:top w:val="single" w:color="auto" w:sz="6" w:space="0"/>
              <w:left w:val="single" w:color="auto" w:sz="6" w:space="0"/>
              <w:bottom w:val="single" w:color="auto" w:sz="6" w:space="0"/>
              <w:right w:val="single" w:color="auto" w:sz="12" w:space="0"/>
            </w:tcBorders>
            <w:vAlign w:val="center"/>
          </w:tcPr>
          <w:p w14:paraId="6F2C4088">
            <w:pPr>
              <w:autoSpaceDE w:val="0"/>
              <w:autoSpaceDN w:val="0"/>
              <w:adjustRightInd w:val="0"/>
              <w:snapToGrid w:val="0"/>
              <w:spacing w:before="156" w:beforeLines="50" w:line="240" w:lineRule="auto"/>
              <w:rPr>
                <w:rFonts w:ascii="宋体" w:cs="楷体_GB2312"/>
                <w:color w:val="auto"/>
                <w:sz w:val="24"/>
                <w:highlight w:val="none"/>
                <w:lang w:val="zh-CN"/>
              </w:rPr>
            </w:pPr>
            <w:r>
              <w:rPr>
                <w:rFonts w:hint="eastAsia" w:ascii="宋体" w:hAnsi="宋体" w:cs="楷体_GB2312"/>
                <w:color w:val="auto"/>
                <w:sz w:val="24"/>
                <w:highlight w:val="none"/>
                <w:lang w:val="zh-CN"/>
              </w:rPr>
              <w:t>见“第三章</w:t>
            </w:r>
            <w:r>
              <w:rPr>
                <w:rFonts w:ascii="宋体" w:hAnsi="宋体" w:cs="楷体_GB2312"/>
                <w:color w:val="auto"/>
                <w:sz w:val="24"/>
                <w:highlight w:val="none"/>
                <w:lang w:val="zh-CN"/>
              </w:rPr>
              <w:t xml:space="preserve"> </w:t>
            </w:r>
            <w:r>
              <w:rPr>
                <w:rFonts w:hint="eastAsia" w:ascii="宋体" w:hAnsi="宋体" w:cs="楷体_GB2312"/>
                <w:color w:val="auto"/>
                <w:sz w:val="24"/>
                <w:highlight w:val="none"/>
                <w:lang w:val="zh-CN"/>
              </w:rPr>
              <w:t>投标人须知”</w:t>
            </w:r>
            <w:r>
              <w:rPr>
                <w:rFonts w:ascii="宋体" w:hAnsi="宋体" w:cs="楷体_GB2312"/>
                <w:color w:val="auto"/>
                <w:sz w:val="24"/>
                <w:highlight w:val="none"/>
                <w:lang w:val="zh-CN"/>
              </w:rPr>
              <w:t xml:space="preserve"> </w:t>
            </w:r>
            <w:r>
              <w:rPr>
                <w:rFonts w:hint="eastAsia" w:ascii="宋体" w:hAnsi="宋体" w:cs="楷体_GB2312"/>
                <w:color w:val="auto"/>
                <w:sz w:val="24"/>
                <w:highlight w:val="none"/>
                <w:lang w:val="zh-CN"/>
              </w:rPr>
              <w:t>相应条款</w:t>
            </w:r>
          </w:p>
        </w:tc>
      </w:tr>
      <w:tr w14:paraId="0B052EDA">
        <w:tblPrEx>
          <w:tblCellMar>
            <w:top w:w="0" w:type="dxa"/>
            <w:left w:w="108" w:type="dxa"/>
            <w:bottom w:w="0" w:type="dxa"/>
            <w:right w:w="108" w:type="dxa"/>
          </w:tblCellMar>
        </w:tblPrEx>
        <w:trPr>
          <w:trHeight w:val="564" w:hRule="atLeast"/>
          <w:jc w:val="center"/>
        </w:trPr>
        <w:tc>
          <w:tcPr>
            <w:tcW w:w="608" w:type="dxa"/>
            <w:vMerge w:val="restart"/>
            <w:tcBorders>
              <w:top w:val="single" w:color="auto" w:sz="6" w:space="0"/>
              <w:left w:val="single" w:color="auto" w:sz="12" w:space="0"/>
              <w:right w:val="single" w:color="auto" w:sz="6" w:space="0"/>
            </w:tcBorders>
          </w:tcPr>
          <w:p w14:paraId="342500AC">
            <w:pPr>
              <w:autoSpaceDE w:val="0"/>
              <w:autoSpaceDN w:val="0"/>
              <w:adjustRightInd w:val="0"/>
              <w:snapToGrid w:val="0"/>
              <w:spacing w:line="240" w:lineRule="auto"/>
              <w:jc w:val="center"/>
              <w:rPr>
                <w:rFonts w:ascii="宋体" w:hAnsi="宋体" w:cs="楷体_GB2312"/>
                <w:b/>
                <w:bCs/>
                <w:color w:val="auto"/>
                <w:sz w:val="24"/>
                <w:highlight w:val="none"/>
                <w:lang w:val="zh-CN"/>
              </w:rPr>
            </w:pPr>
            <w:r>
              <w:rPr>
                <w:rFonts w:hint="eastAsia" w:ascii="宋体" w:hAnsi="宋体" w:cs="楷体_GB2312"/>
                <w:b/>
                <w:bCs/>
                <w:color w:val="auto"/>
                <w:sz w:val="24"/>
                <w:highlight w:val="none"/>
                <w:lang w:val="zh-CN"/>
              </w:rPr>
              <w:t>第三章</w:t>
            </w:r>
          </w:p>
          <w:p w14:paraId="51CF141E">
            <w:pPr>
              <w:autoSpaceDE w:val="0"/>
              <w:autoSpaceDN w:val="0"/>
              <w:adjustRightInd w:val="0"/>
              <w:snapToGrid w:val="0"/>
              <w:spacing w:line="240" w:lineRule="auto"/>
              <w:jc w:val="center"/>
              <w:rPr>
                <w:rFonts w:ascii="宋体" w:cs="楷体_GB2312"/>
                <w:b/>
                <w:bCs/>
                <w:color w:val="auto"/>
                <w:sz w:val="24"/>
                <w:highlight w:val="none"/>
                <w:lang w:val="zh-CN"/>
              </w:rPr>
            </w:pPr>
          </w:p>
        </w:tc>
        <w:tc>
          <w:tcPr>
            <w:tcW w:w="694" w:type="dxa"/>
            <w:tcBorders>
              <w:top w:val="single" w:color="auto" w:sz="6" w:space="0"/>
              <w:left w:val="single" w:color="auto" w:sz="12" w:space="0"/>
              <w:bottom w:val="single" w:color="auto" w:sz="6" w:space="0"/>
              <w:right w:val="single" w:color="auto" w:sz="6" w:space="0"/>
            </w:tcBorders>
            <w:vAlign w:val="center"/>
          </w:tcPr>
          <w:p w14:paraId="47733637">
            <w:pPr>
              <w:autoSpaceDE w:val="0"/>
              <w:autoSpaceDN w:val="0"/>
              <w:adjustRightInd w:val="0"/>
              <w:snapToGrid w:val="0"/>
              <w:spacing w:line="240" w:lineRule="auto"/>
              <w:ind w:right="-88" w:rightChars="-42"/>
              <w:jc w:val="center"/>
              <w:rPr>
                <w:rFonts w:ascii="宋体" w:cs="楷体_GB2312"/>
                <w:b/>
                <w:bCs/>
                <w:color w:val="auto"/>
                <w:szCs w:val="21"/>
                <w:highlight w:val="none"/>
                <w:lang w:val="zh-CN"/>
              </w:rPr>
            </w:pPr>
            <w:r>
              <w:rPr>
                <w:rFonts w:ascii="宋体" w:hAnsi="宋体" w:cs="楷体_GB2312"/>
                <w:b/>
                <w:bCs/>
                <w:color w:val="auto"/>
                <w:szCs w:val="21"/>
                <w:highlight w:val="none"/>
                <w:lang w:val="zh-CN"/>
              </w:rPr>
              <w:t>3.4.1</w:t>
            </w:r>
          </w:p>
        </w:tc>
        <w:tc>
          <w:tcPr>
            <w:tcW w:w="1874" w:type="dxa"/>
            <w:tcBorders>
              <w:top w:val="single" w:color="auto" w:sz="6" w:space="0"/>
              <w:left w:val="single" w:color="auto" w:sz="6" w:space="0"/>
              <w:bottom w:val="single" w:color="auto" w:sz="6" w:space="0"/>
              <w:right w:val="single" w:color="auto" w:sz="6" w:space="0"/>
            </w:tcBorders>
            <w:vAlign w:val="center"/>
          </w:tcPr>
          <w:p w14:paraId="534AA7D6">
            <w:pPr>
              <w:autoSpaceDE w:val="0"/>
              <w:autoSpaceDN w:val="0"/>
              <w:adjustRightInd w:val="0"/>
              <w:snapToGrid w:val="0"/>
              <w:spacing w:line="240" w:lineRule="auto"/>
              <w:jc w:val="center"/>
              <w:rPr>
                <w:rFonts w:ascii="宋体" w:cs="楷体_GB2312"/>
                <w:b/>
                <w:bCs/>
                <w:color w:val="auto"/>
                <w:sz w:val="24"/>
                <w:highlight w:val="none"/>
                <w:lang w:val="zh-CN"/>
              </w:rPr>
            </w:pPr>
            <w:r>
              <w:rPr>
                <w:rFonts w:hint="eastAsia" w:ascii="宋体" w:hAnsi="宋体" w:cs="楷体_GB2312"/>
                <w:b/>
                <w:bCs/>
                <w:color w:val="auto"/>
                <w:sz w:val="24"/>
                <w:highlight w:val="none"/>
                <w:lang w:val="zh-CN"/>
              </w:rPr>
              <w:t>投标有效期</w:t>
            </w:r>
          </w:p>
        </w:tc>
        <w:tc>
          <w:tcPr>
            <w:tcW w:w="6579" w:type="dxa"/>
            <w:tcBorders>
              <w:top w:val="single" w:color="auto" w:sz="6" w:space="0"/>
              <w:left w:val="single" w:color="auto" w:sz="6" w:space="0"/>
              <w:bottom w:val="single" w:color="auto" w:sz="6" w:space="0"/>
              <w:right w:val="single" w:color="auto" w:sz="12" w:space="0"/>
            </w:tcBorders>
            <w:vAlign w:val="center"/>
          </w:tcPr>
          <w:p w14:paraId="5C9841FE">
            <w:pPr>
              <w:autoSpaceDE w:val="0"/>
              <w:autoSpaceDN w:val="0"/>
              <w:adjustRightInd w:val="0"/>
              <w:snapToGrid w:val="0"/>
              <w:spacing w:before="156" w:beforeLines="50" w:line="240" w:lineRule="auto"/>
              <w:rPr>
                <w:rFonts w:ascii="宋体" w:cs="楷体_GB2312"/>
                <w:color w:val="auto"/>
                <w:sz w:val="24"/>
                <w:highlight w:val="none"/>
                <w:lang w:val="zh-CN"/>
              </w:rPr>
            </w:pPr>
            <w:r>
              <w:rPr>
                <w:rFonts w:hint="eastAsia" w:ascii="宋体" w:hAnsi="宋体" w:cs="楷体_GB2312"/>
                <w:color w:val="auto"/>
                <w:sz w:val="24"/>
                <w:highlight w:val="none"/>
                <w:lang w:val="zh-CN"/>
              </w:rPr>
              <w:t>从开标之日起，投标有效期为</w:t>
            </w:r>
            <w:r>
              <w:rPr>
                <w:rFonts w:ascii="宋体" w:hAnsi="宋体" w:cs="楷体_GB2312"/>
                <w:color w:val="auto"/>
                <w:sz w:val="24"/>
                <w:highlight w:val="none"/>
                <w:lang w:val="zh-CN"/>
              </w:rPr>
              <w:t>90</w:t>
            </w:r>
            <w:r>
              <w:rPr>
                <w:rFonts w:hint="eastAsia" w:ascii="宋体" w:hAnsi="宋体" w:cs="楷体_GB2312"/>
                <w:color w:val="auto"/>
                <w:sz w:val="24"/>
                <w:highlight w:val="none"/>
                <w:lang w:val="zh-CN"/>
              </w:rPr>
              <w:t>日历天</w:t>
            </w:r>
          </w:p>
        </w:tc>
      </w:tr>
      <w:tr w14:paraId="3E0FE1C7">
        <w:tblPrEx>
          <w:tblCellMar>
            <w:top w:w="0" w:type="dxa"/>
            <w:left w:w="108" w:type="dxa"/>
            <w:bottom w:w="0" w:type="dxa"/>
            <w:right w:w="108" w:type="dxa"/>
          </w:tblCellMar>
        </w:tblPrEx>
        <w:trPr>
          <w:trHeight w:val="694" w:hRule="atLeast"/>
          <w:jc w:val="center"/>
        </w:trPr>
        <w:tc>
          <w:tcPr>
            <w:tcW w:w="608" w:type="dxa"/>
            <w:vMerge w:val="continue"/>
            <w:tcBorders>
              <w:left w:val="single" w:color="auto" w:sz="12" w:space="0"/>
              <w:right w:val="single" w:color="auto" w:sz="6" w:space="0"/>
            </w:tcBorders>
          </w:tcPr>
          <w:p w14:paraId="71B453F7">
            <w:pPr>
              <w:autoSpaceDE w:val="0"/>
              <w:autoSpaceDN w:val="0"/>
              <w:adjustRightInd w:val="0"/>
              <w:snapToGrid w:val="0"/>
              <w:spacing w:line="240" w:lineRule="auto"/>
              <w:jc w:val="center"/>
              <w:rPr>
                <w:rFonts w:ascii="宋体" w:cs="楷体_GB2312"/>
                <w:b/>
                <w:bCs/>
                <w:color w:val="auto"/>
                <w:sz w:val="24"/>
                <w:highlight w:val="none"/>
                <w:lang w:val="zh-CN"/>
              </w:rPr>
            </w:pPr>
          </w:p>
        </w:tc>
        <w:tc>
          <w:tcPr>
            <w:tcW w:w="694" w:type="dxa"/>
            <w:tcBorders>
              <w:top w:val="single" w:color="auto" w:sz="6" w:space="0"/>
              <w:left w:val="single" w:color="auto" w:sz="12" w:space="0"/>
              <w:right w:val="single" w:color="auto" w:sz="6" w:space="0"/>
            </w:tcBorders>
            <w:vAlign w:val="center"/>
          </w:tcPr>
          <w:p w14:paraId="33B82486">
            <w:pPr>
              <w:autoSpaceDE w:val="0"/>
              <w:autoSpaceDN w:val="0"/>
              <w:adjustRightInd w:val="0"/>
              <w:snapToGrid w:val="0"/>
              <w:spacing w:line="240" w:lineRule="auto"/>
              <w:ind w:right="-88" w:rightChars="-42"/>
              <w:jc w:val="center"/>
              <w:rPr>
                <w:rFonts w:ascii="宋体" w:cs="楷体_GB2312"/>
                <w:b/>
                <w:bCs/>
                <w:color w:val="auto"/>
                <w:szCs w:val="21"/>
                <w:highlight w:val="none"/>
                <w:lang w:val="zh-CN"/>
              </w:rPr>
            </w:pPr>
            <w:r>
              <w:rPr>
                <w:rFonts w:ascii="宋体" w:hAnsi="宋体" w:cs="楷体_GB2312"/>
                <w:b/>
                <w:bCs/>
                <w:color w:val="auto"/>
                <w:szCs w:val="21"/>
                <w:highlight w:val="none"/>
                <w:lang w:val="zh-CN"/>
              </w:rPr>
              <w:t>3.5</w:t>
            </w:r>
          </w:p>
        </w:tc>
        <w:tc>
          <w:tcPr>
            <w:tcW w:w="1874" w:type="dxa"/>
            <w:tcBorders>
              <w:top w:val="single" w:color="auto" w:sz="6" w:space="0"/>
              <w:left w:val="single" w:color="auto" w:sz="6" w:space="0"/>
              <w:right w:val="single" w:color="auto" w:sz="6" w:space="0"/>
            </w:tcBorders>
            <w:vAlign w:val="center"/>
          </w:tcPr>
          <w:p w14:paraId="0D0568DE">
            <w:pPr>
              <w:autoSpaceDE w:val="0"/>
              <w:autoSpaceDN w:val="0"/>
              <w:adjustRightInd w:val="0"/>
              <w:snapToGrid w:val="0"/>
              <w:spacing w:line="240" w:lineRule="auto"/>
              <w:jc w:val="center"/>
              <w:rPr>
                <w:rFonts w:ascii="宋体" w:cs="楷体_GB2312"/>
                <w:b/>
                <w:bCs/>
                <w:color w:val="auto"/>
                <w:sz w:val="24"/>
                <w:highlight w:val="none"/>
                <w:lang w:val="zh-CN"/>
              </w:rPr>
            </w:pPr>
            <w:r>
              <w:rPr>
                <w:rFonts w:hint="eastAsia" w:ascii="宋体" w:cs="楷体_GB2312"/>
                <w:b/>
                <w:bCs/>
                <w:color w:val="auto"/>
                <w:sz w:val="24"/>
                <w:highlight w:val="none"/>
                <w:lang w:val="zh-CN"/>
              </w:rPr>
              <w:t>投标承诺函</w:t>
            </w:r>
          </w:p>
        </w:tc>
        <w:tc>
          <w:tcPr>
            <w:tcW w:w="6579" w:type="dxa"/>
            <w:tcBorders>
              <w:top w:val="single" w:color="auto" w:sz="6" w:space="0"/>
              <w:left w:val="single" w:color="auto" w:sz="6" w:space="0"/>
              <w:right w:val="single" w:color="auto" w:sz="12" w:space="0"/>
            </w:tcBorders>
            <w:vAlign w:val="center"/>
          </w:tcPr>
          <w:p w14:paraId="266C357E">
            <w:pPr>
              <w:widowControl w:val="0"/>
              <w:snapToGrid w:val="0"/>
              <w:spacing w:before="156" w:beforeLines="50" w:line="240" w:lineRule="auto"/>
              <w:rPr>
                <w:rFonts w:cs="楷体_GB2312"/>
                <w:b/>
                <w:color w:val="auto"/>
                <w:sz w:val="24"/>
                <w:highlight w:val="none"/>
                <w:lang w:val="zh-CN"/>
              </w:rPr>
            </w:pPr>
            <w:r>
              <w:rPr>
                <w:rFonts w:hint="eastAsia"/>
                <w:color w:val="auto"/>
                <w:sz w:val="24"/>
                <w:szCs w:val="24"/>
                <w:highlight w:val="none"/>
              </w:rPr>
              <w:t>供应商应按附件格式进行投标承诺、违背承诺的责任追究。</w:t>
            </w:r>
          </w:p>
        </w:tc>
      </w:tr>
      <w:tr w14:paraId="30A9138C">
        <w:tblPrEx>
          <w:tblCellMar>
            <w:top w:w="0" w:type="dxa"/>
            <w:left w:w="108" w:type="dxa"/>
            <w:bottom w:w="0" w:type="dxa"/>
            <w:right w:w="108" w:type="dxa"/>
          </w:tblCellMar>
        </w:tblPrEx>
        <w:trPr>
          <w:trHeight w:val="577" w:hRule="atLeast"/>
          <w:jc w:val="center"/>
        </w:trPr>
        <w:tc>
          <w:tcPr>
            <w:tcW w:w="608" w:type="dxa"/>
            <w:vMerge w:val="continue"/>
            <w:tcBorders>
              <w:left w:val="single" w:color="auto" w:sz="12" w:space="0"/>
              <w:right w:val="single" w:color="auto" w:sz="6" w:space="0"/>
            </w:tcBorders>
          </w:tcPr>
          <w:p w14:paraId="3DCBB577">
            <w:pPr>
              <w:autoSpaceDE w:val="0"/>
              <w:autoSpaceDN w:val="0"/>
              <w:adjustRightInd w:val="0"/>
              <w:snapToGrid w:val="0"/>
              <w:spacing w:line="240" w:lineRule="auto"/>
              <w:jc w:val="center"/>
              <w:rPr>
                <w:rFonts w:ascii="宋体" w:cs="楷体_GB2312"/>
                <w:b/>
                <w:bCs/>
                <w:color w:val="auto"/>
                <w:sz w:val="24"/>
                <w:highlight w:val="none"/>
                <w:lang w:val="zh-CN"/>
              </w:rPr>
            </w:pPr>
          </w:p>
        </w:tc>
        <w:tc>
          <w:tcPr>
            <w:tcW w:w="694" w:type="dxa"/>
            <w:tcBorders>
              <w:top w:val="single" w:color="auto" w:sz="4" w:space="0"/>
              <w:left w:val="single" w:color="auto" w:sz="12" w:space="0"/>
              <w:bottom w:val="single" w:color="auto" w:sz="6" w:space="0"/>
              <w:right w:val="single" w:color="auto" w:sz="6" w:space="0"/>
            </w:tcBorders>
            <w:vAlign w:val="center"/>
          </w:tcPr>
          <w:p w14:paraId="04DB49FE">
            <w:pPr>
              <w:autoSpaceDE w:val="0"/>
              <w:autoSpaceDN w:val="0"/>
              <w:adjustRightInd w:val="0"/>
              <w:snapToGrid w:val="0"/>
              <w:spacing w:line="240" w:lineRule="auto"/>
              <w:ind w:right="-88" w:rightChars="-42"/>
              <w:jc w:val="center"/>
              <w:rPr>
                <w:rFonts w:ascii="宋体" w:hAnsi="宋体" w:cs="楷体_GB2312"/>
                <w:b/>
                <w:bCs/>
                <w:color w:val="auto"/>
                <w:szCs w:val="21"/>
                <w:highlight w:val="none"/>
                <w:lang w:val="zh-CN"/>
              </w:rPr>
            </w:pPr>
            <w:r>
              <w:rPr>
                <w:rFonts w:ascii="宋体" w:hAnsi="宋体" w:cs="楷体_GB2312"/>
                <w:b/>
                <w:bCs/>
                <w:color w:val="auto"/>
                <w:szCs w:val="21"/>
                <w:highlight w:val="none"/>
                <w:lang w:val="zh-CN"/>
              </w:rPr>
              <w:t>3.7.3</w:t>
            </w:r>
          </w:p>
        </w:tc>
        <w:tc>
          <w:tcPr>
            <w:tcW w:w="1874" w:type="dxa"/>
            <w:tcBorders>
              <w:top w:val="single" w:color="auto" w:sz="4" w:space="0"/>
              <w:left w:val="single" w:color="auto" w:sz="6" w:space="0"/>
              <w:bottom w:val="single" w:color="auto" w:sz="6" w:space="0"/>
              <w:right w:val="single" w:color="auto" w:sz="6" w:space="0"/>
            </w:tcBorders>
            <w:vAlign w:val="center"/>
          </w:tcPr>
          <w:p w14:paraId="28126AC6">
            <w:pPr>
              <w:autoSpaceDE w:val="0"/>
              <w:autoSpaceDN w:val="0"/>
              <w:adjustRightInd w:val="0"/>
              <w:snapToGrid w:val="0"/>
              <w:spacing w:line="240" w:lineRule="auto"/>
              <w:jc w:val="center"/>
              <w:rPr>
                <w:rFonts w:ascii="宋体" w:cs="楷体_GB2312"/>
                <w:b/>
                <w:bCs/>
                <w:color w:val="auto"/>
                <w:sz w:val="24"/>
                <w:highlight w:val="none"/>
                <w:lang w:val="zh-CN"/>
              </w:rPr>
            </w:pPr>
            <w:r>
              <w:rPr>
                <w:rFonts w:hint="eastAsia" w:ascii="宋体" w:hAnsi="宋体" w:cs="楷体_GB2312"/>
                <w:b/>
                <w:bCs/>
                <w:color w:val="auto"/>
                <w:sz w:val="24"/>
                <w:highlight w:val="none"/>
                <w:lang w:val="zh-CN"/>
              </w:rPr>
              <w:t>偏差描述</w:t>
            </w:r>
          </w:p>
        </w:tc>
        <w:tc>
          <w:tcPr>
            <w:tcW w:w="6579" w:type="dxa"/>
            <w:tcBorders>
              <w:top w:val="single" w:color="auto" w:sz="4" w:space="0"/>
              <w:left w:val="single" w:color="auto" w:sz="6" w:space="0"/>
              <w:bottom w:val="single" w:color="auto" w:sz="6" w:space="0"/>
              <w:right w:val="single" w:color="auto" w:sz="12" w:space="0"/>
            </w:tcBorders>
            <w:vAlign w:val="center"/>
          </w:tcPr>
          <w:p w14:paraId="03067ADE">
            <w:pPr>
              <w:widowControl w:val="0"/>
              <w:snapToGrid w:val="0"/>
              <w:spacing w:before="156" w:beforeLines="50" w:line="240" w:lineRule="auto"/>
              <w:rPr>
                <w:b/>
                <w:color w:val="auto"/>
                <w:sz w:val="24"/>
                <w:szCs w:val="24"/>
                <w:highlight w:val="none"/>
              </w:rPr>
            </w:pPr>
            <w:r>
              <w:rPr>
                <w:rFonts w:hint="eastAsia" w:ascii="宋体" w:hAnsi="宋体" w:cs="楷体_GB2312"/>
                <w:color w:val="auto"/>
                <w:sz w:val="24"/>
                <w:highlight w:val="none"/>
                <w:lang w:val="zh-CN"/>
              </w:rPr>
              <w:t>见“第三章</w:t>
            </w:r>
            <w:r>
              <w:rPr>
                <w:rFonts w:ascii="宋体" w:hAnsi="宋体" w:cs="楷体_GB2312"/>
                <w:color w:val="auto"/>
                <w:sz w:val="24"/>
                <w:highlight w:val="none"/>
                <w:lang w:val="zh-CN"/>
              </w:rPr>
              <w:t xml:space="preserve"> </w:t>
            </w:r>
            <w:r>
              <w:rPr>
                <w:rFonts w:hint="eastAsia" w:ascii="宋体" w:hAnsi="宋体" w:cs="楷体_GB2312"/>
                <w:color w:val="auto"/>
                <w:sz w:val="24"/>
                <w:highlight w:val="none"/>
                <w:lang w:val="zh-CN"/>
              </w:rPr>
              <w:t>投标人须知”</w:t>
            </w:r>
            <w:r>
              <w:rPr>
                <w:rFonts w:ascii="宋体" w:hAnsi="宋体" w:cs="楷体_GB2312"/>
                <w:color w:val="auto"/>
                <w:sz w:val="24"/>
                <w:highlight w:val="none"/>
                <w:lang w:val="zh-CN"/>
              </w:rPr>
              <w:t xml:space="preserve"> </w:t>
            </w:r>
            <w:r>
              <w:rPr>
                <w:rFonts w:hint="eastAsia" w:ascii="宋体" w:hAnsi="宋体" w:cs="楷体_GB2312"/>
                <w:color w:val="auto"/>
                <w:sz w:val="24"/>
                <w:highlight w:val="none"/>
                <w:lang w:val="zh-CN"/>
              </w:rPr>
              <w:t>相应条款</w:t>
            </w:r>
          </w:p>
        </w:tc>
      </w:tr>
      <w:tr w14:paraId="6EB6F8B0">
        <w:tblPrEx>
          <w:tblCellMar>
            <w:top w:w="0" w:type="dxa"/>
            <w:left w:w="108" w:type="dxa"/>
            <w:bottom w:w="0" w:type="dxa"/>
            <w:right w:w="108" w:type="dxa"/>
          </w:tblCellMar>
        </w:tblPrEx>
        <w:trPr>
          <w:trHeight w:val="65" w:hRule="atLeast"/>
          <w:jc w:val="center"/>
        </w:trPr>
        <w:tc>
          <w:tcPr>
            <w:tcW w:w="608" w:type="dxa"/>
            <w:vMerge w:val="continue"/>
            <w:tcBorders>
              <w:left w:val="single" w:color="auto" w:sz="12" w:space="0"/>
              <w:right w:val="single" w:color="auto" w:sz="6" w:space="0"/>
            </w:tcBorders>
          </w:tcPr>
          <w:p w14:paraId="33E93303">
            <w:pPr>
              <w:autoSpaceDE w:val="0"/>
              <w:autoSpaceDN w:val="0"/>
              <w:adjustRightInd w:val="0"/>
              <w:snapToGrid w:val="0"/>
              <w:spacing w:line="240" w:lineRule="auto"/>
              <w:jc w:val="center"/>
              <w:rPr>
                <w:rFonts w:ascii="宋体" w:cs="楷体_GB2312"/>
                <w:b/>
                <w:bCs/>
                <w:color w:val="auto"/>
                <w:sz w:val="24"/>
                <w:highlight w:val="none"/>
              </w:rPr>
            </w:pPr>
          </w:p>
        </w:tc>
        <w:tc>
          <w:tcPr>
            <w:tcW w:w="694" w:type="dxa"/>
            <w:tcBorders>
              <w:top w:val="single" w:color="auto" w:sz="6" w:space="0"/>
              <w:left w:val="single" w:color="auto" w:sz="12" w:space="0"/>
              <w:bottom w:val="single" w:color="auto" w:sz="6" w:space="0"/>
              <w:right w:val="single" w:color="auto" w:sz="6" w:space="0"/>
            </w:tcBorders>
            <w:vAlign w:val="center"/>
          </w:tcPr>
          <w:p w14:paraId="0CE24904">
            <w:pPr>
              <w:autoSpaceDE w:val="0"/>
              <w:autoSpaceDN w:val="0"/>
              <w:adjustRightInd w:val="0"/>
              <w:snapToGrid w:val="0"/>
              <w:spacing w:line="240" w:lineRule="auto"/>
              <w:ind w:right="-88" w:rightChars="-42"/>
              <w:jc w:val="center"/>
              <w:rPr>
                <w:rFonts w:ascii="宋体" w:hAnsi="宋体" w:cs="楷体_GB2312"/>
                <w:b/>
                <w:bCs/>
                <w:color w:val="auto"/>
                <w:szCs w:val="21"/>
                <w:highlight w:val="none"/>
                <w:lang w:val="zh-CN"/>
              </w:rPr>
            </w:pPr>
            <w:r>
              <w:rPr>
                <w:rFonts w:ascii="宋体" w:hAnsi="宋体" w:cs="楷体_GB2312"/>
                <w:b/>
                <w:bCs/>
                <w:color w:val="auto"/>
                <w:szCs w:val="21"/>
                <w:highlight w:val="none"/>
                <w:lang w:val="zh-CN"/>
              </w:rPr>
              <w:t>3.7.4</w:t>
            </w:r>
          </w:p>
        </w:tc>
        <w:tc>
          <w:tcPr>
            <w:tcW w:w="1874" w:type="dxa"/>
            <w:tcBorders>
              <w:top w:val="single" w:color="auto" w:sz="6" w:space="0"/>
              <w:left w:val="single" w:color="auto" w:sz="6" w:space="0"/>
              <w:bottom w:val="single" w:color="auto" w:sz="6" w:space="0"/>
              <w:right w:val="single" w:color="auto" w:sz="6" w:space="0"/>
            </w:tcBorders>
            <w:vAlign w:val="center"/>
          </w:tcPr>
          <w:p w14:paraId="4092C76B">
            <w:pPr>
              <w:autoSpaceDE w:val="0"/>
              <w:autoSpaceDN w:val="0"/>
              <w:adjustRightInd w:val="0"/>
              <w:snapToGrid w:val="0"/>
              <w:spacing w:line="240" w:lineRule="auto"/>
              <w:jc w:val="center"/>
              <w:rPr>
                <w:rFonts w:ascii="宋体" w:cs="楷体_GB2312"/>
                <w:b/>
                <w:bCs/>
                <w:color w:val="auto"/>
                <w:sz w:val="24"/>
                <w:highlight w:val="none"/>
                <w:lang w:val="zh-CN"/>
              </w:rPr>
            </w:pPr>
            <w:r>
              <w:rPr>
                <w:rFonts w:hint="eastAsia" w:ascii="宋体" w:hAnsi="宋体" w:cs="楷体_GB2312"/>
                <w:b/>
                <w:bCs/>
                <w:color w:val="auto"/>
                <w:sz w:val="24"/>
                <w:highlight w:val="none"/>
                <w:lang w:val="zh-CN"/>
              </w:rPr>
              <w:t>签字或盖章要求</w:t>
            </w:r>
          </w:p>
        </w:tc>
        <w:tc>
          <w:tcPr>
            <w:tcW w:w="6579" w:type="dxa"/>
            <w:tcBorders>
              <w:top w:val="single" w:color="auto" w:sz="6" w:space="0"/>
              <w:left w:val="single" w:color="auto" w:sz="6" w:space="0"/>
              <w:bottom w:val="single" w:color="auto" w:sz="6" w:space="0"/>
              <w:right w:val="single" w:color="auto" w:sz="12" w:space="0"/>
            </w:tcBorders>
            <w:vAlign w:val="center"/>
          </w:tcPr>
          <w:p w14:paraId="4483B2F9">
            <w:pPr>
              <w:autoSpaceDE w:val="0"/>
              <w:autoSpaceDN w:val="0"/>
              <w:adjustRightInd w:val="0"/>
              <w:snapToGrid w:val="0"/>
              <w:spacing w:before="156" w:beforeLines="50" w:line="240" w:lineRule="auto"/>
              <w:rPr>
                <w:rFonts w:ascii="宋体" w:cs="楷体_GB2312"/>
                <w:color w:val="auto"/>
                <w:sz w:val="24"/>
                <w:highlight w:val="none"/>
                <w:lang w:val="zh-CN"/>
              </w:rPr>
            </w:pPr>
            <w:r>
              <w:rPr>
                <w:rFonts w:hint="eastAsia" w:ascii="宋体" w:hAnsi="宋体" w:cs="楷体_GB2312"/>
                <w:color w:val="auto"/>
                <w:sz w:val="24"/>
                <w:highlight w:val="none"/>
                <w:lang w:val="zh-CN"/>
              </w:rPr>
              <w:t>见“第三章</w:t>
            </w:r>
            <w:r>
              <w:rPr>
                <w:rFonts w:ascii="宋体" w:hAnsi="宋体" w:cs="楷体_GB2312"/>
                <w:color w:val="auto"/>
                <w:sz w:val="24"/>
                <w:highlight w:val="none"/>
                <w:lang w:val="zh-CN"/>
              </w:rPr>
              <w:t xml:space="preserve"> </w:t>
            </w:r>
            <w:r>
              <w:rPr>
                <w:rFonts w:hint="eastAsia" w:ascii="宋体" w:hAnsi="宋体" w:cs="楷体_GB2312"/>
                <w:color w:val="auto"/>
                <w:sz w:val="24"/>
                <w:highlight w:val="none"/>
                <w:lang w:val="zh-CN"/>
              </w:rPr>
              <w:t>投标人须知”</w:t>
            </w:r>
            <w:r>
              <w:rPr>
                <w:rFonts w:ascii="宋体" w:hAnsi="宋体" w:cs="楷体_GB2312"/>
                <w:color w:val="auto"/>
                <w:sz w:val="24"/>
                <w:highlight w:val="none"/>
                <w:lang w:val="zh-CN"/>
              </w:rPr>
              <w:t xml:space="preserve"> </w:t>
            </w:r>
            <w:r>
              <w:rPr>
                <w:rFonts w:hint="eastAsia" w:ascii="宋体" w:hAnsi="宋体" w:cs="楷体_GB2312"/>
                <w:color w:val="auto"/>
                <w:sz w:val="24"/>
                <w:highlight w:val="none"/>
                <w:lang w:val="zh-CN"/>
              </w:rPr>
              <w:t>相应条款</w:t>
            </w:r>
          </w:p>
        </w:tc>
      </w:tr>
      <w:tr w14:paraId="72653BA2">
        <w:tblPrEx>
          <w:tblCellMar>
            <w:top w:w="0" w:type="dxa"/>
            <w:left w:w="108" w:type="dxa"/>
            <w:bottom w:w="0" w:type="dxa"/>
            <w:right w:w="108" w:type="dxa"/>
          </w:tblCellMar>
        </w:tblPrEx>
        <w:trPr>
          <w:trHeight w:val="343" w:hRule="atLeast"/>
          <w:jc w:val="center"/>
        </w:trPr>
        <w:tc>
          <w:tcPr>
            <w:tcW w:w="608" w:type="dxa"/>
            <w:vMerge w:val="continue"/>
            <w:tcBorders>
              <w:left w:val="single" w:color="auto" w:sz="12" w:space="0"/>
              <w:right w:val="single" w:color="auto" w:sz="6" w:space="0"/>
            </w:tcBorders>
          </w:tcPr>
          <w:p w14:paraId="15A98921">
            <w:pPr>
              <w:autoSpaceDE w:val="0"/>
              <w:autoSpaceDN w:val="0"/>
              <w:adjustRightInd w:val="0"/>
              <w:snapToGrid w:val="0"/>
              <w:spacing w:line="240" w:lineRule="auto"/>
              <w:jc w:val="center"/>
              <w:rPr>
                <w:rFonts w:ascii="宋体" w:cs="楷体_GB2312"/>
                <w:b/>
                <w:bCs/>
                <w:color w:val="auto"/>
                <w:sz w:val="24"/>
                <w:highlight w:val="none"/>
              </w:rPr>
            </w:pPr>
          </w:p>
        </w:tc>
        <w:tc>
          <w:tcPr>
            <w:tcW w:w="694" w:type="dxa"/>
            <w:tcBorders>
              <w:top w:val="single" w:color="auto" w:sz="6" w:space="0"/>
              <w:left w:val="single" w:color="auto" w:sz="12" w:space="0"/>
              <w:bottom w:val="single" w:color="auto" w:sz="6" w:space="0"/>
              <w:right w:val="single" w:color="auto" w:sz="6" w:space="0"/>
            </w:tcBorders>
            <w:vAlign w:val="center"/>
          </w:tcPr>
          <w:p w14:paraId="0AAD7439">
            <w:pPr>
              <w:autoSpaceDE w:val="0"/>
              <w:autoSpaceDN w:val="0"/>
              <w:adjustRightInd w:val="0"/>
              <w:snapToGrid w:val="0"/>
              <w:spacing w:line="240" w:lineRule="auto"/>
              <w:ind w:right="-88" w:rightChars="-42"/>
              <w:jc w:val="center"/>
              <w:rPr>
                <w:rFonts w:ascii="宋体" w:hAnsi="宋体" w:cs="楷体_GB2312"/>
                <w:b/>
                <w:bCs/>
                <w:color w:val="auto"/>
                <w:szCs w:val="21"/>
                <w:highlight w:val="none"/>
                <w:lang w:val="zh-CN"/>
              </w:rPr>
            </w:pPr>
            <w:r>
              <w:rPr>
                <w:rFonts w:ascii="宋体" w:hAnsi="宋体" w:cs="楷体_GB2312"/>
                <w:b/>
                <w:bCs/>
                <w:color w:val="auto"/>
                <w:szCs w:val="21"/>
                <w:highlight w:val="none"/>
                <w:lang w:val="zh-CN"/>
              </w:rPr>
              <w:t>4.2.4</w:t>
            </w:r>
          </w:p>
        </w:tc>
        <w:tc>
          <w:tcPr>
            <w:tcW w:w="1874" w:type="dxa"/>
            <w:tcBorders>
              <w:top w:val="single" w:color="auto" w:sz="6" w:space="0"/>
              <w:left w:val="single" w:color="auto" w:sz="6" w:space="0"/>
              <w:bottom w:val="single" w:color="auto" w:sz="6" w:space="0"/>
              <w:right w:val="single" w:color="auto" w:sz="6" w:space="0"/>
            </w:tcBorders>
            <w:vAlign w:val="center"/>
          </w:tcPr>
          <w:p w14:paraId="0C37D3BF">
            <w:pPr>
              <w:autoSpaceDE w:val="0"/>
              <w:autoSpaceDN w:val="0"/>
              <w:adjustRightInd w:val="0"/>
              <w:snapToGrid w:val="0"/>
              <w:spacing w:line="240" w:lineRule="auto"/>
              <w:jc w:val="center"/>
              <w:rPr>
                <w:rFonts w:ascii="宋体" w:cs="楷体_GB2312"/>
                <w:b/>
                <w:bCs/>
                <w:color w:val="auto"/>
                <w:sz w:val="24"/>
                <w:highlight w:val="none"/>
                <w:lang w:val="zh-CN"/>
              </w:rPr>
            </w:pPr>
            <w:r>
              <w:rPr>
                <w:rFonts w:hint="eastAsia" w:ascii="宋体" w:hAnsi="宋体" w:cs="楷体_GB2312"/>
                <w:b/>
                <w:bCs/>
                <w:color w:val="auto"/>
                <w:sz w:val="24"/>
                <w:highlight w:val="none"/>
                <w:lang w:val="zh-CN"/>
              </w:rPr>
              <w:t>是否退还投标文件</w:t>
            </w:r>
          </w:p>
        </w:tc>
        <w:tc>
          <w:tcPr>
            <w:tcW w:w="6579" w:type="dxa"/>
            <w:tcBorders>
              <w:top w:val="single" w:color="auto" w:sz="6" w:space="0"/>
              <w:left w:val="single" w:color="auto" w:sz="6" w:space="0"/>
              <w:bottom w:val="single" w:color="auto" w:sz="6" w:space="0"/>
              <w:right w:val="single" w:color="auto" w:sz="12" w:space="0"/>
            </w:tcBorders>
            <w:vAlign w:val="center"/>
          </w:tcPr>
          <w:p w14:paraId="2889B5D5">
            <w:pPr>
              <w:autoSpaceDE w:val="0"/>
              <w:autoSpaceDN w:val="0"/>
              <w:adjustRightInd w:val="0"/>
              <w:snapToGrid w:val="0"/>
              <w:spacing w:before="156" w:beforeLines="50" w:line="240" w:lineRule="auto"/>
              <w:rPr>
                <w:rFonts w:ascii="宋体" w:cs="楷体_GB2312"/>
                <w:color w:val="auto"/>
                <w:sz w:val="24"/>
                <w:highlight w:val="none"/>
                <w:lang w:val="zh-CN"/>
              </w:rPr>
            </w:pPr>
            <w:r>
              <w:rPr>
                <w:rFonts w:hint="eastAsia" w:ascii="宋体" w:hAnsi="宋体" w:cs="楷体_GB2312"/>
                <w:color w:val="auto"/>
                <w:sz w:val="24"/>
                <w:highlight w:val="none"/>
                <w:lang w:val="zh-CN"/>
              </w:rPr>
              <w:t>否</w:t>
            </w:r>
          </w:p>
        </w:tc>
      </w:tr>
      <w:tr w14:paraId="5D1701BA">
        <w:tblPrEx>
          <w:tblCellMar>
            <w:top w:w="0" w:type="dxa"/>
            <w:left w:w="108" w:type="dxa"/>
            <w:bottom w:w="0" w:type="dxa"/>
            <w:right w:w="108" w:type="dxa"/>
          </w:tblCellMar>
        </w:tblPrEx>
        <w:trPr>
          <w:trHeight w:val="507" w:hRule="atLeast"/>
          <w:jc w:val="center"/>
        </w:trPr>
        <w:tc>
          <w:tcPr>
            <w:tcW w:w="608" w:type="dxa"/>
            <w:vMerge w:val="continue"/>
            <w:tcBorders>
              <w:left w:val="single" w:color="auto" w:sz="12" w:space="0"/>
              <w:bottom w:val="single" w:color="auto" w:sz="6" w:space="0"/>
              <w:right w:val="single" w:color="auto" w:sz="6" w:space="0"/>
            </w:tcBorders>
          </w:tcPr>
          <w:p w14:paraId="650CCFA7">
            <w:pPr>
              <w:autoSpaceDE w:val="0"/>
              <w:autoSpaceDN w:val="0"/>
              <w:adjustRightInd w:val="0"/>
              <w:snapToGrid w:val="0"/>
              <w:spacing w:line="240" w:lineRule="auto"/>
              <w:jc w:val="center"/>
              <w:rPr>
                <w:rFonts w:ascii="宋体" w:cs="楷体_GB2312"/>
                <w:b/>
                <w:bCs/>
                <w:color w:val="auto"/>
                <w:sz w:val="24"/>
                <w:highlight w:val="none"/>
              </w:rPr>
            </w:pPr>
          </w:p>
        </w:tc>
        <w:tc>
          <w:tcPr>
            <w:tcW w:w="694" w:type="dxa"/>
            <w:tcBorders>
              <w:top w:val="single" w:color="auto" w:sz="6" w:space="0"/>
              <w:left w:val="single" w:color="auto" w:sz="12" w:space="0"/>
              <w:bottom w:val="single" w:color="auto" w:sz="6" w:space="0"/>
              <w:right w:val="single" w:color="auto" w:sz="6" w:space="0"/>
            </w:tcBorders>
            <w:vAlign w:val="center"/>
          </w:tcPr>
          <w:p w14:paraId="0BF921BB">
            <w:pPr>
              <w:autoSpaceDE w:val="0"/>
              <w:autoSpaceDN w:val="0"/>
              <w:adjustRightInd w:val="0"/>
              <w:snapToGrid w:val="0"/>
              <w:spacing w:line="240" w:lineRule="auto"/>
              <w:ind w:right="-88" w:rightChars="-42"/>
              <w:jc w:val="center"/>
              <w:rPr>
                <w:rFonts w:ascii="宋体" w:hAnsi="宋体" w:cs="楷体_GB2312"/>
                <w:b/>
                <w:bCs/>
                <w:color w:val="auto"/>
                <w:szCs w:val="21"/>
                <w:highlight w:val="none"/>
                <w:lang w:val="zh-CN"/>
              </w:rPr>
            </w:pPr>
            <w:r>
              <w:rPr>
                <w:rFonts w:ascii="宋体" w:hAnsi="宋体" w:cs="楷体_GB2312"/>
                <w:b/>
                <w:bCs/>
                <w:color w:val="auto"/>
                <w:szCs w:val="21"/>
                <w:highlight w:val="none"/>
                <w:lang w:val="zh-CN"/>
              </w:rPr>
              <w:t>6.1</w:t>
            </w:r>
          </w:p>
        </w:tc>
        <w:tc>
          <w:tcPr>
            <w:tcW w:w="1874" w:type="dxa"/>
            <w:tcBorders>
              <w:top w:val="single" w:color="auto" w:sz="6" w:space="0"/>
              <w:left w:val="single" w:color="auto" w:sz="6" w:space="0"/>
              <w:bottom w:val="single" w:color="auto" w:sz="6" w:space="0"/>
              <w:right w:val="single" w:color="auto" w:sz="6" w:space="0"/>
            </w:tcBorders>
            <w:vAlign w:val="center"/>
          </w:tcPr>
          <w:p w14:paraId="626E022C">
            <w:pPr>
              <w:autoSpaceDE w:val="0"/>
              <w:autoSpaceDN w:val="0"/>
              <w:adjustRightInd w:val="0"/>
              <w:snapToGrid w:val="0"/>
              <w:spacing w:line="240" w:lineRule="auto"/>
              <w:jc w:val="center"/>
              <w:rPr>
                <w:rFonts w:ascii="宋体" w:cs="楷体_GB2312"/>
                <w:b/>
                <w:bCs/>
                <w:color w:val="auto"/>
                <w:sz w:val="24"/>
                <w:highlight w:val="none"/>
                <w:lang w:val="zh-CN"/>
              </w:rPr>
            </w:pPr>
            <w:r>
              <w:rPr>
                <w:rFonts w:hint="eastAsia" w:ascii="宋体" w:hAnsi="宋体" w:cs="楷体_GB2312"/>
                <w:b/>
                <w:bCs/>
                <w:color w:val="auto"/>
                <w:sz w:val="24"/>
                <w:highlight w:val="none"/>
                <w:lang w:val="zh-CN"/>
              </w:rPr>
              <w:t>谈判小组的组建</w:t>
            </w:r>
          </w:p>
        </w:tc>
        <w:tc>
          <w:tcPr>
            <w:tcW w:w="6579" w:type="dxa"/>
            <w:tcBorders>
              <w:top w:val="single" w:color="auto" w:sz="6" w:space="0"/>
              <w:left w:val="single" w:color="auto" w:sz="6" w:space="0"/>
              <w:bottom w:val="single" w:color="auto" w:sz="6" w:space="0"/>
              <w:right w:val="single" w:color="auto" w:sz="12" w:space="0"/>
            </w:tcBorders>
            <w:vAlign w:val="center"/>
          </w:tcPr>
          <w:p w14:paraId="36744456">
            <w:pPr>
              <w:autoSpaceDE w:val="0"/>
              <w:autoSpaceDN w:val="0"/>
              <w:adjustRightInd w:val="0"/>
              <w:snapToGrid w:val="0"/>
              <w:spacing w:before="156" w:beforeLines="50" w:line="240" w:lineRule="auto"/>
              <w:rPr>
                <w:rFonts w:ascii="宋体" w:cs="楷体_GB2312"/>
                <w:color w:val="auto"/>
                <w:sz w:val="24"/>
                <w:highlight w:val="none"/>
                <w:lang w:val="zh-CN"/>
              </w:rPr>
            </w:pPr>
            <w:r>
              <w:rPr>
                <w:rFonts w:hint="eastAsia" w:ascii="宋体" w:hAnsi="宋体" w:cs="楷体_GB2312"/>
                <w:color w:val="auto"/>
                <w:sz w:val="24"/>
                <w:highlight w:val="none"/>
                <w:lang w:val="zh-CN"/>
              </w:rPr>
              <w:t>见“第三章</w:t>
            </w:r>
            <w:r>
              <w:rPr>
                <w:rFonts w:ascii="宋体" w:hAnsi="宋体" w:cs="楷体_GB2312"/>
                <w:color w:val="auto"/>
                <w:sz w:val="24"/>
                <w:highlight w:val="none"/>
                <w:lang w:val="zh-CN"/>
              </w:rPr>
              <w:t xml:space="preserve"> </w:t>
            </w:r>
            <w:r>
              <w:rPr>
                <w:rFonts w:hint="eastAsia" w:ascii="宋体" w:hAnsi="宋体" w:cs="楷体_GB2312"/>
                <w:color w:val="auto"/>
                <w:sz w:val="24"/>
                <w:highlight w:val="none"/>
                <w:lang w:val="zh-CN"/>
              </w:rPr>
              <w:t>投标人须知”</w:t>
            </w:r>
            <w:r>
              <w:rPr>
                <w:rFonts w:ascii="宋体" w:hAnsi="宋体" w:cs="楷体_GB2312"/>
                <w:color w:val="auto"/>
                <w:sz w:val="24"/>
                <w:highlight w:val="none"/>
                <w:lang w:val="zh-CN"/>
              </w:rPr>
              <w:t xml:space="preserve"> </w:t>
            </w:r>
            <w:r>
              <w:rPr>
                <w:rFonts w:hint="eastAsia" w:ascii="宋体" w:hAnsi="宋体" w:cs="楷体_GB2312"/>
                <w:color w:val="auto"/>
                <w:sz w:val="24"/>
                <w:highlight w:val="none"/>
                <w:lang w:val="zh-CN"/>
              </w:rPr>
              <w:t>相应条款</w:t>
            </w:r>
          </w:p>
        </w:tc>
      </w:tr>
      <w:tr w14:paraId="2C67F347">
        <w:tblPrEx>
          <w:tblCellMar>
            <w:top w:w="0" w:type="dxa"/>
            <w:left w:w="108" w:type="dxa"/>
            <w:bottom w:w="0" w:type="dxa"/>
            <w:right w:w="108" w:type="dxa"/>
          </w:tblCellMar>
        </w:tblPrEx>
        <w:trPr>
          <w:trHeight w:val="543" w:hRule="atLeast"/>
          <w:jc w:val="center"/>
        </w:trPr>
        <w:tc>
          <w:tcPr>
            <w:tcW w:w="608" w:type="dxa"/>
            <w:vMerge w:val="restart"/>
            <w:tcBorders>
              <w:left w:val="single" w:color="auto" w:sz="12" w:space="0"/>
              <w:right w:val="single" w:color="auto" w:sz="6" w:space="0"/>
            </w:tcBorders>
          </w:tcPr>
          <w:p w14:paraId="31DF2F7F">
            <w:pPr>
              <w:autoSpaceDE w:val="0"/>
              <w:autoSpaceDN w:val="0"/>
              <w:adjustRightInd w:val="0"/>
              <w:snapToGrid w:val="0"/>
              <w:spacing w:line="240" w:lineRule="auto"/>
              <w:jc w:val="center"/>
              <w:rPr>
                <w:rFonts w:ascii="宋体" w:cs="楷体_GB2312"/>
                <w:b/>
                <w:bCs/>
                <w:color w:val="auto"/>
                <w:sz w:val="24"/>
                <w:highlight w:val="none"/>
              </w:rPr>
            </w:pPr>
            <w:r>
              <w:rPr>
                <w:rFonts w:hint="eastAsia" w:ascii="宋体" w:hAnsi="宋体" w:cs="楷体_GB2312"/>
                <w:b/>
                <w:bCs/>
                <w:color w:val="auto"/>
                <w:sz w:val="24"/>
                <w:highlight w:val="none"/>
              </w:rPr>
              <w:t>第三章</w:t>
            </w:r>
          </w:p>
        </w:tc>
        <w:tc>
          <w:tcPr>
            <w:tcW w:w="694" w:type="dxa"/>
            <w:tcBorders>
              <w:top w:val="single" w:color="auto" w:sz="6" w:space="0"/>
              <w:left w:val="single" w:color="auto" w:sz="12" w:space="0"/>
              <w:bottom w:val="single" w:color="auto" w:sz="6" w:space="0"/>
              <w:right w:val="single" w:color="auto" w:sz="6" w:space="0"/>
            </w:tcBorders>
            <w:vAlign w:val="center"/>
          </w:tcPr>
          <w:p w14:paraId="32E517E8">
            <w:pPr>
              <w:autoSpaceDE w:val="0"/>
              <w:autoSpaceDN w:val="0"/>
              <w:adjustRightInd w:val="0"/>
              <w:snapToGrid w:val="0"/>
              <w:spacing w:line="240" w:lineRule="auto"/>
              <w:ind w:right="-88" w:rightChars="-42"/>
              <w:jc w:val="center"/>
              <w:rPr>
                <w:rFonts w:ascii="宋体" w:hAnsi="宋体" w:cs="楷体_GB2312"/>
                <w:b/>
                <w:bCs/>
                <w:color w:val="auto"/>
                <w:szCs w:val="21"/>
                <w:highlight w:val="none"/>
                <w:lang w:val="zh-CN"/>
              </w:rPr>
            </w:pPr>
            <w:r>
              <w:rPr>
                <w:rFonts w:ascii="宋体" w:hAnsi="宋体" w:cs="楷体_GB2312"/>
                <w:b/>
                <w:bCs/>
                <w:color w:val="auto"/>
                <w:szCs w:val="21"/>
                <w:highlight w:val="none"/>
                <w:lang w:val="zh-CN"/>
              </w:rPr>
              <w:t>7.1</w:t>
            </w:r>
          </w:p>
        </w:tc>
        <w:tc>
          <w:tcPr>
            <w:tcW w:w="1874" w:type="dxa"/>
            <w:tcBorders>
              <w:top w:val="single" w:color="auto" w:sz="6" w:space="0"/>
              <w:left w:val="single" w:color="auto" w:sz="6" w:space="0"/>
              <w:bottom w:val="single" w:color="auto" w:sz="6" w:space="0"/>
              <w:right w:val="single" w:color="auto" w:sz="6" w:space="0"/>
            </w:tcBorders>
            <w:vAlign w:val="center"/>
          </w:tcPr>
          <w:p w14:paraId="4337042F">
            <w:pPr>
              <w:autoSpaceDE w:val="0"/>
              <w:autoSpaceDN w:val="0"/>
              <w:adjustRightInd w:val="0"/>
              <w:snapToGrid w:val="0"/>
              <w:spacing w:line="240" w:lineRule="auto"/>
              <w:jc w:val="center"/>
              <w:rPr>
                <w:rFonts w:ascii="宋体"/>
                <w:b/>
                <w:color w:val="auto"/>
                <w:sz w:val="24"/>
                <w:highlight w:val="none"/>
              </w:rPr>
            </w:pPr>
            <w:r>
              <w:rPr>
                <w:rFonts w:hint="eastAsia" w:ascii="宋体" w:hAnsi="宋体"/>
                <w:b/>
                <w:color w:val="auto"/>
                <w:sz w:val="24"/>
                <w:highlight w:val="none"/>
              </w:rPr>
              <w:t>是否授权谈判小组确定成交供应商</w:t>
            </w:r>
          </w:p>
        </w:tc>
        <w:tc>
          <w:tcPr>
            <w:tcW w:w="6579" w:type="dxa"/>
            <w:tcBorders>
              <w:top w:val="single" w:color="auto" w:sz="6" w:space="0"/>
              <w:left w:val="single" w:color="auto" w:sz="6" w:space="0"/>
              <w:bottom w:val="single" w:color="auto" w:sz="6" w:space="0"/>
              <w:right w:val="single" w:color="auto" w:sz="12" w:space="0"/>
            </w:tcBorders>
            <w:vAlign w:val="center"/>
          </w:tcPr>
          <w:p w14:paraId="5EA12540">
            <w:pPr>
              <w:adjustRightInd w:val="0"/>
              <w:snapToGrid w:val="0"/>
              <w:spacing w:before="156" w:beforeLines="50" w:line="240" w:lineRule="auto"/>
              <w:rPr>
                <w:rFonts w:ascii="宋体" w:hAnsi="宋体"/>
                <w:color w:val="auto"/>
                <w:sz w:val="24"/>
                <w:highlight w:val="none"/>
              </w:rPr>
            </w:pPr>
            <w:r>
              <w:rPr>
                <w:rFonts w:hint="eastAsia" w:ascii="宋体" w:hAnsi="宋体"/>
                <w:color w:val="auto"/>
                <w:sz w:val="24"/>
                <w:highlight w:val="none"/>
              </w:rPr>
              <w:t>是。谈判小组按照最后报价由低到高的顺序提出</w:t>
            </w:r>
            <w:r>
              <w:rPr>
                <w:rFonts w:ascii="宋体" w:hAnsi="宋体"/>
                <w:color w:val="auto"/>
                <w:sz w:val="24"/>
                <w:highlight w:val="none"/>
              </w:rPr>
              <w:t>3</w:t>
            </w:r>
            <w:r>
              <w:rPr>
                <w:rFonts w:hint="eastAsia" w:ascii="宋体" w:hAnsi="宋体"/>
                <w:color w:val="auto"/>
                <w:sz w:val="24"/>
                <w:highlight w:val="none"/>
              </w:rPr>
              <w:t>名成交候选人，并确定排名第一的成交候选人为成交供应商。</w:t>
            </w:r>
          </w:p>
        </w:tc>
      </w:tr>
      <w:tr w14:paraId="1A32CDA3">
        <w:tblPrEx>
          <w:tblCellMar>
            <w:top w:w="0" w:type="dxa"/>
            <w:left w:w="108" w:type="dxa"/>
            <w:bottom w:w="0" w:type="dxa"/>
            <w:right w:w="108" w:type="dxa"/>
          </w:tblCellMar>
        </w:tblPrEx>
        <w:trPr>
          <w:trHeight w:val="453" w:hRule="atLeast"/>
          <w:jc w:val="center"/>
        </w:trPr>
        <w:tc>
          <w:tcPr>
            <w:tcW w:w="608" w:type="dxa"/>
            <w:vMerge w:val="continue"/>
            <w:tcBorders>
              <w:left w:val="single" w:color="auto" w:sz="12" w:space="0"/>
              <w:right w:val="single" w:color="auto" w:sz="6" w:space="0"/>
            </w:tcBorders>
          </w:tcPr>
          <w:p w14:paraId="41746AD9">
            <w:pPr>
              <w:autoSpaceDE w:val="0"/>
              <w:autoSpaceDN w:val="0"/>
              <w:adjustRightInd w:val="0"/>
              <w:snapToGrid w:val="0"/>
              <w:spacing w:line="240" w:lineRule="auto"/>
              <w:jc w:val="center"/>
              <w:rPr>
                <w:rFonts w:ascii="宋体" w:cs="楷体_GB2312"/>
                <w:b/>
                <w:bCs/>
                <w:color w:val="auto"/>
                <w:sz w:val="24"/>
                <w:highlight w:val="none"/>
              </w:rPr>
            </w:pPr>
          </w:p>
        </w:tc>
        <w:tc>
          <w:tcPr>
            <w:tcW w:w="694" w:type="dxa"/>
            <w:tcBorders>
              <w:top w:val="single" w:color="auto" w:sz="6" w:space="0"/>
              <w:left w:val="single" w:color="auto" w:sz="12" w:space="0"/>
              <w:bottom w:val="single" w:color="auto" w:sz="6" w:space="0"/>
              <w:right w:val="single" w:color="auto" w:sz="6" w:space="0"/>
            </w:tcBorders>
            <w:vAlign w:val="center"/>
          </w:tcPr>
          <w:p w14:paraId="4A5CAA05">
            <w:pPr>
              <w:autoSpaceDE w:val="0"/>
              <w:autoSpaceDN w:val="0"/>
              <w:adjustRightInd w:val="0"/>
              <w:snapToGrid w:val="0"/>
              <w:spacing w:line="240" w:lineRule="auto"/>
              <w:ind w:right="-88" w:rightChars="-42"/>
              <w:jc w:val="center"/>
              <w:rPr>
                <w:rFonts w:ascii="宋体" w:hAnsi="宋体" w:cs="楷体_GB2312"/>
                <w:b/>
                <w:bCs/>
                <w:color w:val="auto"/>
                <w:szCs w:val="21"/>
                <w:highlight w:val="none"/>
                <w:lang w:val="zh-CN"/>
              </w:rPr>
            </w:pPr>
            <w:r>
              <w:rPr>
                <w:rFonts w:ascii="宋体" w:hAnsi="宋体" w:cs="楷体_GB2312"/>
                <w:b/>
                <w:bCs/>
                <w:color w:val="auto"/>
                <w:szCs w:val="21"/>
                <w:highlight w:val="none"/>
                <w:lang w:val="zh-CN"/>
              </w:rPr>
              <w:t>7.2</w:t>
            </w:r>
          </w:p>
        </w:tc>
        <w:tc>
          <w:tcPr>
            <w:tcW w:w="1874" w:type="dxa"/>
            <w:tcBorders>
              <w:top w:val="single" w:color="auto" w:sz="6" w:space="0"/>
              <w:left w:val="single" w:color="auto" w:sz="6" w:space="0"/>
              <w:bottom w:val="single" w:color="auto" w:sz="6" w:space="0"/>
              <w:right w:val="single" w:color="auto" w:sz="6" w:space="0"/>
            </w:tcBorders>
            <w:vAlign w:val="center"/>
          </w:tcPr>
          <w:p w14:paraId="778E870F">
            <w:pPr>
              <w:autoSpaceDE w:val="0"/>
              <w:autoSpaceDN w:val="0"/>
              <w:adjustRightInd w:val="0"/>
              <w:snapToGrid w:val="0"/>
              <w:spacing w:line="240" w:lineRule="auto"/>
              <w:jc w:val="center"/>
              <w:rPr>
                <w:rFonts w:ascii="宋体"/>
                <w:b/>
                <w:color w:val="auto"/>
                <w:sz w:val="24"/>
                <w:highlight w:val="none"/>
              </w:rPr>
            </w:pPr>
            <w:r>
              <w:rPr>
                <w:rFonts w:hint="eastAsia" w:ascii="宋体" w:hAnsi="宋体"/>
                <w:b/>
                <w:color w:val="auto"/>
                <w:sz w:val="24"/>
                <w:highlight w:val="none"/>
              </w:rPr>
              <w:t>成交结果公告</w:t>
            </w:r>
          </w:p>
        </w:tc>
        <w:tc>
          <w:tcPr>
            <w:tcW w:w="6579" w:type="dxa"/>
            <w:tcBorders>
              <w:top w:val="single" w:color="auto" w:sz="6" w:space="0"/>
              <w:left w:val="single" w:color="auto" w:sz="6" w:space="0"/>
              <w:bottom w:val="single" w:color="auto" w:sz="6" w:space="0"/>
              <w:right w:val="single" w:color="auto" w:sz="12" w:space="0"/>
            </w:tcBorders>
            <w:vAlign w:val="center"/>
          </w:tcPr>
          <w:p w14:paraId="5ABDEA47">
            <w:pPr>
              <w:adjustRightInd w:val="0"/>
              <w:snapToGrid w:val="0"/>
              <w:spacing w:before="156" w:beforeLines="50" w:line="240" w:lineRule="auto"/>
              <w:rPr>
                <w:rFonts w:ascii="宋体"/>
                <w:color w:val="auto"/>
                <w:sz w:val="24"/>
                <w:highlight w:val="none"/>
              </w:rPr>
            </w:pPr>
            <w:r>
              <w:rPr>
                <w:rFonts w:hint="eastAsia" w:ascii="宋体" w:hAnsi="宋体"/>
                <w:color w:val="auto"/>
                <w:sz w:val="24"/>
                <w:highlight w:val="none"/>
              </w:rPr>
              <w:t>本次竞争性谈判的成交结果将在成交供应商确定之日起1个工作日内，在谈判公告所述媒介公告</w:t>
            </w:r>
            <w:r>
              <w:rPr>
                <w:rFonts w:ascii="宋体" w:hAnsi="宋体"/>
                <w:color w:val="auto"/>
                <w:sz w:val="24"/>
                <w:highlight w:val="none"/>
              </w:rPr>
              <w:t>1</w:t>
            </w:r>
            <w:r>
              <w:rPr>
                <w:rFonts w:hint="eastAsia" w:ascii="宋体" w:hAnsi="宋体"/>
                <w:color w:val="auto"/>
                <w:sz w:val="24"/>
                <w:highlight w:val="none"/>
              </w:rPr>
              <w:t>个工作日。</w:t>
            </w:r>
          </w:p>
        </w:tc>
      </w:tr>
      <w:tr w14:paraId="0FA4B190">
        <w:tblPrEx>
          <w:tblCellMar>
            <w:top w:w="0" w:type="dxa"/>
            <w:left w:w="108" w:type="dxa"/>
            <w:bottom w:w="0" w:type="dxa"/>
            <w:right w:w="108" w:type="dxa"/>
          </w:tblCellMar>
        </w:tblPrEx>
        <w:trPr>
          <w:trHeight w:val="453" w:hRule="atLeast"/>
          <w:jc w:val="center"/>
        </w:trPr>
        <w:tc>
          <w:tcPr>
            <w:tcW w:w="608" w:type="dxa"/>
            <w:vMerge w:val="continue"/>
            <w:tcBorders>
              <w:left w:val="single" w:color="auto" w:sz="12" w:space="0"/>
              <w:right w:val="single" w:color="auto" w:sz="6" w:space="0"/>
            </w:tcBorders>
          </w:tcPr>
          <w:p w14:paraId="1AF75602">
            <w:pPr>
              <w:autoSpaceDE w:val="0"/>
              <w:autoSpaceDN w:val="0"/>
              <w:adjustRightInd w:val="0"/>
              <w:snapToGrid w:val="0"/>
              <w:spacing w:line="240" w:lineRule="auto"/>
              <w:jc w:val="center"/>
              <w:rPr>
                <w:rFonts w:ascii="宋体" w:cs="楷体_GB2312"/>
                <w:b/>
                <w:bCs/>
                <w:color w:val="auto"/>
                <w:sz w:val="24"/>
                <w:highlight w:val="none"/>
              </w:rPr>
            </w:pPr>
          </w:p>
        </w:tc>
        <w:tc>
          <w:tcPr>
            <w:tcW w:w="694" w:type="dxa"/>
            <w:tcBorders>
              <w:top w:val="single" w:color="auto" w:sz="6" w:space="0"/>
              <w:left w:val="single" w:color="auto" w:sz="12" w:space="0"/>
              <w:bottom w:val="single" w:color="auto" w:sz="6" w:space="0"/>
              <w:right w:val="single" w:color="auto" w:sz="6" w:space="0"/>
            </w:tcBorders>
            <w:vAlign w:val="center"/>
          </w:tcPr>
          <w:p w14:paraId="7753C249">
            <w:pPr>
              <w:autoSpaceDE w:val="0"/>
              <w:autoSpaceDN w:val="0"/>
              <w:adjustRightInd w:val="0"/>
              <w:snapToGrid w:val="0"/>
              <w:spacing w:line="240" w:lineRule="auto"/>
              <w:ind w:right="-88" w:rightChars="-42"/>
              <w:jc w:val="center"/>
              <w:rPr>
                <w:rFonts w:ascii="宋体" w:hAnsi="宋体" w:cs="楷体_GB2312"/>
                <w:b/>
                <w:bCs/>
                <w:color w:val="auto"/>
                <w:szCs w:val="21"/>
                <w:highlight w:val="none"/>
                <w:lang w:val="zh-CN"/>
              </w:rPr>
            </w:pPr>
            <w:r>
              <w:rPr>
                <w:rFonts w:ascii="宋体" w:hAnsi="宋体" w:cs="楷体_GB2312"/>
                <w:b/>
                <w:bCs/>
                <w:color w:val="auto"/>
                <w:szCs w:val="21"/>
                <w:highlight w:val="none"/>
                <w:lang w:val="zh-CN"/>
              </w:rPr>
              <w:t>7.3</w:t>
            </w:r>
          </w:p>
        </w:tc>
        <w:tc>
          <w:tcPr>
            <w:tcW w:w="1874" w:type="dxa"/>
            <w:tcBorders>
              <w:top w:val="single" w:color="auto" w:sz="6" w:space="0"/>
              <w:left w:val="single" w:color="auto" w:sz="6" w:space="0"/>
              <w:bottom w:val="single" w:color="auto" w:sz="6" w:space="0"/>
              <w:right w:val="single" w:color="auto" w:sz="6" w:space="0"/>
            </w:tcBorders>
            <w:vAlign w:val="center"/>
          </w:tcPr>
          <w:p w14:paraId="643A2015">
            <w:pPr>
              <w:autoSpaceDE w:val="0"/>
              <w:autoSpaceDN w:val="0"/>
              <w:adjustRightInd w:val="0"/>
              <w:snapToGrid w:val="0"/>
              <w:spacing w:line="240" w:lineRule="auto"/>
              <w:jc w:val="center"/>
              <w:rPr>
                <w:rFonts w:ascii="宋体" w:cs="楷体_GB2312"/>
                <w:b/>
                <w:bCs/>
                <w:color w:val="auto"/>
                <w:sz w:val="24"/>
                <w:highlight w:val="none"/>
              </w:rPr>
            </w:pPr>
            <w:r>
              <w:rPr>
                <w:rFonts w:hint="eastAsia" w:ascii="宋体" w:hAnsi="宋体" w:cs="楷体_GB2312"/>
                <w:b/>
                <w:bCs/>
                <w:color w:val="auto"/>
                <w:sz w:val="24"/>
                <w:highlight w:val="none"/>
              </w:rPr>
              <w:t>质疑、投诉</w:t>
            </w:r>
          </w:p>
        </w:tc>
        <w:tc>
          <w:tcPr>
            <w:tcW w:w="6579" w:type="dxa"/>
            <w:tcBorders>
              <w:top w:val="single" w:color="auto" w:sz="6" w:space="0"/>
              <w:left w:val="single" w:color="auto" w:sz="6" w:space="0"/>
              <w:bottom w:val="single" w:color="auto" w:sz="6" w:space="0"/>
              <w:right w:val="single" w:color="auto" w:sz="12" w:space="0"/>
            </w:tcBorders>
            <w:vAlign w:val="center"/>
          </w:tcPr>
          <w:p w14:paraId="25350079">
            <w:pPr>
              <w:adjustRightInd w:val="0"/>
              <w:snapToGrid w:val="0"/>
              <w:spacing w:before="156" w:beforeLines="50" w:line="240" w:lineRule="auto"/>
              <w:rPr>
                <w:rFonts w:ascii="宋体"/>
                <w:color w:val="auto"/>
                <w:sz w:val="24"/>
                <w:highlight w:val="none"/>
              </w:rPr>
            </w:pPr>
            <w:r>
              <w:rPr>
                <w:rFonts w:hint="eastAsia" w:ascii="宋体" w:hAnsi="宋体"/>
                <w:color w:val="auto"/>
                <w:sz w:val="24"/>
                <w:highlight w:val="none"/>
              </w:rPr>
              <w:t>参与本次采购活动的供应商如有异议，可在各环节法定质疑期内向采购代理机构一次性提出针对该采购程序环节的纸质书面质疑函，书面原件送达至采购文件列示的采购代理机构及采购人联系人处；依据法规规定，质疑函应当有明确的请求和必要的证明材料，应当包括下列内容：1、供应商的姓名或者名称、地址、邮编、联系人及联系电话；2、质疑项目的名称、编号；3、具体、明确的质疑事项和与质疑事项相关的请求；4、事实依据；5、必要的法律依据；6、提出质疑的日期。供应商为自然人的，应当由本人签字；供应商为法人或者其他组织的，应当由法定代表人、主要负责人，或者其授权代表签字或者盖章，并加盖公章。如对采购代理机构的答复仍有异议的，可向同级财政局政府采购监督管理办公室提出书面投诉。（具体程序按照《政府采购质疑和投诉办法》执行）。</w:t>
            </w:r>
          </w:p>
        </w:tc>
      </w:tr>
      <w:tr w14:paraId="6B8A8EF2">
        <w:tblPrEx>
          <w:tblCellMar>
            <w:top w:w="0" w:type="dxa"/>
            <w:left w:w="108" w:type="dxa"/>
            <w:bottom w:w="0" w:type="dxa"/>
            <w:right w:w="108" w:type="dxa"/>
          </w:tblCellMar>
        </w:tblPrEx>
        <w:trPr>
          <w:trHeight w:val="453" w:hRule="atLeast"/>
          <w:jc w:val="center"/>
        </w:trPr>
        <w:tc>
          <w:tcPr>
            <w:tcW w:w="608" w:type="dxa"/>
            <w:vMerge w:val="continue"/>
            <w:tcBorders>
              <w:left w:val="single" w:color="auto" w:sz="12" w:space="0"/>
              <w:right w:val="single" w:color="auto" w:sz="6" w:space="0"/>
            </w:tcBorders>
          </w:tcPr>
          <w:p w14:paraId="7FE26644">
            <w:pPr>
              <w:autoSpaceDE w:val="0"/>
              <w:autoSpaceDN w:val="0"/>
              <w:adjustRightInd w:val="0"/>
              <w:snapToGrid w:val="0"/>
              <w:spacing w:line="240" w:lineRule="auto"/>
              <w:jc w:val="center"/>
              <w:rPr>
                <w:rFonts w:ascii="宋体" w:cs="楷体_GB2312"/>
                <w:b/>
                <w:bCs/>
                <w:color w:val="auto"/>
                <w:sz w:val="24"/>
                <w:highlight w:val="none"/>
              </w:rPr>
            </w:pPr>
          </w:p>
        </w:tc>
        <w:tc>
          <w:tcPr>
            <w:tcW w:w="694" w:type="dxa"/>
            <w:tcBorders>
              <w:top w:val="single" w:color="auto" w:sz="6" w:space="0"/>
              <w:left w:val="single" w:color="auto" w:sz="12" w:space="0"/>
              <w:bottom w:val="single" w:color="auto" w:sz="6" w:space="0"/>
              <w:right w:val="single" w:color="auto" w:sz="6" w:space="0"/>
            </w:tcBorders>
            <w:vAlign w:val="center"/>
          </w:tcPr>
          <w:p w14:paraId="4812572C">
            <w:pPr>
              <w:autoSpaceDE w:val="0"/>
              <w:autoSpaceDN w:val="0"/>
              <w:adjustRightInd w:val="0"/>
              <w:snapToGrid w:val="0"/>
              <w:spacing w:line="240" w:lineRule="auto"/>
              <w:ind w:right="-88" w:rightChars="-42"/>
              <w:jc w:val="center"/>
              <w:rPr>
                <w:rFonts w:ascii="宋体" w:hAnsi="宋体" w:cs="楷体_GB2312"/>
                <w:b/>
                <w:bCs/>
                <w:color w:val="auto"/>
                <w:szCs w:val="21"/>
                <w:highlight w:val="none"/>
                <w:lang w:val="zh-CN"/>
              </w:rPr>
            </w:pPr>
            <w:r>
              <w:rPr>
                <w:rFonts w:ascii="宋体" w:hAnsi="宋体" w:cs="楷体_GB2312"/>
                <w:b/>
                <w:bCs/>
                <w:color w:val="auto"/>
                <w:szCs w:val="21"/>
                <w:highlight w:val="none"/>
                <w:lang w:val="zh-CN"/>
              </w:rPr>
              <w:t>7.4</w:t>
            </w:r>
          </w:p>
        </w:tc>
        <w:tc>
          <w:tcPr>
            <w:tcW w:w="1874" w:type="dxa"/>
            <w:tcBorders>
              <w:top w:val="single" w:color="auto" w:sz="6" w:space="0"/>
              <w:left w:val="single" w:color="auto" w:sz="6" w:space="0"/>
              <w:bottom w:val="single" w:color="auto" w:sz="6" w:space="0"/>
              <w:right w:val="single" w:color="auto" w:sz="6" w:space="0"/>
            </w:tcBorders>
            <w:vAlign w:val="center"/>
          </w:tcPr>
          <w:p w14:paraId="2644E325">
            <w:pPr>
              <w:autoSpaceDE w:val="0"/>
              <w:autoSpaceDN w:val="0"/>
              <w:adjustRightInd w:val="0"/>
              <w:snapToGrid w:val="0"/>
              <w:spacing w:line="240" w:lineRule="auto"/>
              <w:jc w:val="center"/>
              <w:rPr>
                <w:rFonts w:ascii="宋体" w:cs="楷体_GB2312"/>
                <w:b/>
                <w:bCs/>
                <w:color w:val="auto"/>
                <w:sz w:val="24"/>
                <w:highlight w:val="none"/>
              </w:rPr>
            </w:pPr>
            <w:r>
              <w:rPr>
                <w:rFonts w:hint="eastAsia" w:ascii="宋体" w:hAnsi="宋体" w:cs="楷体_GB2312"/>
                <w:b/>
                <w:bCs/>
                <w:color w:val="auto"/>
                <w:sz w:val="24"/>
                <w:highlight w:val="none"/>
              </w:rPr>
              <w:t>成交通知书</w:t>
            </w:r>
          </w:p>
        </w:tc>
        <w:tc>
          <w:tcPr>
            <w:tcW w:w="6579" w:type="dxa"/>
            <w:tcBorders>
              <w:top w:val="single" w:color="auto" w:sz="6" w:space="0"/>
              <w:left w:val="single" w:color="auto" w:sz="6" w:space="0"/>
              <w:bottom w:val="single" w:color="auto" w:sz="6" w:space="0"/>
              <w:right w:val="single" w:color="auto" w:sz="12" w:space="0"/>
            </w:tcBorders>
            <w:vAlign w:val="center"/>
          </w:tcPr>
          <w:p w14:paraId="22D863D7">
            <w:pPr>
              <w:adjustRightInd w:val="0"/>
              <w:snapToGrid w:val="0"/>
              <w:spacing w:before="156" w:beforeLines="50" w:line="240" w:lineRule="auto"/>
              <w:rPr>
                <w:rFonts w:ascii="宋体" w:cs="楷体_GB2312"/>
                <w:color w:val="auto"/>
                <w:sz w:val="24"/>
                <w:highlight w:val="none"/>
                <w:lang w:val="zh-CN"/>
              </w:rPr>
            </w:pPr>
            <w:r>
              <w:rPr>
                <w:rFonts w:hint="eastAsia" w:ascii="宋体" w:hAnsi="宋体" w:cs="楷体_GB2312"/>
                <w:color w:val="auto"/>
                <w:sz w:val="24"/>
                <w:highlight w:val="none"/>
                <w:lang w:val="zh-CN"/>
              </w:rPr>
              <w:t>采购代理机构在成交供应商确定后1个工作日内，向成交供应商发出成交通知书。成交供应商应凭缴费凭证及时领取成交通知书。</w:t>
            </w:r>
          </w:p>
        </w:tc>
      </w:tr>
      <w:tr w14:paraId="4E141D53">
        <w:tblPrEx>
          <w:tblCellMar>
            <w:top w:w="0" w:type="dxa"/>
            <w:left w:w="108" w:type="dxa"/>
            <w:bottom w:w="0" w:type="dxa"/>
            <w:right w:w="108" w:type="dxa"/>
          </w:tblCellMar>
        </w:tblPrEx>
        <w:trPr>
          <w:trHeight w:val="453" w:hRule="atLeast"/>
          <w:jc w:val="center"/>
        </w:trPr>
        <w:tc>
          <w:tcPr>
            <w:tcW w:w="608" w:type="dxa"/>
            <w:vMerge w:val="restart"/>
            <w:tcBorders>
              <w:left w:val="single" w:color="auto" w:sz="12" w:space="0"/>
              <w:right w:val="single" w:color="auto" w:sz="6" w:space="0"/>
            </w:tcBorders>
          </w:tcPr>
          <w:p w14:paraId="068A61C1">
            <w:pPr>
              <w:autoSpaceDE w:val="0"/>
              <w:autoSpaceDN w:val="0"/>
              <w:adjustRightInd w:val="0"/>
              <w:snapToGrid w:val="0"/>
              <w:spacing w:line="240" w:lineRule="auto"/>
              <w:jc w:val="center"/>
              <w:rPr>
                <w:rFonts w:ascii="宋体" w:cs="楷体_GB2312"/>
                <w:b/>
                <w:bCs/>
                <w:color w:val="auto"/>
                <w:sz w:val="24"/>
                <w:highlight w:val="none"/>
                <w:lang w:val="zh-CN"/>
              </w:rPr>
            </w:pPr>
            <w:r>
              <w:rPr>
                <w:rFonts w:hint="eastAsia" w:ascii="宋体" w:hAnsi="宋体" w:cs="楷体_GB2312"/>
                <w:b/>
                <w:bCs/>
                <w:color w:val="auto"/>
                <w:sz w:val="24"/>
                <w:highlight w:val="none"/>
                <w:lang w:val="zh-CN"/>
              </w:rPr>
              <w:t>第三章</w:t>
            </w:r>
          </w:p>
        </w:tc>
        <w:tc>
          <w:tcPr>
            <w:tcW w:w="694" w:type="dxa"/>
            <w:tcBorders>
              <w:top w:val="single" w:color="auto" w:sz="6" w:space="0"/>
              <w:left w:val="single" w:color="auto" w:sz="12" w:space="0"/>
              <w:bottom w:val="single" w:color="auto" w:sz="6" w:space="0"/>
              <w:right w:val="single" w:color="auto" w:sz="6" w:space="0"/>
            </w:tcBorders>
            <w:vAlign w:val="center"/>
          </w:tcPr>
          <w:p w14:paraId="69DD9293">
            <w:pPr>
              <w:autoSpaceDE w:val="0"/>
              <w:autoSpaceDN w:val="0"/>
              <w:adjustRightInd w:val="0"/>
              <w:snapToGrid w:val="0"/>
              <w:spacing w:line="240" w:lineRule="auto"/>
              <w:ind w:right="-88" w:rightChars="-42"/>
              <w:jc w:val="center"/>
              <w:rPr>
                <w:rFonts w:ascii="宋体" w:hAnsi="宋体" w:cs="楷体_GB2312"/>
                <w:b/>
                <w:bCs/>
                <w:color w:val="auto"/>
                <w:szCs w:val="21"/>
                <w:highlight w:val="none"/>
                <w:lang w:val="zh-CN"/>
              </w:rPr>
            </w:pPr>
            <w:r>
              <w:rPr>
                <w:rFonts w:ascii="宋体" w:hAnsi="宋体" w:cs="楷体_GB2312"/>
                <w:b/>
                <w:bCs/>
                <w:color w:val="auto"/>
                <w:szCs w:val="21"/>
                <w:highlight w:val="none"/>
                <w:lang w:val="zh-CN"/>
              </w:rPr>
              <w:t>7.5</w:t>
            </w:r>
          </w:p>
        </w:tc>
        <w:tc>
          <w:tcPr>
            <w:tcW w:w="1874" w:type="dxa"/>
            <w:tcBorders>
              <w:top w:val="single" w:color="auto" w:sz="6" w:space="0"/>
              <w:left w:val="single" w:color="auto" w:sz="6" w:space="0"/>
              <w:bottom w:val="single" w:color="auto" w:sz="6" w:space="0"/>
              <w:right w:val="single" w:color="auto" w:sz="6" w:space="0"/>
            </w:tcBorders>
            <w:vAlign w:val="center"/>
          </w:tcPr>
          <w:p w14:paraId="5848AC7C">
            <w:pPr>
              <w:autoSpaceDE w:val="0"/>
              <w:autoSpaceDN w:val="0"/>
              <w:adjustRightInd w:val="0"/>
              <w:snapToGrid w:val="0"/>
              <w:spacing w:line="240" w:lineRule="auto"/>
              <w:jc w:val="center"/>
              <w:rPr>
                <w:rFonts w:ascii="宋体" w:cs="楷体_GB2312"/>
                <w:b/>
                <w:bCs/>
                <w:color w:val="auto"/>
                <w:sz w:val="24"/>
                <w:highlight w:val="none"/>
                <w:lang w:val="zh-CN"/>
              </w:rPr>
            </w:pPr>
            <w:r>
              <w:rPr>
                <w:rFonts w:hint="eastAsia" w:ascii="宋体" w:hAnsi="宋体" w:cs="楷体_GB2312"/>
                <w:b/>
                <w:bCs/>
                <w:color w:val="auto"/>
                <w:sz w:val="24"/>
                <w:highlight w:val="none"/>
                <w:lang w:val="zh-CN"/>
              </w:rPr>
              <w:t>履约保证金</w:t>
            </w:r>
          </w:p>
        </w:tc>
        <w:tc>
          <w:tcPr>
            <w:tcW w:w="6579" w:type="dxa"/>
            <w:tcBorders>
              <w:top w:val="single" w:color="auto" w:sz="6" w:space="0"/>
              <w:left w:val="single" w:color="auto" w:sz="6" w:space="0"/>
              <w:bottom w:val="single" w:color="auto" w:sz="6" w:space="0"/>
              <w:right w:val="single" w:color="auto" w:sz="12" w:space="0"/>
            </w:tcBorders>
            <w:vAlign w:val="center"/>
          </w:tcPr>
          <w:p w14:paraId="251B1A1D">
            <w:pPr>
              <w:widowControl w:val="0"/>
              <w:snapToGrid w:val="0"/>
              <w:spacing w:before="156" w:beforeLines="50" w:line="240" w:lineRule="auto"/>
              <w:rPr>
                <w:color w:val="auto"/>
                <w:sz w:val="24"/>
                <w:szCs w:val="24"/>
                <w:highlight w:val="none"/>
              </w:rPr>
            </w:pPr>
            <w:r>
              <w:rPr>
                <w:rFonts w:hint="eastAsia"/>
                <w:color w:val="auto"/>
                <w:sz w:val="24"/>
                <w:szCs w:val="24"/>
                <w:highlight w:val="none"/>
              </w:rPr>
              <w:t>不需缴纳</w:t>
            </w:r>
          </w:p>
        </w:tc>
      </w:tr>
      <w:tr w14:paraId="67395EE6">
        <w:tblPrEx>
          <w:tblCellMar>
            <w:top w:w="0" w:type="dxa"/>
            <w:left w:w="108" w:type="dxa"/>
            <w:bottom w:w="0" w:type="dxa"/>
            <w:right w:w="108" w:type="dxa"/>
          </w:tblCellMar>
        </w:tblPrEx>
        <w:trPr>
          <w:trHeight w:val="453" w:hRule="atLeast"/>
          <w:jc w:val="center"/>
        </w:trPr>
        <w:tc>
          <w:tcPr>
            <w:tcW w:w="608" w:type="dxa"/>
            <w:vMerge w:val="continue"/>
            <w:tcBorders>
              <w:left w:val="single" w:color="auto" w:sz="12" w:space="0"/>
              <w:right w:val="single" w:color="auto" w:sz="6" w:space="0"/>
            </w:tcBorders>
          </w:tcPr>
          <w:p w14:paraId="6E6B1978">
            <w:pPr>
              <w:autoSpaceDE w:val="0"/>
              <w:autoSpaceDN w:val="0"/>
              <w:adjustRightInd w:val="0"/>
              <w:snapToGrid w:val="0"/>
              <w:spacing w:line="240" w:lineRule="auto"/>
              <w:jc w:val="center"/>
              <w:rPr>
                <w:rFonts w:ascii="宋体" w:cs="楷体_GB2312"/>
                <w:b/>
                <w:bCs/>
                <w:color w:val="auto"/>
                <w:sz w:val="24"/>
                <w:highlight w:val="none"/>
                <w:lang w:val="zh-CN"/>
              </w:rPr>
            </w:pPr>
          </w:p>
        </w:tc>
        <w:tc>
          <w:tcPr>
            <w:tcW w:w="694" w:type="dxa"/>
            <w:tcBorders>
              <w:top w:val="single" w:color="auto" w:sz="6" w:space="0"/>
              <w:left w:val="single" w:color="auto" w:sz="12" w:space="0"/>
              <w:bottom w:val="single" w:color="auto" w:sz="6" w:space="0"/>
              <w:right w:val="single" w:color="auto" w:sz="6" w:space="0"/>
            </w:tcBorders>
            <w:vAlign w:val="center"/>
          </w:tcPr>
          <w:p w14:paraId="50C58A54">
            <w:pPr>
              <w:autoSpaceDE w:val="0"/>
              <w:autoSpaceDN w:val="0"/>
              <w:adjustRightInd w:val="0"/>
              <w:snapToGrid w:val="0"/>
              <w:spacing w:line="240" w:lineRule="auto"/>
              <w:ind w:right="-88" w:rightChars="-42"/>
              <w:jc w:val="center"/>
              <w:rPr>
                <w:rFonts w:ascii="宋体" w:hAnsi="宋体" w:cs="楷体_GB2312"/>
                <w:b/>
                <w:bCs/>
                <w:color w:val="auto"/>
                <w:szCs w:val="21"/>
                <w:highlight w:val="none"/>
                <w:lang w:val="zh-CN"/>
              </w:rPr>
            </w:pPr>
            <w:r>
              <w:rPr>
                <w:rFonts w:ascii="宋体" w:hAnsi="宋体" w:cs="楷体_GB2312"/>
                <w:b/>
                <w:bCs/>
                <w:color w:val="auto"/>
                <w:szCs w:val="21"/>
                <w:highlight w:val="none"/>
                <w:lang w:val="zh-CN"/>
              </w:rPr>
              <w:t>8</w:t>
            </w:r>
          </w:p>
        </w:tc>
        <w:tc>
          <w:tcPr>
            <w:tcW w:w="1874" w:type="dxa"/>
            <w:tcBorders>
              <w:top w:val="single" w:color="auto" w:sz="6" w:space="0"/>
              <w:left w:val="single" w:color="auto" w:sz="6" w:space="0"/>
              <w:bottom w:val="single" w:color="auto" w:sz="6" w:space="0"/>
              <w:right w:val="single" w:color="auto" w:sz="6" w:space="0"/>
            </w:tcBorders>
            <w:vAlign w:val="center"/>
          </w:tcPr>
          <w:p w14:paraId="11DAB4A7">
            <w:pPr>
              <w:autoSpaceDE w:val="0"/>
              <w:autoSpaceDN w:val="0"/>
              <w:adjustRightInd w:val="0"/>
              <w:snapToGrid w:val="0"/>
              <w:spacing w:line="240" w:lineRule="auto"/>
              <w:jc w:val="center"/>
              <w:rPr>
                <w:rFonts w:ascii="宋体" w:cs="楷体_GB2312"/>
                <w:b/>
                <w:bCs/>
                <w:color w:val="auto"/>
                <w:sz w:val="24"/>
                <w:highlight w:val="none"/>
                <w:lang w:val="zh-CN"/>
              </w:rPr>
            </w:pPr>
            <w:r>
              <w:rPr>
                <w:rFonts w:hint="eastAsia" w:ascii="宋体" w:hAnsi="宋体" w:cs="楷体_GB2312"/>
                <w:b/>
                <w:bCs/>
                <w:color w:val="auto"/>
                <w:sz w:val="24"/>
                <w:highlight w:val="none"/>
                <w:lang w:val="zh-CN"/>
              </w:rPr>
              <w:t>验收</w:t>
            </w:r>
          </w:p>
        </w:tc>
        <w:tc>
          <w:tcPr>
            <w:tcW w:w="6579" w:type="dxa"/>
            <w:tcBorders>
              <w:top w:val="single" w:color="auto" w:sz="6" w:space="0"/>
              <w:left w:val="single" w:color="auto" w:sz="6" w:space="0"/>
              <w:bottom w:val="single" w:color="auto" w:sz="6" w:space="0"/>
              <w:right w:val="single" w:color="auto" w:sz="12" w:space="0"/>
            </w:tcBorders>
            <w:vAlign w:val="center"/>
          </w:tcPr>
          <w:p w14:paraId="159116D0">
            <w:pPr>
              <w:widowControl w:val="0"/>
              <w:snapToGrid w:val="0"/>
              <w:spacing w:before="156" w:beforeLines="50" w:line="240" w:lineRule="auto"/>
              <w:rPr>
                <w:color w:val="auto"/>
                <w:sz w:val="24"/>
                <w:szCs w:val="24"/>
                <w:highlight w:val="none"/>
              </w:rPr>
            </w:pPr>
            <w:r>
              <w:rPr>
                <w:rFonts w:hint="eastAsia"/>
                <w:color w:val="auto"/>
                <w:sz w:val="24"/>
                <w:szCs w:val="24"/>
                <w:highlight w:val="none"/>
              </w:rPr>
              <w:t>见“第三章投标人须知”相应条款</w:t>
            </w:r>
          </w:p>
        </w:tc>
      </w:tr>
      <w:tr w14:paraId="1ACD3B1B">
        <w:tblPrEx>
          <w:tblCellMar>
            <w:top w:w="0" w:type="dxa"/>
            <w:left w:w="108" w:type="dxa"/>
            <w:bottom w:w="0" w:type="dxa"/>
            <w:right w:w="108" w:type="dxa"/>
          </w:tblCellMar>
        </w:tblPrEx>
        <w:trPr>
          <w:trHeight w:val="453" w:hRule="atLeast"/>
          <w:jc w:val="center"/>
        </w:trPr>
        <w:tc>
          <w:tcPr>
            <w:tcW w:w="608" w:type="dxa"/>
            <w:vMerge w:val="continue"/>
            <w:tcBorders>
              <w:left w:val="single" w:color="auto" w:sz="12" w:space="0"/>
              <w:right w:val="single" w:color="auto" w:sz="6" w:space="0"/>
            </w:tcBorders>
          </w:tcPr>
          <w:p w14:paraId="4E9E789F">
            <w:pPr>
              <w:autoSpaceDE w:val="0"/>
              <w:autoSpaceDN w:val="0"/>
              <w:adjustRightInd w:val="0"/>
              <w:spacing w:line="360" w:lineRule="auto"/>
              <w:rPr>
                <w:rFonts w:ascii="宋体" w:cs="楷体_GB2312"/>
                <w:b/>
                <w:bCs/>
                <w:color w:val="auto"/>
                <w:sz w:val="24"/>
                <w:highlight w:val="none"/>
              </w:rPr>
            </w:pPr>
          </w:p>
        </w:tc>
        <w:tc>
          <w:tcPr>
            <w:tcW w:w="694" w:type="dxa"/>
            <w:tcBorders>
              <w:top w:val="single" w:color="auto" w:sz="6" w:space="0"/>
              <w:left w:val="single" w:color="auto" w:sz="12" w:space="0"/>
              <w:bottom w:val="single" w:color="auto" w:sz="6" w:space="0"/>
              <w:right w:val="single" w:color="auto" w:sz="6" w:space="0"/>
            </w:tcBorders>
            <w:vAlign w:val="center"/>
          </w:tcPr>
          <w:p w14:paraId="216B218A">
            <w:pPr>
              <w:autoSpaceDE w:val="0"/>
              <w:autoSpaceDN w:val="0"/>
              <w:adjustRightInd w:val="0"/>
              <w:snapToGrid w:val="0"/>
              <w:spacing w:line="240" w:lineRule="auto"/>
              <w:ind w:right="-88" w:rightChars="-42"/>
              <w:jc w:val="center"/>
              <w:rPr>
                <w:rFonts w:ascii="宋体" w:hAnsi="宋体" w:cs="楷体_GB2312"/>
                <w:b/>
                <w:bCs/>
                <w:color w:val="auto"/>
                <w:szCs w:val="21"/>
                <w:highlight w:val="none"/>
                <w:lang w:val="zh-CN"/>
              </w:rPr>
            </w:pPr>
            <w:r>
              <w:rPr>
                <w:rFonts w:ascii="宋体" w:hAnsi="宋体" w:cs="楷体_GB2312"/>
                <w:b/>
                <w:bCs/>
                <w:color w:val="auto"/>
                <w:szCs w:val="21"/>
                <w:highlight w:val="none"/>
                <w:lang w:val="zh-CN"/>
              </w:rPr>
              <w:t>9</w:t>
            </w:r>
          </w:p>
        </w:tc>
        <w:tc>
          <w:tcPr>
            <w:tcW w:w="1874" w:type="dxa"/>
            <w:tcBorders>
              <w:top w:val="single" w:color="auto" w:sz="6" w:space="0"/>
              <w:left w:val="single" w:color="auto" w:sz="6" w:space="0"/>
              <w:bottom w:val="single" w:color="auto" w:sz="6" w:space="0"/>
              <w:right w:val="single" w:color="auto" w:sz="6" w:space="0"/>
            </w:tcBorders>
            <w:vAlign w:val="center"/>
          </w:tcPr>
          <w:p w14:paraId="61E70C8A">
            <w:pPr>
              <w:autoSpaceDE w:val="0"/>
              <w:autoSpaceDN w:val="0"/>
              <w:adjustRightInd w:val="0"/>
              <w:snapToGrid w:val="0"/>
              <w:spacing w:line="240" w:lineRule="auto"/>
              <w:jc w:val="center"/>
              <w:rPr>
                <w:rFonts w:ascii="宋体" w:cs="楷体_GB2312"/>
                <w:b/>
                <w:bCs/>
                <w:color w:val="auto"/>
                <w:sz w:val="24"/>
                <w:highlight w:val="none"/>
                <w:lang w:val="zh-CN"/>
              </w:rPr>
            </w:pPr>
            <w:r>
              <w:rPr>
                <w:rFonts w:hint="eastAsia" w:ascii="宋体" w:hAnsi="宋体" w:cs="楷体_GB2312"/>
                <w:b/>
                <w:bCs/>
                <w:color w:val="auto"/>
                <w:sz w:val="24"/>
                <w:highlight w:val="none"/>
                <w:lang w:val="zh-CN"/>
              </w:rPr>
              <w:t>付款</w:t>
            </w:r>
          </w:p>
        </w:tc>
        <w:tc>
          <w:tcPr>
            <w:tcW w:w="6579" w:type="dxa"/>
            <w:tcBorders>
              <w:top w:val="single" w:color="auto" w:sz="6" w:space="0"/>
              <w:left w:val="single" w:color="auto" w:sz="6" w:space="0"/>
              <w:bottom w:val="single" w:color="auto" w:sz="6" w:space="0"/>
              <w:right w:val="single" w:color="auto" w:sz="12" w:space="0"/>
            </w:tcBorders>
            <w:vAlign w:val="center"/>
          </w:tcPr>
          <w:p w14:paraId="451B2A38">
            <w:pPr>
              <w:snapToGrid w:val="0"/>
              <w:spacing w:before="156" w:beforeLines="50" w:line="240" w:lineRule="auto"/>
              <w:ind w:firstLine="480" w:firstLineChars="200"/>
              <w:rPr>
                <w:color w:val="auto"/>
                <w:sz w:val="24"/>
                <w:szCs w:val="24"/>
                <w:highlight w:val="none"/>
              </w:rPr>
            </w:pPr>
            <w:bookmarkStart w:id="22" w:name="OLE_LINK11"/>
            <w:r>
              <w:rPr>
                <w:rFonts w:hint="eastAsia"/>
                <w:color w:val="auto"/>
                <w:sz w:val="24"/>
                <w:szCs w:val="24"/>
                <w:highlight w:val="none"/>
              </w:rPr>
              <w:t>为优化政府采购营商环境，根据安财购﹝2019﹞8号文件落实政府采购预付款的规定，采购人</w:t>
            </w:r>
            <w:r>
              <w:rPr>
                <w:rFonts w:hint="eastAsia"/>
                <w:color w:val="auto"/>
                <w:sz w:val="24"/>
                <w:szCs w:val="24"/>
                <w:highlight w:val="none"/>
                <w:lang w:val="en-US" w:eastAsia="zh-CN"/>
              </w:rPr>
              <w:t>有权视资金情况</w:t>
            </w:r>
            <w:r>
              <w:rPr>
                <w:rFonts w:hint="eastAsia"/>
                <w:color w:val="auto"/>
                <w:sz w:val="24"/>
                <w:szCs w:val="24"/>
                <w:highlight w:val="none"/>
              </w:rPr>
              <w:t>可在政府采购合同履约前向成交供应商预付30%的合同资金，成交供应商应向采购人提交预付款保函，未提供保函的，视同其放弃项目预付款的支付。</w:t>
            </w:r>
          </w:p>
          <w:p w14:paraId="5B9B920F">
            <w:pPr>
              <w:snapToGrid w:val="0"/>
              <w:spacing w:before="156" w:beforeLines="50" w:line="240" w:lineRule="auto"/>
              <w:ind w:firstLine="480" w:firstLineChars="200"/>
              <w:rPr>
                <w:color w:val="auto"/>
                <w:sz w:val="24"/>
                <w:szCs w:val="24"/>
                <w:highlight w:val="none"/>
              </w:rPr>
            </w:pPr>
            <w:r>
              <w:rPr>
                <w:rFonts w:hint="eastAsia"/>
                <w:color w:val="auto"/>
                <w:sz w:val="24"/>
                <w:szCs w:val="24"/>
                <w:highlight w:val="none"/>
              </w:rPr>
              <w:t>为进一步优化营商环境，根据安财购﹝</w:t>
            </w:r>
            <w:r>
              <w:rPr>
                <w:color w:val="auto"/>
                <w:sz w:val="24"/>
                <w:szCs w:val="24"/>
                <w:highlight w:val="none"/>
              </w:rPr>
              <w:t>2022</w:t>
            </w:r>
            <w:r>
              <w:rPr>
                <w:rFonts w:hint="eastAsia"/>
                <w:color w:val="auto"/>
                <w:sz w:val="24"/>
                <w:szCs w:val="24"/>
                <w:highlight w:val="none"/>
              </w:rPr>
              <w:t>﹞</w:t>
            </w:r>
            <w:r>
              <w:rPr>
                <w:color w:val="auto"/>
                <w:sz w:val="24"/>
                <w:szCs w:val="24"/>
                <w:highlight w:val="none"/>
              </w:rPr>
              <w:t>8</w:t>
            </w:r>
            <w:r>
              <w:rPr>
                <w:rFonts w:hint="eastAsia"/>
                <w:color w:val="auto"/>
                <w:sz w:val="24"/>
                <w:szCs w:val="24"/>
                <w:highlight w:val="none"/>
              </w:rPr>
              <w:t>号文件落实政府采购中小企业预付款的规定，采购人有权视资金情况可在政府采购合同签订后，向成交供应商原则上预付不低于合同金额</w:t>
            </w:r>
            <w:r>
              <w:rPr>
                <w:color w:val="auto"/>
                <w:sz w:val="24"/>
                <w:szCs w:val="24"/>
                <w:highlight w:val="none"/>
              </w:rPr>
              <w:t>50%</w:t>
            </w:r>
            <w:r>
              <w:rPr>
                <w:rFonts w:hint="eastAsia"/>
                <w:color w:val="auto"/>
                <w:sz w:val="24"/>
                <w:szCs w:val="24"/>
                <w:highlight w:val="none"/>
              </w:rPr>
              <w:t>的预付款，成交供应商应向采购人提交预付款保函，未提供保函的，视同其放弃项目预付款的支付。</w:t>
            </w:r>
          </w:p>
          <w:p w14:paraId="25977C84">
            <w:pPr>
              <w:snapToGrid w:val="0"/>
              <w:spacing w:before="156" w:beforeLines="50" w:line="240" w:lineRule="auto"/>
              <w:ind w:firstLine="480" w:firstLineChars="200"/>
              <w:rPr>
                <w:rFonts w:hint="eastAsia"/>
                <w:color w:val="auto"/>
                <w:sz w:val="24"/>
                <w:szCs w:val="24"/>
                <w:highlight w:val="none"/>
              </w:rPr>
            </w:pPr>
            <w:r>
              <w:rPr>
                <w:rFonts w:hint="eastAsia"/>
                <w:color w:val="auto"/>
                <w:sz w:val="24"/>
                <w:szCs w:val="24"/>
                <w:highlight w:val="none"/>
              </w:rPr>
              <w:t>成交人持采购人及专家等出具的《政府采购验收报告》</w:t>
            </w:r>
            <w:r>
              <w:rPr>
                <w:rFonts w:hint="eastAsia"/>
                <w:color w:val="auto"/>
                <w:sz w:val="24"/>
                <w:szCs w:val="24"/>
                <w:highlight w:val="none"/>
                <w:lang w:eastAsia="zh-CN"/>
              </w:rPr>
              <w:t>、</w:t>
            </w:r>
            <w:r>
              <w:rPr>
                <w:rFonts w:hint="eastAsia"/>
                <w:color w:val="auto"/>
                <w:sz w:val="24"/>
                <w:szCs w:val="24"/>
                <w:highlight w:val="none"/>
              </w:rPr>
              <w:t>成交人填写的《政府采购资金支付申请书》</w:t>
            </w:r>
            <w:r>
              <w:rPr>
                <w:rFonts w:hint="eastAsia"/>
                <w:color w:val="auto"/>
                <w:sz w:val="24"/>
                <w:szCs w:val="24"/>
                <w:highlight w:val="none"/>
                <w:lang w:val="en-US" w:eastAsia="zh-CN"/>
              </w:rPr>
              <w:t>及相应发票</w:t>
            </w:r>
            <w:r>
              <w:rPr>
                <w:rFonts w:hint="eastAsia"/>
                <w:color w:val="auto"/>
                <w:sz w:val="24"/>
                <w:szCs w:val="24"/>
                <w:highlight w:val="none"/>
              </w:rPr>
              <w:t>，经采购人与成交人签字盖章后，作为付款依据，报同级财政局政府采购管理办公室审核确认后由采购人一次无息付清。</w:t>
            </w:r>
            <w:bookmarkEnd w:id="22"/>
          </w:p>
          <w:p w14:paraId="27A90D07">
            <w:pPr>
              <w:snapToGrid w:val="0"/>
              <w:spacing w:before="156" w:beforeLines="50" w:line="240" w:lineRule="auto"/>
              <w:ind w:firstLine="480" w:firstLineChars="200"/>
              <w:rPr>
                <w:rFonts w:hint="eastAsia"/>
                <w:color w:val="auto"/>
                <w:sz w:val="24"/>
                <w:szCs w:val="24"/>
                <w:highlight w:val="none"/>
                <w:lang w:val="zh-CN"/>
              </w:rPr>
            </w:pPr>
            <w:r>
              <w:rPr>
                <w:rFonts w:hint="eastAsia"/>
                <w:color w:val="auto"/>
                <w:sz w:val="24"/>
                <w:szCs w:val="24"/>
                <w:highlight w:val="none"/>
              </w:rPr>
              <w:t>并按照《安阳县公安局项目审计监督管理办法(试行)》相关结算审计环节要求执行。</w:t>
            </w:r>
          </w:p>
        </w:tc>
      </w:tr>
      <w:tr w14:paraId="090E56AD">
        <w:tblPrEx>
          <w:tblCellMar>
            <w:top w:w="0" w:type="dxa"/>
            <w:left w:w="108" w:type="dxa"/>
            <w:bottom w:w="0" w:type="dxa"/>
            <w:right w:w="108" w:type="dxa"/>
          </w:tblCellMar>
        </w:tblPrEx>
        <w:trPr>
          <w:trHeight w:val="1163" w:hRule="atLeast"/>
          <w:jc w:val="center"/>
        </w:trPr>
        <w:tc>
          <w:tcPr>
            <w:tcW w:w="608" w:type="dxa"/>
            <w:tcBorders>
              <w:left w:val="single" w:color="auto" w:sz="12" w:space="0"/>
              <w:bottom w:val="single" w:color="auto" w:sz="6" w:space="0"/>
              <w:right w:val="single" w:color="auto" w:sz="6" w:space="0"/>
            </w:tcBorders>
          </w:tcPr>
          <w:p w14:paraId="42A93192">
            <w:pPr>
              <w:autoSpaceDE w:val="0"/>
              <w:autoSpaceDN w:val="0"/>
              <w:adjustRightInd w:val="0"/>
              <w:spacing w:line="360" w:lineRule="auto"/>
              <w:rPr>
                <w:rFonts w:ascii="宋体" w:cs="楷体_GB2312"/>
                <w:b/>
                <w:bCs/>
                <w:color w:val="auto"/>
                <w:sz w:val="24"/>
                <w:highlight w:val="none"/>
              </w:rPr>
            </w:pPr>
          </w:p>
        </w:tc>
        <w:tc>
          <w:tcPr>
            <w:tcW w:w="694" w:type="dxa"/>
            <w:tcBorders>
              <w:top w:val="single" w:color="auto" w:sz="6" w:space="0"/>
              <w:left w:val="single" w:color="auto" w:sz="12" w:space="0"/>
              <w:bottom w:val="single" w:color="auto" w:sz="6" w:space="0"/>
              <w:right w:val="single" w:color="auto" w:sz="6" w:space="0"/>
            </w:tcBorders>
            <w:vAlign w:val="center"/>
          </w:tcPr>
          <w:p w14:paraId="7185407E">
            <w:pPr>
              <w:autoSpaceDE w:val="0"/>
              <w:autoSpaceDN w:val="0"/>
              <w:adjustRightInd w:val="0"/>
              <w:snapToGrid w:val="0"/>
              <w:spacing w:line="240" w:lineRule="auto"/>
              <w:ind w:right="-88" w:rightChars="-42"/>
              <w:jc w:val="center"/>
              <w:rPr>
                <w:rFonts w:ascii="宋体" w:hAnsi="宋体" w:cs="楷体_GB2312"/>
                <w:b/>
                <w:bCs/>
                <w:color w:val="auto"/>
                <w:szCs w:val="21"/>
                <w:highlight w:val="none"/>
                <w:lang w:val="zh-CN"/>
              </w:rPr>
            </w:pPr>
            <w:r>
              <w:rPr>
                <w:rFonts w:ascii="宋体" w:hAnsi="宋体" w:cs="楷体_GB2312"/>
                <w:b/>
                <w:bCs/>
                <w:color w:val="auto"/>
                <w:szCs w:val="21"/>
                <w:highlight w:val="none"/>
                <w:lang w:val="zh-CN"/>
              </w:rPr>
              <w:t>10.1</w:t>
            </w:r>
          </w:p>
        </w:tc>
        <w:tc>
          <w:tcPr>
            <w:tcW w:w="1874" w:type="dxa"/>
            <w:tcBorders>
              <w:top w:val="single" w:color="auto" w:sz="6" w:space="0"/>
              <w:left w:val="single" w:color="auto" w:sz="6" w:space="0"/>
              <w:bottom w:val="single" w:color="auto" w:sz="6" w:space="0"/>
              <w:right w:val="single" w:color="auto" w:sz="6" w:space="0"/>
            </w:tcBorders>
            <w:vAlign w:val="center"/>
          </w:tcPr>
          <w:p w14:paraId="23AAD25B">
            <w:pPr>
              <w:autoSpaceDE w:val="0"/>
              <w:autoSpaceDN w:val="0"/>
              <w:adjustRightInd w:val="0"/>
              <w:snapToGrid w:val="0"/>
              <w:spacing w:line="240" w:lineRule="auto"/>
              <w:jc w:val="center"/>
              <w:rPr>
                <w:rFonts w:ascii="宋体"/>
                <w:b/>
                <w:color w:val="auto"/>
                <w:sz w:val="24"/>
                <w:highlight w:val="none"/>
              </w:rPr>
            </w:pPr>
            <w:r>
              <w:rPr>
                <w:rFonts w:hint="eastAsia" w:ascii="宋体" w:hAnsi="宋体"/>
                <w:b/>
                <w:color w:val="auto"/>
                <w:sz w:val="24"/>
                <w:highlight w:val="none"/>
              </w:rPr>
              <w:t>代理服务费</w:t>
            </w:r>
          </w:p>
        </w:tc>
        <w:tc>
          <w:tcPr>
            <w:tcW w:w="6579" w:type="dxa"/>
            <w:tcBorders>
              <w:top w:val="single" w:color="auto" w:sz="6" w:space="0"/>
              <w:left w:val="single" w:color="auto" w:sz="6" w:space="0"/>
              <w:bottom w:val="single" w:color="auto" w:sz="6" w:space="0"/>
              <w:right w:val="single" w:color="auto" w:sz="12" w:space="0"/>
            </w:tcBorders>
            <w:vAlign w:val="center"/>
          </w:tcPr>
          <w:p w14:paraId="5A453BB7">
            <w:pPr>
              <w:adjustRightInd w:val="0"/>
              <w:snapToGrid w:val="0"/>
              <w:spacing w:before="156" w:beforeLines="50" w:line="240" w:lineRule="auto"/>
              <w:rPr>
                <w:rFonts w:ascii="宋体" w:hAnsi="宋体"/>
                <w:color w:val="auto"/>
                <w:sz w:val="24"/>
                <w:highlight w:val="none"/>
              </w:rPr>
            </w:pPr>
            <w:r>
              <w:rPr>
                <w:rFonts w:hint="eastAsia" w:ascii="宋体" w:hAnsi="宋体"/>
                <w:color w:val="auto"/>
                <w:sz w:val="24"/>
                <w:highlight w:val="none"/>
              </w:rPr>
              <w:t>按照预算参照国家计委《招标代理服务收费管理暂行办法》（计价格【2002】1980号）、《国家发展和改革委员会办公厅关于招标代理服务费有关问题的通知》（发改办价格【2003】857号）及发改价格【2011】534号文件的规定，招标代理服务费（</w:t>
            </w:r>
            <w:r>
              <w:rPr>
                <w:rFonts w:hint="eastAsia" w:ascii="宋体" w:hAnsi="宋体"/>
                <w:color w:val="auto"/>
                <w:sz w:val="24"/>
                <w:highlight w:val="none"/>
                <w:lang w:val="en-US" w:eastAsia="zh-CN"/>
              </w:rPr>
              <w:t>11439</w:t>
            </w:r>
            <w:r>
              <w:rPr>
                <w:rFonts w:hint="eastAsia" w:ascii="宋体" w:hAnsi="宋体"/>
                <w:color w:val="auto"/>
                <w:sz w:val="24"/>
                <w:highlight w:val="none"/>
              </w:rPr>
              <w:t>元）由中标（成交）供应商支付。</w:t>
            </w:r>
          </w:p>
        </w:tc>
      </w:tr>
    </w:tbl>
    <w:p w14:paraId="36CB5882">
      <w:pPr>
        <w:autoSpaceDE w:val="0"/>
        <w:autoSpaceDN w:val="0"/>
        <w:adjustRightInd w:val="0"/>
        <w:spacing w:line="360" w:lineRule="auto"/>
        <w:ind w:firstLine="539"/>
        <w:rPr>
          <w:color w:val="auto"/>
          <w:highlight w:val="none"/>
        </w:rPr>
      </w:pPr>
      <w:r>
        <w:rPr>
          <w:color w:val="auto"/>
          <w:highlight w:val="none"/>
        </w:rPr>
        <w:br w:type="page"/>
      </w:r>
    </w:p>
    <w:p w14:paraId="02CA04BA">
      <w:pPr>
        <w:autoSpaceDE w:val="0"/>
        <w:autoSpaceDN w:val="0"/>
        <w:adjustRightInd w:val="0"/>
        <w:snapToGrid w:val="0"/>
        <w:spacing w:before="156" w:beforeLines="50" w:line="300" w:lineRule="auto"/>
        <w:ind w:firstLine="539"/>
        <w:outlineLvl w:val="1"/>
        <w:rPr>
          <w:rFonts w:ascii="黑体" w:hAnsi="黑体" w:eastAsia="黑体"/>
          <w:color w:val="auto"/>
          <w:sz w:val="28"/>
          <w:szCs w:val="28"/>
          <w:highlight w:val="none"/>
          <w:lang w:val="zh-CN"/>
        </w:rPr>
      </w:pPr>
      <w:bookmarkStart w:id="23" w:name="_Toc2779"/>
      <w:r>
        <w:rPr>
          <w:rFonts w:ascii="黑体" w:hAnsi="黑体" w:eastAsia="黑体" w:cs="楷体_GB2312"/>
          <w:b/>
          <w:bCs/>
          <w:color w:val="auto"/>
          <w:sz w:val="28"/>
          <w:szCs w:val="28"/>
          <w:highlight w:val="none"/>
          <w:lang w:val="zh-CN"/>
        </w:rPr>
        <w:t xml:space="preserve">1. </w:t>
      </w:r>
      <w:r>
        <w:rPr>
          <w:rFonts w:hint="eastAsia" w:ascii="黑体" w:hAnsi="黑体" w:eastAsia="黑体" w:cs="楷体_GB2312"/>
          <w:b/>
          <w:bCs/>
          <w:color w:val="auto"/>
          <w:sz w:val="28"/>
          <w:szCs w:val="28"/>
          <w:highlight w:val="none"/>
          <w:lang w:val="zh-CN"/>
        </w:rPr>
        <w:t>总则</w:t>
      </w:r>
      <w:bookmarkEnd w:id="23"/>
    </w:p>
    <w:p w14:paraId="159E5036">
      <w:pPr>
        <w:autoSpaceDE w:val="0"/>
        <w:autoSpaceDN w:val="0"/>
        <w:adjustRightInd w:val="0"/>
        <w:snapToGrid w:val="0"/>
        <w:spacing w:before="156" w:beforeLines="50" w:line="300" w:lineRule="auto"/>
        <w:ind w:firstLine="539"/>
        <w:rPr>
          <w:rFonts w:ascii="宋体"/>
          <w:color w:val="auto"/>
          <w:sz w:val="24"/>
          <w:szCs w:val="24"/>
          <w:highlight w:val="none"/>
        </w:rPr>
      </w:pPr>
      <w:r>
        <w:rPr>
          <w:rFonts w:ascii="黑体" w:hAnsi="黑体" w:eastAsia="黑体" w:cs="楷体_GB2312"/>
          <w:b/>
          <w:color w:val="auto"/>
          <w:sz w:val="24"/>
          <w:highlight w:val="none"/>
          <w:lang w:val="zh-CN"/>
        </w:rPr>
        <w:t xml:space="preserve">1.1 </w:t>
      </w:r>
      <w:r>
        <w:rPr>
          <w:rFonts w:hint="eastAsia" w:ascii="宋体" w:hAnsi="宋体"/>
          <w:color w:val="auto"/>
          <w:sz w:val="24"/>
          <w:szCs w:val="24"/>
          <w:highlight w:val="none"/>
        </w:rPr>
        <w:t>根据《中华人民共和国政府采购法》、《中华人民共和国政府采购法实施条例》、《政府采购非招标采购方式管理办法》及相关政府采购法律法规等制定本文件。</w:t>
      </w:r>
    </w:p>
    <w:p w14:paraId="4542662D">
      <w:pPr>
        <w:adjustRightInd w:val="0"/>
        <w:snapToGrid w:val="0"/>
        <w:spacing w:before="156" w:beforeLines="50" w:line="300" w:lineRule="auto"/>
        <w:ind w:right="240" w:firstLine="482" w:firstLineChars="200"/>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 xml:space="preserve">1.2 </w:t>
      </w:r>
      <w:r>
        <w:rPr>
          <w:rFonts w:hint="eastAsia" w:ascii="黑体" w:hAnsi="黑体" w:eastAsia="黑体" w:cs="楷体_GB2312"/>
          <w:b/>
          <w:color w:val="auto"/>
          <w:sz w:val="24"/>
          <w:highlight w:val="none"/>
          <w:lang w:val="zh-CN"/>
        </w:rPr>
        <w:t>谈判文件的法律适用及法律效力</w:t>
      </w:r>
    </w:p>
    <w:p w14:paraId="7D16632B">
      <w:pPr>
        <w:adjustRightInd w:val="0"/>
        <w:snapToGrid w:val="0"/>
        <w:spacing w:before="156" w:beforeLines="50" w:line="300" w:lineRule="auto"/>
        <w:ind w:right="240" w:firstLine="544" w:firstLineChars="227"/>
        <w:rPr>
          <w:rFonts w:ascii="宋体"/>
          <w:color w:val="auto"/>
          <w:sz w:val="24"/>
          <w:szCs w:val="24"/>
          <w:highlight w:val="none"/>
        </w:rPr>
      </w:pPr>
      <w:r>
        <w:rPr>
          <w:rFonts w:ascii="宋体" w:hAnsi="宋体"/>
          <w:color w:val="auto"/>
          <w:sz w:val="24"/>
          <w:szCs w:val="24"/>
          <w:highlight w:val="none"/>
        </w:rPr>
        <w:t>1.2.1</w:t>
      </w:r>
      <w:r>
        <w:rPr>
          <w:rFonts w:hint="eastAsia" w:ascii="宋体" w:hAnsi="宋体"/>
          <w:color w:val="auto"/>
          <w:sz w:val="24"/>
          <w:szCs w:val="24"/>
          <w:highlight w:val="none"/>
        </w:rPr>
        <w:t>本</w:t>
      </w:r>
      <w:r>
        <w:rPr>
          <w:rFonts w:hint="eastAsia" w:ascii="宋体" w:hAnsi="宋体" w:cs="宋体"/>
          <w:color w:val="auto"/>
          <w:sz w:val="24"/>
          <w:szCs w:val="24"/>
          <w:highlight w:val="none"/>
        </w:rPr>
        <w:t>谈判文件</w:t>
      </w:r>
      <w:r>
        <w:rPr>
          <w:rFonts w:hint="eastAsia" w:ascii="宋体" w:hAnsi="宋体"/>
          <w:color w:val="auto"/>
          <w:sz w:val="24"/>
          <w:szCs w:val="24"/>
          <w:highlight w:val="none"/>
        </w:rPr>
        <w:t>所述内容，仅适用于本次项目采购。</w:t>
      </w:r>
    </w:p>
    <w:p w14:paraId="770EA9EE">
      <w:pPr>
        <w:adjustRightInd w:val="0"/>
        <w:snapToGrid w:val="0"/>
        <w:spacing w:before="156" w:beforeLines="50" w:line="300" w:lineRule="auto"/>
        <w:ind w:right="240" w:firstLine="544" w:firstLineChars="227"/>
        <w:rPr>
          <w:rFonts w:ascii="宋体"/>
          <w:color w:val="auto"/>
          <w:sz w:val="24"/>
          <w:szCs w:val="24"/>
          <w:highlight w:val="none"/>
        </w:rPr>
      </w:pPr>
      <w:r>
        <w:rPr>
          <w:rFonts w:ascii="宋体" w:hAnsi="宋体"/>
          <w:color w:val="auto"/>
          <w:sz w:val="24"/>
          <w:szCs w:val="24"/>
          <w:highlight w:val="none"/>
        </w:rPr>
        <w:t xml:space="preserve">1.2.2 </w:t>
      </w:r>
      <w:r>
        <w:rPr>
          <w:rFonts w:hint="eastAsia" w:ascii="宋体" w:hAnsi="宋体" w:cs="宋体"/>
          <w:color w:val="auto"/>
          <w:sz w:val="24"/>
          <w:szCs w:val="24"/>
          <w:highlight w:val="none"/>
        </w:rPr>
        <w:t>谈判文件</w:t>
      </w:r>
      <w:r>
        <w:rPr>
          <w:rFonts w:hint="eastAsia" w:ascii="宋体" w:hAnsi="宋体"/>
          <w:color w:val="auto"/>
          <w:sz w:val="24"/>
          <w:szCs w:val="24"/>
          <w:highlight w:val="none"/>
        </w:rPr>
        <w:t>的修改性文件、补充文件、澄清文件或说明具有同等法律效力。</w:t>
      </w:r>
    </w:p>
    <w:p w14:paraId="2F165F3B">
      <w:pPr>
        <w:adjustRightInd w:val="0"/>
        <w:snapToGrid w:val="0"/>
        <w:spacing w:before="156" w:beforeLines="50" w:line="300" w:lineRule="auto"/>
        <w:ind w:right="240" w:firstLine="544" w:firstLineChars="227"/>
        <w:rPr>
          <w:rFonts w:ascii="宋体"/>
          <w:color w:val="auto"/>
          <w:sz w:val="24"/>
          <w:szCs w:val="24"/>
          <w:highlight w:val="none"/>
        </w:rPr>
      </w:pPr>
      <w:r>
        <w:rPr>
          <w:rFonts w:ascii="宋体" w:hAnsi="宋体"/>
          <w:color w:val="auto"/>
          <w:sz w:val="24"/>
          <w:szCs w:val="24"/>
          <w:highlight w:val="none"/>
        </w:rPr>
        <w:t xml:space="preserve">1.2.3 </w:t>
      </w:r>
      <w:r>
        <w:rPr>
          <w:rFonts w:hint="eastAsia" w:ascii="宋体" w:hAnsi="宋体"/>
          <w:color w:val="auto"/>
          <w:sz w:val="24"/>
          <w:szCs w:val="24"/>
          <w:highlight w:val="none"/>
        </w:rPr>
        <w:t>本</w:t>
      </w:r>
      <w:r>
        <w:rPr>
          <w:rFonts w:hint="eastAsia" w:ascii="宋体" w:hAnsi="宋体" w:cs="宋体"/>
          <w:color w:val="auto"/>
          <w:sz w:val="24"/>
          <w:szCs w:val="24"/>
          <w:highlight w:val="none"/>
        </w:rPr>
        <w:t>谈判文件</w:t>
      </w:r>
      <w:r>
        <w:rPr>
          <w:rFonts w:hint="eastAsia" w:ascii="宋体" w:hAnsi="宋体"/>
          <w:color w:val="auto"/>
          <w:sz w:val="24"/>
          <w:szCs w:val="24"/>
          <w:highlight w:val="none"/>
        </w:rPr>
        <w:t>适用于并执行《政府采购法》和其它相关的法律、法规。</w:t>
      </w:r>
    </w:p>
    <w:p w14:paraId="3AC5EEB6">
      <w:pPr>
        <w:adjustRightInd w:val="0"/>
        <w:snapToGrid w:val="0"/>
        <w:spacing w:before="156" w:beforeLines="50" w:line="300" w:lineRule="auto"/>
        <w:ind w:right="240" w:firstLine="544" w:firstLineChars="227"/>
        <w:rPr>
          <w:rFonts w:ascii="宋体"/>
          <w:color w:val="auto"/>
          <w:sz w:val="24"/>
          <w:szCs w:val="24"/>
          <w:highlight w:val="none"/>
        </w:rPr>
      </w:pPr>
      <w:r>
        <w:rPr>
          <w:rFonts w:ascii="宋体" w:hAnsi="宋体"/>
          <w:color w:val="auto"/>
          <w:sz w:val="24"/>
          <w:szCs w:val="24"/>
          <w:highlight w:val="none"/>
        </w:rPr>
        <w:t xml:space="preserve">1.2.4 </w:t>
      </w:r>
      <w:r>
        <w:rPr>
          <w:rFonts w:hint="eastAsia" w:ascii="宋体" w:hAnsi="宋体"/>
          <w:color w:val="auto"/>
          <w:sz w:val="24"/>
          <w:szCs w:val="24"/>
          <w:highlight w:val="none"/>
        </w:rPr>
        <w:t>本</w:t>
      </w:r>
      <w:r>
        <w:rPr>
          <w:rFonts w:hint="eastAsia" w:ascii="宋体" w:hAnsi="宋体" w:cs="宋体"/>
          <w:color w:val="auto"/>
          <w:sz w:val="24"/>
          <w:szCs w:val="24"/>
          <w:highlight w:val="none"/>
        </w:rPr>
        <w:t>谈判文件</w:t>
      </w:r>
      <w:r>
        <w:rPr>
          <w:rFonts w:hint="eastAsia" w:ascii="宋体" w:hAnsi="宋体"/>
          <w:color w:val="auto"/>
          <w:sz w:val="24"/>
          <w:szCs w:val="24"/>
          <w:highlight w:val="none"/>
        </w:rPr>
        <w:t>的解释权属采购人及代理机构。</w:t>
      </w:r>
    </w:p>
    <w:p w14:paraId="2AE8056A">
      <w:pPr>
        <w:autoSpaceDE w:val="0"/>
        <w:autoSpaceDN w:val="0"/>
        <w:adjustRightInd w:val="0"/>
        <w:snapToGrid w:val="0"/>
        <w:spacing w:before="156" w:beforeLines="50" w:line="300" w:lineRule="auto"/>
        <w:ind w:firstLine="539"/>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 xml:space="preserve">1.3 </w:t>
      </w:r>
      <w:r>
        <w:rPr>
          <w:rFonts w:hint="eastAsia" w:ascii="黑体" w:hAnsi="黑体" w:eastAsia="黑体" w:cs="楷体_GB2312"/>
          <w:b/>
          <w:color w:val="auto"/>
          <w:sz w:val="24"/>
          <w:highlight w:val="none"/>
          <w:lang w:val="zh-CN"/>
        </w:rPr>
        <w:t>合格的投标人</w:t>
      </w:r>
    </w:p>
    <w:p w14:paraId="5A553BE8">
      <w:pPr>
        <w:autoSpaceDE w:val="0"/>
        <w:autoSpaceDN w:val="0"/>
        <w:adjustRightInd w:val="0"/>
        <w:snapToGrid w:val="0"/>
        <w:spacing w:before="156"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 xml:space="preserve">1.3.1 </w:t>
      </w:r>
      <w:r>
        <w:rPr>
          <w:rFonts w:hint="eastAsia" w:ascii="宋体" w:hAnsi="宋体" w:cs="楷体_GB2312"/>
          <w:color w:val="auto"/>
          <w:sz w:val="24"/>
          <w:highlight w:val="none"/>
          <w:lang w:val="zh-CN"/>
        </w:rPr>
        <w:t>凡符合谈判文件规定，承认本谈判文件所有内容的投标人为合格的投标人。</w:t>
      </w:r>
    </w:p>
    <w:p w14:paraId="044B5CAD">
      <w:pPr>
        <w:autoSpaceDE w:val="0"/>
        <w:autoSpaceDN w:val="0"/>
        <w:adjustRightInd w:val="0"/>
        <w:snapToGrid w:val="0"/>
        <w:spacing w:before="156"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 xml:space="preserve">1.3.2 </w:t>
      </w:r>
      <w:r>
        <w:rPr>
          <w:rFonts w:hint="eastAsia" w:ascii="宋体" w:hAnsi="宋体" w:cs="楷体_GB2312"/>
          <w:color w:val="auto"/>
          <w:sz w:val="24"/>
          <w:highlight w:val="none"/>
          <w:lang w:val="zh-CN"/>
        </w:rPr>
        <w:t>单位负责人为同一人或者存在直接控股、管理关系的不同供应商，不得参加同一合同项下的政府采购活动。</w:t>
      </w:r>
    </w:p>
    <w:p w14:paraId="2FA7F64D">
      <w:pPr>
        <w:autoSpaceDE w:val="0"/>
        <w:autoSpaceDN w:val="0"/>
        <w:adjustRightInd w:val="0"/>
        <w:snapToGrid w:val="0"/>
        <w:spacing w:before="156"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 xml:space="preserve">1.3.3 </w:t>
      </w:r>
      <w:r>
        <w:rPr>
          <w:rFonts w:hint="eastAsia" w:ascii="宋体" w:hAnsi="宋体" w:cs="楷体_GB2312"/>
          <w:color w:val="auto"/>
          <w:sz w:val="24"/>
          <w:highlight w:val="none"/>
          <w:lang w:val="zh-CN"/>
        </w:rPr>
        <w:t>为采购项目提供整体设计、规范编制或者项目管理、监理、检测等服务的供应商，不得再参加该采购项目的其他采购活动。</w:t>
      </w:r>
    </w:p>
    <w:p w14:paraId="350BEEC8">
      <w:pPr>
        <w:autoSpaceDE w:val="0"/>
        <w:autoSpaceDN w:val="0"/>
        <w:adjustRightInd w:val="0"/>
        <w:snapToGrid w:val="0"/>
        <w:spacing w:before="156"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 xml:space="preserve">1.3.4 </w:t>
      </w:r>
      <w:r>
        <w:rPr>
          <w:rFonts w:hint="eastAsia" w:ascii="宋体" w:hAnsi="宋体" w:cs="楷体_GB2312"/>
          <w:color w:val="auto"/>
          <w:sz w:val="24"/>
          <w:highlight w:val="none"/>
          <w:lang w:val="zh-CN"/>
        </w:rPr>
        <w:t>投标人应遵守国家法律、法规和谈判文件的规定。</w:t>
      </w:r>
    </w:p>
    <w:p w14:paraId="106670E1">
      <w:pPr>
        <w:autoSpaceDE w:val="0"/>
        <w:autoSpaceDN w:val="0"/>
        <w:adjustRightInd w:val="0"/>
        <w:snapToGrid w:val="0"/>
        <w:spacing w:before="156" w:beforeLines="50" w:line="300" w:lineRule="auto"/>
        <w:ind w:firstLine="539"/>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1.4</w:t>
      </w:r>
      <w:r>
        <w:rPr>
          <w:rFonts w:hint="eastAsia" w:ascii="黑体" w:hAnsi="黑体" w:eastAsia="黑体" w:cs="楷体_GB2312"/>
          <w:b/>
          <w:color w:val="auto"/>
          <w:sz w:val="24"/>
          <w:highlight w:val="none"/>
          <w:lang w:val="zh-CN"/>
        </w:rPr>
        <w:t>　联合体</w:t>
      </w:r>
    </w:p>
    <w:p w14:paraId="4E8BC175">
      <w:pPr>
        <w:autoSpaceDE w:val="0"/>
        <w:autoSpaceDN w:val="0"/>
        <w:adjustRightInd w:val="0"/>
        <w:snapToGrid w:val="0"/>
        <w:spacing w:before="156" w:beforeLines="50" w:line="300" w:lineRule="auto"/>
        <w:ind w:firstLine="539"/>
        <w:rPr>
          <w:rFonts w:ascii="宋体" w:cs="楷体_GB2312"/>
          <w:color w:val="auto"/>
          <w:sz w:val="24"/>
          <w:highlight w:val="none"/>
          <w:lang w:val="zh-CN"/>
        </w:rPr>
      </w:pPr>
      <w:r>
        <w:rPr>
          <w:rFonts w:hint="eastAsia" w:ascii="黑体" w:hAnsi="黑体" w:eastAsia="黑体" w:cs="楷体_GB2312"/>
          <w:b/>
          <w:color w:val="auto"/>
          <w:sz w:val="24"/>
          <w:highlight w:val="none"/>
          <w:lang w:val="zh-CN"/>
        </w:rPr>
        <w:t>如</w:t>
      </w:r>
      <w:r>
        <w:rPr>
          <w:rFonts w:hint="eastAsia" w:ascii="宋体" w:hAnsi="宋体" w:cs="楷体_GB2312"/>
          <w:color w:val="auto"/>
          <w:sz w:val="24"/>
          <w:highlight w:val="none"/>
          <w:lang w:val="zh-CN"/>
        </w:rPr>
        <w:t>投标人须知前附表规定接受联合体投标的，应遵守以下规定：</w:t>
      </w:r>
    </w:p>
    <w:p w14:paraId="52E307B2">
      <w:pPr>
        <w:autoSpaceDE w:val="0"/>
        <w:autoSpaceDN w:val="0"/>
        <w:adjustRightInd w:val="0"/>
        <w:snapToGrid w:val="0"/>
        <w:spacing w:before="156" w:beforeLines="50" w:line="300" w:lineRule="auto"/>
        <w:ind w:firstLine="539"/>
        <w:rPr>
          <w:rFonts w:ascii="宋体" w:cs="楷体_GB2312"/>
          <w:color w:val="auto"/>
          <w:sz w:val="24"/>
          <w:highlight w:val="none"/>
          <w:lang w:val="zh-CN"/>
        </w:rPr>
      </w:pPr>
      <w:r>
        <w:rPr>
          <w:rFonts w:hint="eastAsia" w:ascii="宋体" w:cs="楷体_GB2312"/>
          <w:color w:val="auto"/>
          <w:sz w:val="24"/>
          <w:highlight w:val="none"/>
          <w:lang w:val="zh-CN"/>
        </w:rPr>
        <w:t>（</w:t>
      </w:r>
      <w:r>
        <w:rPr>
          <w:rFonts w:ascii="宋体" w:cs="楷体_GB2312"/>
          <w:color w:val="auto"/>
          <w:sz w:val="24"/>
          <w:highlight w:val="none"/>
          <w:lang w:val="zh-CN"/>
        </w:rPr>
        <w:t>1</w:t>
      </w:r>
      <w:r>
        <w:rPr>
          <w:rFonts w:hint="eastAsia" w:ascii="宋体" w:cs="楷体_GB2312"/>
          <w:color w:val="auto"/>
          <w:sz w:val="24"/>
          <w:highlight w:val="none"/>
          <w:lang w:val="zh-CN"/>
        </w:rPr>
        <w:t>）两个以上的自然人、法人或者其他组织组成一个联合体，以一个供应商的身份共同参加政府采购活动的，应当对所有的联合体成员进行信用记录查询，联合体成员存在不良信用记录的，视同联合体存在不良信用记录。</w:t>
      </w:r>
    </w:p>
    <w:p w14:paraId="7F48FE76">
      <w:pPr>
        <w:autoSpaceDE w:val="0"/>
        <w:autoSpaceDN w:val="0"/>
        <w:adjustRightInd w:val="0"/>
        <w:snapToGrid w:val="0"/>
        <w:spacing w:before="156" w:beforeLines="50" w:line="300" w:lineRule="auto"/>
        <w:ind w:firstLine="539"/>
        <w:rPr>
          <w:rFonts w:ascii="宋体" w:cs="楷体_GB2312"/>
          <w:color w:val="auto"/>
          <w:sz w:val="24"/>
          <w:highlight w:val="none"/>
          <w:lang w:val="zh-CN"/>
        </w:rPr>
      </w:pPr>
      <w:r>
        <w:rPr>
          <w:rFonts w:hint="eastAsia" w:ascii="宋体" w:hAnsi="宋体" w:cs="楷体_GB2312"/>
          <w:color w:val="auto"/>
          <w:sz w:val="24"/>
          <w:highlight w:val="none"/>
          <w:lang w:val="zh-CN"/>
        </w:rPr>
        <w:t>（</w:t>
      </w:r>
      <w:r>
        <w:rPr>
          <w:rFonts w:ascii="宋体" w:hAnsi="宋体" w:cs="楷体_GB2312"/>
          <w:color w:val="auto"/>
          <w:sz w:val="24"/>
          <w:highlight w:val="none"/>
          <w:lang w:val="zh-CN"/>
        </w:rPr>
        <w:t>2</w:t>
      </w:r>
      <w:r>
        <w:rPr>
          <w:rFonts w:hint="eastAsia" w:ascii="宋体" w:hAnsi="宋体" w:cs="楷体_GB2312"/>
          <w:color w:val="auto"/>
          <w:sz w:val="24"/>
          <w:highlight w:val="none"/>
          <w:lang w:val="zh-CN"/>
        </w:rPr>
        <w:t>）两个以上供应商可以组成一个投标联合体，以一个投标人的身份投标，但必须确定其中一个单位为投标的全权代表参加投标活动，并承担投标及履约中应承担的全部责任和义务。</w:t>
      </w:r>
    </w:p>
    <w:p w14:paraId="41802705">
      <w:pPr>
        <w:autoSpaceDE w:val="0"/>
        <w:autoSpaceDN w:val="0"/>
        <w:adjustRightInd w:val="0"/>
        <w:snapToGrid w:val="0"/>
        <w:spacing w:before="156" w:beforeLines="50" w:line="300" w:lineRule="auto"/>
        <w:ind w:firstLine="539"/>
        <w:rPr>
          <w:rFonts w:ascii="宋体" w:cs="楷体_GB2312"/>
          <w:color w:val="auto"/>
          <w:sz w:val="24"/>
          <w:highlight w:val="none"/>
          <w:lang w:val="zh-CN"/>
        </w:rPr>
      </w:pPr>
      <w:r>
        <w:rPr>
          <w:rFonts w:hint="eastAsia" w:ascii="宋体" w:hAnsi="宋体" w:cs="楷体_GB2312"/>
          <w:color w:val="auto"/>
          <w:sz w:val="24"/>
          <w:highlight w:val="none"/>
          <w:lang w:val="zh-CN"/>
        </w:rPr>
        <w:t>（</w:t>
      </w:r>
      <w:r>
        <w:rPr>
          <w:rFonts w:ascii="宋体" w:hAnsi="宋体" w:cs="楷体_GB2312"/>
          <w:color w:val="auto"/>
          <w:sz w:val="24"/>
          <w:highlight w:val="none"/>
          <w:lang w:val="zh-CN"/>
        </w:rPr>
        <w:t>3</w:t>
      </w:r>
      <w:r>
        <w:rPr>
          <w:rFonts w:hint="eastAsia" w:ascii="宋体" w:hAnsi="宋体" w:cs="楷体_GB2312"/>
          <w:color w:val="auto"/>
          <w:sz w:val="24"/>
          <w:highlight w:val="none"/>
          <w:lang w:val="zh-CN"/>
        </w:rPr>
        <w:t>）以联合体形式参加投标的，应符投标人须知前附表的要求，联合体各方均应当符合政府采购法第二十二条第一款规定的条件，联合体各方均应当具备承担采购项目（标段&lt;包&gt;）的相应能力、具备规定的相应资格条件。</w:t>
      </w:r>
    </w:p>
    <w:p w14:paraId="58F65709">
      <w:pPr>
        <w:autoSpaceDE w:val="0"/>
        <w:autoSpaceDN w:val="0"/>
        <w:adjustRightInd w:val="0"/>
        <w:snapToGrid w:val="0"/>
        <w:spacing w:before="156" w:beforeLines="50" w:line="300" w:lineRule="auto"/>
        <w:ind w:firstLine="539"/>
        <w:rPr>
          <w:rFonts w:ascii="宋体" w:cs="楷体_GB2312"/>
          <w:color w:val="auto"/>
          <w:sz w:val="24"/>
          <w:highlight w:val="none"/>
          <w:lang w:val="zh-CN"/>
        </w:rPr>
      </w:pPr>
      <w:r>
        <w:rPr>
          <w:rFonts w:hint="eastAsia" w:ascii="宋体" w:hAnsi="宋体" w:cs="楷体_GB2312"/>
          <w:color w:val="auto"/>
          <w:sz w:val="24"/>
          <w:highlight w:val="none"/>
          <w:lang w:val="zh-CN"/>
        </w:rPr>
        <w:t>（</w:t>
      </w:r>
      <w:r>
        <w:rPr>
          <w:rFonts w:ascii="宋体" w:hAnsi="宋体" w:cs="楷体_GB2312"/>
          <w:color w:val="auto"/>
          <w:sz w:val="24"/>
          <w:highlight w:val="none"/>
          <w:lang w:val="zh-CN"/>
        </w:rPr>
        <w:t>4</w:t>
      </w:r>
      <w:r>
        <w:rPr>
          <w:rFonts w:hint="eastAsia" w:ascii="宋体" w:hAnsi="宋体" w:cs="楷体_GB2312"/>
          <w:color w:val="auto"/>
          <w:sz w:val="24"/>
          <w:highlight w:val="none"/>
          <w:lang w:val="zh-CN"/>
        </w:rPr>
        <w:t>）联合体中有同类资质的供应商按照联合体分工承担相同工作的，应当按照资质等级较低的供应商确定资质等级。</w:t>
      </w:r>
    </w:p>
    <w:p w14:paraId="43583868">
      <w:pPr>
        <w:autoSpaceDE w:val="0"/>
        <w:autoSpaceDN w:val="0"/>
        <w:adjustRightInd w:val="0"/>
        <w:snapToGrid w:val="0"/>
        <w:spacing w:before="156" w:beforeLines="50" w:line="300" w:lineRule="auto"/>
        <w:ind w:firstLine="539"/>
        <w:rPr>
          <w:rFonts w:ascii="宋体" w:cs="楷体_GB2312"/>
          <w:color w:val="auto"/>
          <w:sz w:val="24"/>
          <w:highlight w:val="none"/>
          <w:lang w:val="zh-CN"/>
        </w:rPr>
      </w:pPr>
      <w:r>
        <w:rPr>
          <w:rFonts w:hint="eastAsia" w:ascii="宋体" w:hAnsi="宋体" w:cs="楷体_GB2312"/>
          <w:color w:val="auto"/>
          <w:sz w:val="24"/>
          <w:highlight w:val="none"/>
          <w:lang w:val="zh-CN"/>
        </w:rPr>
        <w:t>（</w:t>
      </w:r>
      <w:r>
        <w:rPr>
          <w:rFonts w:ascii="宋体" w:hAnsi="宋体" w:cs="楷体_GB2312"/>
          <w:color w:val="auto"/>
          <w:sz w:val="24"/>
          <w:highlight w:val="none"/>
          <w:lang w:val="zh-CN"/>
        </w:rPr>
        <w:t>5</w:t>
      </w:r>
      <w:r>
        <w:rPr>
          <w:rFonts w:hint="eastAsia" w:ascii="宋体" w:hAnsi="宋体" w:cs="楷体_GB2312"/>
          <w:color w:val="auto"/>
          <w:sz w:val="24"/>
          <w:highlight w:val="none"/>
          <w:lang w:val="zh-CN"/>
        </w:rPr>
        <w:t>）联合体各方之间应当签订联合投标协议，明确约定联合体各方承担的工作和相应的责任，并将联合投标协议连同投标文件一并提交采购代理机构。</w:t>
      </w:r>
    </w:p>
    <w:p w14:paraId="56D7F43A">
      <w:pPr>
        <w:autoSpaceDE w:val="0"/>
        <w:autoSpaceDN w:val="0"/>
        <w:adjustRightInd w:val="0"/>
        <w:snapToGrid w:val="0"/>
        <w:spacing w:before="156" w:beforeLines="50" w:line="300" w:lineRule="auto"/>
        <w:ind w:firstLine="539"/>
        <w:rPr>
          <w:rFonts w:ascii="宋体" w:cs="楷体_GB2312"/>
          <w:color w:val="auto"/>
          <w:sz w:val="24"/>
          <w:highlight w:val="none"/>
          <w:lang w:val="zh-CN"/>
        </w:rPr>
      </w:pPr>
      <w:r>
        <w:rPr>
          <w:rFonts w:hint="eastAsia" w:ascii="宋体" w:hAnsi="宋体" w:cs="楷体_GB2312"/>
          <w:color w:val="auto"/>
          <w:sz w:val="24"/>
          <w:highlight w:val="none"/>
          <w:lang w:val="zh-CN"/>
        </w:rPr>
        <w:t>（</w:t>
      </w:r>
      <w:r>
        <w:rPr>
          <w:rFonts w:ascii="宋体" w:hAnsi="宋体" w:cs="楷体_GB2312"/>
          <w:color w:val="auto"/>
          <w:sz w:val="24"/>
          <w:highlight w:val="none"/>
          <w:lang w:val="zh-CN"/>
        </w:rPr>
        <w:t>6</w:t>
      </w:r>
      <w:r>
        <w:rPr>
          <w:rFonts w:hint="eastAsia" w:ascii="宋体" w:hAnsi="宋体" w:cs="楷体_GB2312"/>
          <w:color w:val="auto"/>
          <w:sz w:val="24"/>
          <w:highlight w:val="none"/>
          <w:lang w:val="zh-CN"/>
        </w:rPr>
        <w:t>）联合体各方签订联合投标协议后，不得再以自己名义单独在同一项目中投标，也不得组成新的联合体参加同一项目投标。</w:t>
      </w:r>
    </w:p>
    <w:p w14:paraId="197F7C4E">
      <w:pPr>
        <w:autoSpaceDE w:val="0"/>
        <w:autoSpaceDN w:val="0"/>
        <w:adjustRightInd w:val="0"/>
        <w:snapToGrid w:val="0"/>
        <w:spacing w:before="156" w:beforeLines="50" w:line="300" w:lineRule="auto"/>
        <w:ind w:firstLine="539"/>
        <w:rPr>
          <w:rFonts w:ascii="宋体" w:hAnsi="宋体" w:cs="楷体_GB2312"/>
          <w:color w:val="auto"/>
          <w:sz w:val="24"/>
          <w:highlight w:val="none"/>
          <w:lang w:val="zh-CN"/>
        </w:rPr>
      </w:pPr>
      <w:r>
        <w:rPr>
          <w:rFonts w:hint="eastAsia" w:ascii="宋体" w:hAnsi="宋体" w:cs="楷体_GB2312"/>
          <w:color w:val="auto"/>
          <w:sz w:val="24"/>
          <w:highlight w:val="none"/>
          <w:lang w:val="zh-CN"/>
        </w:rPr>
        <w:t>（</w:t>
      </w:r>
      <w:r>
        <w:rPr>
          <w:rFonts w:ascii="宋体" w:hAnsi="宋体" w:cs="楷体_GB2312"/>
          <w:color w:val="auto"/>
          <w:sz w:val="24"/>
          <w:highlight w:val="none"/>
          <w:lang w:val="zh-CN"/>
        </w:rPr>
        <w:t>7</w:t>
      </w:r>
      <w:r>
        <w:rPr>
          <w:rFonts w:hint="eastAsia" w:ascii="宋体" w:hAnsi="宋体" w:cs="楷体_GB2312"/>
          <w:color w:val="auto"/>
          <w:sz w:val="24"/>
          <w:highlight w:val="none"/>
          <w:lang w:val="zh-CN"/>
        </w:rPr>
        <w:t>）联合体中标（成交）的，联合体各方应当共同与采购人签订合同，就中标（成交）项目（标段&lt;包&gt;）向采购人承担连带责任。</w:t>
      </w:r>
    </w:p>
    <w:p w14:paraId="6C147FFA">
      <w:pPr>
        <w:autoSpaceDE w:val="0"/>
        <w:autoSpaceDN w:val="0"/>
        <w:adjustRightInd w:val="0"/>
        <w:snapToGrid w:val="0"/>
        <w:spacing w:before="156" w:beforeLines="50" w:line="300" w:lineRule="auto"/>
        <w:ind w:firstLine="539"/>
        <w:rPr>
          <w:rFonts w:ascii="宋体" w:cs="楷体_GB2312"/>
          <w:color w:val="auto"/>
          <w:sz w:val="24"/>
          <w:highlight w:val="none"/>
          <w:lang w:val="zh-CN"/>
        </w:rPr>
      </w:pPr>
      <w:r>
        <w:rPr>
          <w:rFonts w:hint="eastAsia" w:ascii="宋体" w:hAnsi="宋体" w:cs="楷体_GB2312"/>
          <w:color w:val="auto"/>
          <w:sz w:val="24"/>
          <w:highlight w:val="none"/>
          <w:lang w:val="zh-CN"/>
        </w:rPr>
        <w:t>（8）预留中小企业份额项目中，</w:t>
      </w:r>
      <w:r>
        <w:rPr>
          <w:rFonts w:hint="eastAsia" w:ascii="宋体" w:hAnsi="宋体"/>
          <w:color w:val="auto"/>
          <w:sz w:val="24"/>
          <w:szCs w:val="24"/>
          <w:highlight w:val="none"/>
        </w:rPr>
        <w:t>组成联合体的中小企业与联合体内其他企业不得存在直接控股、管理关系。</w:t>
      </w:r>
    </w:p>
    <w:p w14:paraId="50B613BF">
      <w:pPr>
        <w:autoSpaceDE w:val="0"/>
        <w:autoSpaceDN w:val="0"/>
        <w:adjustRightInd w:val="0"/>
        <w:snapToGrid w:val="0"/>
        <w:spacing w:before="156" w:beforeLines="50" w:line="300" w:lineRule="auto"/>
        <w:ind w:firstLine="539"/>
        <w:rPr>
          <w:rFonts w:ascii="黑体" w:hAnsi="黑体" w:eastAsia="黑体" w:cs="楷体_GB2312"/>
          <w:b/>
          <w:color w:val="auto"/>
          <w:sz w:val="24"/>
          <w:highlight w:val="none"/>
          <w:lang w:val="zh-CN"/>
        </w:rPr>
      </w:pPr>
      <w:r>
        <w:rPr>
          <w:rFonts w:hint="eastAsia" w:ascii="黑体" w:hAnsi="黑体" w:eastAsia="黑体" w:cs="楷体_GB2312"/>
          <w:b/>
          <w:color w:val="auto"/>
          <w:sz w:val="24"/>
          <w:highlight w:val="none"/>
          <w:lang w:val="zh-CN"/>
        </w:rPr>
        <w:t>1.5  知识产权</w:t>
      </w:r>
    </w:p>
    <w:p w14:paraId="4C2DF556">
      <w:pPr>
        <w:ind w:firstLine="480" w:firstLineChars="200"/>
        <w:rPr>
          <w:rFonts w:ascii="宋体" w:hAnsi="宋体"/>
          <w:color w:val="auto"/>
          <w:sz w:val="24"/>
          <w:highlight w:val="none"/>
        </w:rPr>
      </w:pPr>
      <w:r>
        <w:rPr>
          <w:rFonts w:hint="eastAsia" w:ascii="宋体" w:hAnsi="宋体" w:cs="楷体_GB2312"/>
          <w:color w:val="auto"/>
          <w:sz w:val="24"/>
          <w:highlight w:val="none"/>
          <w:lang w:val="zh-CN"/>
        </w:rPr>
        <w:t>1.5.1 供应商须保证采购人使用投标货物、资料、技术、服务或其任何一部分时，享有不受限制的无偿使用权，不会产生因第三方提出侵犯其专利权、商标权或其它知识产权而引起的法律或经济纠纷。</w:t>
      </w:r>
      <w:r>
        <w:rPr>
          <w:rFonts w:hint="eastAsia" w:ascii="宋体" w:hAnsi="宋体"/>
          <w:color w:val="auto"/>
          <w:sz w:val="24"/>
          <w:highlight w:val="none"/>
        </w:rPr>
        <w:t>如因专利权、商标权或其它知识产权而引起法律和经济纠纷，由供应商承担所有相关责任。</w:t>
      </w:r>
    </w:p>
    <w:p w14:paraId="5C4F8B82">
      <w:pPr>
        <w:autoSpaceDE w:val="0"/>
        <w:autoSpaceDN w:val="0"/>
        <w:adjustRightInd w:val="0"/>
        <w:snapToGrid w:val="0"/>
        <w:spacing w:before="156" w:beforeLines="50" w:line="300" w:lineRule="auto"/>
        <w:ind w:firstLine="539"/>
        <w:rPr>
          <w:rFonts w:ascii="宋体" w:hAnsi="宋体" w:cs="楷体_GB2312"/>
          <w:color w:val="auto"/>
          <w:sz w:val="24"/>
          <w:highlight w:val="none"/>
          <w:lang w:val="zh-CN"/>
        </w:rPr>
      </w:pPr>
      <w:r>
        <w:rPr>
          <w:rFonts w:hint="eastAsia" w:ascii="宋体" w:hAnsi="宋体" w:cs="楷体_GB2312"/>
          <w:color w:val="auto"/>
          <w:sz w:val="24"/>
          <w:highlight w:val="none"/>
          <w:lang w:val="zh-CN"/>
        </w:rPr>
        <w:t>如供应商不拥有相应的知识产权，则在投标报价中必须包括合法获取该知识产权的一切相关费用。如因此导致采购人损失的，供应商须承担全部赔偿责任。</w:t>
      </w:r>
    </w:p>
    <w:p w14:paraId="7D79DDC6">
      <w:pPr>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1.5.2供应商将在采购项目实施过程中采用自有或者第三方知识成果的，应当在投标文件中载明，并提供相关知识产权证明文件。使用该知识成果后，供应商需提供开发接口和开发手册等技术资料，并承诺提供无限期支持，采购人享有使用权（含采购人委托第三方在该项目后续开发的使用权）。</w:t>
      </w:r>
    </w:p>
    <w:p w14:paraId="07B60A13">
      <w:pPr>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1.5.3 除非谈判文件特别规定，采购人享有本项目实施过程中产生的知识成果及知识产权。</w:t>
      </w:r>
    </w:p>
    <w:p w14:paraId="39E78FCA">
      <w:pPr>
        <w:autoSpaceDE w:val="0"/>
        <w:autoSpaceDN w:val="0"/>
        <w:adjustRightInd w:val="0"/>
        <w:snapToGrid w:val="0"/>
        <w:spacing w:before="156" w:beforeLines="50" w:line="300" w:lineRule="auto"/>
        <w:ind w:firstLine="539"/>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1.</w:t>
      </w:r>
      <w:r>
        <w:rPr>
          <w:rFonts w:hint="eastAsia" w:ascii="黑体" w:hAnsi="黑体" w:eastAsia="黑体" w:cs="楷体_GB2312"/>
          <w:b/>
          <w:color w:val="auto"/>
          <w:sz w:val="24"/>
          <w:highlight w:val="none"/>
          <w:lang w:val="zh-CN"/>
        </w:rPr>
        <w:t>6</w:t>
      </w:r>
      <w:r>
        <w:rPr>
          <w:rFonts w:ascii="黑体" w:hAnsi="黑体" w:eastAsia="黑体" w:cs="楷体_GB2312"/>
          <w:b/>
          <w:color w:val="auto"/>
          <w:sz w:val="24"/>
          <w:highlight w:val="none"/>
          <w:lang w:val="zh-CN"/>
        </w:rPr>
        <w:t xml:space="preserve">  </w:t>
      </w:r>
      <w:r>
        <w:rPr>
          <w:rFonts w:hint="eastAsia" w:ascii="黑体" w:hAnsi="黑体" w:eastAsia="黑体" w:cs="楷体_GB2312"/>
          <w:b/>
          <w:color w:val="auto"/>
          <w:sz w:val="24"/>
          <w:highlight w:val="none"/>
          <w:lang w:val="zh-CN"/>
        </w:rPr>
        <w:t>投标费用</w:t>
      </w:r>
    </w:p>
    <w:p w14:paraId="2084441D">
      <w:pPr>
        <w:autoSpaceDE w:val="0"/>
        <w:autoSpaceDN w:val="0"/>
        <w:adjustRightInd w:val="0"/>
        <w:snapToGrid w:val="0"/>
        <w:spacing w:before="156" w:beforeLines="50" w:line="300" w:lineRule="auto"/>
        <w:ind w:firstLine="539"/>
        <w:rPr>
          <w:rFonts w:ascii="宋体" w:cs="楷体_GB2312"/>
          <w:color w:val="auto"/>
          <w:sz w:val="24"/>
          <w:highlight w:val="none"/>
          <w:lang w:val="zh-CN"/>
        </w:rPr>
      </w:pPr>
      <w:r>
        <w:rPr>
          <w:rFonts w:hint="eastAsia" w:ascii="宋体" w:hAnsi="宋体" w:cs="楷体_GB2312"/>
          <w:color w:val="auto"/>
          <w:sz w:val="24"/>
          <w:highlight w:val="none"/>
          <w:lang w:val="zh-CN"/>
        </w:rPr>
        <w:t>无论投标过程中的做法和结果如何，无论何种原因的谈判失败废标或终止，投标人应自行承担所有与准备和参加投标有关的全部费用（类比商业采购中的客户洽谈费用），采购代理机构在任何情况下均无义务和责任承担投标人的任何费用。</w:t>
      </w:r>
    </w:p>
    <w:p w14:paraId="122E51DE">
      <w:pPr>
        <w:autoSpaceDE w:val="0"/>
        <w:autoSpaceDN w:val="0"/>
        <w:adjustRightInd w:val="0"/>
        <w:snapToGrid w:val="0"/>
        <w:spacing w:before="156" w:beforeLines="50" w:line="300" w:lineRule="auto"/>
        <w:ind w:firstLine="539"/>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1.</w:t>
      </w:r>
      <w:r>
        <w:rPr>
          <w:rFonts w:hint="eastAsia" w:ascii="黑体" w:hAnsi="黑体" w:eastAsia="黑体" w:cs="楷体_GB2312"/>
          <w:b/>
          <w:color w:val="auto"/>
          <w:sz w:val="24"/>
          <w:highlight w:val="none"/>
          <w:lang w:val="zh-CN"/>
        </w:rPr>
        <w:t>7</w:t>
      </w:r>
      <w:r>
        <w:rPr>
          <w:rFonts w:ascii="黑体" w:hAnsi="黑体" w:eastAsia="黑体" w:cs="楷体_GB2312"/>
          <w:b/>
          <w:color w:val="auto"/>
          <w:sz w:val="24"/>
          <w:highlight w:val="none"/>
          <w:lang w:val="zh-CN"/>
        </w:rPr>
        <w:t xml:space="preserve"> </w:t>
      </w:r>
      <w:r>
        <w:rPr>
          <w:rFonts w:hint="eastAsia" w:ascii="黑体" w:hAnsi="黑体" w:eastAsia="黑体" w:cs="楷体_GB2312"/>
          <w:b/>
          <w:color w:val="auto"/>
          <w:sz w:val="24"/>
          <w:highlight w:val="none"/>
          <w:lang w:val="zh-CN"/>
        </w:rPr>
        <w:t>保密</w:t>
      </w:r>
    </w:p>
    <w:p w14:paraId="01231B29">
      <w:pPr>
        <w:autoSpaceDE w:val="0"/>
        <w:autoSpaceDN w:val="0"/>
        <w:adjustRightInd w:val="0"/>
        <w:snapToGrid w:val="0"/>
        <w:spacing w:before="156"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1.</w:t>
      </w:r>
      <w:r>
        <w:rPr>
          <w:rFonts w:hint="eastAsia" w:ascii="宋体" w:hAnsi="宋体" w:cs="楷体_GB2312"/>
          <w:color w:val="auto"/>
          <w:sz w:val="24"/>
          <w:highlight w:val="none"/>
          <w:lang w:val="zh-CN"/>
        </w:rPr>
        <w:t>7</w:t>
      </w:r>
      <w:r>
        <w:rPr>
          <w:rFonts w:ascii="宋体" w:hAnsi="宋体" w:cs="楷体_GB2312"/>
          <w:color w:val="auto"/>
          <w:sz w:val="24"/>
          <w:highlight w:val="none"/>
          <w:lang w:val="zh-CN"/>
        </w:rPr>
        <w:t xml:space="preserve">.1 </w:t>
      </w:r>
      <w:r>
        <w:rPr>
          <w:rFonts w:hint="eastAsia" w:ascii="宋体" w:hAnsi="宋体" w:cs="楷体_GB2312"/>
          <w:color w:val="auto"/>
          <w:sz w:val="24"/>
          <w:highlight w:val="none"/>
          <w:lang w:val="zh-CN"/>
        </w:rPr>
        <w:t>参与竞争性谈判活动的各方应对谈判文件和投标文件中的商业和技术等秘密保密，投标人应在投标文件中对需保密事项予以书面声明，否则视为非保密事项。</w:t>
      </w:r>
    </w:p>
    <w:p w14:paraId="1AE74B9A">
      <w:pPr>
        <w:autoSpaceDE w:val="0"/>
        <w:autoSpaceDN w:val="0"/>
        <w:adjustRightInd w:val="0"/>
        <w:snapToGrid w:val="0"/>
        <w:spacing w:before="156"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1.</w:t>
      </w:r>
      <w:r>
        <w:rPr>
          <w:rFonts w:hint="eastAsia" w:ascii="宋体" w:hAnsi="宋体" w:cs="楷体_GB2312"/>
          <w:color w:val="auto"/>
          <w:sz w:val="24"/>
          <w:highlight w:val="none"/>
          <w:lang w:val="zh-CN"/>
        </w:rPr>
        <w:t>7</w:t>
      </w:r>
      <w:r>
        <w:rPr>
          <w:rFonts w:ascii="宋体" w:hAnsi="宋体" w:cs="楷体_GB2312"/>
          <w:color w:val="auto"/>
          <w:sz w:val="24"/>
          <w:highlight w:val="none"/>
          <w:lang w:val="zh-CN"/>
        </w:rPr>
        <w:t xml:space="preserve">.2 </w:t>
      </w:r>
      <w:r>
        <w:rPr>
          <w:rFonts w:hint="eastAsia" w:ascii="宋体" w:hAnsi="宋体" w:cs="楷体_GB2312"/>
          <w:color w:val="auto"/>
          <w:sz w:val="24"/>
          <w:highlight w:val="none"/>
          <w:lang w:val="zh-CN"/>
        </w:rPr>
        <w:t>依据政府采购成交结果及合同公告规定，成交（合同）标的名称、规格型号、单价及成交（合同）金额等内容不得作为商业秘密。</w:t>
      </w:r>
    </w:p>
    <w:p w14:paraId="6BBFA519">
      <w:pPr>
        <w:autoSpaceDE w:val="0"/>
        <w:autoSpaceDN w:val="0"/>
        <w:adjustRightInd w:val="0"/>
        <w:snapToGrid w:val="0"/>
        <w:spacing w:before="156" w:beforeLines="50" w:line="300" w:lineRule="auto"/>
        <w:ind w:firstLine="539"/>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1.</w:t>
      </w:r>
      <w:r>
        <w:rPr>
          <w:rFonts w:hint="eastAsia" w:ascii="黑体" w:hAnsi="黑体" w:eastAsia="黑体" w:cs="楷体_GB2312"/>
          <w:b/>
          <w:color w:val="auto"/>
          <w:sz w:val="24"/>
          <w:highlight w:val="none"/>
          <w:lang w:val="zh-CN"/>
        </w:rPr>
        <w:t>8</w:t>
      </w:r>
      <w:r>
        <w:rPr>
          <w:rFonts w:ascii="黑体" w:hAnsi="黑体" w:eastAsia="黑体" w:cs="楷体_GB2312"/>
          <w:b/>
          <w:color w:val="auto"/>
          <w:sz w:val="24"/>
          <w:highlight w:val="none"/>
          <w:lang w:val="zh-CN"/>
        </w:rPr>
        <w:t xml:space="preserve"> </w:t>
      </w:r>
      <w:r>
        <w:rPr>
          <w:rFonts w:hint="eastAsia" w:ascii="黑体" w:hAnsi="黑体" w:eastAsia="黑体" w:cs="楷体_GB2312"/>
          <w:b/>
          <w:color w:val="auto"/>
          <w:sz w:val="24"/>
          <w:highlight w:val="none"/>
          <w:lang w:val="zh-CN"/>
        </w:rPr>
        <w:t>语言文字</w:t>
      </w:r>
    </w:p>
    <w:p w14:paraId="2C0E3876">
      <w:pPr>
        <w:autoSpaceDE w:val="0"/>
        <w:autoSpaceDN w:val="0"/>
        <w:adjustRightInd w:val="0"/>
        <w:snapToGrid w:val="0"/>
        <w:spacing w:before="156" w:beforeLines="50" w:line="300" w:lineRule="auto"/>
        <w:ind w:firstLine="539"/>
        <w:rPr>
          <w:rFonts w:ascii="宋体" w:cs="楷体_GB2312"/>
          <w:color w:val="auto"/>
          <w:sz w:val="24"/>
          <w:highlight w:val="none"/>
          <w:lang w:val="zh-CN"/>
        </w:rPr>
      </w:pPr>
      <w:r>
        <w:rPr>
          <w:rFonts w:hint="eastAsia" w:ascii="宋体" w:hAnsi="宋体" w:cs="楷体_GB2312"/>
          <w:color w:val="auto"/>
          <w:sz w:val="24"/>
          <w:highlight w:val="none"/>
          <w:lang w:val="zh-CN"/>
        </w:rPr>
        <w:t>除专用术语外，与竞争性谈判有关的语言均使用中文。必要时专用术语应附有中文注释。如果投标文件或与投标有关的其它文件、信件及来往函电以其它语言书写，投标人应将其译成中文，并对中文译稿的真实、准确、完整承担责任。</w:t>
      </w:r>
    </w:p>
    <w:p w14:paraId="25025DE1">
      <w:pPr>
        <w:autoSpaceDE w:val="0"/>
        <w:autoSpaceDN w:val="0"/>
        <w:adjustRightInd w:val="0"/>
        <w:snapToGrid w:val="0"/>
        <w:spacing w:before="156" w:beforeLines="50" w:line="300" w:lineRule="auto"/>
        <w:ind w:firstLine="539"/>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1.</w:t>
      </w:r>
      <w:r>
        <w:rPr>
          <w:rFonts w:hint="eastAsia" w:ascii="黑体" w:hAnsi="黑体" w:eastAsia="黑体" w:cs="楷体_GB2312"/>
          <w:b/>
          <w:color w:val="auto"/>
          <w:sz w:val="24"/>
          <w:highlight w:val="none"/>
          <w:lang w:val="zh-CN"/>
        </w:rPr>
        <w:t>9</w:t>
      </w:r>
      <w:r>
        <w:rPr>
          <w:rFonts w:ascii="黑体" w:hAnsi="黑体" w:eastAsia="黑体" w:cs="楷体_GB2312"/>
          <w:b/>
          <w:color w:val="auto"/>
          <w:sz w:val="24"/>
          <w:highlight w:val="none"/>
          <w:lang w:val="zh-CN"/>
        </w:rPr>
        <w:t xml:space="preserve"> </w:t>
      </w:r>
      <w:r>
        <w:rPr>
          <w:rFonts w:hint="eastAsia" w:ascii="黑体" w:hAnsi="黑体" w:eastAsia="黑体" w:cs="楷体_GB2312"/>
          <w:b/>
          <w:color w:val="auto"/>
          <w:sz w:val="24"/>
          <w:highlight w:val="none"/>
          <w:lang w:val="zh-CN"/>
        </w:rPr>
        <w:t>计量单位</w:t>
      </w:r>
    </w:p>
    <w:p w14:paraId="6E1F9E2D">
      <w:pPr>
        <w:autoSpaceDE w:val="0"/>
        <w:autoSpaceDN w:val="0"/>
        <w:adjustRightInd w:val="0"/>
        <w:snapToGrid w:val="0"/>
        <w:spacing w:before="156" w:beforeLines="50" w:line="300" w:lineRule="auto"/>
        <w:ind w:firstLine="539"/>
        <w:rPr>
          <w:rFonts w:ascii="宋体" w:cs="楷体_GB2312"/>
          <w:color w:val="auto"/>
          <w:sz w:val="24"/>
          <w:highlight w:val="none"/>
          <w:lang w:val="zh-CN"/>
        </w:rPr>
      </w:pPr>
      <w:r>
        <w:rPr>
          <w:rFonts w:hint="eastAsia" w:ascii="宋体" w:hAnsi="宋体" w:cs="楷体_GB2312"/>
          <w:color w:val="auto"/>
          <w:sz w:val="24"/>
          <w:highlight w:val="none"/>
          <w:lang w:val="zh-CN"/>
        </w:rPr>
        <w:t>所有计量均采用中华人民共和国法定计量单位。</w:t>
      </w:r>
    </w:p>
    <w:p w14:paraId="4D90F345">
      <w:pPr>
        <w:autoSpaceDE w:val="0"/>
        <w:autoSpaceDN w:val="0"/>
        <w:adjustRightInd w:val="0"/>
        <w:snapToGrid w:val="0"/>
        <w:spacing w:before="156" w:beforeLines="50" w:line="300" w:lineRule="auto"/>
        <w:ind w:firstLine="539"/>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1.</w:t>
      </w:r>
      <w:r>
        <w:rPr>
          <w:rFonts w:hint="eastAsia" w:ascii="黑体" w:hAnsi="黑体" w:eastAsia="黑体" w:cs="楷体_GB2312"/>
          <w:b/>
          <w:color w:val="auto"/>
          <w:sz w:val="24"/>
          <w:highlight w:val="none"/>
          <w:lang w:val="zh-CN"/>
        </w:rPr>
        <w:t>10</w:t>
      </w:r>
      <w:r>
        <w:rPr>
          <w:rFonts w:ascii="黑体" w:hAnsi="黑体" w:eastAsia="黑体" w:cs="楷体_GB2312"/>
          <w:b/>
          <w:color w:val="auto"/>
          <w:sz w:val="24"/>
          <w:highlight w:val="none"/>
          <w:lang w:val="zh-CN"/>
        </w:rPr>
        <w:t xml:space="preserve"> </w:t>
      </w:r>
      <w:r>
        <w:rPr>
          <w:rFonts w:hint="eastAsia" w:ascii="黑体" w:hAnsi="黑体" w:eastAsia="黑体" w:cs="楷体_GB2312"/>
          <w:b/>
          <w:color w:val="auto"/>
          <w:sz w:val="24"/>
          <w:highlight w:val="none"/>
          <w:lang w:val="zh-CN"/>
        </w:rPr>
        <w:t>踏勘现场</w:t>
      </w:r>
    </w:p>
    <w:p w14:paraId="7957D1BC">
      <w:pPr>
        <w:autoSpaceDE w:val="0"/>
        <w:autoSpaceDN w:val="0"/>
        <w:adjustRightInd w:val="0"/>
        <w:snapToGrid w:val="0"/>
        <w:spacing w:before="156"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1.</w:t>
      </w:r>
      <w:r>
        <w:rPr>
          <w:rFonts w:hint="eastAsia" w:ascii="宋体" w:hAnsi="宋体" w:cs="楷体_GB2312"/>
          <w:color w:val="auto"/>
          <w:sz w:val="24"/>
          <w:highlight w:val="none"/>
          <w:lang w:val="zh-CN"/>
        </w:rPr>
        <w:t>10</w:t>
      </w:r>
      <w:r>
        <w:rPr>
          <w:rFonts w:ascii="宋体" w:hAnsi="宋体" w:cs="楷体_GB2312"/>
          <w:color w:val="auto"/>
          <w:sz w:val="24"/>
          <w:highlight w:val="none"/>
          <w:lang w:val="zh-CN"/>
        </w:rPr>
        <w:t>.1</w:t>
      </w:r>
      <w:r>
        <w:rPr>
          <w:rFonts w:hint="eastAsia" w:ascii="宋体" w:hAnsi="宋体" w:cs="楷体_GB2312"/>
          <w:color w:val="auto"/>
          <w:sz w:val="24"/>
          <w:highlight w:val="none"/>
          <w:lang w:val="zh-CN"/>
        </w:rPr>
        <w:t>投标人踏勘现场发生的费用自理，投标人自行负责在踏勘现场中所发生的人员伤亡和财产损失。</w:t>
      </w:r>
    </w:p>
    <w:p w14:paraId="04F6DB4F">
      <w:pPr>
        <w:autoSpaceDE w:val="0"/>
        <w:autoSpaceDN w:val="0"/>
        <w:adjustRightInd w:val="0"/>
        <w:snapToGrid w:val="0"/>
        <w:spacing w:before="156"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1.</w:t>
      </w:r>
      <w:r>
        <w:rPr>
          <w:rFonts w:hint="eastAsia" w:ascii="宋体" w:hAnsi="宋体" w:cs="楷体_GB2312"/>
          <w:color w:val="auto"/>
          <w:sz w:val="24"/>
          <w:highlight w:val="none"/>
          <w:lang w:val="zh-CN"/>
        </w:rPr>
        <w:t>10</w:t>
      </w:r>
      <w:r>
        <w:rPr>
          <w:rFonts w:ascii="宋体" w:hAnsi="宋体" w:cs="楷体_GB2312"/>
          <w:color w:val="auto"/>
          <w:sz w:val="24"/>
          <w:highlight w:val="none"/>
          <w:lang w:val="zh-CN"/>
        </w:rPr>
        <w:t>.2</w:t>
      </w:r>
      <w:r>
        <w:rPr>
          <w:rFonts w:hint="eastAsia" w:ascii="宋体" w:hAnsi="宋体" w:cs="楷体_GB2312"/>
          <w:color w:val="auto"/>
          <w:sz w:val="24"/>
          <w:highlight w:val="none"/>
          <w:lang w:val="zh-CN"/>
        </w:rPr>
        <w:t>投标人须知前附表规定组织踏勘现场的，采购人及代理机构按投标人须知前附表规定的时间、地点组织投标人踏勘项目现场。采购人及代理机构在踏勘现场中介绍的交验安装条件和相关的周边环境情况，供投标人在编制投标文件时参考，采购人及代理机构不对投标人据此作出的判断和决策负责。</w:t>
      </w:r>
    </w:p>
    <w:p w14:paraId="04F09C57">
      <w:pPr>
        <w:autoSpaceDE w:val="0"/>
        <w:autoSpaceDN w:val="0"/>
        <w:adjustRightInd w:val="0"/>
        <w:snapToGrid w:val="0"/>
        <w:spacing w:before="156"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1.</w:t>
      </w:r>
      <w:r>
        <w:rPr>
          <w:rFonts w:hint="eastAsia" w:ascii="宋体" w:hAnsi="宋体" w:cs="楷体_GB2312"/>
          <w:color w:val="auto"/>
          <w:sz w:val="24"/>
          <w:highlight w:val="none"/>
          <w:lang w:val="zh-CN"/>
        </w:rPr>
        <w:t>10</w:t>
      </w:r>
      <w:r>
        <w:rPr>
          <w:rFonts w:ascii="宋体" w:hAnsi="宋体" w:cs="楷体_GB2312"/>
          <w:color w:val="auto"/>
          <w:sz w:val="24"/>
          <w:highlight w:val="none"/>
          <w:lang w:val="zh-CN"/>
        </w:rPr>
        <w:t xml:space="preserve">.3  </w:t>
      </w:r>
      <w:r>
        <w:rPr>
          <w:rFonts w:hint="eastAsia" w:ascii="宋体" w:hAnsi="宋体" w:cs="楷体_GB2312"/>
          <w:color w:val="auto"/>
          <w:sz w:val="24"/>
          <w:highlight w:val="none"/>
          <w:lang w:val="zh-CN"/>
        </w:rPr>
        <w:t>投标人须知前附表规定不组织踏勘现场的，谈判文件不单独提供交验地自然环境、气候条件、交验安装条件等情况说明，投标人被视为熟悉前述与履行合同有关的一切情况，投标人可自行踏勘现场并自行了解相关情况。</w:t>
      </w:r>
    </w:p>
    <w:p w14:paraId="750CE38C">
      <w:pPr>
        <w:autoSpaceDE w:val="0"/>
        <w:autoSpaceDN w:val="0"/>
        <w:adjustRightInd w:val="0"/>
        <w:snapToGrid w:val="0"/>
        <w:spacing w:before="156" w:beforeLines="50" w:line="300" w:lineRule="auto"/>
        <w:ind w:firstLine="539"/>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1.1</w:t>
      </w:r>
      <w:r>
        <w:rPr>
          <w:rFonts w:hint="eastAsia" w:ascii="黑体" w:hAnsi="黑体" w:eastAsia="黑体" w:cs="楷体_GB2312"/>
          <w:b/>
          <w:color w:val="auto"/>
          <w:sz w:val="24"/>
          <w:highlight w:val="none"/>
          <w:lang w:val="zh-CN"/>
        </w:rPr>
        <w:t>1</w:t>
      </w:r>
      <w:r>
        <w:rPr>
          <w:rFonts w:ascii="黑体" w:hAnsi="黑体" w:eastAsia="黑体" w:cs="楷体_GB2312"/>
          <w:b/>
          <w:color w:val="auto"/>
          <w:sz w:val="24"/>
          <w:highlight w:val="none"/>
          <w:lang w:val="zh-CN"/>
        </w:rPr>
        <w:t xml:space="preserve"> </w:t>
      </w:r>
      <w:r>
        <w:rPr>
          <w:rFonts w:hint="eastAsia" w:ascii="黑体" w:hAnsi="黑体" w:eastAsia="黑体" w:cs="楷体_GB2312"/>
          <w:b/>
          <w:color w:val="auto"/>
          <w:sz w:val="24"/>
          <w:highlight w:val="none"/>
          <w:lang w:val="zh-CN"/>
        </w:rPr>
        <w:t>投标预备会</w:t>
      </w:r>
    </w:p>
    <w:p w14:paraId="7E33D001">
      <w:pPr>
        <w:autoSpaceDE w:val="0"/>
        <w:autoSpaceDN w:val="0"/>
        <w:adjustRightInd w:val="0"/>
        <w:snapToGrid w:val="0"/>
        <w:spacing w:before="156"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1.1</w:t>
      </w:r>
      <w:r>
        <w:rPr>
          <w:rFonts w:hint="eastAsia" w:ascii="宋体" w:hAnsi="宋体" w:cs="楷体_GB2312"/>
          <w:color w:val="auto"/>
          <w:sz w:val="24"/>
          <w:highlight w:val="none"/>
          <w:lang w:val="zh-CN"/>
        </w:rPr>
        <w:t>1</w:t>
      </w:r>
      <w:r>
        <w:rPr>
          <w:rFonts w:ascii="宋体" w:hAnsi="宋体" w:cs="楷体_GB2312"/>
          <w:color w:val="auto"/>
          <w:sz w:val="24"/>
          <w:highlight w:val="none"/>
          <w:lang w:val="zh-CN"/>
        </w:rPr>
        <w:t xml:space="preserve">.1 </w:t>
      </w:r>
      <w:r>
        <w:rPr>
          <w:rFonts w:hint="eastAsia" w:ascii="宋体" w:hAnsi="宋体" w:cs="楷体_GB2312"/>
          <w:color w:val="auto"/>
          <w:sz w:val="24"/>
          <w:highlight w:val="none"/>
          <w:lang w:val="zh-CN"/>
        </w:rPr>
        <w:t>投标人须知前附表规定召开投标预备会的，采购人及代理机构按投标人须知前附表规定的时间和地点召开投标预备会，澄清投标人提出的问题。</w:t>
      </w:r>
    </w:p>
    <w:p w14:paraId="538D30E4">
      <w:pPr>
        <w:autoSpaceDE w:val="0"/>
        <w:autoSpaceDN w:val="0"/>
        <w:adjustRightInd w:val="0"/>
        <w:snapToGrid w:val="0"/>
        <w:spacing w:before="156"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1.1</w:t>
      </w:r>
      <w:r>
        <w:rPr>
          <w:rFonts w:hint="eastAsia" w:ascii="宋体" w:hAnsi="宋体" w:cs="楷体_GB2312"/>
          <w:color w:val="auto"/>
          <w:sz w:val="24"/>
          <w:highlight w:val="none"/>
          <w:lang w:val="zh-CN"/>
        </w:rPr>
        <w:t>1</w:t>
      </w:r>
      <w:r>
        <w:rPr>
          <w:rFonts w:ascii="宋体" w:hAnsi="宋体" w:cs="楷体_GB2312"/>
          <w:color w:val="auto"/>
          <w:sz w:val="24"/>
          <w:highlight w:val="none"/>
          <w:lang w:val="zh-CN"/>
        </w:rPr>
        <w:t xml:space="preserve">.2 </w:t>
      </w:r>
      <w:r>
        <w:rPr>
          <w:rFonts w:hint="eastAsia" w:ascii="宋体" w:hAnsi="宋体" w:cs="楷体_GB2312"/>
          <w:color w:val="auto"/>
          <w:sz w:val="24"/>
          <w:highlight w:val="none"/>
          <w:lang w:val="zh-CN"/>
        </w:rPr>
        <w:t>投标人应在投标人须知前附表规定的时间前，以书面形式将提出的问题送达采购人及代理机构，以便采购人及代理机构在会议期间澄清。</w:t>
      </w:r>
    </w:p>
    <w:p w14:paraId="0D65EA90">
      <w:pPr>
        <w:autoSpaceDE w:val="0"/>
        <w:autoSpaceDN w:val="0"/>
        <w:adjustRightInd w:val="0"/>
        <w:snapToGrid w:val="0"/>
        <w:spacing w:before="156"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1.1</w:t>
      </w:r>
      <w:r>
        <w:rPr>
          <w:rFonts w:hint="eastAsia" w:ascii="宋体" w:hAnsi="宋体" w:cs="楷体_GB2312"/>
          <w:color w:val="auto"/>
          <w:sz w:val="24"/>
          <w:highlight w:val="none"/>
          <w:lang w:val="zh-CN"/>
        </w:rPr>
        <w:t>1</w:t>
      </w:r>
      <w:r>
        <w:rPr>
          <w:rFonts w:ascii="宋体" w:hAnsi="宋体" w:cs="楷体_GB2312"/>
          <w:color w:val="auto"/>
          <w:sz w:val="24"/>
          <w:highlight w:val="none"/>
          <w:lang w:val="zh-CN"/>
        </w:rPr>
        <w:t xml:space="preserve">.3 </w:t>
      </w:r>
      <w:r>
        <w:rPr>
          <w:rFonts w:hint="eastAsia" w:ascii="宋体" w:hAnsi="宋体" w:cs="楷体_GB2312"/>
          <w:color w:val="auto"/>
          <w:sz w:val="24"/>
          <w:highlight w:val="none"/>
          <w:lang w:val="zh-CN"/>
        </w:rPr>
        <w:t>投标预备会后，采购人及代理机构在投标人须知前附表规定的时间内，将对投标人所提问题的澄清，以本章</w:t>
      </w:r>
      <w:r>
        <w:rPr>
          <w:rFonts w:ascii="宋体" w:hAnsi="宋体" w:cs="楷体_GB2312"/>
          <w:color w:val="auto"/>
          <w:sz w:val="24"/>
          <w:highlight w:val="none"/>
          <w:lang w:val="zh-CN"/>
        </w:rPr>
        <w:t>2.3.2</w:t>
      </w:r>
      <w:r>
        <w:rPr>
          <w:rFonts w:hint="eastAsia" w:ascii="宋体" w:hAnsi="宋体" w:cs="楷体_GB2312"/>
          <w:color w:val="auto"/>
          <w:sz w:val="24"/>
          <w:highlight w:val="none"/>
          <w:lang w:val="zh-CN"/>
        </w:rPr>
        <w:t>项方式通告潜在投标人。该澄清内容为谈判文件的组成部分。</w:t>
      </w:r>
    </w:p>
    <w:p w14:paraId="7E19EAB3">
      <w:pPr>
        <w:autoSpaceDE w:val="0"/>
        <w:autoSpaceDN w:val="0"/>
        <w:adjustRightInd w:val="0"/>
        <w:snapToGrid w:val="0"/>
        <w:spacing w:before="156" w:beforeLines="50" w:line="300" w:lineRule="auto"/>
        <w:ind w:firstLine="539"/>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1.1</w:t>
      </w:r>
      <w:r>
        <w:rPr>
          <w:rFonts w:hint="eastAsia" w:ascii="黑体" w:hAnsi="黑体" w:eastAsia="黑体" w:cs="楷体_GB2312"/>
          <w:b/>
          <w:color w:val="auto"/>
          <w:sz w:val="24"/>
          <w:highlight w:val="none"/>
          <w:lang w:val="zh-CN"/>
        </w:rPr>
        <w:t>2 分包</w:t>
      </w:r>
    </w:p>
    <w:p w14:paraId="62BE3FD2">
      <w:pPr>
        <w:autoSpaceDE w:val="0"/>
        <w:autoSpaceDN w:val="0"/>
        <w:adjustRightInd w:val="0"/>
        <w:snapToGrid w:val="0"/>
        <w:spacing w:before="156" w:beforeLines="50" w:line="300" w:lineRule="auto"/>
        <w:ind w:firstLine="539"/>
        <w:rPr>
          <w:rFonts w:ascii="宋体" w:hAnsi="宋体" w:cs="楷体_GB2312"/>
          <w:color w:val="auto"/>
          <w:sz w:val="24"/>
          <w:highlight w:val="none"/>
          <w:lang w:val="zh-CN"/>
        </w:rPr>
      </w:pPr>
      <w:r>
        <w:rPr>
          <w:rFonts w:hint="eastAsia" w:ascii="宋体" w:hAnsi="宋体" w:cs="楷体_GB2312"/>
          <w:color w:val="auto"/>
          <w:sz w:val="24"/>
          <w:highlight w:val="none"/>
          <w:lang w:val="zh-CN"/>
        </w:rPr>
        <w:t>投标人拟在成交后将成交项目</w:t>
      </w:r>
      <w:r>
        <w:rPr>
          <w:rFonts w:ascii="宋体" w:hAnsi="宋体" w:cs="楷体_GB2312"/>
          <w:color w:val="auto"/>
          <w:sz w:val="24"/>
          <w:highlight w:val="none"/>
          <w:lang w:val="zh-CN"/>
        </w:rPr>
        <w:t>(</w:t>
      </w:r>
      <w:r>
        <w:rPr>
          <w:rFonts w:hint="eastAsia" w:ascii="宋体" w:hAnsi="宋体" w:cs="楷体_GB2312"/>
          <w:color w:val="auto"/>
          <w:sz w:val="24"/>
          <w:highlight w:val="none"/>
          <w:lang w:val="zh-CN"/>
        </w:rPr>
        <w:t>标段&lt;包&gt;</w:t>
      </w:r>
      <w:r>
        <w:rPr>
          <w:rFonts w:ascii="宋体" w:hAnsi="宋体" w:cs="楷体_GB2312"/>
          <w:color w:val="auto"/>
          <w:sz w:val="24"/>
          <w:highlight w:val="none"/>
          <w:lang w:val="zh-CN"/>
        </w:rPr>
        <w:t>)</w:t>
      </w:r>
      <w:r>
        <w:rPr>
          <w:rFonts w:hint="eastAsia" w:ascii="宋体" w:hAnsi="宋体" w:cs="楷体_GB2312"/>
          <w:color w:val="auto"/>
          <w:sz w:val="24"/>
          <w:highlight w:val="none"/>
          <w:lang w:val="zh-CN"/>
        </w:rPr>
        <w:t>的部分非主体、非关键性工作进行分包的，应符合投标人须知前附表规定的分包内容、分包金额和接受分包的第三人资质要求等限制性条件。</w:t>
      </w:r>
    </w:p>
    <w:p w14:paraId="57F531A1">
      <w:pPr>
        <w:autoSpaceDE w:val="0"/>
        <w:autoSpaceDN w:val="0"/>
        <w:adjustRightInd w:val="0"/>
        <w:snapToGrid w:val="0"/>
        <w:spacing w:before="156" w:beforeLines="50" w:line="300" w:lineRule="auto"/>
        <w:ind w:firstLine="539"/>
        <w:rPr>
          <w:rFonts w:ascii="宋体" w:hAnsi="宋体"/>
          <w:color w:val="auto"/>
          <w:sz w:val="24"/>
          <w:szCs w:val="24"/>
          <w:highlight w:val="none"/>
        </w:rPr>
      </w:pPr>
      <w:r>
        <w:rPr>
          <w:rFonts w:hint="eastAsia" w:ascii="宋体" w:hAnsi="宋体" w:cs="楷体_GB2312"/>
          <w:color w:val="auto"/>
          <w:sz w:val="24"/>
          <w:highlight w:val="none"/>
          <w:lang w:val="zh-CN"/>
        </w:rPr>
        <w:t>预留中小企业份额项目中，</w:t>
      </w:r>
      <w:r>
        <w:rPr>
          <w:rFonts w:hint="eastAsia" w:ascii="宋体" w:hAnsi="宋体"/>
          <w:color w:val="auto"/>
          <w:sz w:val="24"/>
          <w:szCs w:val="24"/>
          <w:highlight w:val="none"/>
        </w:rPr>
        <w:t>接受分包合同的中小企业与分包企业之间不得存在直接控股、管理关系</w:t>
      </w:r>
    </w:p>
    <w:p w14:paraId="100B6403">
      <w:pPr>
        <w:autoSpaceDE w:val="0"/>
        <w:autoSpaceDN w:val="0"/>
        <w:adjustRightInd w:val="0"/>
        <w:snapToGrid w:val="0"/>
        <w:spacing w:before="156" w:beforeLines="50" w:line="300" w:lineRule="auto"/>
        <w:ind w:firstLine="539"/>
        <w:rPr>
          <w:rFonts w:ascii="宋体" w:cs="楷体_GB2312"/>
          <w:color w:val="auto"/>
          <w:sz w:val="24"/>
          <w:highlight w:val="none"/>
        </w:rPr>
      </w:pPr>
      <w:r>
        <w:rPr>
          <w:rFonts w:hint="eastAsia" w:ascii="宋体" w:cs="楷体_GB2312"/>
          <w:color w:val="auto"/>
          <w:sz w:val="24"/>
          <w:highlight w:val="none"/>
        </w:rPr>
        <w:t>依法享受扶持政策获得政府采购合同的，小微企业不得将合同分包给大中型企业，中型企业不得将合同分包给大型企业。</w:t>
      </w:r>
    </w:p>
    <w:p w14:paraId="2AD2D941">
      <w:pPr>
        <w:autoSpaceDE w:val="0"/>
        <w:autoSpaceDN w:val="0"/>
        <w:adjustRightInd w:val="0"/>
        <w:snapToGrid w:val="0"/>
        <w:spacing w:before="156" w:beforeLines="50" w:line="300" w:lineRule="auto"/>
        <w:ind w:firstLine="539"/>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1.1</w:t>
      </w:r>
      <w:r>
        <w:rPr>
          <w:rFonts w:hint="eastAsia" w:ascii="黑体" w:hAnsi="黑体" w:eastAsia="黑体" w:cs="楷体_GB2312"/>
          <w:b/>
          <w:color w:val="auto"/>
          <w:sz w:val="24"/>
          <w:highlight w:val="none"/>
          <w:lang w:val="zh-CN"/>
        </w:rPr>
        <w:t>3 偏离</w:t>
      </w:r>
    </w:p>
    <w:p w14:paraId="599C07A0">
      <w:pPr>
        <w:autoSpaceDE w:val="0"/>
        <w:autoSpaceDN w:val="0"/>
        <w:adjustRightInd w:val="0"/>
        <w:snapToGrid w:val="0"/>
        <w:spacing w:before="156" w:beforeLines="50" w:line="300" w:lineRule="auto"/>
        <w:ind w:firstLine="539"/>
        <w:rPr>
          <w:rFonts w:ascii="宋体" w:cs="楷体_GB2312"/>
          <w:color w:val="auto"/>
          <w:sz w:val="24"/>
          <w:highlight w:val="none"/>
          <w:lang w:val="zh-CN"/>
        </w:rPr>
      </w:pPr>
      <w:r>
        <w:rPr>
          <w:rFonts w:hint="eastAsia" w:ascii="宋体" w:hAnsi="宋体" w:cs="楷体_GB2312"/>
          <w:color w:val="auto"/>
          <w:sz w:val="24"/>
          <w:highlight w:val="none"/>
          <w:lang w:val="zh-CN"/>
        </w:rPr>
        <w:t>谈判文件允许投标文件偏离谈判文件某些要求的，偏离应当符合谈判文件规定的偏离范围和幅度。</w:t>
      </w:r>
    </w:p>
    <w:p w14:paraId="524A26F7">
      <w:pPr>
        <w:autoSpaceDE w:val="0"/>
        <w:autoSpaceDN w:val="0"/>
        <w:adjustRightInd w:val="0"/>
        <w:snapToGrid w:val="0"/>
        <w:spacing w:before="156" w:beforeLines="50" w:line="300" w:lineRule="auto"/>
        <w:ind w:firstLine="539"/>
        <w:rPr>
          <w:rFonts w:ascii="黑体" w:hAnsi="黑体" w:eastAsia="黑体" w:cs="楷体_GB2312"/>
          <w:b/>
          <w:bCs/>
          <w:color w:val="auto"/>
          <w:sz w:val="28"/>
          <w:szCs w:val="28"/>
          <w:highlight w:val="none"/>
          <w:lang w:val="zh-CN"/>
        </w:rPr>
      </w:pPr>
    </w:p>
    <w:p w14:paraId="201D94DB">
      <w:pPr>
        <w:autoSpaceDE w:val="0"/>
        <w:autoSpaceDN w:val="0"/>
        <w:adjustRightInd w:val="0"/>
        <w:snapToGrid w:val="0"/>
        <w:spacing w:before="156" w:beforeLines="50" w:line="300" w:lineRule="auto"/>
        <w:ind w:firstLine="539"/>
        <w:outlineLvl w:val="1"/>
        <w:rPr>
          <w:rFonts w:ascii="黑体" w:hAnsi="黑体" w:eastAsia="黑体" w:cs="楷体_GB2312"/>
          <w:b/>
          <w:bCs/>
          <w:color w:val="auto"/>
          <w:sz w:val="28"/>
          <w:szCs w:val="28"/>
          <w:highlight w:val="none"/>
          <w:lang w:val="zh-CN"/>
        </w:rPr>
      </w:pPr>
      <w:bookmarkStart w:id="24" w:name="_Toc28848"/>
      <w:r>
        <w:rPr>
          <w:rFonts w:ascii="黑体" w:hAnsi="黑体" w:eastAsia="黑体" w:cs="楷体_GB2312"/>
          <w:b/>
          <w:bCs/>
          <w:color w:val="auto"/>
          <w:sz w:val="28"/>
          <w:szCs w:val="28"/>
          <w:highlight w:val="none"/>
          <w:lang w:val="zh-CN"/>
        </w:rPr>
        <w:t xml:space="preserve">2. </w:t>
      </w:r>
      <w:r>
        <w:rPr>
          <w:rFonts w:hint="eastAsia" w:ascii="黑体" w:hAnsi="黑体" w:eastAsia="黑体" w:cs="楷体_GB2312"/>
          <w:b/>
          <w:bCs/>
          <w:color w:val="auto"/>
          <w:sz w:val="28"/>
          <w:szCs w:val="28"/>
          <w:highlight w:val="none"/>
          <w:lang w:val="zh-CN"/>
        </w:rPr>
        <w:t>谈判文件</w:t>
      </w:r>
      <w:bookmarkEnd w:id="24"/>
    </w:p>
    <w:p w14:paraId="2CCDF549">
      <w:pPr>
        <w:autoSpaceDE w:val="0"/>
        <w:autoSpaceDN w:val="0"/>
        <w:adjustRightInd w:val="0"/>
        <w:snapToGrid w:val="0"/>
        <w:spacing w:before="156" w:beforeLines="50" w:line="300" w:lineRule="auto"/>
        <w:ind w:firstLine="539"/>
        <w:rPr>
          <w:rFonts w:ascii="宋体" w:cs="楷体_GB2312"/>
          <w:color w:val="auto"/>
          <w:sz w:val="24"/>
          <w:highlight w:val="none"/>
          <w:lang w:val="zh-CN"/>
        </w:rPr>
      </w:pPr>
      <w:r>
        <w:rPr>
          <w:rFonts w:ascii="黑体" w:hAnsi="黑体" w:eastAsia="黑体" w:cs="楷体_GB2312"/>
          <w:b/>
          <w:color w:val="auto"/>
          <w:sz w:val="24"/>
          <w:highlight w:val="none"/>
          <w:lang w:val="zh-CN"/>
        </w:rPr>
        <w:t>2.1</w:t>
      </w:r>
      <w:r>
        <w:rPr>
          <w:rFonts w:hint="eastAsia" w:ascii="黑体" w:hAnsi="黑体" w:eastAsia="黑体" w:cs="楷体_GB2312"/>
          <w:b/>
          <w:color w:val="auto"/>
          <w:sz w:val="24"/>
          <w:highlight w:val="none"/>
          <w:lang w:val="zh-CN"/>
        </w:rPr>
        <w:t>谈判文件的组成</w:t>
      </w:r>
      <w:r>
        <w:rPr>
          <w:rFonts w:hint="eastAsia" w:ascii="宋体" w:hAnsi="宋体" w:cs="楷体_GB2312"/>
          <w:color w:val="auto"/>
          <w:sz w:val="24"/>
          <w:highlight w:val="none"/>
          <w:lang w:val="zh-CN"/>
        </w:rPr>
        <w:t>：</w:t>
      </w:r>
    </w:p>
    <w:p w14:paraId="27A29BA8">
      <w:pPr>
        <w:autoSpaceDE w:val="0"/>
        <w:autoSpaceDN w:val="0"/>
        <w:adjustRightInd w:val="0"/>
        <w:snapToGrid w:val="0"/>
        <w:spacing w:before="156"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 xml:space="preserve">2.1.1 </w:t>
      </w:r>
      <w:r>
        <w:rPr>
          <w:rFonts w:hint="eastAsia" w:ascii="宋体" w:hAnsi="宋体" w:cs="楷体_GB2312"/>
          <w:color w:val="auto"/>
          <w:sz w:val="24"/>
          <w:highlight w:val="none"/>
          <w:lang w:val="zh-CN"/>
        </w:rPr>
        <w:t>谈判文件用以阐明采购项目的内容、程序和合同主要条款。谈判文件由下述部分组成：</w:t>
      </w:r>
    </w:p>
    <w:p w14:paraId="7384922A">
      <w:pPr>
        <w:autoSpaceDE w:val="0"/>
        <w:autoSpaceDN w:val="0"/>
        <w:adjustRightInd w:val="0"/>
        <w:snapToGrid w:val="0"/>
        <w:spacing w:line="300" w:lineRule="auto"/>
        <w:ind w:firstLine="539"/>
        <w:rPr>
          <w:rFonts w:ascii="宋体" w:cs="楷体_GB2312"/>
          <w:color w:val="auto"/>
          <w:sz w:val="24"/>
          <w:highlight w:val="none"/>
          <w:lang w:val="zh-CN"/>
        </w:rPr>
      </w:pPr>
      <w:r>
        <w:rPr>
          <w:rFonts w:hint="eastAsia" w:ascii="宋体" w:hAnsi="宋体" w:cs="楷体_GB2312"/>
          <w:color w:val="auto"/>
          <w:sz w:val="24"/>
          <w:highlight w:val="none"/>
          <w:lang w:val="zh-CN"/>
        </w:rPr>
        <w:t>（</w:t>
      </w:r>
      <w:r>
        <w:rPr>
          <w:rFonts w:ascii="宋体" w:hAnsi="宋体" w:cs="楷体_GB2312"/>
          <w:color w:val="auto"/>
          <w:sz w:val="24"/>
          <w:highlight w:val="none"/>
          <w:lang w:val="zh-CN"/>
        </w:rPr>
        <w:t>1</w:t>
      </w:r>
      <w:r>
        <w:rPr>
          <w:rFonts w:hint="eastAsia" w:ascii="宋体" w:hAnsi="宋体" w:cs="楷体_GB2312"/>
          <w:color w:val="auto"/>
          <w:sz w:val="24"/>
          <w:highlight w:val="none"/>
          <w:lang w:val="zh-CN"/>
        </w:rPr>
        <w:t>）谈判公告</w:t>
      </w:r>
    </w:p>
    <w:p w14:paraId="10F0446C">
      <w:pPr>
        <w:autoSpaceDE w:val="0"/>
        <w:autoSpaceDN w:val="0"/>
        <w:adjustRightInd w:val="0"/>
        <w:snapToGrid w:val="0"/>
        <w:spacing w:line="300" w:lineRule="auto"/>
        <w:ind w:firstLine="539"/>
        <w:rPr>
          <w:rFonts w:ascii="宋体" w:cs="楷体_GB2312"/>
          <w:color w:val="auto"/>
          <w:sz w:val="24"/>
          <w:highlight w:val="none"/>
          <w:lang w:val="zh-CN"/>
        </w:rPr>
      </w:pPr>
      <w:r>
        <w:rPr>
          <w:rFonts w:hint="eastAsia" w:ascii="宋体" w:hAnsi="宋体" w:cs="楷体_GB2312"/>
          <w:color w:val="auto"/>
          <w:sz w:val="24"/>
          <w:highlight w:val="none"/>
          <w:lang w:val="zh-CN"/>
        </w:rPr>
        <w:t>（</w:t>
      </w:r>
      <w:r>
        <w:rPr>
          <w:rFonts w:ascii="宋体" w:hAnsi="宋体" w:cs="楷体_GB2312"/>
          <w:color w:val="auto"/>
          <w:sz w:val="24"/>
          <w:highlight w:val="none"/>
          <w:lang w:val="zh-CN"/>
        </w:rPr>
        <w:t>2</w:t>
      </w:r>
      <w:r>
        <w:rPr>
          <w:rFonts w:hint="eastAsia" w:ascii="宋体" w:hAnsi="宋体" w:cs="楷体_GB2312"/>
          <w:color w:val="auto"/>
          <w:sz w:val="24"/>
          <w:highlight w:val="none"/>
          <w:lang w:val="zh-CN"/>
        </w:rPr>
        <w:t>）采购项目及技术、服务要求</w:t>
      </w:r>
    </w:p>
    <w:p w14:paraId="0242BB2B">
      <w:pPr>
        <w:autoSpaceDE w:val="0"/>
        <w:autoSpaceDN w:val="0"/>
        <w:adjustRightInd w:val="0"/>
        <w:snapToGrid w:val="0"/>
        <w:spacing w:line="300" w:lineRule="auto"/>
        <w:ind w:firstLine="539"/>
        <w:rPr>
          <w:rFonts w:ascii="宋体" w:cs="楷体_GB2312"/>
          <w:color w:val="auto"/>
          <w:sz w:val="24"/>
          <w:highlight w:val="none"/>
          <w:lang w:val="zh-CN"/>
        </w:rPr>
      </w:pPr>
      <w:r>
        <w:rPr>
          <w:rFonts w:hint="eastAsia" w:ascii="宋体" w:hAnsi="宋体" w:cs="楷体_GB2312"/>
          <w:color w:val="auto"/>
          <w:sz w:val="24"/>
          <w:highlight w:val="none"/>
          <w:lang w:val="zh-CN"/>
        </w:rPr>
        <w:t>（</w:t>
      </w:r>
      <w:r>
        <w:rPr>
          <w:rFonts w:ascii="宋体" w:hAnsi="宋体" w:cs="楷体_GB2312"/>
          <w:color w:val="auto"/>
          <w:sz w:val="24"/>
          <w:highlight w:val="none"/>
          <w:lang w:val="zh-CN"/>
        </w:rPr>
        <w:t>3</w:t>
      </w:r>
      <w:r>
        <w:rPr>
          <w:rFonts w:hint="eastAsia" w:ascii="宋体" w:hAnsi="宋体" w:cs="楷体_GB2312"/>
          <w:color w:val="auto"/>
          <w:sz w:val="24"/>
          <w:highlight w:val="none"/>
          <w:lang w:val="zh-CN"/>
        </w:rPr>
        <w:t>）投标人须知</w:t>
      </w:r>
    </w:p>
    <w:p w14:paraId="74927EEF">
      <w:pPr>
        <w:autoSpaceDE w:val="0"/>
        <w:autoSpaceDN w:val="0"/>
        <w:adjustRightInd w:val="0"/>
        <w:snapToGrid w:val="0"/>
        <w:spacing w:line="300" w:lineRule="auto"/>
        <w:ind w:firstLine="539"/>
        <w:rPr>
          <w:rFonts w:ascii="宋体" w:cs="楷体_GB2312"/>
          <w:color w:val="auto"/>
          <w:sz w:val="24"/>
          <w:highlight w:val="none"/>
          <w:lang w:val="zh-CN"/>
        </w:rPr>
      </w:pPr>
      <w:r>
        <w:rPr>
          <w:rFonts w:hint="eastAsia" w:ascii="宋体" w:hAnsi="宋体" w:cs="楷体_GB2312"/>
          <w:color w:val="auto"/>
          <w:sz w:val="24"/>
          <w:highlight w:val="none"/>
          <w:lang w:val="zh-CN"/>
        </w:rPr>
        <w:t>（</w:t>
      </w:r>
      <w:r>
        <w:rPr>
          <w:rFonts w:ascii="宋体" w:hAnsi="宋体" w:cs="楷体_GB2312"/>
          <w:color w:val="auto"/>
          <w:sz w:val="24"/>
          <w:highlight w:val="none"/>
          <w:lang w:val="zh-CN"/>
        </w:rPr>
        <w:t>4</w:t>
      </w:r>
      <w:r>
        <w:rPr>
          <w:rFonts w:hint="eastAsia" w:ascii="宋体" w:hAnsi="宋体" w:cs="楷体_GB2312"/>
          <w:color w:val="auto"/>
          <w:sz w:val="24"/>
          <w:highlight w:val="none"/>
          <w:lang w:val="zh-CN"/>
        </w:rPr>
        <w:t>）评审办法</w:t>
      </w:r>
    </w:p>
    <w:p w14:paraId="4C146B52">
      <w:pPr>
        <w:autoSpaceDE w:val="0"/>
        <w:autoSpaceDN w:val="0"/>
        <w:adjustRightInd w:val="0"/>
        <w:snapToGrid w:val="0"/>
        <w:spacing w:line="300" w:lineRule="auto"/>
        <w:ind w:firstLine="539"/>
        <w:rPr>
          <w:rFonts w:ascii="宋体" w:cs="楷体_GB2312"/>
          <w:color w:val="auto"/>
          <w:sz w:val="24"/>
          <w:highlight w:val="none"/>
          <w:lang w:val="zh-CN"/>
        </w:rPr>
      </w:pPr>
      <w:r>
        <w:rPr>
          <w:rFonts w:hint="eastAsia" w:ascii="宋体" w:hAnsi="宋体" w:cs="楷体_GB2312"/>
          <w:color w:val="auto"/>
          <w:sz w:val="24"/>
          <w:highlight w:val="none"/>
          <w:lang w:val="zh-CN"/>
        </w:rPr>
        <w:t>（</w:t>
      </w:r>
      <w:r>
        <w:rPr>
          <w:rFonts w:ascii="宋体" w:hAnsi="宋体" w:cs="楷体_GB2312"/>
          <w:color w:val="auto"/>
          <w:sz w:val="24"/>
          <w:highlight w:val="none"/>
          <w:lang w:val="zh-CN"/>
        </w:rPr>
        <w:t>5</w:t>
      </w:r>
      <w:r>
        <w:rPr>
          <w:rFonts w:hint="eastAsia" w:ascii="宋体" w:hAnsi="宋体" w:cs="楷体_GB2312"/>
          <w:color w:val="auto"/>
          <w:sz w:val="24"/>
          <w:highlight w:val="none"/>
          <w:lang w:val="zh-CN"/>
        </w:rPr>
        <w:t>）合同主要条款</w:t>
      </w:r>
    </w:p>
    <w:p w14:paraId="5D55D267">
      <w:pPr>
        <w:autoSpaceDE w:val="0"/>
        <w:autoSpaceDN w:val="0"/>
        <w:adjustRightInd w:val="0"/>
        <w:snapToGrid w:val="0"/>
        <w:spacing w:line="300" w:lineRule="auto"/>
        <w:ind w:firstLine="539"/>
        <w:rPr>
          <w:rFonts w:ascii="宋体" w:cs="楷体_GB2312"/>
          <w:color w:val="auto"/>
          <w:sz w:val="24"/>
          <w:highlight w:val="none"/>
          <w:lang w:val="zh-CN"/>
        </w:rPr>
      </w:pPr>
      <w:r>
        <w:rPr>
          <w:rFonts w:hint="eastAsia" w:ascii="宋体" w:hAnsi="宋体" w:cs="楷体_GB2312"/>
          <w:color w:val="auto"/>
          <w:sz w:val="24"/>
          <w:highlight w:val="none"/>
          <w:lang w:val="zh-CN"/>
        </w:rPr>
        <w:t>（</w:t>
      </w:r>
      <w:r>
        <w:rPr>
          <w:rFonts w:ascii="宋体" w:hAnsi="宋体" w:cs="楷体_GB2312"/>
          <w:color w:val="auto"/>
          <w:sz w:val="24"/>
          <w:highlight w:val="none"/>
          <w:lang w:val="zh-CN"/>
        </w:rPr>
        <w:t>6</w:t>
      </w:r>
      <w:r>
        <w:rPr>
          <w:rFonts w:hint="eastAsia" w:ascii="宋体" w:hAnsi="宋体" w:cs="楷体_GB2312"/>
          <w:color w:val="auto"/>
          <w:sz w:val="24"/>
          <w:highlight w:val="none"/>
          <w:lang w:val="zh-CN"/>
        </w:rPr>
        <w:t>）投标文件格式</w:t>
      </w:r>
    </w:p>
    <w:p w14:paraId="7E7CF466">
      <w:pPr>
        <w:autoSpaceDE w:val="0"/>
        <w:autoSpaceDN w:val="0"/>
        <w:adjustRightInd w:val="0"/>
        <w:snapToGrid w:val="0"/>
        <w:spacing w:before="156"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 xml:space="preserve">2.1.2 </w:t>
      </w:r>
      <w:r>
        <w:rPr>
          <w:rFonts w:hint="eastAsia" w:ascii="宋体" w:hAnsi="宋体" w:cs="楷体_GB2312"/>
          <w:color w:val="auto"/>
          <w:sz w:val="24"/>
          <w:highlight w:val="none"/>
          <w:lang w:val="zh-CN"/>
        </w:rPr>
        <w:t>根据本章第</w:t>
      </w:r>
      <w:r>
        <w:rPr>
          <w:rFonts w:ascii="宋体" w:hAnsi="宋体" w:cs="楷体_GB2312"/>
          <w:color w:val="auto"/>
          <w:sz w:val="24"/>
          <w:highlight w:val="none"/>
          <w:lang w:val="zh-CN"/>
        </w:rPr>
        <w:t>1.1</w:t>
      </w:r>
      <w:r>
        <w:rPr>
          <w:rFonts w:hint="eastAsia" w:ascii="宋体" w:hAnsi="宋体" w:cs="楷体_GB2312"/>
          <w:color w:val="auto"/>
          <w:sz w:val="24"/>
          <w:highlight w:val="none"/>
          <w:lang w:val="zh-CN"/>
        </w:rPr>
        <w:t>1款、第</w:t>
      </w:r>
      <w:r>
        <w:rPr>
          <w:rFonts w:ascii="宋体" w:hAnsi="宋体" w:cs="楷体_GB2312"/>
          <w:color w:val="auto"/>
          <w:sz w:val="24"/>
          <w:highlight w:val="none"/>
          <w:lang w:val="zh-CN"/>
        </w:rPr>
        <w:t>2.2</w:t>
      </w:r>
      <w:r>
        <w:rPr>
          <w:rFonts w:hint="eastAsia" w:ascii="宋体" w:hAnsi="宋体" w:cs="楷体_GB2312"/>
          <w:color w:val="auto"/>
          <w:sz w:val="24"/>
          <w:highlight w:val="none"/>
          <w:lang w:val="zh-CN"/>
        </w:rPr>
        <w:t>款和第</w:t>
      </w:r>
      <w:r>
        <w:rPr>
          <w:rFonts w:ascii="宋体" w:hAnsi="宋体" w:cs="楷体_GB2312"/>
          <w:color w:val="auto"/>
          <w:sz w:val="24"/>
          <w:highlight w:val="none"/>
          <w:lang w:val="zh-CN"/>
        </w:rPr>
        <w:t>2.3</w:t>
      </w:r>
      <w:r>
        <w:rPr>
          <w:rFonts w:hint="eastAsia" w:ascii="宋体" w:hAnsi="宋体" w:cs="楷体_GB2312"/>
          <w:color w:val="auto"/>
          <w:sz w:val="24"/>
          <w:highlight w:val="none"/>
          <w:lang w:val="zh-CN"/>
        </w:rPr>
        <w:t>款、对谈判文件的澄清、修改、补充书构成谈判文件的组成部分，并取代谈判文件中被澄清、修改处，对所有投标人均有约束力。</w:t>
      </w:r>
    </w:p>
    <w:p w14:paraId="237AC55E">
      <w:pPr>
        <w:autoSpaceDE w:val="0"/>
        <w:autoSpaceDN w:val="0"/>
        <w:adjustRightInd w:val="0"/>
        <w:snapToGrid w:val="0"/>
        <w:spacing w:before="156"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 xml:space="preserve">2.1.3 </w:t>
      </w:r>
      <w:r>
        <w:rPr>
          <w:rFonts w:hint="eastAsia" w:ascii="宋体" w:hAnsi="宋体" w:cs="楷体_GB2312"/>
          <w:color w:val="auto"/>
          <w:sz w:val="24"/>
          <w:highlight w:val="none"/>
          <w:lang w:val="zh-CN"/>
        </w:rPr>
        <w:t>当谈判文件、谈判文件的澄清、修改、补充等在同一内容的表述上不一致时，以最后发出（发布）的文件为准。</w:t>
      </w:r>
    </w:p>
    <w:p w14:paraId="12CBFCE1">
      <w:pPr>
        <w:autoSpaceDE w:val="0"/>
        <w:autoSpaceDN w:val="0"/>
        <w:adjustRightInd w:val="0"/>
        <w:snapToGrid w:val="0"/>
        <w:spacing w:before="156"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 xml:space="preserve">2.1.4 </w:t>
      </w:r>
      <w:r>
        <w:rPr>
          <w:rFonts w:hint="eastAsia" w:ascii="宋体" w:hAnsi="宋体" w:cs="楷体_GB2312"/>
          <w:color w:val="auto"/>
          <w:sz w:val="24"/>
          <w:highlight w:val="none"/>
          <w:lang w:val="zh-CN"/>
        </w:rPr>
        <w:t>投标人与任何人的口头协议不影响《谈判文件》的任何条款和内容。</w:t>
      </w:r>
    </w:p>
    <w:p w14:paraId="5980FCB0">
      <w:pPr>
        <w:autoSpaceDE w:val="0"/>
        <w:autoSpaceDN w:val="0"/>
        <w:adjustRightInd w:val="0"/>
        <w:snapToGrid w:val="0"/>
        <w:spacing w:before="156" w:beforeLines="50" w:line="300" w:lineRule="auto"/>
        <w:ind w:firstLine="539"/>
        <w:rPr>
          <w:rFonts w:ascii="宋体" w:cs="楷体_GB2312"/>
          <w:color w:val="auto"/>
          <w:sz w:val="24"/>
          <w:highlight w:val="none"/>
        </w:rPr>
      </w:pPr>
      <w:r>
        <w:rPr>
          <w:rFonts w:ascii="宋体" w:hAnsi="宋体" w:cs="楷体_GB2312"/>
          <w:color w:val="auto"/>
          <w:sz w:val="24"/>
          <w:highlight w:val="none"/>
        </w:rPr>
        <w:t xml:space="preserve">2.1.5 </w:t>
      </w:r>
      <w:r>
        <w:rPr>
          <w:rFonts w:hint="eastAsia" w:ascii="宋体" w:hAnsi="宋体" w:cs="楷体_GB2312"/>
          <w:color w:val="auto"/>
          <w:sz w:val="24"/>
          <w:highlight w:val="none"/>
        </w:rPr>
        <w:t>投标人应仔细阅读和检查谈判文件的全部内容是否齐全，如发现缺页或附件不全等遗漏，应及时向采购代理机构提出并索取补齐，否则责任及风险自负。</w:t>
      </w:r>
    </w:p>
    <w:p w14:paraId="7A7A2852">
      <w:pPr>
        <w:autoSpaceDE w:val="0"/>
        <w:autoSpaceDN w:val="0"/>
        <w:adjustRightInd w:val="0"/>
        <w:snapToGrid w:val="0"/>
        <w:spacing w:before="156" w:beforeLines="50" w:line="300" w:lineRule="auto"/>
        <w:ind w:firstLine="539"/>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 xml:space="preserve">2.2 </w:t>
      </w:r>
      <w:r>
        <w:rPr>
          <w:rFonts w:hint="eastAsia" w:ascii="黑体" w:hAnsi="黑体" w:eastAsia="黑体" w:cs="楷体_GB2312"/>
          <w:b/>
          <w:color w:val="auto"/>
          <w:sz w:val="24"/>
          <w:highlight w:val="none"/>
          <w:lang w:val="zh-CN"/>
        </w:rPr>
        <w:t>谈判文件的澄清</w:t>
      </w:r>
    </w:p>
    <w:p w14:paraId="77CB33B6">
      <w:pPr>
        <w:autoSpaceDE w:val="0"/>
        <w:autoSpaceDN w:val="0"/>
        <w:adjustRightInd w:val="0"/>
        <w:snapToGrid w:val="0"/>
        <w:spacing w:before="156"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 xml:space="preserve">2.2.1 </w:t>
      </w:r>
      <w:r>
        <w:rPr>
          <w:rFonts w:hint="eastAsia" w:ascii="宋体" w:hAnsi="宋体" w:cs="楷体_GB2312"/>
          <w:color w:val="auto"/>
          <w:sz w:val="24"/>
          <w:highlight w:val="none"/>
          <w:lang w:val="zh-CN"/>
        </w:rPr>
        <w:t>合规获取谈判文件的所有潜在投标人对谈判文件如有需澄清的疑问，应在投标人须知前附表规定的时间内按谈判公告中载明的地址以纸质书面形式通知到采购代理机构。在规定的时间内未提出疑问的，将视为对谈判文件的完全认可。</w:t>
      </w:r>
    </w:p>
    <w:p w14:paraId="735477F4">
      <w:pPr>
        <w:autoSpaceDE w:val="0"/>
        <w:autoSpaceDN w:val="0"/>
        <w:adjustRightInd w:val="0"/>
        <w:snapToGrid w:val="0"/>
        <w:spacing w:before="156"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 xml:space="preserve">2.2.2 </w:t>
      </w:r>
      <w:r>
        <w:rPr>
          <w:rFonts w:hint="eastAsia" w:ascii="宋体" w:hAnsi="宋体" w:cs="楷体_GB2312"/>
          <w:color w:val="auto"/>
          <w:sz w:val="24"/>
          <w:highlight w:val="none"/>
          <w:lang w:val="zh-CN"/>
        </w:rPr>
        <w:t>采购代理机构对潜在投标人在规定的时间内提出的疑问，将视情况以书面形式予以答复，并在其认为必要时，将不标明查询来源的书面答复，在“谈判公告”所述媒体通告所有潜在投标人。</w:t>
      </w:r>
    </w:p>
    <w:p w14:paraId="0E6D87F0">
      <w:pPr>
        <w:autoSpaceDE w:val="0"/>
        <w:autoSpaceDN w:val="0"/>
        <w:adjustRightInd w:val="0"/>
        <w:snapToGrid w:val="0"/>
        <w:spacing w:before="156"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 xml:space="preserve">2.2.3 </w:t>
      </w:r>
      <w:r>
        <w:rPr>
          <w:rFonts w:hint="eastAsia" w:ascii="宋体" w:hAnsi="宋体" w:cs="楷体_GB2312"/>
          <w:color w:val="auto"/>
          <w:sz w:val="24"/>
          <w:highlight w:val="none"/>
          <w:lang w:val="zh-CN"/>
        </w:rPr>
        <w:t>谈判文件中如有不符合国家有关强制性规定、不符合国家标准及行业标准的，投标人应在投标阶段或成交实施阶段予以纠正或尽提醒义务。如作为有经验的投标人（成交供应商）应当知道而未尽提醒义务的，执行指令而造成的损失及风险由投标人（成交供应商）承担。</w:t>
      </w:r>
    </w:p>
    <w:p w14:paraId="5C4FBCE4">
      <w:pPr>
        <w:adjustRightInd w:val="0"/>
        <w:snapToGrid w:val="0"/>
        <w:spacing w:before="156" w:beforeLines="50" w:line="300" w:lineRule="auto"/>
        <w:ind w:firstLine="480" w:firstLineChars="200"/>
        <w:jc w:val="left"/>
        <w:rPr>
          <w:rFonts w:ascii="宋体" w:hAnsi="宋体" w:cs="楷体_GB2312"/>
          <w:color w:val="auto"/>
          <w:sz w:val="24"/>
          <w:highlight w:val="none"/>
          <w:lang w:val="zh-CN"/>
        </w:rPr>
      </w:pPr>
      <w:r>
        <w:rPr>
          <w:rFonts w:ascii="宋体" w:hAnsi="宋体" w:cs="楷体_GB2312"/>
          <w:color w:val="auto"/>
          <w:sz w:val="24"/>
          <w:highlight w:val="none"/>
          <w:lang w:val="zh-CN"/>
        </w:rPr>
        <w:t>2.2.4</w:t>
      </w:r>
      <w:r>
        <w:rPr>
          <w:rFonts w:hint="eastAsia" w:ascii="宋体" w:hAnsi="宋体" w:cs="楷体_GB2312"/>
          <w:color w:val="auto"/>
          <w:sz w:val="24"/>
          <w:highlight w:val="none"/>
          <w:lang w:val="zh-CN"/>
        </w:rPr>
        <w:t>采购代理机构可视情况在投标截止前答疑。</w:t>
      </w:r>
    </w:p>
    <w:p w14:paraId="2CA1C866">
      <w:pPr>
        <w:autoSpaceDE w:val="0"/>
        <w:autoSpaceDN w:val="0"/>
        <w:adjustRightInd w:val="0"/>
        <w:snapToGrid w:val="0"/>
        <w:spacing w:before="156" w:beforeLines="50" w:line="300" w:lineRule="auto"/>
        <w:ind w:firstLine="539"/>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 xml:space="preserve">2.3 </w:t>
      </w:r>
      <w:r>
        <w:rPr>
          <w:rFonts w:hint="eastAsia" w:ascii="黑体" w:hAnsi="黑体" w:eastAsia="黑体" w:cs="楷体_GB2312"/>
          <w:b/>
          <w:color w:val="auto"/>
          <w:sz w:val="24"/>
          <w:highlight w:val="none"/>
          <w:lang w:val="zh-CN"/>
        </w:rPr>
        <w:t>谈判文件的澄清、修改、补充</w:t>
      </w:r>
    </w:p>
    <w:p w14:paraId="2EE21ED6">
      <w:pPr>
        <w:autoSpaceDE w:val="0"/>
        <w:autoSpaceDN w:val="0"/>
        <w:adjustRightInd w:val="0"/>
        <w:snapToGrid w:val="0"/>
        <w:spacing w:before="156"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 xml:space="preserve">2.3.1 </w:t>
      </w:r>
      <w:r>
        <w:rPr>
          <w:rFonts w:hint="eastAsia" w:ascii="宋体" w:hAnsi="宋体" w:cs="楷体_GB2312"/>
          <w:color w:val="auto"/>
          <w:sz w:val="24"/>
          <w:highlight w:val="none"/>
          <w:lang w:val="zh-CN"/>
        </w:rPr>
        <w:t>采购人、代理机构在投标截止时间前有权澄清修改、补充已发售的谈判文件。</w:t>
      </w:r>
    </w:p>
    <w:p w14:paraId="2FA44A38">
      <w:pPr>
        <w:autoSpaceDE w:val="0"/>
        <w:autoSpaceDN w:val="0"/>
        <w:adjustRightInd w:val="0"/>
        <w:snapToGrid w:val="0"/>
        <w:spacing w:before="156" w:beforeLines="50" w:line="300" w:lineRule="auto"/>
        <w:ind w:firstLine="539"/>
        <w:rPr>
          <w:rFonts w:ascii="宋体" w:hAnsi="宋体"/>
          <w:color w:val="auto"/>
          <w:sz w:val="24"/>
          <w:highlight w:val="none"/>
        </w:rPr>
      </w:pPr>
      <w:r>
        <w:rPr>
          <w:rFonts w:ascii="宋体" w:hAnsi="宋体" w:cs="楷体_GB2312"/>
          <w:color w:val="auto"/>
          <w:sz w:val="24"/>
          <w:highlight w:val="none"/>
          <w:lang w:val="zh-CN"/>
        </w:rPr>
        <w:t>2.3.</w:t>
      </w:r>
      <w:r>
        <w:rPr>
          <w:rFonts w:ascii="宋体" w:hAnsi="宋体"/>
          <w:color w:val="auto"/>
          <w:sz w:val="24"/>
          <w:highlight w:val="none"/>
        </w:rPr>
        <w:t xml:space="preserve">2 </w:t>
      </w:r>
      <w:r>
        <w:rPr>
          <w:rFonts w:hint="eastAsia" w:ascii="宋体" w:hAnsi="宋体"/>
          <w:color w:val="auto"/>
          <w:sz w:val="24"/>
          <w:highlight w:val="none"/>
        </w:rPr>
        <w:t>谈判过程中对谈判文件的变动见第四章评审办法</w:t>
      </w:r>
      <w:r>
        <w:rPr>
          <w:rFonts w:ascii="宋体" w:hAnsi="宋体"/>
          <w:color w:val="auto"/>
          <w:sz w:val="24"/>
          <w:highlight w:val="none"/>
        </w:rPr>
        <w:t>3.5</w:t>
      </w:r>
      <w:r>
        <w:rPr>
          <w:rFonts w:hint="eastAsia" w:ascii="宋体" w:hAnsi="宋体"/>
          <w:color w:val="auto"/>
          <w:sz w:val="24"/>
          <w:highlight w:val="none"/>
        </w:rPr>
        <w:t>款谈判规则。</w:t>
      </w:r>
    </w:p>
    <w:p w14:paraId="58A0F719">
      <w:pPr>
        <w:autoSpaceDE w:val="0"/>
        <w:autoSpaceDN w:val="0"/>
        <w:adjustRightInd w:val="0"/>
        <w:snapToGrid w:val="0"/>
        <w:spacing w:before="156" w:beforeLines="50" w:line="300" w:lineRule="auto"/>
        <w:ind w:firstLine="539"/>
        <w:rPr>
          <w:rFonts w:ascii="宋体" w:cs="楷体_GB2312"/>
          <w:color w:val="auto"/>
          <w:sz w:val="24"/>
          <w:highlight w:val="none"/>
          <w:lang w:val="zh-CN"/>
        </w:rPr>
      </w:pPr>
      <w:r>
        <w:rPr>
          <w:rFonts w:ascii="黑体" w:hAnsi="黑体" w:eastAsia="黑体" w:cs="楷体_GB2312"/>
          <w:b/>
          <w:color w:val="auto"/>
          <w:sz w:val="24"/>
          <w:highlight w:val="none"/>
          <w:lang w:val="zh-CN"/>
        </w:rPr>
        <w:t xml:space="preserve">2.4 </w:t>
      </w:r>
      <w:r>
        <w:rPr>
          <w:rFonts w:hint="eastAsia" w:ascii="黑体" w:hAnsi="黑体" w:eastAsia="黑体" w:cs="楷体_GB2312"/>
          <w:b/>
          <w:color w:val="auto"/>
          <w:sz w:val="24"/>
          <w:highlight w:val="none"/>
          <w:lang w:val="zh-CN"/>
        </w:rPr>
        <w:t>谈判文件的澄清、修改、补充的</w:t>
      </w:r>
      <w:r>
        <w:rPr>
          <w:rFonts w:ascii="黑体" w:hAnsi="黑体" w:eastAsia="黑体" w:cs="楷体_GB2312"/>
          <w:b/>
          <w:color w:val="auto"/>
          <w:sz w:val="24"/>
          <w:highlight w:val="none"/>
          <w:lang w:val="zh-CN"/>
        </w:rPr>
        <w:t>通知</w:t>
      </w:r>
      <w:r>
        <w:rPr>
          <w:rFonts w:hint="eastAsia" w:ascii="黑体" w:hAnsi="黑体" w:eastAsia="黑体" w:cs="楷体_GB2312"/>
          <w:b/>
          <w:color w:val="auto"/>
          <w:sz w:val="24"/>
          <w:highlight w:val="none"/>
          <w:lang w:val="zh-CN"/>
        </w:rPr>
        <w:t>，及</w:t>
      </w:r>
      <w:r>
        <w:rPr>
          <w:rFonts w:ascii="黑体" w:hAnsi="黑体" w:eastAsia="黑体" w:cs="楷体_GB2312"/>
          <w:b/>
          <w:color w:val="auto"/>
          <w:sz w:val="24"/>
          <w:highlight w:val="none"/>
          <w:lang w:val="zh-CN"/>
        </w:rPr>
        <w:t>相应</w:t>
      </w:r>
      <w:r>
        <w:rPr>
          <w:rFonts w:hint="eastAsia" w:ascii="黑体" w:hAnsi="黑体" w:eastAsia="黑体" w:cs="楷体_GB2312"/>
          <w:b/>
          <w:color w:val="auto"/>
          <w:sz w:val="24"/>
          <w:highlight w:val="none"/>
          <w:lang w:val="zh-CN"/>
        </w:rPr>
        <w:t>时间变更</w:t>
      </w:r>
    </w:p>
    <w:p w14:paraId="1CE69E33">
      <w:pPr>
        <w:autoSpaceDE w:val="0"/>
        <w:autoSpaceDN w:val="0"/>
        <w:adjustRightInd w:val="0"/>
        <w:snapToGrid w:val="0"/>
        <w:spacing w:before="156" w:beforeLines="50" w:line="300" w:lineRule="auto"/>
        <w:ind w:firstLine="539"/>
        <w:rPr>
          <w:rFonts w:ascii="宋体" w:hAnsi="宋体" w:cs="楷体_GB2312"/>
          <w:b/>
          <w:color w:val="auto"/>
          <w:sz w:val="24"/>
          <w:highlight w:val="none"/>
          <w:lang w:val="zh-CN"/>
        </w:rPr>
      </w:pPr>
      <w:r>
        <w:rPr>
          <w:rFonts w:ascii="宋体" w:hAnsi="宋体" w:cs="楷体_GB2312"/>
          <w:color w:val="auto"/>
          <w:sz w:val="24"/>
          <w:highlight w:val="none"/>
          <w:lang w:val="zh-CN"/>
        </w:rPr>
        <w:t xml:space="preserve">2.4.1 </w:t>
      </w:r>
      <w:r>
        <w:rPr>
          <w:rFonts w:hint="eastAsia" w:ascii="宋体" w:hAnsi="宋体" w:cs="楷体_GB2312"/>
          <w:color w:val="auto"/>
          <w:sz w:val="24"/>
          <w:highlight w:val="none"/>
          <w:lang w:val="zh-CN"/>
        </w:rPr>
        <w:t>谈判文件在投标截止时间前的所有澄清、修改（包括时间变更等）、补充事项，均在“谈判公告”所述媒体予以公告。</w:t>
      </w:r>
      <w:r>
        <w:rPr>
          <w:rFonts w:hint="eastAsia" w:ascii="宋体" w:hAnsi="宋体" w:cs="楷体_GB2312"/>
          <w:b/>
          <w:color w:val="auto"/>
          <w:sz w:val="24"/>
          <w:highlight w:val="none"/>
          <w:lang w:val="zh-CN"/>
        </w:rPr>
        <w:t>澄清或修改公告一经在</w:t>
      </w:r>
      <w:r>
        <w:rPr>
          <w:rFonts w:ascii="宋体" w:hAnsi="宋体" w:cs="楷体_GB2312"/>
          <w:b/>
          <w:color w:val="auto"/>
          <w:sz w:val="24"/>
          <w:highlight w:val="none"/>
          <w:lang w:val="zh-CN"/>
        </w:rPr>
        <w:t>法定网</w:t>
      </w:r>
      <w:r>
        <w:rPr>
          <w:rFonts w:hint="eastAsia" w:ascii="宋体" w:hAnsi="宋体" w:cs="楷体_GB2312"/>
          <w:b/>
          <w:color w:val="auto"/>
          <w:sz w:val="24"/>
          <w:highlight w:val="none"/>
          <w:lang w:val="zh-CN"/>
        </w:rPr>
        <w:t>站以</w:t>
      </w:r>
      <w:r>
        <w:rPr>
          <w:rFonts w:ascii="宋体" w:hAnsi="宋体" w:cs="楷体_GB2312"/>
          <w:b/>
          <w:color w:val="auto"/>
          <w:sz w:val="24"/>
          <w:highlight w:val="none"/>
          <w:lang w:val="zh-CN"/>
        </w:rPr>
        <w:t>公</w:t>
      </w:r>
      <w:r>
        <w:rPr>
          <w:rFonts w:hint="eastAsia" w:ascii="宋体" w:hAnsi="宋体" w:cs="楷体_GB2312"/>
          <w:b/>
          <w:color w:val="auto"/>
          <w:sz w:val="24"/>
          <w:highlight w:val="none"/>
          <w:lang w:val="zh-CN"/>
        </w:rPr>
        <w:t>告</w:t>
      </w:r>
      <w:r>
        <w:rPr>
          <w:rFonts w:ascii="宋体" w:hAnsi="宋体" w:cs="楷体_GB2312"/>
          <w:b/>
          <w:color w:val="auto"/>
          <w:sz w:val="24"/>
          <w:highlight w:val="none"/>
          <w:lang w:val="zh-CN"/>
        </w:rPr>
        <w:t>形式</w:t>
      </w:r>
      <w:r>
        <w:rPr>
          <w:rFonts w:hint="eastAsia" w:ascii="宋体" w:hAnsi="宋体" w:cs="楷体_GB2312"/>
          <w:b/>
          <w:color w:val="auto"/>
          <w:sz w:val="24"/>
          <w:highlight w:val="none"/>
          <w:lang w:val="zh-CN"/>
        </w:rPr>
        <w:t>发布，依法视为书面通知，不再另行通知。</w:t>
      </w:r>
    </w:p>
    <w:p w14:paraId="38ADC15C">
      <w:pPr>
        <w:autoSpaceDE w:val="0"/>
        <w:autoSpaceDN w:val="0"/>
        <w:adjustRightInd w:val="0"/>
        <w:snapToGrid w:val="0"/>
        <w:spacing w:before="156" w:beforeLines="50" w:line="300" w:lineRule="auto"/>
        <w:ind w:firstLine="539"/>
        <w:rPr>
          <w:rFonts w:ascii="宋体" w:hAnsi="宋体" w:cs="楷体_GB2312"/>
          <w:b/>
          <w:color w:val="auto"/>
          <w:sz w:val="24"/>
          <w:highlight w:val="none"/>
          <w:lang w:val="zh-CN"/>
        </w:rPr>
      </w:pPr>
      <w:r>
        <w:rPr>
          <w:rFonts w:hint="eastAsia" w:ascii="宋体" w:hAnsi="宋体" w:cs="楷体_GB2312"/>
          <w:b/>
          <w:color w:val="auto"/>
          <w:sz w:val="24"/>
          <w:highlight w:val="none"/>
          <w:lang w:val="zh-CN"/>
        </w:rPr>
        <w:t>基于网</w:t>
      </w:r>
      <w:r>
        <w:rPr>
          <w:rFonts w:ascii="宋体" w:hAnsi="宋体" w:cs="楷体_GB2312"/>
          <w:b/>
          <w:color w:val="auto"/>
          <w:sz w:val="24"/>
          <w:highlight w:val="none"/>
          <w:lang w:val="zh-CN"/>
        </w:rPr>
        <w:t>上</w:t>
      </w:r>
      <w:r>
        <w:rPr>
          <w:rFonts w:hint="eastAsia" w:ascii="宋体" w:hAnsi="宋体" w:cs="楷体_GB2312"/>
          <w:b/>
          <w:color w:val="auto"/>
          <w:sz w:val="24"/>
          <w:highlight w:val="none"/>
          <w:lang w:val="zh-CN"/>
        </w:rPr>
        <w:t>电</w:t>
      </w:r>
      <w:r>
        <w:rPr>
          <w:rFonts w:ascii="宋体" w:hAnsi="宋体" w:cs="楷体_GB2312"/>
          <w:b/>
          <w:color w:val="auto"/>
          <w:sz w:val="24"/>
          <w:highlight w:val="none"/>
          <w:lang w:val="zh-CN"/>
        </w:rPr>
        <w:t>子</w:t>
      </w:r>
      <w:r>
        <w:rPr>
          <w:rFonts w:hint="eastAsia" w:ascii="宋体" w:hAnsi="宋体" w:cs="楷体_GB2312"/>
          <w:b/>
          <w:color w:val="auto"/>
          <w:sz w:val="24"/>
          <w:highlight w:val="none"/>
          <w:lang w:val="zh-CN"/>
        </w:rPr>
        <w:t>交易</w:t>
      </w:r>
      <w:r>
        <w:rPr>
          <w:rFonts w:ascii="宋体" w:hAnsi="宋体" w:cs="楷体_GB2312"/>
          <w:b/>
          <w:color w:val="auto"/>
          <w:sz w:val="24"/>
          <w:highlight w:val="none"/>
          <w:lang w:val="zh-CN"/>
        </w:rPr>
        <w:t>的特点—</w:t>
      </w:r>
      <w:r>
        <w:rPr>
          <w:rFonts w:ascii="宋体" w:cs="楷体_GB2312"/>
          <w:b/>
          <w:color w:val="auto"/>
          <w:sz w:val="24"/>
          <w:highlight w:val="none"/>
          <w:lang w:val="zh-CN"/>
        </w:rPr>
        <w:t>-</w:t>
      </w:r>
      <w:r>
        <w:rPr>
          <w:rFonts w:hint="eastAsia" w:ascii="宋体" w:hAnsi="宋体" w:cs="楷体_GB2312"/>
          <w:b/>
          <w:color w:val="auto"/>
          <w:sz w:val="24"/>
          <w:highlight w:val="none"/>
          <w:lang w:val="zh-CN"/>
        </w:rPr>
        <w:t>无权限获知或通知潜在投标人，潜在投标人应随时关注“谈判公告”所</w:t>
      </w:r>
      <w:r>
        <w:rPr>
          <w:rFonts w:ascii="宋体" w:hAnsi="宋体" w:cs="楷体_GB2312"/>
          <w:b/>
          <w:color w:val="auto"/>
          <w:sz w:val="24"/>
          <w:highlight w:val="none"/>
          <w:lang w:val="zh-CN"/>
        </w:rPr>
        <w:t>述媒体</w:t>
      </w:r>
      <w:r>
        <w:rPr>
          <w:rFonts w:hint="eastAsia" w:ascii="宋体" w:hAnsi="宋体" w:cs="楷体_GB2312"/>
          <w:b/>
          <w:color w:val="auto"/>
          <w:sz w:val="24"/>
          <w:highlight w:val="none"/>
          <w:lang w:val="zh-CN"/>
        </w:rPr>
        <w:t>相关项目信息（为免各部门网站出现维护等情况，潜在投标人应对“谈判公告”所述媒体逐一查阅），如有遗漏，后果自负。</w:t>
      </w:r>
    </w:p>
    <w:p w14:paraId="6FD97A18">
      <w:pPr>
        <w:autoSpaceDE w:val="0"/>
        <w:autoSpaceDN w:val="0"/>
        <w:adjustRightInd w:val="0"/>
        <w:snapToGrid w:val="0"/>
        <w:spacing w:before="156" w:beforeLines="50" w:line="300" w:lineRule="auto"/>
        <w:ind w:firstLine="539"/>
        <w:rPr>
          <w:rFonts w:ascii="宋体" w:cs="楷体_GB2312"/>
          <w:color w:val="auto"/>
          <w:sz w:val="24"/>
          <w:highlight w:val="none"/>
          <w:lang w:val="zh-CN"/>
        </w:rPr>
      </w:pPr>
      <w:r>
        <w:rPr>
          <w:rFonts w:hint="eastAsia" w:ascii="宋体" w:cs="楷体_GB2312"/>
          <w:color w:val="auto"/>
          <w:sz w:val="24"/>
          <w:highlight w:val="none"/>
          <w:lang w:val="zh-CN"/>
        </w:rPr>
        <w:t>2.</w:t>
      </w:r>
      <w:r>
        <w:rPr>
          <w:rFonts w:ascii="宋体" w:cs="楷体_GB2312"/>
          <w:color w:val="auto"/>
          <w:sz w:val="24"/>
          <w:highlight w:val="none"/>
          <w:lang w:val="zh-CN"/>
        </w:rPr>
        <w:t>4</w:t>
      </w:r>
      <w:r>
        <w:rPr>
          <w:rFonts w:hint="eastAsia" w:ascii="宋体" w:cs="楷体_GB2312"/>
          <w:color w:val="auto"/>
          <w:sz w:val="24"/>
          <w:highlight w:val="none"/>
          <w:lang w:val="zh-CN"/>
        </w:rPr>
        <w:t>.2</w:t>
      </w:r>
      <w:r>
        <w:rPr>
          <w:rFonts w:ascii="宋体" w:cs="楷体_GB2312"/>
          <w:color w:val="auto"/>
          <w:sz w:val="24"/>
          <w:highlight w:val="none"/>
          <w:lang w:val="zh-CN"/>
        </w:rPr>
        <w:t xml:space="preserve"> </w:t>
      </w:r>
      <w:r>
        <w:rPr>
          <w:rFonts w:hint="eastAsia" w:ascii="宋体" w:cs="楷体_GB2312"/>
          <w:color w:val="auto"/>
          <w:sz w:val="24"/>
          <w:highlight w:val="none"/>
          <w:lang w:val="zh-CN"/>
        </w:rPr>
        <w:t>谈判文件的澄清、修改、补充书构成谈判文件的组成部分，并取代谈判文件中被澄清、修改处，对所有投标人均有约束力。</w:t>
      </w:r>
    </w:p>
    <w:p w14:paraId="6F2E8680">
      <w:pPr>
        <w:autoSpaceDE w:val="0"/>
        <w:autoSpaceDN w:val="0"/>
        <w:adjustRightInd w:val="0"/>
        <w:snapToGrid w:val="0"/>
        <w:spacing w:before="156"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 xml:space="preserve">2.4.3 </w:t>
      </w:r>
      <w:r>
        <w:rPr>
          <w:rFonts w:hint="eastAsia" w:ascii="宋体" w:hAnsi="宋体" w:cs="楷体_GB2312"/>
          <w:color w:val="auto"/>
          <w:sz w:val="24"/>
          <w:highlight w:val="none"/>
          <w:lang w:val="zh-CN"/>
        </w:rPr>
        <w:t>如果投标截止时间前的澄清修改补充发出的时间不满足投标人须知前附表规定时间，并且澄清修改补充内容影响投标文件编制的，代理机构可视采购具体情况延长投标截止时间和开标时间，并将在“谈判公告”所述媒体予以公告。</w:t>
      </w:r>
    </w:p>
    <w:p w14:paraId="368C1D3B">
      <w:pPr>
        <w:autoSpaceDE w:val="0"/>
        <w:autoSpaceDN w:val="0"/>
        <w:adjustRightInd w:val="0"/>
        <w:snapToGrid w:val="0"/>
        <w:spacing w:before="156" w:beforeLines="50" w:line="300" w:lineRule="auto"/>
        <w:ind w:firstLine="539"/>
        <w:rPr>
          <w:rFonts w:ascii="宋体" w:cs="楷体_GB2312"/>
          <w:color w:val="auto"/>
          <w:sz w:val="24"/>
          <w:highlight w:val="none"/>
        </w:rPr>
      </w:pPr>
    </w:p>
    <w:p w14:paraId="2107329F">
      <w:pPr>
        <w:autoSpaceDE w:val="0"/>
        <w:autoSpaceDN w:val="0"/>
        <w:adjustRightInd w:val="0"/>
        <w:snapToGrid w:val="0"/>
        <w:spacing w:before="156" w:beforeLines="50" w:line="300" w:lineRule="auto"/>
        <w:ind w:firstLine="539"/>
        <w:outlineLvl w:val="1"/>
        <w:rPr>
          <w:rFonts w:ascii="黑体" w:hAnsi="黑体" w:eastAsia="黑体" w:cs="楷体_GB2312"/>
          <w:b/>
          <w:bCs/>
          <w:color w:val="auto"/>
          <w:sz w:val="28"/>
          <w:szCs w:val="28"/>
          <w:highlight w:val="none"/>
          <w:lang w:val="zh-CN"/>
        </w:rPr>
      </w:pPr>
      <w:bookmarkStart w:id="25" w:name="_Toc1029"/>
      <w:r>
        <w:rPr>
          <w:rFonts w:ascii="黑体" w:hAnsi="黑体" w:eastAsia="黑体" w:cs="楷体_GB2312"/>
          <w:b/>
          <w:bCs/>
          <w:color w:val="auto"/>
          <w:sz w:val="28"/>
          <w:szCs w:val="28"/>
          <w:highlight w:val="none"/>
          <w:lang w:val="zh-CN"/>
        </w:rPr>
        <w:t xml:space="preserve">3. </w:t>
      </w:r>
      <w:r>
        <w:rPr>
          <w:rFonts w:hint="eastAsia" w:ascii="黑体" w:hAnsi="黑体" w:eastAsia="黑体" w:cs="楷体_GB2312"/>
          <w:b/>
          <w:bCs/>
          <w:color w:val="auto"/>
          <w:sz w:val="28"/>
          <w:szCs w:val="28"/>
          <w:highlight w:val="none"/>
          <w:lang w:val="zh-CN"/>
        </w:rPr>
        <w:t>投标文件（响应文件）</w:t>
      </w:r>
      <w:bookmarkEnd w:id="25"/>
    </w:p>
    <w:p w14:paraId="617C08EE">
      <w:pPr>
        <w:autoSpaceDE w:val="0"/>
        <w:autoSpaceDN w:val="0"/>
        <w:adjustRightInd w:val="0"/>
        <w:snapToGrid w:val="0"/>
        <w:spacing w:before="156" w:beforeLines="50" w:line="300" w:lineRule="auto"/>
        <w:ind w:firstLine="539"/>
        <w:rPr>
          <w:rFonts w:ascii="宋体" w:cs="楷体_GB2312"/>
          <w:color w:val="auto"/>
          <w:sz w:val="24"/>
          <w:highlight w:val="none"/>
          <w:lang w:val="zh-CN"/>
        </w:rPr>
      </w:pPr>
      <w:r>
        <w:rPr>
          <w:rFonts w:ascii="黑体" w:hAnsi="黑体" w:eastAsia="黑体" w:cs="楷体_GB2312"/>
          <w:b/>
          <w:color w:val="auto"/>
          <w:sz w:val="24"/>
          <w:highlight w:val="none"/>
          <w:lang w:val="zh-CN"/>
        </w:rPr>
        <w:t>3.1</w:t>
      </w:r>
      <w:r>
        <w:rPr>
          <w:rFonts w:hint="eastAsia" w:ascii="宋体" w:hAnsi="宋体" w:cs="楷体_GB2312"/>
          <w:color w:val="auto"/>
          <w:sz w:val="24"/>
          <w:highlight w:val="none"/>
          <w:lang w:val="zh-CN"/>
        </w:rPr>
        <w:t xml:space="preserve"> 投标人应仔细阅读谈判文件的所有内容，按谈判文件的要求提供投标文件（响应文件），并保证所提供全部资料的真实性。投标文件（响应文件）应对谈判文件实质性要求作出实质性响应。谈判小组对投标文件（响应文件）的有效性、完整性和响应程度进行审查，不满足实质性要求的为</w:t>
      </w:r>
      <w:r>
        <w:rPr>
          <w:rFonts w:hint="eastAsia" w:ascii="宋体" w:hAnsi="宋体" w:cs="楷体_GB2312"/>
          <w:b/>
          <w:color w:val="auto"/>
          <w:sz w:val="24"/>
          <w:highlight w:val="none"/>
          <w:lang w:val="zh-CN"/>
        </w:rPr>
        <w:t>无效投标</w:t>
      </w:r>
      <w:r>
        <w:rPr>
          <w:rFonts w:hint="eastAsia" w:ascii="宋体" w:hAnsi="宋体" w:cs="楷体_GB2312"/>
          <w:color w:val="auto"/>
          <w:sz w:val="24"/>
          <w:highlight w:val="none"/>
          <w:lang w:val="zh-CN"/>
        </w:rPr>
        <w:t>。</w:t>
      </w:r>
    </w:p>
    <w:p w14:paraId="721B27CB">
      <w:pPr>
        <w:autoSpaceDE w:val="0"/>
        <w:autoSpaceDN w:val="0"/>
        <w:adjustRightInd w:val="0"/>
        <w:snapToGrid w:val="0"/>
        <w:spacing w:before="156" w:beforeLines="50" w:line="300" w:lineRule="auto"/>
        <w:ind w:firstLine="539"/>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 xml:space="preserve">3.2 </w:t>
      </w:r>
      <w:r>
        <w:rPr>
          <w:rFonts w:hint="eastAsia" w:ascii="黑体" w:hAnsi="黑体" w:eastAsia="黑体" w:cs="楷体_GB2312"/>
          <w:b/>
          <w:color w:val="auto"/>
          <w:sz w:val="24"/>
          <w:highlight w:val="none"/>
          <w:lang w:val="zh-CN"/>
        </w:rPr>
        <w:t>投标文件（响应文件）的组成</w:t>
      </w:r>
    </w:p>
    <w:p w14:paraId="5529F1B5">
      <w:pPr>
        <w:adjustRightInd w:val="0"/>
        <w:snapToGrid w:val="0"/>
        <w:spacing w:before="156" w:beforeLines="50" w:line="300" w:lineRule="auto"/>
        <w:ind w:firstLine="539"/>
        <w:textAlignment w:val="top"/>
        <w:rPr>
          <w:rFonts w:ascii="宋体" w:cs="楷体_GB2312"/>
          <w:color w:val="auto"/>
          <w:sz w:val="24"/>
          <w:highlight w:val="none"/>
          <w:lang w:val="zh-CN"/>
        </w:rPr>
      </w:pPr>
      <w:r>
        <w:rPr>
          <w:rFonts w:ascii="宋体" w:hAnsi="宋体" w:cs="楷体_GB2312"/>
          <w:color w:val="auto"/>
          <w:sz w:val="24"/>
          <w:highlight w:val="none"/>
          <w:lang w:val="zh-CN"/>
        </w:rPr>
        <w:t xml:space="preserve">3.2.1 </w:t>
      </w:r>
      <w:r>
        <w:rPr>
          <w:rFonts w:hint="eastAsia" w:ascii="宋体" w:hAnsi="宋体" w:cs="楷体_GB2312"/>
          <w:color w:val="auto"/>
          <w:sz w:val="24"/>
          <w:highlight w:val="none"/>
          <w:lang w:val="zh-CN"/>
        </w:rPr>
        <w:t>投标文件（响应文件）组成如有缺项，谈判小组按照实质性判断原则（实质性要求和实质性响应两因素）、有权视情况将其作无效投标处理，投标人自负此项风险；投标文件组成内容未对谈判文件实质性要求作出实质性响应，谈判小组按照实质性判断原则、视情况将其作无效投标处理，投标人自负此项风险</w:t>
      </w:r>
    </w:p>
    <w:p w14:paraId="18BB2058">
      <w:pPr>
        <w:adjustRightInd w:val="0"/>
        <w:snapToGrid w:val="0"/>
        <w:spacing w:before="156" w:beforeLines="50" w:line="300" w:lineRule="auto"/>
        <w:ind w:firstLine="539"/>
        <w:textAlignment w:val="top"/>
        <w:rPr>
          <w:color w:val="auto"/>
          <w:highlight w:val="none"/>
        </w:rPr>
      </w:pPr>
      <w:r>
        <w:rPr>
          <w:rFonts w:ascii="宋体" w:hAnsi="宋体" w:cs="楷体_GB2312"/>
          <w:color w:val="auto"/>
          <w:sz w:val="24"/>
          <w:highlight w:val="none"/>
          <w:lang w:val="zh-CN"/>
        </w:rPr>
        <w:t xml:space="preserve">3.2.2 </w:t>
      </w:r>
      <w:r>
        <w:rPr>
          <w:rFonts w:hint="eastAsia" w:ascii="宋体" w:hAnsi="宋体" w:cs="楷体_GB2312"/>
          <w:color w:val="auto"/>
          <w:sz w:val="24"/>
          <w:highlight w:val="none"/>
          <w:lang w:val="zh-CN"/>
        </w:rPr>
        <w:t>投标文件（响应文件）应包括下列内容：</w:t>
      </w:r>
    </w:p>
    <w:p w14:paraId="3210B735">
      <w:pPr>
        <w:adjustRightInd w:val="0"/>
        <w:snapToGrid w:val="0"/>
        <w:spacing w:line="300" w:lineRule="auto"/>
        <w:ind w:firstLine="539"/>
        <w:textAlignment w:val="top"/>
        <w:rPr>
          <w:rFonts w:ascii="宋体" w:hAnsi="宋体"/>
          <w:color w:val="auto"/>
          <w:sz w:val="24"/>
          <w:highlight w:val="none"/>
        </w:rPr>
      </w:pPr>
      <w:r>
        <w:rPr>
          <w:rFonts w:hint="eastAsia" w:ascii="宋体" w:hAnsi="宋体"/>
          <w:color w:val="auto"/>
          <w:sz w:val="24"/>
          <w:highlight w:val="none"/>
        </w:rPr>
        <w:t>（</w:t>
      </w:r>
      <w:r>
        <w:rPr>
          <w:rFonts w:ascii="宋体" w:hAnsi="宋体"/>
          <w:color w:val="auto"/>
          <w:sz w:val="24"/>
          <w:highlight w:val="none"/>
        </w:rPr>
        <w:t>1</w:t>
      </w:r>
      <w:r>
        <w:rPr>
          <w:rFonts w:hint="eastAsia" w:ascii="宋体" w:hAnsi="宋体"/>
          <w:color w:val="auto"/>
          <w:sz w:val="24"/>
          <w:highlight w:val="none"/>
        </w:rPr>
        <w:t>）投标书。</w:t>
      </w:r>
    </w:p>
    <w:p w14:paraId="4B4D41FB">
      <w:pPr>
        <w:adjustRightInd w:val="0"/>
        <w:snapToGrid w:val="0"/>
        <w:spacing w:line="300" w:lineRule="auto"/>
        <w:ind w:firstLine="539"/>
        <w:textAlignment w:val="top"/>
        <w:rPr>
          <w:rFonts w:hint="eastAsia" w:ascii="宋体" w:hAnsi="宋体"/>
          <w:color w:val="auto"/>
          <w:sz w:val="24"/>
          <w:szCs w:val="24"/>
          <w:highlight w:val="none"/>
        </w:rPr>
      </w:pPr>
      <w:r>
        <w:rPr>
          <w:rFonts w:hint="eastAsia" w:ascii="宋体" w:hAnsi="宋体" w:cs="楷体_GB2312"/>
          <w:color w:val="auto"/>
          <w:sz w:val="24"/>
          <w:highlight w:val="none"/>
          <w:lang w:val="zh-CN"/>
        </w:rPr>
        <w:t>（</w:t>
      </w:r>
      <w:r>
        <w:rPr>
          <w:rFonts w:ascii="宋体" w:hAnsi="宋体" w:cs="楷体_GB2312"/>
          <w:color w:val="auto"/>
          <w:sz w:val="24"/>
          <w:highlight w:val="none"/>
          <w:lang w:val="zh-CN"/>
        </w:rPr>
        <w:t>2</w:t>
      </w:r>
      <w:r>
        <w:rPr>
          <w:rFonts w:hint="eastAsia" w:ascii="宋体" w:hAnsi="宋体" w:cs="楷体_GB2312"/>
          <w:color w:val="auto"/>
          <w:sz w:val="24"/>
          <w:highlight w:val="none"/>
          <w:lang w:val="zh-CN"/>
        </w:rPr>
        <w:t>）</w:t>
      </w:r>
      <w:r>
        <w:rPr>
          <w:rFonts w:hint="eastAsia" w:ascii="宋体" w:hAnsi="宋体"/>
          <w:color w:val="auto"/>
          <w:sz w:val="24"/>
          <w:szCs w:val="24"/>
          <w:highlight w:val="none"/>
        </w:rPr>
        <w:t xml:space="preserve">开标一览表（即交易系统中报价一览表） </w:t>
      </w:r>
    </w:p>
    <w:p w14:paraId="7287B1D3">
      <w:pPr>
        <w:adjustRightInd w:val="0"/>
        <w:snapToGrid w:val="0"/>
        <w:spacing w:line="300" w:lineRule="auto"/>
        <w:ind w:firstLine="539"/>
        <w:textAlignment w:val="top"/>
        <w:rPr>
          <w:rFonts w:ascii="宋体" w:hAnsi="宋体"/>
          <w:color w:val="auto"/>
          <w:sz w:val="24"/>
          <w:highlight w:val="none"/>
        </w:rPr>
      </w:pPr>
      <w:r>
        <w:rPr>
          <w:rFonts w:hint="eastAsia" w:ascii="宋体" w:hAnsi="宋体" w:cs="楷体_GB2312"/>
          <w:color w:val="auto"/>
          <w:sz w:val="24"/>
          <w:highlight w:val="none"/>
          <w:lang w:val="zh-CN"/>
        </w:rPr>
        <w:t>（</w:t>
      </w:r>
      <w:r>
        <w:rPr>
          <w:rFonts w:ascii="宋体" w:hAnsi="宋体" w:cs="楷体_GB2312"/>
          <w:color w:val="auto"/>
          <w:sz w:val="24"/>
          <w:highlight w:val="none"/>
          <w:lang w:val="zh-CN"/>
        </w:rPr>
        <w:t>3</w:t>
      </w:r>
      <w:r>
        <w:rPr>
          <w:rFonts w:hint="eastAsia" w:ascii="宋体" w:hAnsi="宋体" w:cs="楷体_GB2312"/>
          <w:color w:val="auto"/>
          <w:sz w:val="24"/>
          <w:highlight w:val="none"/>
          <w:lang w:val="zh-CN"/>
        </w:rPr>
        <w:t>）</w:t>
      </w:r>
      <w:r>
        <w:rPr>
          <w:rFonts w:hint="eastAsia" w:ascii="宋体" w:hAnsi="宋体"/>
          <w:color w:val="auto"/>
          <w:sz w:val="24"/>
          <w:highlight w:val="none"/>
        </w:rPr>
        <w:t>投标报价明细表</w:t>
      </w:r>
    </w:p>
    <w:p w14:paraId="5DD394F3">
      <w:pPr>
        <w:adjustRightInd w:val="0"/>
        <w:snapToGrid w:val="0"/>
        <w:spacing w:line="300" w:lineRule="auto"/>
        <w:ind w:firstLine="539"/>
        <w:textAlignment w:val="top"/>
        <w:rPr>
          <w:rFonts w:ascii="宋体" w:hAnsi="宋体"/>
          <w:color w:val="auto"/>
          <w:sz w:val="24"/>
          <w:highlight w:val="none"/>
        </w:rPr>
      </w:pPr>
      <w:r>
        <w:rPr>
          <w:rFonts w:hint="eastAsia" w:ascii="宋体" w:hAnsi="宋体" w:cs="楷体_GB2312"/>
          <w:color w:val="auto"/>
          <w:sz w:val="24"/>
          <w:highlight w:val="none"/>
          <w:lang w:val="zh-CN"/>
        </w:rPr>
        <w:t>（</w:t>
      </w:r>
      <w:r>
        <w:rPr>
          <w:rFonts w:ascii="宋体" w:hAnsi="宋体" w:cs="楷体_GB2312"/>
          <w:color w:val="auto"/>
          <w:sz w:val="24"/>
          <w:highlight w:val="none"/>
          <w:lang w:val="zh-CN"/>
        </w:rPr>
        <w:t>4</w:t>
      </w:r>
      <w:r>
        <w:rPr>
          <w:rFonts w:hint="eastAsia" w:ascii="宋体" w:hAnsi="宋体" w:cs="楷体_GB2312"/>
          <w:color w:val="auto"/>
          <w:sz w:val="24"/>
          <w:highlight w:val="none"/>
          <w:lang w:val="zh-CN"/>
        </w:rPr>
        <w:t>）</w:t>
      </w:r>
      <w:r>
        <w:rPr>
          <w:rFonts w:hint="eastAsia" w:ascii="宋体" w:hAnsi="宋体"/>
          <w:color w:val="auto"/>
          <w:sz w:val="24"/>
          <w:highlight w:val="none"/>
        </w:rPr>
        <w:t>投标产品清单及其技术参数，安装调试方案</w:t>
      </w:r>
    </w:p>
    <w:p w14:paraId="656CEAE4">
      <w:pPr>
        <w:adjustRightInd w:val="0"/>
        <w:snapToGrid w:val="0"/>
        <w:spacing w:line="300" w:lineRule="auto"/>
        <w:ind w:firstLine="539"/>
        <w:textAlignment w:val="top"/>
        <w:rPr>
          <w:rFonts w:ascii="宋体" w:hAnsi="宋体"/>
          <w:color w:val="auto"/>
          <w:sz w:val="24"/>
          <w:highlight w:val="none"/>
        </w:rPr>
      </w:pPr>
      <w:r>
        <w:rPr>
          <w:rFonts w:hint="eastAsia" w:ascii="宋体" w:hAnsi="宋体"/>
          <w:color w:val="auto"/>
          <w:sz w:val="24"/>
          <w:highlight w:val="none"/>
        </w:rPr>
        <w:t>（</w:t>
      </w:r>
      <w:r>
        <w:rPr>
          <w:rFonts w:ascii="宋体" w:hAnsi="宋体"/>
          <w:color w:val="auto"/>
          <w:sz w:val="24"/>
          <w:highlight w:val="none"/>
        </w:rPr>
        <w:t>5</w:t>
      </w:r>
      <w:r>
        <w:rPr>
          <w:rFonts w:hint="eastAsia" w:ascii="宋体" w:hAnsi="宋体"/>
          <w:color w:val="auto"/>
          <w:sz w:val="24"/>
          <w:highlight w:val="none"/>
        </w:rPr>
        <w:t>）技术偏差表。</w:t>
      </w:r>
    </w:p>
    <w:p w14:paraId="5A111626">
      <w:pPr>
        <w:adjustRightInd w:val="0"/>
        <w:snapToGrid w:val="0"/>
        <w:spacing w:line="300" w:lineRule="auto"/>
        <w:ind w:firstLine="539"/>
        <w:rPr>
          <w:rFonts w:ascii="宋体" w:hAnsi="宋体"/>
          <w:color w:val="auto"/>
          <w:sz w:val="24"/>
          <w:highlight w:val="none"/>
        </w:rPr>
      </w:pPr>
      <w:r>
        <w:rPr>
          <w:rFonts w:hint="eastAsia" w:ascii="宋体" w:hAnsi="宋体" w:cs="楷体_GB2312"/>
          <w:color w:val="auto"/>
          <w:sz w:val="24"/>
          <w:highlight w:val="none"/>
          <w:lang w:val="zh-CN"/>
        </w:rPr>
        <w:t>（</w:t>
      </w:r>
      <w:r>
        <w:rPr>
          <w:rFonts w:ascii="宋体" w:hAnsi="宋体" w:cs="楷体_GB2312"/>
          <w:color w:val="auto"/>
          <w:sz w:val="24"/>
          <w:highlight w:val="none"/>
          <w:lang w:val="zh-CN"/>
        </w:rPr>
        <w:t>6</w:t>
      </w:r>
      <w:r>
        <w:rPr>
          <w:rFonts w:hint="eastAsia" w:ascii="宋体" w:hAnsi="宋体" w:cs="楷体_GB2312"/>
          <w:color w:val="auto"/>
          <w:sz w:val="24"/>
          <w:highlight w:val="none"/>
          <w:lang w:val="zh-CN"/>
        </w:rPr>
        <w:t>）</w:t>
      </w:r>
      <w:r>
        <w:rPr>
          <w:rFonts w:hint="eastAsia" w:ascii="宋体" w:hAnsi="宋体"/>
          <w:color w:val="auto"/>
          <w:sz w:val="24"/>
          <w:highlight w:val="none"/>
        </w:rPr>
        <w:t>其他偏差表</w:t>
      </w:r>
    </w:p>
    <w:p w14:paraId="083DD438">
      <w:pPr>
        <w:adjustRightInd w:val="0"/>
        <w:snapToGrid w:val="0"/>
        <w:spacing w:line="300" w:lineRule="auto"/>
        <w:ind w:firstLine="539"/>
        <w:textAlignment w:val="top"/>
        <w:rPr>
          <w:rFonts w:ascii="宋体" w:hAnsi="宋体"/>
          <w:color w:val="auto"/>
          <w:sz w:val="24"/>
          <w:highlight w:val="none"/>
        </w:rPr>
      </w:pPr>
      <w:r>
        <w:rPr>
          <w:rFonts w:hint="eastAsia" w:ascii="宋体" w:hAnsi="宋体" w:cs="楷体_GB2312"/>
          <w:color w:val="auto"/>
          <w:sz w:val="24"/>
          <w:highlight w:val="none"/>
          <w:lang w:val="zh-CN"/>
        </w:rPr>
        <w:t>（</w:t>
      </w:r>
      <w:r>
        <w:rPr>
          <w:rFonts w:ascii="宋体" w:hAnsi="宋体" w:cs="楷体_GB2312"/>
          <w:color w:val="auto"/>
          <w:sz w:val="24"/>
          <w:highlight w:val="none"/>
          <w:lang w:val="zh-CN"/>
        </w:rPr>
        <w:t>7</w:t>
      </w:r>
      <w:r>
        <w:rPr>
          <w:rFonts w:hint="eastAsia" w:ascii="宋体" w:hAnsi="宋体" w:cs="楷体_GB2312"/>
          <w:color w:val="auto"/>
          <w:sz w:val="24"/>
          <w:highlight w:val="none"/>
          <w:lang w:val="zh-CN"/>
        </w:rPr>
        <w:t>）</w:t>
      </w:r>
      <w:r>
        <w:rPr>
          <w:rFonts w:hint="eastAsia" w:ascii="宋体" w:hAnsi="宋体"/>
          <w:color w:val="auto"/>
          <w:sz w:val="24"/>
          <w:highlight w:val="none"/>
        </w:rPr>
        <w:t>售后服务计划</w:t>
      </w:r>
    </w:p>
    <w:p w14:paraId="10730242">
      <w:pPr>
        <w:adjustRightInd w:val="0"/>
        <w:snapToGrid w:val="0"/>
        <w:spacing w:line="300" w:lineRule="auto"/>
        <w:ind w:firstLine="539"/>
        <w:textAlignment w:val="top"/>
        <w:rPr>
          <w:rFonts w:ascii="宋体" w:hAnsi="宋体"/>
          <w:color w:val="auto"/>
          <w:sz w:val="24"/>
          <w:highlight w:val="none"/>
        </w:rPr>
      </w:pPr>
      <w:r>
        <w:rPr>
          <w:rFonts w:hint="eastAsia" w:ascii="宋体" w:hAnsi="宋体" w:cs="楷体_GB2312"/>
          <w:color w:val="auto"/>
          <w:sz w:val="24"/>
          <w:highlight w:val="none"/>
          <w:lang w:val="zh-CN"/>
        </w:rPr>
        <w:t>（</w:t>
      </w:r>
      <w:r>
        <w:rPr>
          <w:rFonts w:ascii="宋体" w:hAnsi="宋体" w:cs="楷体_GB2312"/>
          <w:color w:val="auto"/>
          <w:sz w:val="24"/>
          <w:highlight w:val="none"/>
          <w:lang w:val="zh-CN"/>
        </w:rPr>
        <w:t>8</w:t>
      </w:r>
      <w:r>
        <w:rPr>
          <w:rFonts w:hint="eastAsia" w:ascii="宋体" w:hAnsi="宋体" w:cs="楷体_GB2312"/>
          <w:color w:val="auto"/>
          <w:sz w:val="24"/>
          <w:highlight w:val="none"/>
          <w:lang w:val="zh-CN"/>
        </w:rPr>
        <w:t>）</w:t>
      </w:r>
      <w:r>
        <w:rPr>
          <w:rFonts w:hint="eastAsia" w:ascii="宋体" w:hAnsi="宋体"/>
          <w:color w:val="auto"/>
          <w:sz w:val="24"/>
          <w:highlight w:val="none"/>
        </w:rPr>
        <w:t>关于资格的声明函</w:t>
      </w:r>
    </w:p>
    <w:p w14:paraId="7585291C">
      <w:pPr>
        <w:adjustRightInd w:val="0"/>
        <w:snapToGrid w:val="0"/>
        <w:spacing w:line="300" w:lineRule="auto"/>
        <w:ind w:firstLine="539"/>
        <w:rPr>
          <w:rFonts w:ascii="宋体" w:hAnsi="宋体"/>
          <w:color w:val="auto"/>
          <w:sz w:val="24"/>
          <w:highlight w:val="none"/>
        </w:rPr>
      </w:pPr>
      <w:r>
        <w:rPr>
          <w:rFonts w:hint="eastAsia" w:ascii="宋体" w:hAnsi="宋体" w:cs="楷体_GB2312"/>
          <w:color w:val="auto"/>
          <w:sz w:val="24"/>
          <w:highlight w:val="none"/>
          <w:lang w:val="zh-CN"/>
        </w:rPr>
        <w:t>（</w:t>
      </w:r>
      <w:r>
        <w:rPr>
          <w:rFonts w:ascii="宋体" w:hAnsi="宋体" w:cs="楷体_GB2312"/>
          <w:color w:val="auto"/>
          <w:sz w:val="24"/>
          <w:highlight w:val="none"/>
          <w:lang w:val="zh-CN"/>
        </w:rPr>
        <w:t>9</w:t>
      </w:r>
      <w:r>
        <w:rPr>
          <w:rFonts w:hint="eastAsia" w:ascii="宋体" w:hAnsi="宋体" w:cs="楷体_GB2312"/>
          <w:color w:val="auto"/>
          <w:sz w:val="24"/>
          <w:highlight w:val="none"/>
          <w:lang w:val="zh-CN"/>
        </w:rPr>
        <w:t>）</w:t>
      </w:r>
      <w:r>
        <w:rPr>
          <w:rFonts w:hint="eastAsia" w:ascii="宋体" w:hAnsi="宋体"/>
          <w:color w:val="auto"/>
          <w:sz w:val="24"/>
          <w:highlight w:val="none"/>
        </w:rPr>
        <w:t>反商业贿赂承诺书。</w:t>
      </w:r>
    </w:p>
    <w:p w14:paraId="783D63C2">
      <w:pPr>
        <w:adjustRightInd w:val="0"/>
        <w:snapToGrid w:val="0"/>
        <w:spacing w:line="300" w:lineRule="auto"/>
        <w:ind w:firstLine="539"/>
        <w:rPr>
          <w:rFonts w:ascii="宋体" w:hAnsi="宋体"/>
          <w:color w:val="auto"/>
          <w:sz w:val="24"/>
          <w:highlight w:val="none"/>
        </w:rPr>
      </w:pPr>
      <w:r>
        <w:rPr>
          <w:rFonts w:hint="eastAsia" w:ascii="宋体" w:hAnsi="宋体" w:cs="楷体_GB2312"/>
          <w:color w:val="auto"/>
          <w:sz w:val="24"/>
          <w:highlight w:val="none"/>
          <w:lang w:val="zh-CN"/>
        </w:rPr>
        <w:t>（</w:t>
      </w:r>
      <w:r>
        <w:rPr>
          <w:rFonts w:ascii="宋体" w:hAnsi="宋体" w:cs="楷体_GB2312"/>
          <w:color w:val="auto"/>
          <w:sz w:val="24"/>
          <w:highlight w:val="none"/>
          <w:lang w:val="zh-CN"/>
        </w:rPr>
        <w:t>10</w:t>
      </w:r>
      <w:r>
        <w:rPr>
          <w:rFonts w:hint="eastAsia" w:ascii="宋体" w:hAnsi="宋体" w:cs="楷体_GB2312"/>
          <w:color w:val="auto"/>
          <w:sz w:val="24"/>
          <w:highlight w:val="none"/>
          <w:lang w:val="zh-CN"/>
        </w:rPr>
        <w:t>）</w:t>
      </w:r>
      <w:r>
        <w:rPr>
          <w:rFonts w:hint="eastAsia" w:ascii="宋体" w:hAnsi="宋体"/>
          <w:color w:val="auto"/>
          <w:sz w:val="24"/>
          <w:highlight w:val="none"/>
        </w:rPr>
        <w:t>履约承诺书。</w:t>
      </w:r>
    </w:p>
    <w:p w14:paraId="58190D9E">
      <w:pPr>
        <w:widowControl w:val="0"/>
        <w:adjustRightInd w:val="0"/>
        <w:snapToGrid w:val="0"/>
        <w:spacing w:line="300" w:lineRule="auto"/>
        <w:ind w:firstLine="539"/>
        <w:textAlignment w:val="top"/>
        <w:rPr>
          <w:rFonts w:ascii="宋体" w:hAnsi="宋体"/>
          <w:color w:val="auto"/>
          <w:sz w:val="24"/>
          <w:highlight w:val="none"/>
        </w:rPr>
      </w:pPr>
      <w:r>
        <w:rPr>
          <w:rFonts w:hint="eastAsia" w:ascii="宋体" w:hAnsi="宋体"/>
          <w:color w:val="auto"/>
          <w:sz w:val="24"/>
          <w:highlight w:val="none"/>
        </w:rPr>
        <w:t>（</w:t>
      </w:r>
      <w:r>
        <w:rPr>
          <w:rFonts w:ascii="宋体" w:hAnsi="宋体"/>
          <w:color w:val="auto"/>
          <w:sz w:val="24"/>
          <w:highlight w:val="none"/>
        </w:rPr>
        <w:t>11</w:t>
      </w:r>
      <w:r>
        <w:rPr>
          <w:rFonts w:hint="eastAsia" w:ascii="宋体" w:hAnsi="宋体"/>
          <w:color w:val="auto"/>
          <w:sz w:val="24"/>
          <w:highlight w:val="none"/>
        </w:rPr>
        <w:t>）资格要求相关证明材料（文件）</w:t>
      </w:r>
    </w:p>
    <w:p w14:paraId="6EBC4A77">
      <w:pPr>
        <w:widowControl w:val="0"/>
        <w:adjustRightInd w:val="0"/>
        <w:snapToGrid w:val="0"/>
        <w:spacing w:line="300" w:lineRule="auto"/>
        <w:ind w:firstLine="539"/>
        <w:textAlignment w:val="top"/>
        <w:rPr>
          <w:rFonts w:ascii="宋体" w:hAnsi="宋体"/>
          <w:color w:val="auto"/>
          <w:sz w:val="24"/>
          <w:highlight w:val="none"/>
        </w:rPr>
      </w:pPr>
      <w:r>
        <w:rPr>
          <w:rFonts w:hint="eastAsia" w:ascii="宋体" w:hAnsi="宋体"/>
          <w:color w:val="auto"/>
          <w:sz w:val="24"/>
          <w:highlight w:val="none"/>
        </w:rPr>
        <w:t>（</w:t>
      </w:r>
      <w:r>
        <w:rPr>
          <w:rFonts w:ascii="宋体" w:hAnsi="宋体"/>
          <w:color w:val="auto"/>
          <w:sz w:val="24"/>
          <w:highlight w:val="none"/>
        </w:rPr>
        <w:t>12</w:t>
      </w:r>
      <w:r>
        <w:rPr>
          <w:rFonts w:hint="eastAsia" w:ascii="宋体" w:hAnsi="宋体"/>
          <w:color w:val="auto"/>
          <w:sz w:val="24"/>
          <w:highlight w:val="none"/>
        </w:rPr>
        <w:t>）采购项目及技术服务要求所需的其他材料（按条款需要）</w:t>
      </w:r>
    </w:p>
    <w:p w14:paraId="0CFEC1A3">
      <w:pPr>
        <w:widowControl w:val="0"/>
        <w:adjustRightInd w:val="0"/>
        <w:snapToGrid w:val="0"/>
        <w:spacing w:line="300" w:lineRule="auto"/>
        <w:ind w:firstLine="539"/>
        <w:textAlignment w:val="top"/>
        <w:rPr>
          <w:rFonts w:ascii="宋体" w:hAnsi="宋体"/>
          <w:color w:val="auto"/>
          <w:sz w:val="24"/>
          <w:highlight w:val="none"/>
        </w:rPr>
      </w:pPr>
      <w:r>
        <w:rPr>
          <w:rFonts w:hint="eastAsia" w:ascii="宋体" w:hAnsi="宋体"/>
          <w:color w:val="auto"/>
          <w:sz w:val="24"/>
          <w:highlight w:val="none"/>
        </w:rPr>
        <w:t>（</w:t>
      </w:r>
      <w:r>
        <w:rPr>
          <w:rFonts w:ascii="宋体" w:hAnsi="宋体"/>
          <w:color w:val="auto"/>
          <w:sz w:val="24"/>
          <w:highlight w:val="none"/>
        </w:rPr>
        <w:t>13</w:t>
      </w:r>
      <w:r>
        <w:rPr>
          <w:rFonts w:hint="eastAsia" w:ascii="宋体" w:hAnsi="宋体"/>
          <w:color w:val="auto"/>
          <w:sz w:val="24"/>
          <w:highlight w:val="none"/>
        </w:rPr>
        <w:t>）投标人须知所需的其他材料（按条款需要）</w:t>
      </w:r>
    </w:p>
    <w:p w14:paraId="5C6E9F79">
      <w:pPr>
        <w:widowControl w:val="0"/>
        <w:adjustRightInd w:val="0"/>
        <w:snapToGrid w:val="0"/>
        <w:spacing w:line="300" w:lineRule="auto"/>
        <w:ind w:firstLine="539"/>
        <w:textAlignment w:val="top"/>
        <w:rPr>
          <w:rFonts w:ascii="宋体" w:hAnsi="宋体"/>
          <w:color w:val="auto"/>
          <w:sz w:val="24"/>
          <w:highlight w:val="none"/>
        </w:rPr>
      </w:pPr>
      <w:r>
        <w:rPr>
          <w:rFonts w:hint="eastAsia" w:ascii="宋体" w:hAnsi="宋体"/>
          <w:color w:val="auto"/>
          <w:sz w:val="24"/>
          <w:highlight w:val="none"/>
        </w:rPr>
        <w:t>（</w:t>
      </w:r>
      <w:r>
        <w:rPr>
          <w:rFonts w:ascii="宋体" w:hAnsi="宋体"/>
          <w:color w:val="auto"/>
          <w:sz w:val="24"/>
          <w:highlight w:val="none"/>
        </w:rPr>
        <w:t>14</w:t>
      </w:r>
      <w:r>
        <w:rPr>
          <w:rFonts w:hint="eastAsia" w:ascii="宋体" w:hAnsi="宋体"/>
          <w:color w:val="auto"/>
          <w:sz w:val="24"/>
          <w:highlight w:val="none"/>
        </w:rPr>
        <w:t>）评审办法所需的其他材料（按条款需要）</w:t>
      </w:r>
    </w:p>
    <w:p w14:paraId="599AD82F">
      <w:pPr>
        <w:autoSpaceDE w:val="0"/>
        <w:autoSpaceDN w:val="0"/>
        <w:adjustRightInd w:val="0"/>
        <w:snapToGrid w:val="0"/>
        <w:spacing w:line="300" w:lineRule="auto"/>
        <w:ind w:firstLine="520" w:firstLineChars="217"/>
        <w:rPr>
          <w:rFonts w:ascii="宋体" w:hAnsi="宋体" w:cs="楷体_GB2312"/>
          <w:color w:val="auto"/>
          <w:sz w:val="24"/>
          <w:highlight w:val="none"/>
          <w:lang w:val="zh-CN"/>
        </w:rPr>
      </w:pPr>
      <w:r>
        <w:rPr>
          <w:rFonts w:hint="eastAsia" w:ascii="宋体" w:hAnsi="宋体" w:cs="楷体_GB2312"/>
          <w:color w:val="auto"/>
          <w:sz w:val="24"/>
          <w:highlight w:val="none"/>
          <w:lang w:val="zh-CN"/>
        </w:rPr>
        <w:t>（</w:t>
      </w:r>
      <w:r>
        <w:rPr>
          <w:rFonts w:ascii="宋体" w:hAnsi="宋体" w:cs="楷体_GB2312"/>
          <w:color w:val="auto"/>
          <w:sz w:val="24"/>
          <w:highlight w:val="none"/>
          <w:lang w:val="zh-CN"/>
        </w:rPr>
        <w:t>15</w:t>
      </w:r>
      <w:r>
        <w:rPr>
          <w:rFonts w:hint="eastAsia" w:ascii="宋体" w:hAnsi="宋体" w:cs="楷体_GB2312"/>
          <w:color w:val="auto"/>
          <w:sz w:val="24"/>
          <w:highlight w:val="none"/>
          <w:lang w:val="zh-CN"/>
        </w:rPr>
        <w:t>）</w:t>
      </w:r>
      <w:r>
        <w:rPr>
          <w:rFonts w:hint="eastAsia" w:ascii="宋体" w:hAnsi="宋体"/>
          <w:color w:val="auto"/>
          <w:sz w:val="24"/>
          <w:highlight w:val="none"/>
        </w:rPr>
        <w:t>投标人认为有必要提交的其它材料</w:t>
      </w:r>
    </w:p>
    <w:p w14:paraId="7020DFDD">
      <w:pPr>
        <w:topLinePunct/>
        <w:adjustRightInd w:val="0"/>
        <w:snapToGrid w:val="0"/>
        <w:spacing w:before="156" w:beforeLines="50" w:line="300" w:lineRule="auto"/>
        <w:ind w:firstLine="564" w:firstLineChars="235"/>
        <w:rPr>
          <w:rFonts w:ascii="宋体" w:hAnsi="宋体" w:cs="楷体_GB2312"/>
          <w:color w:val="auto"/>
          <w:sz w:val="24"/>
          <w:highlight w:val="none"/>
          <w:lang w:val="zh-CN"/>
        </w:rPr>
      </w:pPr>
      <w:r>
        <w:rPr>
          <w:rFonts w:ascii="宋体" w:hAnsi="宋体" w:cs="楷体_GB2312"/>
          <w:color w:val="auto"/>
          <w:sz w:val="24"/>
          <w:highlight w:val="none"/>
          <w:lang w:val="zh-CN"/>
        </w:rPr>
        <w:t>3.2.3</w:t>
      </w:r>
      <w:r>
        <w:rPr>
          <w:rFonts w:hint="eastAsia" w:ascii="宋体" w:hAnsi="宋体" w:cs="楷体_GB2312"/>
          <w:color w:val="auto"/>
          <w:sz w:val="24"/>
          <w:highlight w:val="none"/>
          <w:lang w:val="zh-CN"/>
        </w:rPr>
        <w:t>按照本章第</w:t>
      </w:r>
      <w:r>
        <w:rPr>
          <w:rFonts w:ascii="宋体" w:hAnsi="宋体" w:cs="楷体_GB2312"/>
          <w:color w:val="auto"/>
          <w:sz w:val="24"/>
          <w:highlight w:val="none"/>
          <w:lang w:val="zh-CN"/>
        </w:rPr>
        <w:t>4.3</w:t>
      </w:r>
      <w:r>
        <w:rPr>
          <w:rFonts w:hint="eastAsia" w:ascii="宋体" w:hAnsi="宋体" w:cs="楷体_GB2312"/>
          <w:color w:val="auto"/>
          <w:sz w:val="24"/>
          <w:highlight w:val="none"/>
          <w:lang w:val="zh-CN"/>
        </w:rPr>
        <w:t>款、第四章第</w:t>
      </w:r>
      <w:r>
        <w:rPr>
          <w:rFonts w:ascii="宋体" w:hAnsi="宋体" w:cs="楷体_GB2312"/>
          <w:color w:val="auto"/>
          <w:sz w:val="24"/>
          <w:highlight w:val="none"/>
          <w:lang w:val="zh-CN"/>
        </w:rPr>
        <w:t>3.4</w:t>
      </w:r>
      <w:r>
        <w:rPr>
          <w:rFonts w:hint="eastAsia" w:ascii="宋体" w:hAnsi="宋体" w:cs="楷体_GB2312"/>
          <w:color w:val="auto"/>
          <w:sz w:val="24"/>
          <w:highlight w:val="none"/>
          <w:lang w:val="zh-CN"/>
        </w:rPr>
        <w:t>款规定，对投标文件（响应文件）的补充、修改、澄清、说明或者更正构成投标文件（响应文件）的组成部分，</w:t>
      </w:r>
    </w:p>
    <w:p w14:paraId="0981D38D">
      <w:pPr>
        <w:topLinePunct/>
        <w:adjustRightInd w:val="0"/>
        <w:snapToGrid w:val="0"/>
        <w:spacing w:before="156" w:beforeLines="50" w:line="300" w:lineRule="auto"/>
        <w:ind w:firstLine="566" w:firstLineChars="235"/>
        <w:rPr>
          <w:rFonts w:ascii="宋体" w:cs="楷体_GB2312"/>
          <w:color w:val="auto"/>
          <w:sz w:val="24"/>
          <w:highlight w:val="none"/>
          <w:lang w:val="zh-CN"/>
        </w:rPr>
      </w:pPr>
      <w:r>
        <w:rPr>
          <w:rFonts w:ascii="黑体" w:hAnsi="黑体" w:eastAsia="黑体" w:cs="楷体_GB2312"/>
          <w:b/>
          <w:color w:val="auto"/>
          <w:sz w:val="24"/>
          <w:highlight w:val="none"/>
          <w:lang w:val="zh-CN"/>
        </w:rPr>
        <w:t xml:space="preserve">3.3 </w:t>
      </w:r>
      <w:r>
        <w:rPr>
          <w:rFonts w:hint="eastAsia" w:ascii="黑体" w:hAnsi="黑体" w:eastAsia="黑体" w:cs="楷体_GB2312"/>
          <w:b/>
          <w:color w:val="auto"/>
          <w:sz w:val="24"/>
          <w:highlight w:val="none"/>
          <w:lang w:val="zh-CN"/>
        </w:rPr>
        <w:t>投标报价</w:t>
      </w:r>
      <w:r>
        <w:rPr>
          <w:rFonts w:hint="eastAsia" w:ascii="宋体" w:hAnsi="宋体" w:cs="楷体_GB2312"/>
          <w:color w:val="auto"/>
          <w:sz w:val="24"/>
          <w:highlight w:val="none"/>
          <w:lang w:val="zh-CN"/>
        </w:rPr>
        <w:t>（价格构成）：见第二章</w:t>
      </w:r>
      <w:r>
        <w:rPr>
          <w:rFonts w:ascii="宋体" w:hAnsi="宋体" w:cs="楷体_GB2312"/>
          <w:color w:val="auto"/>
          <w:sz w:val="24"/>
          <w:highlight w:val="none"/>
          <w:lang w:val="zh-CN"/>
        </w:rPr>
        <w:t>1.3</w:t>
      </w:r>
      <w:r>
        <w:rPr>
          <w:rFonts w:hint="eastAsia" w:ascii="宋体" w:hAnsi="宋体" w:cs="楷体_GB2312"/>
          <w:color w:val="auto"/>
          <w:sz w:val="24"/>
          <w:highlight w:val="none"/>
          <w:lang w:val="zh-CN"/>
        </w:rPr>
        <w:t>款。</w:t>
      </w:r>
    </w:p>
    <w:p w14:paraId="0A4D9E48">
      <w:pPr>
        <w:topLinePunct/>
        <w:adjustRightInd w:val="0"/>
        <w:snapToGrid w:val="0"/>
        <w:spacing w:before="156" w:beforeLines="50" w:line="300" w:lineRule="auto"/>
        <w:ind w:firstLine="566" w:firstLineChars="235"/>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 xml:space="preserve">3.4 </w:t>
      </w:r>
      <w:r>
        <w:rPr>
          <w:rFonts w:hint="eastAsia" w:ascii="黑体" w:hAnsi="黑体" w:eastAsia="黑体" w:cs="楷体_GB2312"/>
          <w:b/>
          <w:color w:val="auto"/>
          <w:sz w:val="24"/>
          <w:highlight w:val="none"/>
          <w:lang w:val="zh-CN"/>
        </w:rPr>
        <w:t>投标有效期</w:t>
      </w:r>
    </w:p>
    <w:p w14:paraId="36A10558">
      <w:pPr>
        <w:topLinePunct/>
        <w:adjustRightInd w:val="0"/>
        <w:snapToGrid w:val="0"/>
        <w:spacing w:before="156" w:beforeLines="50" w:line="300" w:lineRule="auto"/>
        <w:ind w:firstLine="564" w:firstLineChars="235"/>
        <w:rPr>
          <w:rFonts w:ascii="宋体" w:cs="楷体_GB2312"/>
          <w:color w:val="auto"/>
          <w:sz w:val="24"/>
          <w:highlight w:val="none"/>
          <w:lang w:val="zh-CN"/>
        </w:rPr>
      </w:pPr>
      <w:r>
        <w:rPr>
          <w:rFonts w:ascii="宋体" w:hAnsi="宋体" w:cs="楷体_GB2312"/>
          <w:color w:val="auto"/>
          <w:sz w:val="24"/>
          <w:highlight w:val="none"/>
          <w:lang w:val="zh-CN"/>
        </w:rPr>
        <w:t>3.4.1</w:t>
      </w:r>
      <w:r>
        <w:rPr>
          <w:rFonts w:hint="eastAsia" w:ascii="宋体" w:hAnsi="宋体" w:cs="楷体_GB2312"/>
          <w:color w:val="auto"/>
          <w:sz w:val="24"/>
          <w:highlight w:val="none"/>
          <w:lang w:val="zh-CN"/>
        </w:rPr>
        <w:t>投标有效期见投标人须知前附表。投标文件（响应文件）在投标有效期内保持不变（包括价格等投标文件各项条款）。</w:t>
      </w:r>
    </w:p>
    <w:p w14:paraId="3376305B">
      <w:pPr>
        <w:topLinePunct/>
        <w:adjustRightInd w:val="0"/>
        <w:snapToGrid w:val="0"/>
        <w:spacing w:before="156" w:beforeLines="50" w:line="300" w:lineRule="auto"/>
        <w:ind w:firstLine="564" w:firstLineChars="235"/>
        <w:rPr>
          <w:rFonts w:ascii="宋体" w:cs="楷体_GB2312"/>
          <w:color w:val="auto"/>
          <w:sz w:val="24"/>
          <w:highlight w:val="none"/>
          <w:lang w:val="zh-CN"/>
        </w:rPr>
      </w:pPr>
      <w:r>
        <w:rPr>
          <w:rFonts w:ascii="宋体" w:hAnsi="宋体" w:cs="楷体_GB2312"/>
          <w:color w:val="auto"/>
          <w:sz w:val="24"/>
          <w:highlight w:val="none"/>
          <w:lang w:val="zh-CN"/>
        </w:rPr>
        <w:t>3.4.2</w:t>
      </w:r>
      <w:r>
        <w:rPr>
          <w:rFonts w:hint="eastAsia" w:ascii="宋体" w:hAnsi="宋体" w:cs="楷体_GB2312"/>
          <w:color w:val="auto"/>
          <w:sz w:val="24"/>
          <w:highlight w:val="none"/>
          <w:lang w:val="zh-CN"/>
        </w:rPr>
        <w:t>在投标有效期内，投标人撤销或修改其投标文件（响应文件）的，应承担谈判文件和法律规定的责任。</w:t>
      </w:r>
    </w:p>
    <w:p w14:paraId="1E9D39B8">
      <w:pPr>
        <w:topLinePunct/>
        <w:adjustRightInd w:val="0"/>
        <w:snapToGrid w:val="0"/>
        <w:spacing w:before="156" w:beforeLines="50" w:line="300" w:lineRule="auto"/>
        <w:ind w:firstLine="566" w:firstLineChars="235"/>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 xml:space="preserve">3.5 </w:t>
      </w:r>
      <w:r>
        <w:rPr>
          <w:rFonts w:hint="eastAsia" w:ascii="黑体" w:hAnsi="黑体" w:eastAsia="黑体" w:cs="楷体_GB2312"/>
          <w:b/>
          <w:color w:val="auto"/>
          <w:sz w:val="24"/>
          <w:highlight w:val="none"/>
        </w:rPr>
        <w:t>投标承诺函</w:t>
      </w:r>
      <w:r>
        <w:rPr>
          <w:rFonts w:hint="eastAsia" w:ascii="黑体" w:hAnsi="黑体" w:eastAsia="黑体" w:cs="楷体_GB2312"/>
          <w:b/>
          <w:color w:val="auto"/>
          <w:sz w:val="24"/>
          <w:highlight w:val="none"/>
          <w:lang w:val="zh-CN"/>
        </w:rPr>
        <w:t>（</w:t>
      </w:r>
      <w:r>
        <w:rPr>
          <w:rFonts w:hint="eastAsia" w:ascii="黑体" w:hAnsi="黑体" w:eastAsia="黑体" w:cs="楷体_GB2312"/>
          <w:b/>
          <w:color w:val="auto"/>
          <w:sz w:val="24"/>
          <w:highlight w:val="none"/>
        </w:rPr>
        <w:t>替代</w:t>
      </w:r>
      <w:r>
        <w:rPr>
          <w:rFonts w:hint="eastAsia" w:ascii="黑体" w:hAnsi="黑体" w:eastAsia="黑体" w:cs="楷体_GB2312"/>
          <w:b/>
          <w:color w:val="auto"/>
          <w:sz w:val="24"/>
          <w:highlight w:val="none"/>
          <w:lang w:val="zh-CN"/>
        </w:rPr>
        <w:t>投标保证金）：</w:t>
      </w:r>
    </w:p>
    <w:p w14:paraId="73B83433">
      <w:pPr>
        <w:widowControl w:val="0"/>
        <w:tabs>
          <w:tab w:val="left" w:pos="65"/>
        </w:tabs>
        <w:spacing w:line="460" w:lineRule="atLeas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lang w:val="zh-CN"/>
        </w:rPr>
        <w:t xml:space="preserve">3.5.1 </w:t>
      </w:r>
      <w:r>
        <w:rPr>
          <w:rFonts w:hint="eastAsia" w:ascii="宋体" w:hAnsi="宋体"/>
          <w:color w:val="auto"/>
          <w:sz w:val="24"/>
          <w:szCs w:val="24"/>
          <w:highlight w:val="none"/>
        </w:rPr>
        <w:t>按照豫财购〔2019〕4号文件规定，本项目以投标承诺函的形式替代投标保证金，供应商应按附件格式进行投标承诺，违背承诺的将承担相应的法律责任及违约责任。</w:t>
      </w:r>
    </w:p>
    <w:p w14:paraId="3F061B70">
      <w:pPr>
        <w:widowControl w:val="0"/>
        <w:tabs>
          <w:tab w:val="left" w:pos="65"/>
        </w:tabs>
        <w:spacing w:line="460" w:lineRule="atLeas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rPr>
        <w:t>3.5.2 未提供投标承诺函的为</w:t>
      </w:r>
      <w:r>
        <w:rPr>
          <w:rFonts w:hint="eastAsia" w:ascii="宋体" w:hAnsi="宋体"/>
          <w:b/>
          <w:bCs/>
          <w:color w:val="auto"/>
          <w:sz w:val="24"/>
          <w:szCs w:val="24"/>
          <w:highlight w:val="none"/>
        </w:rPr>
        <w:t>无效投标</w:t>
      </w:r>
      <w:r>
        <w:rPr>
          <w:rFonts w:hint="eastAsia" w:ascii="宋体" w:hAnsi="宋体"/>
          <w:color w:val="auto"/>
          <w:sz w:val="24"/>
          <w:szCs w:val="24"/>
          <w:highlight w:val="none"/>
        </w:rPr>
        <w:t>。</w:t>
      </w:r>
    </w:p>
    <w:p w14:paraId="45B2BB46">
      <w:pPr>
        <w:widowControl w:val="0"/>
        <w:tabs>
          <w:tab w:val="left" w:pos="65"/>
        </w:tabs>
        <w:spacing w:line="460" w:lineRule="atLeas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rPr>
        <w:t>3.5.3 投标人的投标承诺函包含投标人承诺的事项及违背承诺的责任追究措施。</w:t>
      </w:r>
    </w:p>
    <w:p w14:paraId="6089534A">
      <w:pPr>
        <w:widowControl w:val="0"/>
        <w:tabs>
          <w:tab w:val="left" w:pos="65"/>
        </w:tabs>
        <w:spacing w:line="460" w:lineRule="atLeas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rPr>
        <w:t>3.5.4 承诺事项：</w:t>
      </w:r>
    </w:p>
    <w:p w14:paraId="2A86B662">
      <w:pPr>
        <w:widowControl w:val="0"/>
        <w:tabs>
          <w:tab w:val="left" w:pos="65"/>
        </w:tabs>
        <w:spacing w:line="460" w:lineRule="atLeas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rPr>
        <w:t>3.5.4.1、投标人应遵循公开、公平、公正和</w:t>
      </w:r>
      <w:r>
        <w:rPr>
          <w:color w:val="auto"/>
          <w:highlight w:val="none"/>
        </w:rPr>
        <w:fldChar w:fldCharType="begin"/>
      </w:r>
      <w:r>
        <w:rPr>
          <w:color w:val="auto"/>
          <w:highlight w:val="none"/>
        </w:rPr>
        <w:instrText xml:space="preserve"> HYPERLINK "http://www.so.com/s?q=%E8%AF%9A%E5%AE%9E%E4%BF%A1%E7%94%A8&amp;ie=utf-8&amp;src=internal_wenda_recommend_textn" \t "https://wenda.so.com/q/_blank" </w:instrText>
      </w:r>
      <w:r>
        <w:rPr>
          <w:color w:val="auto"/>
          <w:highlight w:val="none"/>
        </w:rPr>
        <w:fldChar w:fldCharType="separate"/>
      </w:r>
      <w:r>
        <w:rPr>
          <w:rFonts w:hint="eastAsia" w:ascii="宋体" w:hAnsi="宋体"/>
          <w:color w:val="auto"/>
          <w:sz w:val="24"/>
          <w:szCs w:val="24"/>
          <w:highlight w:val="none"/>
        </w:rPr>
        <w:t>诚实信用</w:t>
      </w:r>
      <w:r>
        <w:rPr>
          <w:rFonts w:hint="eastAsia" w:ascii="宋体" w:hAnsi="宋体"/>
          <w:color w:val="auto"/>
          <w:sz w:val="24"/>
          <w:szCs w:val="24"/>
          <w:highlight w:val="none"/>
        </w:rPr>
        <w:fldChar w:fldCharType="end"/>
      </w:r>
      <w:r>
        <w:rPr>
          <w:rFonts w:hint="eastAsia" w:ascii="宋体" w:hAnsi="宋体"/>
          <w:color w:val="auto"/>
          <w:sz w:val="24"/>
          <w:szCs w:val="24"/>
          <w:highlight w:val="none"/>
        </w:rPr>
        <w:t>的原则自愿参加项目的投标；</w:t>
      </w:r>
      <w:r>
        <w:rPr>
          <w:rFonts w:hint="eastAsia" w:ascii="宋体" w:hAnsi="宋体"/>
          <w:color w:val="auto"/>
          <w:sz w:val="24"/>
          <w:szCs w:val="24"/>
          <w:highlight w:val="none"/>
        </w:rPr>
        <w:br w:type="textWrapping"/>
      </w:r>
      <w:r>
        <w:rPr>
          <w:rFonts w:hint="eastAsia" w:ascii="宋体" w:hAnsi="宋体"/>
          <w:color w:val="auto"/>
          <w:sz w:val="24"/>
          <w:szCs w:val="24"/>
          <w:highlight w:val="none"/>
        </w:rPr>
        <w:t xml:space="preserve">    3.5.4.2、投标人在政府采购活动中应提供真实、准确、有效、合法的材料，不</w:t>
      </w:r>
      <w:r>
        <w:rPr>
          <w:rFonts w:hint="eastAsia" w:ascii="宋体" w:hAnsi="宋体"/>
          <w:color w:val="auto"/>
          <w:sz w:val="24"/>
          <w:szCs w:val="24"/>
          <w:highlight w:val="none"/>
          <w:lang w:val="zh-CN"/>
        </w:rPr>
        <w:t>提供虚假材料；</w:t>
      </w:r>
    </w:p>
    <w:p w14:paraId="4786758C">
      <w:pPr>
        <w:widowControl w:val="0"/>
        <w:tabs>
          <w:tab w:val="left" w:pos="65"/>
        </w:tabs>
        <w:spacing w:line="460" w:lineRule="atLeast"/>
        <w:ind w:firstLine="480" w:firstLineChars="200"/>
        <w:textAlignment w:val="auto"/>
        <w:rPr>
          <w:rFonts w:ascii="宋体" w:hAnsi="宋体"/>
          <w:color w:val="auto"/>
          <w:sz w:val="24"/>
          <w:szCs w:val="24"/>
          <w:highlight w:val="none"/>
          <w:lang w:val="zh-CN"/>
        </w:rPr>
      </w:pPr>
      <w:r>
        <w:rPr>
          <w:rFonts w:hint="eastAsia" w:ascii="宋体" w:hAnsi="宋体"/>
          <w:color w:val="auto"/>
          <w:sz w:val="24"/>
          <w:szCs w:val="24"/>
          <w:highlight w:val="none"/>
        </w:rPr>
        <w:t>3.5.4.3、投标人</w:t>
      </w:r>
      <w:r>
        <w:rPr>
          <w:rFonts w:hint="eastAsia" w:ascii="宋体" w:hAnsi="宋体"/>
          <w:color w:val="auto"/>
          <w:sz w:val="24"/>
          <w:szCs w:val="24"/>
          <w:highlight w:val="none"/>
          <w:lang w:val="zh-CN"/>
        </w:rPr>
        <w:t>按照</w:t>
      </w:r>
      <w:r>
        <w:rPr>
          <w:rFonts w:hint="eastAsia" w:ascii="宋体" w:hAnsi="宋体"/>
          <w:color w:val="auto"/>
          <w:sz w:val="24"/>
          <w:szCs w:val="24"/>
          <w:highlight w:val="none"/>
        </w:rPr>
        <w:t>谈判</w:t>
      </w:r>
      <w:r>
        <w:rPr>
          <w:rFonts w:hint="eastAsia" w:ascii="宋体" w:hAnsi="宋体"/>
          <w:color w:val="auto"/>
          <w:sz w:val="24"/>
          <w:szCs w:val="24"/>
          <w:highlight w:val="none"/>
          <w:lang w:val="zh-CN"/>
        </w:rPr>
        <w:t>文件规定，在提交投标文件截止时间后，在</w:t>
      </w:r>
      <w:r>
        <w:rPr>
          <w:rFonts w:hint="eastAsia" w:ascii="宋体" w:hAnsi="宋体"/>
          <w:color w:val="auto"/>
          <w:sz w:val="24"/>
          <w:szCs w:val="24"/>
          <w:highlight w:val="none"/>
        </w:rPr>
        <w:t>谈判</w:t>
      </w:r>
      <w:r>
        <w:rPr>
          <w:rFonts w:hint="eastAsia" w:ascii="宋体" w:hAnsi="宋体"/>
          <w:color w:val="auto"/>
          <w:sz w:val="24"/>
          <w:szCs w:val="24"/>
          <w:highlight w:val="none"/>
          <w:lang w:val="zh-CN"/>
        </w:rPr>
        <w:t>文件规定的投标有效期限内不</w:t>
      </w:r>
      <w:r>
        <w:rPr>
          <w:rFonts w:hint="eastAsia" w:ascii="宋体" w:hAnsi="宋体"/>
          <w:color w:val="auto"/>
          <w:sz w:val="24"/>
          <w:szCs w:val="24"/>
          <w:highlight w:val="none"/>
        </w:rPr>
        <w:t>应</w:t>
      </w:r>
      <w:r>
        <w:rPr>
          <w:rFonts w:hint="eastAsia" w:ascii="宋体" w:hAnsi="宋体"/>
          <w:color w:val="auto"/>
          <w:sz w:val="24"/>
          <w:szCs w:val="24"/>
          <w:highlight w:val="none"/>
          <w:lang w:val="zh-CN"/>
        </w:rPr>
        <w:t>撤回投标文件；</w:t>
      </w:r>
    </w:p>
    <w:p w14:paraId="6FBCDCE2">
      <w:pPr>
        <w:widowControl w:val="0"/>
        <w:tabs>
          <w:tab w:val="left" w:pos="65"/>
        </w:tabs>
        <w:spacing w:line="460" w:lineRule="atLeast"/>
        <w:ind w:firstLine="480" w:firstLineChars="200"/>
        <w:textAlignment w:val="auto"/>
        <w:rPr>
          <w:rFonts w:ascii="宋体" w:hAnsi="宋体"/>
          <w:color w:val="auto"/>
          <w:sz w:val="24"/>
          <w:szCs w:val="24"/>
          <w:highlight w:val="none"/>
          <w:lang w:val="zh-CN"/>
        </w:rPr>
      </w:pPr>
      <w:r>
        <w:rPr>
          <w:rFonts w:hint="eastAsia" w:ascii="宋体" w:hAnsi="宋体"/>
          <w:color w:val="auto"/>
          <w:sz w:val="24"/>
          <w:szCs w:val="24"/>
          <w:highlight w:val="none"/>
        </w:rPr>
        <w:t>3.5.4.4、不应</w:t>
      </w:r>
      <w:r>
        <w:rPr>
          <w:rFonts w:hint="eastAsia" w:ascii="宋体" w:hAnsi="宋体"/>
          <w:color w:val="auto"/>
          <w:sz w:val="24"/>
          <w:szCs w:val="24"/>
          <w:highlight w:val="none"/>
          <w:lang w:val="zh-CN"/>
        </w:rPr>
        <w:t>与其他投标人、采购人或采购代理机构串通或恶意串通。</w:t>
      </w:r>
    </w:p>
    <w:p w14:paraId="1C8CBBBC">
      <w:pPr>
        <w:widowControl w:val="0"/>
        <w:tabs>
          <w:tab w:val="left" w:pos="65"/>
        </w:tabs>
        <w:spacing w:line="460" w:lineRule="atLeas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rPr>
        <w:t>3.5.4.5、中标后</w:t>
      </w:r>
      <w:r>
        <w:rPr>
          <w:rFonts w:hint="eastAsia" w:ascii="宋体" w:hAnsi="宋体"/>
          <w:color w:val="auto"/>
          <w:sz w:val="24"/>
          <w:szCs w:val="24"/>
          <w:highlight w:val="none"/>
          <w:lang w:val="zh-CN"/>
        </w:rPr>
        <w:t>除不可抗拒力或谈判文件认可的情形外</w:t>
      </w:r>
      <w:r>
        <w:rPr>
          <w:rFonts w:hint="eastAsia" w:ascii="宋体" w:hAnsi="宋体"/>
          <w:color w:val="auto"/>
          <w:sz w:val="24"/>
          <w:szCs w:val="24"/>
          <w:highlight w:val="none"/>
        </w:rPr>
        <w:t>，投标人应及时领取中标通知书，</w:t>
      </w:r>
      <w:r>
        <w:rPr>
          <w:rFonts w:hint="eastAsia" w:ascii="宋体" w:hAnsi="宋体"/>
          <w:color w:val="auto"/>
          <w:sz w:val="24"/>
          <w:szCs w:val="24"/>
          <w:highlight w:val="none"/>
          <w:lang w:val="zh-CN"/>
        </w:rPr>
        <w:t>在成交通知书规定时间、地点与采购人签订合同；</w:t>
      </w:r>
      <w:r>
        <w:rPr>
          <w:rFonts w:hint="eastAsia" w:ascii="宋体" w:hAnsi="宋体"/>
          <w:color w:val="auto"/>
          <w:sz w:val="24"/>
          <w:szCs w:val="24"/>
          <w:highlight w:val="none"/>
        </w:rPr>
        <w:br w:type="textWrapping"/>
      </w:r>
      <w:r>
        <w:rPr>
          <w:rFonts w:hint="eastAsia" w:ascii="宋体" w:hAnsi="宋体"/>
          <w:color w:val="auto"/>
          <w:sz w:val="24"/>
          <w:szCs w:val="24"/>
          <w:highlight w:val="none"/>
        </w:rPr>
        <w:t xml:space="preserve">    3.5.4.6、投标人应</w:t>
      </w:r>
      <w:r>
        <w:rPr>
          <w:rFonts w:hint="eastAsia" w:ascii="宋体" w:hAnsi="宋体"/>
          <w:color w:val="auto"/>
          <w:sz w:val="24"/>
          <w:szCs w:val="24"/>
          <w:highlight w:val="none"/>
          <w:lang w:val="zh-CN"/>
        </w:rPr>
        <w:t>遵守法律法规及</w:t>
      </w:r>
      <w:r>
        <w:rPr>
          <w:rFonts w:hint="eastAsia" w:ascii="宋体" w:hAnsi="宋体"/>
          <w:color w:val="auto"/>
          <w:sz w:val="24"/>
          <w:szCs w:val="24"/>
          <w:highlight w:val="none"/>
        </w:rPr>
        <w:t>谈判</w:t>
      </w:r>
      <w:r>
        <w:rPr>
          <w:rFonts w:hint="eastAsia" w:ascii="宋体" w:hAnsi="宋体"/>
          <w:color w:val="auto"/>
          <w:sz w:val="24"/>
          <w:szCs w:val="24"/>
          <w:highlight w:val="none"/>
          <w:lang w:val="zh-CN"/>
        </w:rPr>
        <w:t>文件规定的其他情况；</w:t>
      </w:r>
    </w:p>
    <w:p w14:paraId="2D79D0A8">
      <w:pPr>
        <w:widowControl w:val="0"/>
        <w:tabs>
          <w:tab w:val="left" w:pos="65"/>
        </w:tabs>
        <w:spacing w:line="460" w:lineRule="atLeas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rPr>
        <w:t>3.5.4.7、投标人应按谈判文件规定及时缴纳中标服务费。</w:t>
      </w:r>
    </w:p>
    <w:p w14:paraId="26B07E78">
      <w:pPr>
        <w:widowControl w:val="0"/>
        <w:tabs>
          <w:tab w:val="left" w:pos="65"/>
        </w:tabs>
        <w:spacing w:line="460" w:lineRule="atLeas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rPr>
        <w:t>3.5.5 违背承诺的责任追究措施</w:t>
      </w:r>
    </w:p>
    <w:p w14:paraId="7BDB038A">
      <w:pPr>
        <w:widowControl w:val="0"/>
        <w:tabs>
          <w:tab w:val="left" w:pos="65"/>
        </w:tabs>
        <w:spacing w:line="460" w:lineRule="atLeas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rPr>
        <w:t>投标人如违背上述承诺事项，应无条件接受以下责任追究：</w:t>
      </w:r>
    </w:p>
    <w:p w14:paraId="384145E8">
      <w:pPr>
        <w:widowControl w:val="0"/>
        <w:tabs>
          <w:tab w:val="left" w:pos="65"/>
        </w:tabs>
        <w:spacing w:line="460" w:lineRule="atLeast"/>
        <w:ind w:firstLine="480" w:firstLineChars="200"/>
        <w:textAlignment w:val="auto"/>
        <w:rPr>
          <w:rFonts w:ascii="宋体" w:hAnsi="宋体"/>
          <w:color w:val="auto"/>
          <w:sz w:val="24"/>
          <w:szCs w:val="24"/>
          <w:highlight w:val="none"/>
          <w:lang w:val="zh-CN"/>
        </w:rPr>
      </w:pPr>
      <w:r>
        <w:rPr>
          <w:rFonts w:hint="eastAsia" w:ascii="宋体" w:hAnsi="宋体"/>
          <w:color w:val="auto"/>
          <w:sz w:val="24"/>
          <w:szCs w:val="24"/>
          <w:highlight w:val="none"/>
        </w:rPr>
        <w:t>3.5.5.1</w:t>
      </w:r>
      <w:r>
        <w:rPr>
          <w:rFonts w:hint="eastAsia" w:ascii="宋体" w:hAnsi="宋体"/>
          <w:color w:val="auto"/>
          <w:sz w:val="24"/>
          <w:szCs w:val="24"/>
          <w:highlight w:val="none"/>
          <w:lang w:val="zh-CN"/>
        </w:rPr>
        <w:t>法定责任：</w:t>
      </w:r>
      <w:r>
        <w:rPr>
          <w:rFonts w:hint="eastAsia" w:ascii="宋体" w:hAnsi="宋体"/>
          <w:color w:val="auto"/>
          <w:sz w:val="24"/>
          <w:szCs w:val="24"/>
          <w:highlight w:val="none"/>
        </w:rPr>
        <w:t>按照政府采购相关法规，</w:t>
      </w:r>
      <w:r>
        <w:rPr>
          <w:rFonts w:hint="eastAsia" w:ascii="宋体" w:hAnsi="宋体"/>
          <w:color w:val="auto"/>
          <w:sz w:val="24"/>
          <w:szCs w:val="24"/>
          <w:highlight w:val="none"/>
          <w:lang w:val="zh-CN"/>
        </w:rPr>
        <w:t>处以罚款，列入不良行为记录名单，在一至三年内禁止参加政府采购活动，有违法所得的，并处没收违法所得，情节严重的，由工商行政管理机关（市场监督机关）吊销营业执照；构成犯罪的，依法追究刑事责任。</w:t>
      </w:r>
    </w:p>
    <w:p w14:paraId="48ECF0CD">
      <w:pPr>
        <w:widowControl w:val="0"/>
        <w:tabs>
          <w:tab w:val="left" w:pos="65"/>
        </w:tabs>
        <w:spacing w:line="460" w:lineRule="atLeast"/>
        <w:ind w:firstLine="480" w:firstLineChars="200"/>
        <w:textAlignment w:val="auto"/>
        <w:rPr>
          <w:rFonts w:ascii="宋体" w:hAnsi="宋体"/>
          <w:color w:val="auto"/>
          <w:sz w:val="24"/>
          <w:szCs w:val="24"/>
          <w:highlight w:val="none"/>
          <w:lang w:val="zh-CN"/>
        </w:rPr>
      </w:pPr>
      <w:r>
        <w:rPr>
          <w:rFonts w:hint="eastAsia" w:ascii="宋体" w:hAnsi="宋体"/>
          <w:color w:val="auto"/>
          <w:sz w:val="24"/>
          <w:szCs w:val="24"/>
          <w:highlight w:val="none"/>
        </w:rPr>
        <w:t>给采购人及他人造成损失的，应承担相应的赔偿责任。</w:t>
      </w:r>
    </w:p>
    <w:p w14:paraId="1AFBEDC0">
      <w:pPr>
        <w:widowControl w:val="0"/>
        <w:tabs>
          <w:tab w:val="left" w:pos="65"/>
        </w:tabs>
        <w:spacing w:line="460" w:lineRule="atLeas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rPr>
        <w:t>3.5.5.2</w:t>
      </w:r>
      <w:r>
        <w:rPr>
          <w:rFonts w:hint="eastAsia" w:ascii="宋体" w:hAnsi="宋体"/>
          <w:color w:val="auto"/>
          <w:sz w:val="24"/>
          <w:szCs w:val="24"/>
          <w:highlight w:val="none"/>
          <w:lang w:val="zh-CN"/>
        </w:rPr>
        <w:t>违约责任：</w:t>
      </w:r>
      <w:r>
        <w:rPr>
          <w:rFonts w:hint="eastAsia" w:ascii="宋体" w:hAnsi="宋体"/>
          <w:color w:val="auto"/>
          <w:sz w:val="24"/>
          <w:szCs w:val="24"/>
          <w:highlight w:val="none"/>
        </w:rPr>
        <w:t xml:space="preserve"> </w:t>
      </w:r>
    </w:p>
    <w:p w14:paraId="6D4D5392">
      <w:pPr>
        <w:widowControl w:val="0"/>
        <w:tabs>
          <w:tab w:val="left" w:pos="65"/>
        </w:tabs>
        <w:spacing w:line="460" w:lineRule="atLeas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rPr>
        <w:t>3.5.5.2.1 已中标的，中标（成交）无效；</w:t>
      </w:r>
    </w:p>
    <w:p w14:paraId="10F7DCF1">
      <w:pPr>
        <w:widowControl w:val="0"/>
        <w:tabs>
          <w:tab w:val="left" w:pos="65"/>
        </w:tabs>
        <w:spacing w:line="460" w:lineRule="atLeas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rPr>
        <w:t>3.5.5.2.2 支付采购人违约标的预算金额2%的</w:t>
      </w:r>
      <w:r>
        <w:rPr>
          <w:rFonts w:hint="eastAsia" w:ascii="宋体" w:hAnsi="宋体"/>
          <w:color w:val="auto"/>
          <w:sz w:val="24"/>
          <w:szCs w:val="24"/>
          <w:highlight w:val="none"/>
          <w:lang w:val="zh-CN"/>
        </w:rPr>
        <w:t>违约金</w:t>
      </w:r>
      <w:r>
        <w:rPr>
          <w:rFonts w:hint="eastAsia" w:ascii="宋体" w:hAnsi="宋体"/>
          <w:color w:val="auto"/>
          <w:sz w:val="24"/>
          <w:szCs w:val="24"/>
          <w:highlight w:val="none"/>
        </w:rPr>
        <w:t>；</w:t>
      </w:r>
    </w:p>
    <w:p w14:paraId="69FDB449">
      <w:pPr>
        <w:widowControl w:val="0"/>
        <w:tabs>
          <w:tab w:val="left" w:pos="65"/>
        </w:tabs>
        <w:spacing w:line="460" w:lineRule="atLeast"/>
        <w:ind w:firstLine="480" w:firstLineChars="200"/>
        <w:textAlignment w:val="auto"/>
        <w:rPr>
          <w:rFonts w:ascii="宋体" w:cs="楷体_GB2312"/>
          <w:color w:val="auto"/>
          <w:sz w:val="24"/>
          <w:highlight w:val="none"/>
          <w:lang w:val="zh-CN"/>
        </w:rPr>
      </w:pPr>
      <w:r>
        <w:rPr>
          <w:rFonts w:hint="eastAsia" w:ascii="宋体" w:hAnsi="宋体"/>
          <w:color w:val="auto"/>
          <w:sz w:val="24"/>
          <w:szCs w:val="24"/>
          <w:highlight w:val="none"/>
        </w:rPr>
        <w:t>3.5.5.2.3中标后未缴中标服</w:t>
      </w:r>
      <w:r>
        <w:rPr>
          <w:rFonts w:hint="eastAsia"/>
          <w:color w:val="auto"/>
          <w:sz w:val="24"/>
          <w:highlight w:val="none"/>
        </w:rPr>
        <w:t>务费的，作为违约及违背</w:t>
      </w:r>
      <w:r>
        <w:rPr>
          <w:color w:val="auto"/>
          <w:highlight w:val="none"/>
        </w:rPr>
        <w:fldChar w:fldCharType="begin"/>
      </w:r>
      <w:r>
        <w:rPr>
          <w:color w:val="auto"/>
          <w:highlight w:val="none"/>
        </w:rPr>
        <w:instrText xml:space="preserve"> HYPERLINK "http://www.so.com/s?q=%E8%AF%9A%E5%AE%9E%E4%BF%A1%E7%94%A8&amp;ie=utf-8&amp;src=internal_wenda_recommend_textn" \t "https://wenda.so.com/q/_blank" </w:instrText>
      </w:r>
      <w:r>
        <w:rPr>
          <w:color w:val="auto"/>
          <w:highlight w:val="none"/>
        </w:rPr>
        <w:fldChar w:fldCharType="separate"/>
      </w:r>
      <w:r>
        <w:rPr>
          <w:rFonts w:hint="eastAsia" w:ascii="宋体" w:hAnsi="宋体"/>
          <w:color w:val="auto"/>
          <w:sz w:val="24"/>
          <w:szCs w:val="24"/>
          <w:highlight w:val="none"/>
        </w:rPr>
        <w:t>诚实信用</w:t>
      </w:r>
      <w:r>
        <w:rPr>
          <w:rFonts w:hint="eastAsia" w:ascii="宋体" w:hAnsi="宋体"/>
          <w:color w:val="auto"/>
          <w:sz w:val="24"/>
          <w:szCs w:val="24"/>
          <w:highlight w:val="none"/>
        </w:rPr>
        <w:fldChar w:fldCharType="end"/>
      </w:r>
      <w:r>
        <w:rPr>
          <w:rFonts w:hint="eastAsia" w:ascii="宋体" w:hAnsi="宋体"/>
          <w:color w:val="auto"/>
          <w:sz w:val="24"/>
          <w:szCs w:val="24"/>
          <w:highlight w:val="none"/>
        </w:rPr>
        <w:t>原则，在履行承诺前，代理机构将视该单位为失信企业、不予办理其后相关业务。</w:t>
      </w:r>
    </w:p>
    <w:p w14:paraId="722D9E61">
      <w:pPr>
        <w:autoSpaceDE w:val="0"/>
        <w:autoSpaceDN w:val="0"/>
        <w:adjustRightInd w:val="0"/>
        <w:spacing w:before="156" w:beforeLines="50" w:line="360" w:lineRule="auto"/>
        <w:ind w:firstLine="539"/>
        <w:rPr>
          <w:rFonts w:ascii="黑体" w:hAnsi="黑体" w:eastAsia="黑体" w:cs="楷体_GB2312"/>
          <w:b/>
          <w:bCs/>
          <w:color w:val="auto"/>
          <w:sz w:val="28"/>
          <w:szCs w:val="28"/>
          <w:highlight w:val="none"/>
          <w:lang w:val="zh-CN"/>
        </w:rPr>
      </w:pPr>
      <w:r>
        <w:rPr>
          <w:rFonts w:ascii="黑体" w:hAnsi="黑体" w:eastAsia="黑体" w:cs="楷体_GB2312"/>
          <w:b/>
          <w:color w:val="auto"/>
          <w:sz w:val="24"/>
          <w:highlight w:val="none"/>
          <w:lang w:val="zh-CN"/>
        </w:rPr>
        <w:t xml:space="preserve">3.6 </w:t>
      </w:r>
      <w:r>
        <w:rPr>
          <w:rFonts w:hint="eastAsia" w:ascii="黑体" w:hAnsi="黑体" w:eastAsia="黑体" w:cs="楷体_GB2312"/>
          <w:b/>
          <w:color w:val="auto"/>
          <w:sz w:val="24"/>
          <w:highlight w:val="none"/>
          <w:lang w:val="zh-CN"/>
        </w:rPr>
        <w:t>投标资格文件：</w:t>
      </w:r>
      <w:r>
        <w:rPr>
          <w:rFonts w:hint="eastAsia" w:ascii="宋体" w:hAnsi="宋体" w:cs="楷体_GB2312"/>
          <w:color w:val="auto"/>
          <w:sz w:val="24"/>
          <w:highlight w:val="none"/>
          <w:lang w:val="zh-CN"/>
        </w:rPr>
        <w:t>要求见谈判公告</w:t>
      </w:r>
    </w:p>
    <w:p w14:paraId="0502C58E">
      <w:pPr>
        <w:topLinePunct/>
        <w:adjustRightInd w:val="0"/>
        <w:snapToGrid w:val="0"/>
        <w:spacing w:before="156" w:beforeLines="50" w:line="300" w:lineRule="auto"/>
        <w:ind w:left="561" w:leftChars="267" w:firstLine="5" w:firstLineChars="2"/>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3.7</w:t>
      </w:r>
      <w:r>
        <w:rPr>
          <w:rFonts w:hint="eastAsia" w:ascii="黑体" w:hAnsi="黑体" w:eastAsia="黑体" w:cs="楷体_GB2312"/>
          <w:b/>
          <w:color w:val="auto"/>
          <w:sz w:val="24"/>
          <w:highlight w:val="none"/>
          <w:lang w:val="zh-CN"/>
        </w:rPr>
        <w:t>投标文件的编制</w:t>
      </w:r>
    </w:p>
    <w:p w14:paraId="7D8A6ACD">
      <w:pPr>
        <w:topLinePunct/>
        <w:adjustRightInd w:val="0"/>
        <w:snapToGrid w:val="0"/>
        <w:spacing w:before="156" w:beforeLines="50" w:line="300" w:lineRule="auto"/>
        <w:ind w:firstLine="564" w:firstLineChars="235"/>
        <w:rPr>
          <w:rFonts w:ascii="宋体" w:hAnsi="宋体" w:cs="楷体_GB2312"/>
          <w:color w:val="auto"/>
          <w:sz w:val="24"/>
          <w:highlight w:val="none"/>
          <w:lang w:val="zh-CN"/>
        </w:rPr>
      </w:pPr>
      <w:r>
        <w:rPr>
          <w:rFonts w:ascii="宋体" w:hAnsi="宋体" w:cs="楷体_GB2312"/>
          <w:color w:val="auto"/>
          <w:sz w:val="24"/>
          <w:highlight w:val="none"/>
          <w:lang w:val="zh-CN"/>
        </w:rPr>
        <w:t>3.7.1</w:t>
      </w:r>
      <w:r>
        <w:rPr>
          <w:rFonts w:hint="eastAsia" w:ascii="宋体" w:hAnsi="宋体" w:cs="楷体_GB2312"/>
          <w:color w:val="auto"/>
          <w:sz w:val="24"/>
          <w:highlight w:val="none"/>
          <w:lang w:val="zh-CN"/>
        </w:rPr>
        <w:t>投标文件（响应文件）应按第六章“投标文件格式”进行编写，如有必要，可以增加附页，作为投标文件（响应文件）的组成部分。谈判文件中未列明格式的，由投标人按一般通用格式自行设计编写。</w:t>
      </w:r>
    </w:p>
    <w:p w14:paraId="66F89AB1">
      <w:pPr>
        <w:widowControl w:val="0"/>
        <w:adjustRightInd w:val="0"/>
        <w:spacing w:before="156" w:beforeLines="50" w:line="300" w:lineRule="auto"/>
        <w:ind w:firstLine="540" w:firstLineChars="225"/>
        <w:rPr>
          <w:rFonts w:ascii="宋体" w:hAnsi="宋体"/>
          <w:color w:val="auto"/>
          <w:sz w:val="24"/>
          <w:szCs w:val="24"/>
          <w:highlight w:val="none"/>
        </w:rPr>
      </w:pPr>
      <w:r>
        <w:rPr>
          <w:rFonts w:hint="eastAsia" w:ascii="宋体" w:hAnsi="宋体" w:cs="楷体_GB2312"/>
          <w:color w:val="auto"/>
          <w:sz w:val="24"/>
          <w:highlight w:val="none"/>
          <w:lang w:val="zh-CN"/>
        </w:rPr>
        <w:t>投标文件编制后，</w:t>
      </w:r>
      <w:r>
        <w:rPr>
          <w:rFonts w:hint="eastAsia" w:ascii="宋体" w:hAnsi="宋体"/>
          <w:color w:val="auto"/>
          <w:sz w:val="24"/>
          <w:szCs w:val="24"/>
          <w:highlight w:val="none"/>
        </w:rPr>
        <w:t>投标人应在投标截止时间前上传加密的电子投标文件（*.aytf）到安阳县公共资源交易平台。上传时投标人须使用制作该投标文件的同一CA锁进行上传操作。请投标人在上传时认真检查上传投标文件是否完整、正确。投标人应充分考虑上传文件时的不可预见因素，未在投标截止时间前完成上传的，视为逾期送达，安阳县公共资源交易平台将拒绝接收。</w:t>
      </w:r>
    </w:p>
    <w:p w14:paraId="2ED04BC4">
      <w:pPr>
        <w:topLinePunct/>
        <w:adjustRightInd w:val="0"/>
        <w:snapToGrid w:val="0"/>
        <w:spacing w:before="156" w:beforeLines="50" w:line="300" w:lineRule="auto"/>
        <w:ind w:firstLine="564" w:firstLineChars="235"/>
        <w:rPr>
          <w:rFonts w:ascii="宋体" w:cs="楷体_GB2312"/>
          <w:color w:val="auto"/>
          <w:sz w:val="24"/>
          <w:highlight w:val="none"/>
          <w:lang w:val="zh-CN"/>
        </w:rPr>
      </w:pPr>
      <w:r>
        <w:rPr>
          <w:rFonts w:ascii="宋体" w:hAnsi="宋体" w:cs="楷体_GB2312"/>
          <w:color w:val="auto"/>
          <w:sz w:val="24"/>
          <w:highlight w:val="none"/>
          <w:lang w:val="zh-CN"/>
        </w:rPr>
        <w:t xml:space="preserve">3.7.2 </w:t>
      </w:r>
      <w:r>
        <w:rPr>
          <w:rFonts w:hint="eastAsia" w:ascii="宋体" w:hAnsi="宋体" w:cs="楷体_GB2312"/>
          <w:color w:val="auto"/>
          <w:sz w:val="24"/>
          <w:highlight w:val="none"/>
          <w:lang w:val="zh-CN"/>
        </w:rPr>
        <w:t>“投标文件格式”仅为对投标文件（响应文件）部分内容的格式化规范，并非投标文件所应具备的全部内容。投标人应按本章“</w:t>
      </w:r>
      <w:r>
        <w:rPr>
          <w:rFonts w:ascii="宋体" w:hAnsi="宋体" w:cs="楷体_GB2312"/>
          <w:color w:val="auto"/>
          <w:sz w:val="24"/>
          <w:highlight w:val="none"/>
          <w:lang w:val="zh-CN"/>
        </w:rPr>
        <w:t>3.2</w:t>
      </w:r>
      <w:r>
        <w:rPr>
          <w:rFonts w:hint="eastAsia" w:ascii="宋体" w:hAnsi="宋体" w:cs="楷体_GB2312"/>
          <w:color w:val="auto"/>
          <w:sz w:val="24"/>
          <w:highlight w:val="none"/>
          <w:lang w:val="zh-CN"/>
        </w:rPr>
        <w:t>投标文件的组成”列示内容编制投标文件（响应文件）。</w:t>
      </w:r>
    </w:p>
    <w:p w14:paraId="6DEB5810">
      <w:pPr>
        <w:adjustRightInd w:val="0"/>
        <w:snapToGrid w:val="0"/>
        <w:spacing w:before="156" w:beforeLines="50" w:line="300" w:lineRule="auto"/>
        <w:ind w:firstLine="480" w:firstLineChars="200"/>
        <w:rPr>
          <w:rFonts w:ascii="宋体" w:cs="楷体_GB2312"/>
          <w:color w:val="auto"/>
          <w:sz w:val="24"/>
          <w:highlight w:val="none"/>
          <w:lang w:val="zh-CN"/>
        </w:rPr>
      </w:pPr>
      <w:r>
        <w:rPr>
          <w:rFonts w:ascii="宋体" w:hAnsi="宋体" w:cs="楷体_GB2312"/>
          <w:color w:val="auto"/>
          <w:sz w:val="24"/>
          <w:highlight w:val="none"/>
          <w:lang w:val="zh-CN"/>
        </w:rPr>
        <w:t>3.7</w:t>
      </w:r>
      <w:r>
        <w:rPr>
          <w:rFonts w:ascii="宋体" w:cs="楷体_GB2312"/>
          <w:color w:val="auto"/>
          <w:sz w:val="24"/>
          <w:highlight w:val="none"/>
          <w:lang w:val="zh-CN"/>
        </w:rPr>
        <w:t>.</w:t>
      </w:r>
      <w:r>
        <w:rPr>
          <w:rFonts w:ascii="宋体" w:hAnsi="宋体" w:cs="楷体_GB2312"/>
          <w:color w:val="auto"/>
          <w:sz w:val="24"/>
          <w:highlight w:val="none"/>
          <w:lang w:val="zh-CN"/>
        </w:rPr>
        <w:t>3</w:t>
      </w:r>
      <w:r>
        <w:rPr>
          <w:rFonts w:hint="eastAsia" w:ascii="宋体" w:hAnsi="宋体" w:cs="楷体_GB2312"/>
          <w:color w:val="auto"/>
          <w:sz w:val="24"/>
          <w:highlight w:val="none"/>
          <w:lang w:val="zh-CN"/>
        </w:rPr>
        <w:t>投标文件（响应文件）应当对谈判文件有关标段（包）内容（范围）、技术要求、售后服务、交验期、投标有效期等实质性内容作出响应。在满足谈判文件实质性要求的基础上，可以提出比谈判文件要求更有利于采购人的承诺。并符合谈判文件偏差规定。</w:t>
      </w:r>
    </w:p>
    <w:p w14:paraId="47AC678B">
      <w:pPr>
        <w:adjustRightInd w:val="0"/>
        <w:snapToGrid w:val="0"/>
        <w:spacing w:before="156" w:beforeLines="50" w:line="300" w:lineRule="auto"/>
        <w:ind w:firstLine="480" w:firstLineChars="200"/>
        <w:rPr>
          <w:rFonts w:ascii="宋体" w:cs="楷体_GB2312"/>
          <w:color w:val="auto"/>
          <w:sz w:val="24"/>
          <w:highlight w:val="none"/>
          <w:lang w:val="zh-CN"/>
        </w:rPr>
      </w:pPr>
      <w:r>
        <w:rPr>
          <w:rFonts w:hint="eastAsia" w:ascii="宋体" w:hAnsi="宋体" w:cs="楷体_GB2312"/>
          <w:color w:val="auto"/>
          <w:sz w:val="24"/>
          <w:highlight w:val="none"/>
          <w:lang w:val="zh-CN"/>
        </w:rPr>
        <w:t>投标文件（响应文件）的所有条款与谈判文件要求有任何不同之处，应按《技术偏差表》、《其他偏差表》格式逐一填列。投标文件（响应文件）与谈判文件所有要求存在偏差而未填列的，谈判小组有权按照实质性判断原则（实质性要求和实质性响应两因素）评定其为</w:t>
      </w:r>
      <w:r>
        <w:rPr>
          <w:rFonts w:hint="eastAsia" w:ascii="宋体" w:hAnsi="宋体" w:cs="楷体_GB2312"/>
          <w:b/>
          <w:color w:val="auto"/>
          <w:sz w:val="24"/>
          <w:highlight w:val="none"/>
          <w:lang w:val="zh-CN"/>
        </w:rPr>
        <w:t>无效投标</w:t>
      </w:r>
      <w:r>
        <w:rPr>
          <w:rFonts w:hint="eastAsia" w:ascii="宋体" w:hAnsi="宋体" w:cs="楷体_GB2312"/>
          <w:color w:val="auto"/>
          <w:sz w:val="24"/>
          <w:highlight w:val="none"/>
          <w:lang w:val="zh-CN"/>
        </w:rPr>
        <w:t>。投标人应认真编制投标文件（响应文件）并自负此项风险。</w:t>
      </w:r>
    </w:p>
    <w:p w14:paraId="317A9DC6">
      <w:pPr>
        <w:autoSpaceDE w:val="0"/>
        <w:autoSpaceDN w:val="0"/>
        <w:adjustRightInd w:val="0"/>
        <w:snapToGrid w:val="0"/>
        <w:spacing w:before="156" w:beforeLines="50" w:line="300" w:lineRule="auto"/>
        <w:ind w:firstLine="539"/>
        <w:rPr>
          <w:rFonts w:ascii="宋体" w:cs="楷体_GB2312"/>
          <w:b/>
          <w:color w:val="auto"/>
          <w:sz w:val="24"/>
          <w:highlight w:val="none"/>
        </w:rPr>
      </w:pPr>
      <w:r>
        <w:rPr>
          <w:rFonts w:ascii="宋体" w:hAnsi="宋体" w:cs="楷体_GB2312"/>
          <w:b/>
          <w:color w:val="auto"/>
          <w:sz w:val="24"/>
          <w:highlight w:val="none"/>
          <w:lang w:val="zh-CN"/>
        </w:rPr>
        <w:t>3.7.</w:t>
      </w:r>
      <w:r>
        <w:rPr>
          <w:rFonts w:hint="eastAsia" w:ascii="宋体" w:hAnsi="宋体" w:cs="楷体_GB2312"/>
          <w:b/>
          <w:color w:val="auto"/>
          <w:sz w:val="24"/>
          <w:highlight w:val="none"/>
          <w:lang w:val="zh-CN"/>
        </w:rPr>
        <w:t>4</w:t>
      </w:r>
      <w:r>
        <w:rPr>
          <w:rFonts w:ascii="宋体" w:hAnsi="宋体" w:cs="楷体_GB2312"/>
          <w:b/>
          <w:color w:val="auto"/>
          <w:sz w:val="24"/>
          <w:highlight w:val="none"/>
          <w:lang w:val="zh-CN"/>
        </w:rPr>
        <w:t xml:space="preserve"> </w:t>
      </w:r>
      <w:r>
        <w:rPr>
          <w:rFonts w:hint="eastAsia" w:ascii="宋体" w:hAnsi="宋体" w:cs="楷体_GB2312"/>
          <w:b/>
          <w:color w:val="auto"/>
          <w:sz w:val="24"/>
          <w:highlight w:val="none"/>
          <w:lang w:val="zh-CN"/>
        </w:rPr>
        <w:t>投标文件（响应文件）</w:t>
      </w:r>
      <w:r>
        <w:rPr>
          <w:rFonts w:hint="eastAsia" w:ascii="宋体" w:hAnsi="宋体" w:cs="楷体_GB2312"/>
          <w:b/>
          <w:color w:val="auto"/>
          <w:sz w:val="24"/>
          <w:highlight w:val="none"/>
        </w:rPr>
        <w:t>应</w:t>
      </w:r>
      <w:r>
        <w:rPr>
          <w:rFonts w:hint="eastAsia" w:ascii="宋体" w:hAnsi="宋体" w:cs="楷体_GB2312"/>
          <w:b/>
          <w:color w:val="auto"/>
          <w:sz w:val="24"/>
          <w:highlight w:val="none"/>
          <w:lang w:val="zh-CN"/>
        </w:rPr>
        <w:t>按谈判文件相关要求（含格式上标注的要求）、</w:t>
      </w:r>
      <w:r>
        <w:rPr>
          <w:rFonts w:hint="eastAsia" w:ascii="宋体" w:hAnsi="宋体" w:cs="楷体_GB2312"/>
          <w:b/>
          <w:color w:val="auto"/>
          <w:sz w:val="24"/>
          <w:highlight w:val="none"/>
        </w:rPr>
        <w:t>使用供应商企业数字证书进行电</w:t>
      </w:r>
      <w:r>
        <w:rPr>
          <w:rFonts w:ascii="宋体" w:hAnsi="宋体" w:cs="楷体_GB2312"/>
          <w:b/>
          <w:color w:val="auto"/>
          <w:sz w:val="24"/>
          <w:highlight w:val="none"/>
        </w:rPr>
        <w:t>子</w:t>
      </w:r>
      <w:r>
        <w:rPr>
          <w:rFonts w:hint="eastAsia" w:ascii="宋体" w:hAnsi="宋体" w:cs="楷体_GB2312"/>
          <w:b/>
          <w:color w:val="auto"/>
          <w:sz w:val="24"/>
          <w:highlight w:val="none"/>
        </w:rPr>
        <w:t>签章和供应商法定代表人数字证书进行电</w:t>
      </w:r>
      <w:r>
        <w:rPr>
          <w:rFonts w:ascii="宋体" w:hAnsi="宋体" w:cs="楷体_GB2312"/>
          <w:b/>
          <w:color w:val="auto"/>
          <w:sz w:val="24"/>
          <w:highlight w:val="none"/>
        </w:rPr>
        <w:t>子</w:t>
      </w:r>
      <w:r>
        <w:rPr>
          <w:rFonts w:hint="eastAsia" w:ascii="宋体" w:hAnsi="宋体" w:cs="楷体_GB2312"/>
          <w:b/>
          <w:color w:val="auto"/>
          <w:sz w:val="24"/>
          <w:highlight w:val="none"/>
        </w:rPr>
        <w:t>签名（签章）、并加密，没有使用供应商企业数字证书和供应商法定代表人数字证书进行电</w:t>
      </w:r>
      <w:r>
        <w:rPr>
          <w:rFonts w:ascii="宋体" w:hAnsi="宋体" w:cs="楷体_GB2312"/>
          <w:b/>
          <w:color w:val="auto"/>
          <w:sz w:val="24"/>
          <w:highlight w:val="none"/>
        </w:rPr>
        <w:t>子</w:t>
      </w:r>
      <w:r>
        <w:rPr>
          <w:rFonts w:hint="eastAsia" w:ascii="宋体" w:hAnsi="宋体" w:cs="楷体_GB2312"/>
          <w:b/>
          <w:color w:val="auto"/>
          <w:sz w:val="24"/>
          <w:highlight w:val="none"/>
        </w:rPr>
        <w:t>签名（签章）并加密的响应文件，属于未按照谈判文件要求进行签署。</w:t>
      </w:r>
    </w:p>
    <w:p w14:paraId="50029253">
      <w:pPr>
        <w:autoSpaceDE w:val="0"/>
        <w:autoSpaceDN w:val="0"/>
        <w:adjustRightInd w:val="0"/>
        <w:snapToGrid w:val="0"/>
        <w:spacing w:before="156" w:beforeLines="50" w:line="300" w:lineRule="auto"/>
        <w:ind w:firstLine="539"/>
        <w:rPr>
          <w:rFonts w:ascii="宋体" w:cs="楷体_GB2312"/>
          <w:color w:val="auto"/>
          <w:sz w:val="24"/>
          <w:highlight w:val="none"/>
        </w:rPr>
      </w:pPr>
      <w:r>
        <w:rPr>
          <w:rFonts w:hint="eastAsia" w:ascii="宋体" w:hAnsi="宋体" w:cs="楷体_GB2312"/>
          <w:b/>
          <w:color w:val="auto"/>
          <w:sz w:val="24"/>
          <w:highlight w:val="none"/>
        </w:rPr>
        <w:t>根据《中华人民共和国电子签名法》规定，可靠的电子签名与手写签名或者盖章具有同等的法律效力。本次采购活动中，供应商使用有效的企业数字证书对响应文件进行电子签章与加盖投标</w:t>
      </w:r>
      <w:r>
        <w:rPr>
          <w:rFonts w:ascii="宋体" w:hAnsi="宋体" w:cs="楷体_GB2312"/>
          <w:b/>
          <w:color w:val="auto"/>
          <w:sz w:val="24"/>
          <w:highlight w:val="none"/>
        </w:rPr>
        <w:t>人公</w:t>
      </w:r>
      <w:r>
        <w:rPr>
          <w:rFonts w:hint="eastAsia" w:ascii="宋体" w:hAnsi="宋体" w:cs="楷体_GB2312"/>
          <w:b/>
          <w:color w:val="auto"/>
          <w:sz w:val="24"/>
          <w:highlight w:val="none"/>
        </w:rPr>
        <w:t>章具有同等法律效力；供应商法定代表人使用有效的个人数字证书对响应文件进行签名（签章）与法人签章具有同等法律效力。</w:t>
      </w:r>
    </w:p>
    <w:p w14:paraId="02913F56">
      <w:pPr>
        <w:adjustRightInd w:val="0"/>
        <w:snapToGrid w:val="0"/>
        <w:spacing w:before="156" w:beforeLines="50" w:line="300" w:lineRule="auto"/>
        <w:ind w:firstLine="480" w:firstLineChars="200"/>
        <w:rPr>
          <w:rFonts w:ascii="宋体" w:cs="楷体_GB2312"/>
          <w:color w:val="auto"/>
          <w:sz w:val="24"/>
          <w:highlight w:val="none"/>
          <w:lang w:val="zh-CN"/>
        </w:rPr>
      </w:pPr>
      <w:r>
        <w:rPr>
          <w:rFonts w:ascii="宋体" w:hAnsi="宋体" w:cs="楷体_GB2312"/>
          <w:color w:val="auto"/>
          <w:sz w:val="24"/>
          <w:highlight w:val="none"/>
          <w:lang w:val="zh-CN"/>
        </w:rPr>
        <w:t>3.7.5</w:t>
      </w:r>
      <w:r>
        <w:rPr>
          <w:rFonts w:hint="eastAsia" w:ascii="宋体" w:hAnsi="宋体" w:cs="楷体_GB2312"/>
          <w:color w:val="auto"/>
          <w:sz w:val="24"/>
          <w:highlight w:val="none"/>
          <w:lang w:val="zh-CN"/>
        </w:rPr>
        <w:t>投标人可对本谈判文件“标段（包）一览表”中所列的所有标段（包）进行分别投标，也可选择其中一个标段（包）或几个标段（包）投标，但不得将谈判文件规定的同一标段（包）的内容拆开投标，否则将按</w:t>
      </w:r>
      <w:r>
        <w:rPr>
          <w:rFonts w:hint="eastAsia" w:ascii="宋体" w:hAnsi="宋体" w:cs="楷体_GB2312"/>
          <w:b/>
          <w:color w:val="auto"/>
          <w:sz w:val="24"/>
          <w:highlight w:val="none"/>
          <w:lang w:val="zh-CN"/>
        </w:rPr>
        <w:t>无效投标</w:t>
      </w:r>
      <w:r>
        <w:rPr>
          <w:rFonts w:hint="eastAsia" w:ascii="宋体" w:hAnsi="宋体" w:cs="楷体_GB2312"/>
          <w:color w:val="auto"/>
          <w:sz w:val="24"/>
          <w:highlight w:val="none"/>
          <w:lang w:val="zh-CN"/>
        </w:rPr>
        <w:t>处理。</w:t>
      </w:r>
    </w:p>
    <w:p w14:paraId="7E79F9E0">
      <w:pPr>
        <w:autoSpaceDE w:val="0"/>
        <w:autoSpaceDN w:val="0"/>
        <w:adjustRightInd w:val="0"/>
        <w:snapToGrid w:val="0"/>
        <w:spacing w:before="156"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 xml:space="preserve">3.7.6 </w:t>
      </w:r>
      <w:r>
        <w:rPr>
          <w:rFonts w:hint="eastAsia" w:ascii="宋体" w:hAnsi="宋体" w:cs="楷体_GB2312"/>
          <w:color w:val="auto"/>
          <w:sz w:val="24"/>
          <w:highlight w:val="none"/>
          <w:lang w:val="zh-CN"/>
        </w:rPr>
        <w:t>投标文件（响应文件）因字迹或表述不清所引起的后果由投标人自行负责。</w:t>
      </w:r>
    </w:p>
    <w:p w14:paraId="1D8392EA">
      <w:pPr>
        <w:autoSpaceDE w:val="0"/>
        <w:autoSpaceDN w:val="0"/>
        <w:adjustRightInd w:val="0"/>
        <w:snapToGrid w:val="0"/>
        <w:spacing w:before="156"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 xml:space="preserve">3.7.7 </w:t>
      </w:r>
      <w:r>
        <w:rPr>
          <w:rFonts w:hint="eastAsia" w:ascii="宋体" w:hAnsi="宋体" w:cs="楷体_GB2312"/>
          <w:color w:val="auto"/>
          <w:sz w:val="24"/>
          <w:highlight w:val="none"/>
          <w:lang w:val="zh-CN"/>
        </w:rPr>
        <w:t>未按上述要求提供的投标文件（响应文件）将视为</w:t>
      </w:r>
      <w:r>
        <w:rPr>
          <w:rFonts w:hint="eastAsia" w:ascii="宋体" w:hAnsi="宋体" w:cs="楷体_GB2312"/>
          <w:b/>
          <w:color w:val="auto"/>
          <w:sz w:val="24"/>
          <w:highlight w:val="none"/>
          <w:lang w:val="zh-CN"/>
        </w:rPr>
        <w:t>无效投标。</w:t>
      </w:r>
    </w:p>
    <w:p w14:paraId="792D7B50">
      <w:pPr>
        <w:autoSpaceDE w:val="0"/>
        <w:autoSpaceDN w:val="0"/>
        <w:adjustRightInd w:val="0"/>
        <w:spacing w:line="360" w:lineRule="auto"/>
        <w:ind w:firstLine="539"/>
        <w:rPr>
          <w:rFonts w:ascii="黑体" w:hAnsi="黑体" w:eastAsia="黑体" w:cs="楷体_GB2312"/>
          <w:b/>
          <w:bCs/>
          <w:color w:val="auto"/>
          <w:sz w:val="28"/>
          <w:szCs w:val="28"/>
          <w:highlight w:val="none"/>
          <w:lang w:val="zh-CN"/>
        </w:rPr>
      </w:pPr>
    </w:p>
    <w:p w14:paraId="3C33BED2">
      <w:pPr>
        <w:autoSpaceDE w:val="0"/>
        <w:autoSpaceDN w:val="0"/>
        <w:adjustRightInd w:val="0"/>
        <w:snapToGrid w:val="0"/>
        <w:spacing w:before="156" w:beforeLines="50" w:line="300" w:lineRule="auto"/>
        <w:ind w:firstLine="539"/>
        <w:outlineLvl w:val="1"/>
        <w:rPr>
          <w:rFonts w:ascii="黑体" w:hAnsi="黑体" w:eastAsia="黑体" w:cs="楷体_GB2312"/>
          <w:b/>
          <w:bCs/>
          <w:color w:val="auto"/>
          <w:sz w:val="28"/>
          <w:szCs w:val="28"/>
          <w:highlight w:val="none"/>
          <w:lang w:val="zh-CN"/>
        </w:rPr>
      </w:pPr>
      <w:bookmarkStart w:id="26" w:name="_Toc31357"/>
      <w:bookmarkStart w:id="27" w:name="_Toc224739414"/>
      <w:r>
        <w:rPr>
          <w:rFonts w:ascii="黑体" w:hAnsi="黑体" w:eastAsia="黑体" w:cs="楷体_GB2312"/>
          <w:b/>
          <w:bCs/>
          <w:color w:val="auto"/>
          <w:sz w:val="28"/>
          <w:szCs w:val="28"/>
          <w:highlight w:val="none"/>
          <w:lang w:val="zh-CN"/>
        </w:rPr>
        <w:t xml:space="preserve">4. </w:t>
      </w:r>
      <w:r>
        <w:rPr>
          <w:rFonts w:hint="eastAsia" w:ascii="黑体" w:hAnsi="黑体" w:eastAsia="黑体" w:cs="楷体_GB2312"/>
          <w:b/>
          <w:bCs/>
          <w:color w:val="auto"/>
          <w:sz w:val="28"/>
          <w:szCs w:val="28"/>
          <w:highlight w:val="none"/>
          <w:lang w:val="zh-CN"/>
        </w:rPr>
        <w:t>投标（响应文件的递交）</w:t>
      </w:r>
      <w:bookmarkEnd w:id="26"/>
      <w:bookmarkEnd w:id="27"/>
    </w:p>
    <w:p w14:paraId="138C06C8">
      <w:pPr>
        <w:autoSpaceDE w:val="0"/>
        <w:autoSpaceDN w:val="0"/>
        <w:adjustRightInd w:val="0"/>
        <w:snapToGrid w:val="0"/>
        <w:spacing w:before="156" w:beforeLines="50" w:line="300" w:lineRule="auto"/>
        <w:ind w:firstLine="539"/>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 xml:space="preserve">4.1 </w:t>
      </w:r>
      <w:r>
        <w:rPr>
          <w:rFonts w:hint="eastAsia" w:ascii="黑体" w:hAnsi="黑体" w:eastAsia="黑体" w:cs="楷体_GB2312"/>
          <w:b/>
          <w:color w:val="auto"/>
          <w:sz w:val="24"/>
          <w:highlight w:val="none"/>
          <w:lang w:val="zh-CN"/>
        </w:rPr>
        <w:t>投标文件（响应文件）的加</w:t>
      </w:r>
      <w:r>
        <w:rPr>
          <w:rFonts w:ascii="黑体" w:hAnsi="黑体" w:eastAsia="黑体" w:cs="楷体_GB2312"/>
          <w:b/>
          <w:color w:val="auto"/>
          <w:sz w:val="24"/>
          <w:highlight w:val="none"/>
          <w:lang w:val="zh-CN"/>
        </w:rPr>
        <w:t>密</w:t>
      </w:r>
      <w:r>
        <w:rPr>
          <w:rFonts w:hint="eastAsia" w:ascii="黑体" w:hAnsi="黑体" w:eastAsia="黑体" w:cs="楷体_GB2312"/>
          <w:b/>
          <w:color w:val="auto"/>
          <w:sz w:val="24"/>
          <w:highlight w:val="none"/>
          <w:lang w:val="zh-CN"/>
        </w:rPr>
        <w:t>和标记：</w:t>
      </w:r>
    </w:p>
    <w:p w14:paraId="783B510F">
      <w:pPr>
        <w:autoSpaceDE w:val="0"/>
        <w:autoSpaceDN w:val="0"/>
        <w:adjustRightInd w:val="0"/>
        <w:snapToGrid w:val="0"/>
        <w:spacing w:before="156" w:beforeLines="50" w:line="300" w:lineRule="auto"/>
        <w:ind w:firstLine="539"/>
        <w:rPr>
          <w:rFonts w:ascii="宋体" w:hAnsi="宋体" w:cs="楷体_GB2312"/>
          <w:b/>
          <w:color w:val="auto"/>
          <w:sz w:val="24"/>
          <w:highlight w:val="none"/>
          <w:lang w:val="zh-CN"/>
        </w:rPr>
      </w:pPr>
      <w:bookmarkStart w:id="28" w:name="OLE_LINK2"/>
      <w:r>
        <w:rPr>
          <w:rFonts w:ascii="宋体" w:hAnsi="宋体" w:cs="楷体_GB2312"/>
          <w:b/>
          <w:color w:val="auto"/>
          <w:sz w:val="24"/>
          <w:highlight w:val="none"/>
          <w:lang w:val="zh-CN"/>
        </w:rPr>
        <w:t xml:space="preserve">4.1.1 </w:t>
      </w:r>
      <w:r>
        <w:rPr>
          <w:rFonts w:hint="eastAsia" w:ascii="宋体" w:hAnsi="宋体" w:cs="楷体_GB2312"/>
          <w:b/>
          <w:color w:val="auto"/>
          <w:sz w:val="24"/>
          <w:highlight w:val="none"/>
          <w:lang w:val="zh-CN"/>
        </w:rPr>
        <w:t>投标文件（响应文件）应</w:t>
      </w:r>
      <w:r>
        <w:rPr>
          <w:rFonts w:ascii="宋体" w:hAnsi="宋体" w:cs="楷体_GB2312"/>
          <w:b/>
          <w:color w:val="auto"/>
          <w:sz w:val="24"/>
          <w:highlight w:val="none"/>
          <w:lang w:val="zh-CN"/>
        </w:rPr>
        <w:t>当</w:t>
      </w:r>
      <w:r>
        <w:rPr>
          <w:rFonts w:hint="eastAsia" w:ascii="宋体" w:hAnsi="宋体" w:cs="楷体_GB2312"/>
          <w:b/>
          <w:color w:val="auto"/>
          <w:sz w:val="24"/>
          <w:highlight w:val="none"/>
          <w:lang w:val="zh-CN"/>
        </w:rPr>
        <w:t>按网上电子交易系统要</w:t>
      </w:r>
      <w:r>
        <w:rPr>
          <w:rFonts w:ascii="宋体" w:hAnsi="宋体" w:cs="楷体_GB2312"/>
          <w:b/>
          <w:color w:val="auto"/>
          <w:sz w:val="24"/>
          <w:highlight w:val="none"/>
          <w:lang w:val="zh-CN"/>
        </w:rPr>
        <w:t>求</w:t>
      </w:r>
      <w:r>
        <w:rPr>
          <w:rFonts w:hint="eastAsia" w:ascii="宋体" w:hAnsi="宋体" w:cs="楷体_GB2312"/>
          <w:b/>
          <w:color w:val="auto"/>
          <w:sz w:val="24"/>
          <w:highlight w:val="none"/>
          <w:lang w:val="zh-CN"/>
        </w:rPr>
        <w:t>进行</w:t>
      </w:r>
      <w:r>
        <w:rPr>
          <w:rFonts w:ascii="宋体" w:hAnsi="宋体" w:cs="楷体_GB2312"/>
          <w:b/>
          <w:color w:val="auto"/>
          <w:sz w:val="24"/>
          <w:highlight w:val="none"/>
          <w:lang w:val="zh-CN"/>
        </w:rPr>
        <w:t>加密</w:t>
      </w:r>
      <w:r>
        <w:rPr>
          <w:rFonts w:hint="eastAsia" w:ascii="宋体" w:hAnsi="宋体" w:cs="楷体_GB2312"/>
          <w:b/>
          <w:color w:val="auto"/>
          <w:sz w:val="24"/>
          <w:highlight w:val="none"/>
          <w:lang w:val="zh-CN"/>
        </w:rPr>
        <w:t>和标记，</w:t>
      </w:r>
      <w:r>
        <w:rPr>
          <w:rFonts w:ascii="宋体" w:hAnsi="宋体" w:cs="楷体_GB2312"/>
          <w:b/>
          <w:color w:val="auto"/>
          <w:sz w:val="24"/>
          <w:highlight w:val="none"/>
          <w:lang w:val="zh-CN"/>
        </w:rPr>
        <w:t>在</w:t>
      </w:r>
      <w:r>
        <w:rPr>
          <w:rFonts w:hint="eastAsia" w:ascii="宋体" w:hAnsi="宋体" w:cs="楷体_GB2312"/>
          <w:b/>
          <w:color w:val="auto"/>
          <w:sz w:val="24"/>
          <w:highlight w:val="none"/>
          <w:lang w:val="zh-CN"/>
        </w:rPr>
        <w:t>投标文件（响应文件）提</w:t>
      </w:r>
      <w:r>
        <w:rPr>
          <w:rFonts w:ascii="宋体" w:hAnsi="宋体" w:cs="楷体_GB2312"/>
          <w:b/>
          <w:color w:val="auto"/>
          <w:sz w:val="24"/>
          <w:highlight w:val="none"/>
          <w:lang w:val="zh-CN"/>
        </w:rPr>
        <w:t>交</w:t>
      </w:r>
      <w:r>
        <w:rPr>
          <w:rFonts w:hint="eastAsia" w:ascii="宋体" w:hAnsi="宋体" w:cs="楷体_GB2312"/>
          <w:b/>
          <w:color w:val="auto"/>
          <w:sz w:val="24"/>
          <w:highlight w:val="none"/>
          <w:lang w:val="zh-CN"/>
        </w:rPr>
        <w:t>截止时间前，将</w:t>
      </w:r>
      <w:r>
        <w:rPr>
          <w:rFonts w:ascii="宋体" w:hAnsi="宋体" w:cs="楷体_GB2312"/>
          <w:b/>
          <w:color w:val="auto"/>
          <w:sz w:val="24"/>
          <w:highlight w:val="none"/>
          <w:lang w:val="zh-CN"/>
        </w:rPr>
        <w:t>加密的</w:t>
      </w:r>
      <w:r>
        <w:rPr>
          <w:rFonts w:hint="eastAsia" w:ascii="宋体" w:hAnsi="宋体" w:cs="楷体_GB2312"/>
          <w:b/>
          <w:color w:val="auto"/>
          <w:sz w:val="24"/>
          <w:highlight w:val="none"/>
          <w:lang w:val="zh-CN"/>
        </w:rPr>
        <w:t>投标文件（响应文件）</w:t>
      </w:r>
      <w:r>
        <w:rPr>
          <w:rFonts w:ascii="宋体" w:hAnsi="宋体" w:cs="楷体_GB2312"/>
          <w:b/>
          <w:color w:val="auto"/>
          <w:sz w:val="24"/>
          <w:highlight w:val="none"/>
          <w:lang w:val="zh-CN"/>
        </w:rPr>
        <w:t>上</w:t>
      </w:r>
      <w:r>
        <w:rPr>
          <w:rFonts w:hint="eastAsia" w:ascii="宋体" w:hAnsi="宋体" w:cs="楷体_GB2312"/>
          <w:b/>
          <w:color w:val="auto"/>
          <w:sz w:val="24"/>
          <w:highlight w:val="none"/>
          <w:lang w:val="zh-CN"/>
        </w:rPr>
        <w:t>传至谈判公告所述网上电子交易系</w:t>
      </w:r>
      <w:r>
        <w:rPr>
          <w:rFonts w:ascii="宋体" w:hAnsi="宋体" w:cs="楷体_GB2312"/>
          <w:b/>
          <w:color w:val="auto"/>
          <w:sz w:val="24"/>
          <w:highlight w:val="none"/>
          <w:lang w:val="zh-CN"/>
        </w:rPr>
        <w:t>统</w:t>
      </w:r>
      <w:r>
        <w:rPr>
          <w:rFonts w:hint="eastAsia" w:ascii="宋体" w:hAnsi="宋体" w:cs="楷体_GB2312"/>
          <w:b/>
          <w:color w:val="auto"/>
          <w:sz w:val="24"/>
          <w:highlight w:val="none"/>
          <w:lang w:val="zh-CN"/>
        </w:rPr>
        <w:t>。</w:t>
      </w:r>
    </w:p>
    <w:p w14:paraId="02800BBE">
      <w:pPr>
        <w:autoSpaceDE w:val="0"/>
        <w:autoSpaceDN w:val="0"/>
        <w:adjustRightInd w:val="0"/>
        <w:snapToGrid w:val="0"/>
        <w:spacing w:before="156" w:beforeLines="50" w:line="300" w:lineRule="auto"/>
        <w:ind w:firstLine="539"/>
        <w:rPr>
          <w:rFonts w:ascii="宋体" w:hAnsi="宋体" w:cs="楷体_GB2312"/>
          <w:b/>
          <w:color w:val="auto"/>
          <w:sz w:val="24"/>
          <w:highlight w:val="none"/>
          <w:lang w:val="zh-CN"/>
        </w:rPr>
      </w:pPr>
      <w:bookmarkStart w:id="29" w:name="OLE_LINK1"/>
      <w:r>
        <w:rPr>
          <w:rFonts w:ascii="宋体" w:hAnsi="宋体" w:cs="楷体_GB2312"/>
          <w:b/>
          <w:color w:val="auto"/>
          <w:sz w:val="24"/>
          <w:highlight w:val="none"/>
          <w:lang w:val="zh-CN"/>
        </w:rPr>
        <w:t xml:space="preserve">4.1.2 </w:t>
      </w:r>
      <w:r>
        <w:rPr>
          <w:rFonts w:hint="eastAsia" w:ascii="宋体" w:hAnsi="宋体" w:cs="楷体_GB2312"/>
          <w:b/>
          <w:color w:val="auto"/>
          <w:sz w:val="24"/>
          <w:highlight w:val="none"/>
          <w:lang w:val="zh-CN"/>
        </w:rPr>
        <w:t>投标文件（响应文件）没有按照上述要求进行</w:t>
      </w:r>
      <w:r>
        <w:rPr>
          <w:rFonts w:ascii="宋体" w:hAnsi="宋体" w:cs="楷体_GB2312"/>
          <w:b/>
          <w:color w:val="auto"/>
          <w:sz w:val="24"/>
          <w:highlight w:val="none"/>
          <w:lang w:val="zh-CN"/>
        </w:rPr>
        <w:t>加密</w:t>
      </w:r>
      <w:r>
        <w:rPr>
          <w:rFonts w:hint="eastAsia" w:ascii="黑体" w:hAnsi="黑体" w:eastAsia="黑体" w:cs="楷体_GB2312"/>
          <w:b/>
          <w:color w:val="auto"/>
          <w:sz w:val="24"/>
          <w:highlight w:val="none"/>
          <w:lang w:val="zh-CN"/>
        </w:rPr>
        <w:t>和标记</w:t>
      </w:r>
      <w:r>
        <w:rPr>
          <w:rFonts w:hint="eastAsia" w:ascii="宋体" w:hAnsi="宋体" w:cs="楷体_GB2312"/>
          <w:b/>
          <w:color w:val="auto"/>
          <w:sz w:val="24"/>
          <w:highlight w:val="none"/>
          <w:lang w:val="zh-CN"/>
        </w:rPr>
        <w:t>的、网上电子交易系</w:t>
      </w:r>
      <w:r>
        <w:rPr>
          <w:rFonts w:ascii="宋体" w:hAnsi="宋体" w:cs="楷体_GB2312"/>
          <w:b/>
          <w:color w:val="auto"/>
          <w:sz w:val="24"/>
          <w:highlight w:val="none"/>
          <w:lang w:val="zh-CN"/>
        </w:rPr>
        <w:t>统</w:t>
      </w:r>
      <w:r>
        <w:rPr>
          <w:rFonts w:hint="eastAsia" w:ascii="宋体" w:hAnsi="宋体" w:cs="楷体_GB2312"/>
          <w:b/>
          <w:color w:val="auto"/>
          <w:sz w:val="24"/>
          <w:highlight w:val="none"/>
          <w:lang w:val="zh-CN"/>
        </w:rPr>
        <w:t>将</w:t>
      </w:r>
      <w:r>
        <w:rPr>
          <w:rFonts w:ascii="宋体" w:hAnsi="宋体" w:cs="楷体_GB2312"/>
          <w:b/>
          <w:color w:val="auto"/>
          <w:sz w:val="24"/>
          <w:highlight w:val="none"/>
          <w:lang w:val="zh-CN"/>
        </w:rPr>
        <w:t>据系统设定</w:t>
      </w:r>
      <w:r>
        <w:rPr>
          <w:rFonts w:hint="eastAsia" w:ascii="宋体" w:hAnsi="宋体" w:cs="楷体_GB2312"/>
          <w:b/>
          <w:color w:val="auto"/>
          <w:sz w:val="24"/>
          <w:highlight w:val="none"/>
          <w:lang w:val="zh-CN"/>
        </w:rPr>
        <w:t>拒收其投标文件（响应文件），投标人应自负该项风险，采购代理机构对可能产</w:t>
      </w:r>
      <w:r>
        <w:rPr>
          <w:rFonts w:ascii="宋体" w:hAnsi="宋体" w:cs="楷体_GB2312"/>
          <w:b/>
          <w:color w:val="auto"/>
          <w:sz w:val="24"/>
          <w:highlight w:val="none"/>
          <w:lang w:val="zh-CN"/>
        </w:rPr>
        <w:t>生的</w:t>
      </w:r>
      <w:r>
        <w:rPr>
          <w:rFonts w:hint="eastAsia" w:ascii="宋体" w:hAnsi="宋体" w:cs="楷体_GB2312"/>
          <w:b/>
          <w:color w:val="auto"/>
          <w:sz w:val="24"/>
          <w:highlight w:val="none"/>
          <w:lang w:val="zh-CN"/>
        </w:rPr>
        <w:t>误投或提前启封概不负责。</w:t>
      </w:r>
      <w:bookmarkEnd w:id="28"/>
      <w:bookmarkEnd w:id="29"/>
      <w:bookmarkStart w:id="30" w:name="_Toc296602445"/>
    </w:p>
    <w:p w14:paraId="5462F36D">
      <w:pPr>
        <w:autoSpaceDE w:val="0"/>
        <w:autoSpaceDN w:val="0"/>
        <w:adjustRightInd w:val="0"/>
        <w:snapToGrid w:val="0"/>
        <w:spacing w:before="156" w:beforeLines="50" w:line="300" w:lineRule="auto"/>
        <w:ind w:firstLine="539"/>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 xml:space="preserve">4.2 </w:t>
      </w:r>
      <w:r>
        <w:rPr>
          <w:rFonts w:hint="eastAsia" w:ascii="黑体" w:hAnsi="黑体" w:eastAsia="黑体" w:cs="楷体_GB2312"/>
          <w:b/>
          <w:color w:val="auto"/>
          <w:sz w:val="24"/>
          <w:highlight w:val="none"/>
          <w:lang w:val="zh-CN"/>
        </w:rPr>
        <w:t>投标文件的递交</w:t>
      </w:r>
      <w:bookmarkEnd w:id="30"/>
    </w:p>
    <w:p w14:paraId="63651038">
      <w:pPr>
        <w:autoSpaceDE w:val="0"/>
        <w:autoSpaceDN w:val="0"/>
        <w:adjustRightInd w:val="0"/>
        <w:snapToGrid w:val="0"/>
        <w:spacing w:before="156" w:beforeLines="50" w:line="300" w:lineRule="auto"/>
        <w:ind w:firstLine="539"/>
        <w:rPr>
          <w:rFonts w:ascii="宋体" w:hAnsi="宋体"/>
          <w:color w:val="auto"/>
          <w:sz w:val="24"/>
          <w:szCs w:val="24"/>
          <w:highlight w:val="none"/>
        </w:rPr>
      </w:pPr>
      <w:r>
        <w:rPr>
          <w:rFonts w:ascii="宋体" w:hAnsi="宋体" w:cs="楷体_GB2312"/>
          <w:b/>
          <w:color w:val="auto"/>
          <w:sz w:val="24"/>
          <w:highlight w:val="none"/>
          <w:lang w:val="zh-CN"/>
        </w:rPr>
        <w:t>4.2.1</w:t>
      </w:r>
      <w:r>
        <w:rPr>
          <w:rFonts w:hint="eastAsia" w:ascii="宋体" w:hAnsi="宋体"/>
          <w:color w:val="auto"/>
          <w:sz w:val="24"/>
          <w:szCs w:val="24"/>
          <w:highlight w:val="none"/>
        </w:rPr>
        <w:t>投标人应在投标截止时间前上传加密的电子投标文件（*.aytf）到安阳县公共资源交易平台。上传时投标人须使用制作该投标文件的同一CA锁进行上传操作。请投标人在上传时认真检查上传投标文件是否完整、正确。投标人应充分考虑上传文件时的不可预见因素，未在投标截止时间前完成上传的，视为逾期送达，安阳县公共资源交易平台将拒绝接收。</w:t>
      </w:r>
    </w:p>
    <w:p w14:paraId="61AD758D">
      <w:pPr>
        <w:autoSpaceDE w:val="0"/>
        <w:autoSpaceDN w:val="0"/>
        <w:adjustRightInd w:val="0"/>
        <w:snapToGrid w:val="0"/>
        <w:spacing w:before="156" w:beforeLines="50" w:line="300" w:lineRule="auto"/>
        <w:ind w:firstLine="539"/>
        <w:rPr>
          <w:rFonts w:ascii="宋体" w:hAnsi="宋体" w:cs="楷体_GB2312"/>
          <w:b/>
          <w:color w:val="auto"/>
          <w:sz w:val="24"/>
          <w:highlight w:val="none"/>
          <w:lang w:val="zh-CN"/>
        </w:rPr>
      </w:pPr>
      <w:r>
        <w:rPr>
          <w:rFonts w:ascii="宋体" w:hAnsi="宋体" w:cs="楷体_GB2312"/>
          <w:b/>
          <w:color w:val="auto"/>
          <w:sz w:val="24"/>
          <w:highlight w:val="none"/>
          <w:lang w:val="zh-CN"/>
        </w:rPr>
        <w:t xml:space="preserve">4.2.2 </w:t>
      </w:r>
      <w:r>
        <w:rPr>
          <w:rFonts w:hint="eastAsia" w:ascii="宋体" w:hAnsi="宋体" w:cs="楷体_GB2312"/>
          <w:b/>
          <w:color w:val="auto"/>
          <w:sz w:val="24"/>
          <w:highlight w:val="none"/>
          <w:lang w:val="zh-CN"/>
        </w:rPr>
        <w:t>据网上电子交易系统设</w:t>
      </w:r>
      <w:r>
        <w:rPr>
          <w:rFonts w:ascii="宋体" w:hAnsi="宋体" w:cs="楷体_GB2312"/>
          <w:b/>
          <w:color w:val="auto"/>
          <w:sz w:val="24"/>
          <w:highlight w:val="none"/>
          <w:lang w:val="zh-CN"/>
        </w:rPr>
        <w:t>定，</w:t>
      </w:r>
      <w:r>
        <w:rPr>
          <w:rFonts w:hint="eastAsia" w:ascii="宋体" w:hAnsi="宋体" w:cs="楷体_GB2312"/>
          <w:b/>
          <w:color w:val="auto"/>
          <w:sz w:val="24"/>
          <w:highlight w:val="none"/>
          <w:lang w:val="zh-CN"/>
        </w:rPr>
        <w:t>投标文件（响应文件）提交截止时间后，系统将自动锁定已经提交的电子投标文件（响应文件），拒绝再次提交。投</w:t>
      </w:r>
      <w:r>
        <w:rPr>
          <w:rFonts w:ascii="宋体" w:hAnsi="宋体" w:cs="楷体_GB2312"/>
          <w:b/>
          <w:color w:val="auto"/>
          <w:sz w:val="24"/>
          <w:highlight w:val="none"/>
          <w:lang w:val="zh-CN"/>
        </w:rPr>
        <w:t>标人</w:t>
      </w:r>
      <w:r>
        <w:rPr>
          <w:rFonts w:hint="eastAsia" w:ascii="宋体" w:hAnsi="宋体" w:cs="楷体_GB2312"/>
          <w:b/>
          <w:color w:val="auto"/>
          <w:sz w:val="24"/>
          <w:highlight w:val="none"/>
          <w:lang w:val="zh-CN"/>
        </w:rPr>
        <w:t>将无法通过网上电子交易系统进行上传，采购代理机构将无法接受并拒绝接受投标截止时间以后提</w:t>
      </w:r>
      <w:r>
        <w:rPr>
          <w:rFonts w:ascii="宋体" w:hAnsi="宋体" w:cs="楷体_GB2312"/>
          <w:b/>
          <w:color w:val="auto"/>
          <w:sz w:val="24"/>
          <w:highlight w:val="none"/>
          <w:lang w:val="zh-CN"/>
        </w:rPr>
        <w:t>交</w:t>
      </w:r>
      <w:r>
        <w:rPr>
          <w:rFonts w:hint="eastAsia" w:ascii="宋体" w:hAnsi="宋体" w:cs="楷体_GB2312"/>
          <w:b/>
          <w:color w:val="auto"/>
          <w:sz w:val="24"/>
          <w:highlight w:val="none"/>
          <w:lang w:val="zh-CN"/>
        </w:rPr>
        <w:t>的投标文件（响应文件）</w:t>
      </w:r>
    </w:p>
    <w:p w14:paraId="7E99C11D">
      <w:pPr>
        <w:autoSpaceDE w:val="0"/>
        <w:autoSpaceDN w:val="0"/>
        <w:adjustRightInd w:val="0"/>
        <w:snapToGrid w:val="0"/>
        <w:spacing w:before="156" w:beforeLines="50" w:line="300" w:lineRule="auto"/>
        <w:ind w:firstLine="539"/>
        <w:rPr>
          <w:rFonts w:ascii="宋体" w:hAnsi="宋体" w:cs="楷体_GB2312"/>
          <w:color w:val="auto"/>
          <w:sz w:val="24"/>
          <w:highlight w:val="none"/>
          <w:lang w:val="zh-CN"/>
        </w:rPr>
      </w:pPr>
      <w:r>
        <w:rPr>
          <w:rFonts w:ascii="宋体" w:hAnsi="宋体" w:cs="楷体_GB2312"/>
          <w:color w:val="auto"/>
          <w:sz w:val="24"/>
          <w:highlight w:val="none"/>
          <w:lang w:val="zh-CN"/>
        </w:rPr>
        <w:t xml:space="preserve">4.2.3 </w:t>
      </w:r>
      <w:r>
        <w:rPr>
          <w:rFonts w:hint="eastAsia" w:ascii="宋体" w:hAnsi="宋体" w:cs="楷体_GB2312"/>
          <w:color w:val="auto"/>
          <w:sz w:val="24"/>
          <w:highlight w:val="none"/>
          <w:lang w:val="zh-CN"/>
        </w:rPr>
        <w:t>由于不可抗拒的原因，代理机构对投标文件（响应文件）的遗失和损坏不负任何责任。</w:t>
      </w:r>
    </w:p>
    <w:p w14:paraId="19A72873">
      <w:pPr>
        <w:autoSpaceDE w:val="0"/>
        <w:autoSpaceDN w:val="0"/>
        <w:adjustRightInd w:val="0"/>
        <w:snapToGrid w:val="0"/>
        <w:spacing w:before="156"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 xml:space="preserve">4.2.4 </w:t>
      </w:r>
      <w:r>
        <w:rPr>
          <w:rFonts w:hint="eastAsia" w:ascii="宋体" w:hAnsi="宋体" w:cs="楷体_GB2312"/>
          <w:color w:val="auto"/>
          <w:sz w:val="24"/>
          <w:highlight w:val="none"/>
          <w:lang w:val="zh-CN"/>
        </w:rPr>
        <w:t>除投标人须知前附表另有规定外，投标人所递交的投标文件（响应文件）不予退还。</w:t>
      </w:r>
    </w:p>
    <w:p w14:paraId="4C1BF3BD">
      <w:pPr>
        <w:autoSpaceDE w:val="0"/>
        <w:autoSpaceDN w:val="0"/>
        <w:adjustRightInd w:val="0"/>
        <w:snapToGrid w:val="0"/>
        <w:spacing w:before="156" w:beforeLines="50" w:line="300" w:lineRule="auto"/>
        <w:ind w:firstLine="539"/>
        <w:rPr>
          <w:rFonts w:ascii="宋体" w:hAnsi="宋体" w:cs="楷体_GB2312"/>
          <w:b/>
          <w:color w:val="auto"/>
          <w:sz w:val="24"/>
          <w:highlight w:val="none"/>
          <w:lang w:val="zh-CN"/>
        </w:rPr>
      </w:pPr>
      <w:r>
        <w:rPr>
          <w:rFonts w:ascii="宋体" w:hAnsi="宋体" w:cs="楷体_GB2312"/>
          <w:b/>
          <w:color w:val="auto"/>
          <w:sz w:val="24"/>
          <w:highlight w:val="none"/>
          <w:lang w:val="zh-CN"/>
        </w:rPr>
        <w:t xml:space="preserve">4.2.5 </w:t>
      </w:r>
      <w:r>
        <w:rPr>
          <w:rFonts w:hint="eastAsia" w:ascii="宋体" w:hAnsi="宋体" w:cs="楷体_GB2312"/>
          <w:b/>
          <w:color w:val="auto"/>
          <w:sz w:val="24"/>
          <w:highlight w:val="none"/>
          <w:lang w:val="zh-CN"/>
        </w:rPr>
        <w:t>基于</w:t>
      </w:r>
      <w:r>
        <w:rPr>
          <w:rFonts w:ascii="宋体" w:hAnsi="宋体" w:cs="楷体_GB2312"/>
          <w:b/>
          <w:color w:val="auto"/>
          <w:sz w:val="24"/>
          <w:highlight w:val="none"/>
          <w:lang w:val="zh-CN"/>
        </w:rPr>
        <w:t>网上电子交易的</w:t>
      </w:r>
      <w:r>
        <w:rPr>
          <w:rFonts w:hint="eastAsia" w:ascii="宋体" w:hAnsi="宋体" w:cs="楷体_GB2312"/>
          <w:b/>
          <w:color w:val="auto"/>
          <w:sz w:val="24"/>
          <w:highlight w:val="none"/>
          <w:lang w:val="zh-CN"/>
        </w:rPr>
        <w:t>系统</w:t>
      </w:r>
      <w:r>
        <w:rPr>
          <w:rFonts w:ascii="宋体" w:hAnsi="宋体" w:cs="楷体_GB2312"/>
          <w:b/>
          <w:color w:val="auto"/>
          <w:sz w:val="24"/>
          <w:highlight w:val="none"/>
          <w:lang w:val="zh-CN"/>
        </w:rPr>
        <w:t>要求及</w:t>
      </w:r>
      <w:r>
        <w:rPr>
          <w:rFonts w:hint="eastAsia" w:ascii="宋体" w:hAnsi="宋体" w:cs="楷体_GB2312"/>
          <w:b/>
          <w:color w:val="auto"/>
          <w:sz w:val="24"/>
          <w:highlight w:val="none"/>
          <w:lang w:val="zh-CN"/>
        </w:rPr>
        <w:t>特点</w:t>
      </w:r>
      <w:r>
        <w:rPr>
          <w:rFonts w:ascii="宋体" w:hAnsi="宋体" w:cs="楷体_GB2312"/>
          <w:b/>
          <w:color w:val="auto"/>
          <w:sz w:val="24"/>
          <w:highlight w:val="none"/>
          <w:lang w:val="zh-CN"/>
        </w:rPr>
        <w:t>，</w:t>
      </w:r>
      <w:r>
        <w:rPr>
          <w:rFonts w:hint="eastAsia" w:ascii="宋体" w:hAnsi="宋体" w:cs="楷体_GB2312"/>
          <w:b/>
          <w:color w:val="auto"/>
          <w:sz w:val="24"/>
          <w:highlight w:val="none"/>
          <w:lang w:val="zh-CN"/>
        </w:rPr>
        <w:t>只</w:t>
      </w:r>
      <w:r>
        <w:rPr>
          <w:rFonts w:ascii="宋体" w:hAnsi="宋体" w:cs="楷体_GB2312"/>
          <w:b/>
          <w:color w:val="auto"/>
          <w:sz w:val="24"/>
          <w:highlight w:val="none"/>
          <w:lang w:val="zh-CN"/>
        </w:rPr>
        <w:t>接受基于</w:t>
      </w:r>
      <w:r>
        <w:rPr>
          <w:rFonts w:hint="eastAsia" w:ascii="宋体" w:hAnsi="宋体" w:cs="楷体_GB2312"/>
          <w:b/>
          <w:color w:val="auto"/>
          <w:sz w:val="24"/>
          <w:highlight w:val="none"/>
          <w:lang w:val="zh-CN"/>
        </w:rPr>
        <w:t>符</w:t>
      </w:r>
      <w:r>
        <w:rPr>
          <w:rFonts w:ascii="宋体" w:hAnsi="宋体" w:cs="楷体_GB2312"/>
          <w:b/>
          <w:color w:val="auto"/>
          <w:sz w:val="24"/>
          <w:highlight w:val="none"/>
          <w:lang w:val="zh-CN"/>
        </w:rPr>
        <w:t>合</w:t>
      </w:r>
      <w:r>
        <w:rPr>
          <w:rFonts w:hint="eastAsia" w:ascii="宋体" w:hAnsi="宋体" w:cs="楷体_GB2312"/>
          <w:b/>
          <w:color w:val="auto"/>
          <w:sz w:val="24"/>
          <w:highlight w:val="none"/>
          <w:lang w:val="zh-CN"/>
        </w:rPr>
        <w:t>网上电子交易系统要</w:t>
      </w:r>
      <w:r>
        <w:rPr>
          <w:rFonts w:ascii="宋体" w:hAnsi="宋体" w:cs="楷体_GB2312"/>
          <w:b/>
          <w:color w:val="auto"/>
          <w:sz w:val="24"/>
          <w:highlight w:val="none"/>
          <w:lang w:val="zh-CN"/>
        </w:rPr>
        <w:t>求</w:t>
      </w:r>
      <w:r>
        <w:rPr>
          <w:rFonts w:hint="eastAsia" w:ascii="宋体" w:hAnsi="宋体" w:cs="楷体_GB2312"/>
          <w:b/>
          <w:color w:val="auto"/>
          <w:sz w:val="24"/>
          <w:highlight w:val="none"/>
          <w:lang w:val="zh-CN"/>
        </w:rPr>
        <w:t>的</w:t>
      </w:r>
      <w:r>
        <w:rPr>
          <w:rFonts w:ascii="宋体" w:hAnsi="宋体" w:cs="楷体_GB2312"/>
          <w:b/>
          <w:color w:val="auto"/>
          <w:sz w:val="24"/>
          <w:highlight w:val="none"/>
          <w:lang w:val="zh-CN"/>
        </w:rPr>
        <w:t>投标</w:t>
      </w:r>
      <w:r>
        <w:rPr>
          <w:rFonts w:hint="eastAsia" w:ascii="宋体" w:hAnsi="宋体" w:cs="楷体_GB2312"/>
          <w:b/>
          <w:color w:val="auto"/>
          <w:sz w:val="24"/>
          <w:highlight w:val="none"/>
          <w:lang w:val="zh-CN"/>
        </w:rPr>
        <w:t>，</w:t>
      </w:r>
      <w:r>
        <w:rPr>
          <w:rFonts w:ascii="宋体" w:hAnsi="宋体" w:cs="楷体_GB2312"/>
          <w:b/>
          <w:color w:val="auto"/>
          <w:sz w:val="24"/>
          <w:highlight w:val="none"/>
          <w:lang w:val="zh-CN"/>
        </w:rPr>
        <w:t>其他如纸制、送达、</w:t>
      </w:r>
      <w:r>
        <w:rPr>
          <w:rFonts w:hint="eastAsia" w:ascii="宋体" w:hAnsi="宋体" w:cs="楷体_GB2312"/>
          <w:b/>
          <w:color w:val="auto"/>
          <w:sz w:val="24"/>
          <w:highlight w:val="none"/>
          <w:lang w:val="zh-CN"/>
        </w:rPr>
        <w:t>电报、电话、电子邮件等形式的投标概不接受。</w:t>
      </w:r>
    </w:p>
    <w:p w14:paraId="1B05CAF0">
      <w:pPr>
        <w:autoSpaceDE w:val="0"/>
        <w:autoSpaceDN w:val="0"/>
        <w:adjustRightInd w:val="0"/>
        <w:snapToGrid w:val="0"/>
        <w:spacing w:before="156" w:beforeLines="50" w:line="300" w:lineRule="auto"/>
        <w:ind w:firstLine="539"/>
        <w:rPr>
          <w:rFonts w:ascii="宋体" w:cs="楷体_GB2312"/>
          <w:color w:val="auto"/>
          <w:sz w:val="24"/>
          <w:highlight w:val="none"/>
          <w:lang w:val="zh-CN"/>
        </w:rPr>
      </w:pPr>
      <w:r>
        <w:rPr>
          <w:rFonts w:ascii="黑体" w:hAnsi="黑体" w:eastAsia="黑体" w:cs="楷体_GB2312"/>
          <w:b/>
          <w:color w:val="auto"/>
          <w:sz w:val="24"/>
          <w:highlight w:val="none"/>
          <w:lang w:val="zh-CN"/>
        </w:rPr>
        <w:t xml:space="preserve">4.3 </w:t>
      </w:r>
      <w:r>
        <w:rPr>
          <w:rFonts w:hint="eastAsia" w:ascii="黑体" w:hAnsi="黑体" w:eastAsia="黑体" w:cs="楷体_GB2312"/>
          <w:b/>
          <w:color w:val="auto"/>
          <w:sz w:val="24"/>
          <w:highlight w:val="none"/>
          <w:lang w:val="zh-CN"/>
        </w:rPr>
        <w:t>投标文件（响应文件）的修改与撤回</w:t>
      </w:r>
      <w:r>
        <w:rPr>
          <w:rFonts w:hint="eastAsia" w:ascii="宋体" w:hAnsi="宋体" w:cs="楷体_GB2312"/>
          <w:color w:val="auto"/>
          <w:sz w:val="24"/>
          <w:highlight w:val="none"/>
          <w:lang w:val="zh-CN"/>
        </w:rPr>
        <w:t>：</w:t>
      </w:r>
    </w:p>
    <w:p w14:paraId="416B82F3">
      <w:pPr>
        <w:autoSpaceDE w:val="0"/>
        <w:autoSpaceDN w:val="0"/>
        <w:adjustRightInd w:val="0"/>
        <w:snapToGrid w:val="0"/>
        <w:spacing w:before="156" w:beforeLines="50" w:line="300" w:lineRule="auto"/>
        <w:ind w:firstLine="539"/>
        <w:rPr>
          <w:rFonts w:ascii="宋体" w:hAnsi="宋体" w:cs="楷体_GB2312"/>
          <w:b/>
          <w:color w:val="auto"/>
          <w:sz w:val="24"/>
          <w:highlight w:val="none"/>
          <w:lang w:val="zh-CN"/>
        </w:rPr>
      </w:pPr>
      <w:r>
        <w:rPr>
          <w:rFonts w:ascii="宋体" w:hAnsi="宋体" w:cs="楷体_GB2312"/>
          <w:b/>
          <w:color w:val="auto"/>
          <w:sz w:val="24"/>
          <w:highlight w:val="none"/>
          <w:lang w:val="zh-CN"/>
        </w:rPr>
        <w:t>4.3.1</w:t>
      </w:r>
      <w:r>
        <w:rPr>
          <w:rFonts w:hint="eastAsia" w:ascii="宋体" w:hAnsi="宋体" w:cs="楷体_GB2312"/>
          <w:b/>
          <w:color w:val="auto"/>
          <w:sz w:val="24"/>
          <w:highlight w:val="none"/>
          <w:lang w:val="zh-CN"/>
        </w:rPr>
        <w:t xml:space="preserve"> 投标人于提交投标文件（响应文件）截止时间前如对投标文件进行补充、修改，可以上传新的投标文件进行覆盖。投标人如撤回投标文件，应及时书面通知采购代理机构进行办理。</w:t>
      </w:r>
    </w:p>
    <w:p w14:paraId="1EDBA01B">
      <w:pPr>
        <w:autoSpaceDE w:val="0"/>
        <w:autoSpaceDN w:val="0"/>
        <w:adjustRightInd w:val="0"/>
        <w:snapToGrid w:val="0"/>
        <w:spacing w:before="156" w:beforeLines="50" w:line="300" w:lineRule="auto"/>
        <w:ind w:firstLine="539"/>
        <w:rPr>
          <w:rFonts w:ascii="宋体" w:hAnsi="宋体" w:cs="楷体_GB2312"/>
          <w:b/>
          <w:color w:val="auto"/>
          <w:sz w:val="24"/>
          <w:highlight w:val="none"/>
          <w:lang w:val="zh-CN"/>
        </w:rPr>
      </w:pPr>
      <w:r>
        <w:rPr>
          <w:rFonts w:ascii="宋体" w:hAnsi="宋体" w:cs="楷体_GB2312"/>
          <w:b/>
          <w:color w:val="auto"/>
          <w:sz w:val="24"/>
          <w:highlight w:val="none"/>
          <w:lang w:val="zh-CN"/>
        </w:rPr>
        <w:t>4.3.</w:t>
      </w:r>
      <w:r>
        <w:rPr>
          <w:rFonts w:hint="eastAsia" w:ascii="宋体" w:hAnsi="宋体" w:cs="楷体_GB2312"/>
          <w:b/>
          <w:color w:val="auto"/>
          <w:sz w:val="24"/>
          <w:highlight w:val="none"/>
          <w:lang w:val="zh-CN"/>
        </w:rPr>
        <w:t>2 投标人在投标文件（响应文件）提</w:t>
      </w:r>
      <w:r>
        <w:rPr>
          <w:rFonts w:ascii="宋体" w:hAnsi="宋体" w:cs="楷体_GB2312"/>
          <w:b/>
          <w:color w:val="auto"/>
          <w:sz w:val="24"/>
          <w:highlight w:val="none"/>
          <w:lang w:val="zh-CN"/>
        </w:rPr>
        <w:t>交</w:t>
      </w:r>
      <w:r>
        <w:rPr>
          <w:rFonts w:hint="eastAsia" w:ascii="宋体" w:hAnsi="宋体" w:cs="楷体_GB2312"/>
          <w:b/>
          <w:color w:val="auto"/>
          <w:sz w:val="24"/>
          <w:highlight w:val="none"/>
          <w:lang w:val="zh-CN"/>
        </w:rPr>
        <w:t>截止时间后不得自行修改或撤回其投标，否则</w:t>
      </w:r>
      <w:r>
        <w:rPr>
          <w:rFonts w:hint="eastAsia" w:ascii="宋体" w:hAnsi="宋体"/>
          <w:color w:val="auto"/>
          <w:sz w:val="24"/>
          <w:szCs w:val="24"/>
          <w:highlight w:val="none"/>
        </w:rPr>
        <w:t>依据谈判文件“第三章</w:t>
      </w:r>
      <w:r>
        <w:rPr>
          <w:rFonts w:hint="eastAsia" w:ascii="宋体" w:hAnsi="宋体" w:cs="楷体_GB2312"/>
          <w:color w:val="auto"/>
          <w:sz w:val="24"/>
          <w:szCs w:val="22"/>
          <w:highlight w:val="none"/>
        </w:rPr>
        <w:t>3.5.5 违背承诺的责任追究措施</w:t>
      </w:r>
      <w:r>
        <w:rPr>
          <w:rFonts w:hint="eastAsia" w:ascii="宋体" w:hAnsi="宋体"/>
          <w:color w:val="auto"/>
          <w:sz w:val="24"/>
          <w:szCs w:val="24"/>
          <w:highlight w:val="none"/>
        </w:rPr>
        <w:t>”，投标人</w:t>
      </w:r>
      <w:r>
        <w:rPr>
          <w:rFonts w:hint="eastAsia" w:ascii="宋体" w:hAnsi="宋体" w:cs="楷体_GB2312"/>
          <w:color w:val="auto"/>
          <w:sz w:val="24"/>
          <w:szCs w:val="22"/>
          <w:highlight w:val="none"/>
        </w:rPr>
        <w:t>承担相应法律责任及违约责任。</w:t>
      </w:r>
    </w:p>
    <w:p w14:paraId="19636444">
      <w:pPr>
        <w:autoSpaceDE w:val="0"/>
        <w:autoSpaceDN w:val="0"/>
        <w:adjustRightInd w:val="0"/>
        <w:snapToGrid w:val="0"/>
        <w:spacing w:before="156" w:beforeLines="50" w:line="300" w:lineRule="auto"/>
        <w:ind w:firstLine="539"/>
        <w:rPr>
          <w:rFonts w:ascii="宋体" w:cs="楷体_GB2312"/>
          <w:color w:val="auto"/>
          <w:sz w:val="24"/>
          <w:highlight w:val="none"/>
          <w:lang w:val="zh-CN"/>
        </w:rPr>
      </w:pPr>
    </w:p>
    <w:p w14:paraId="251A6390">
      <w:pPr>
        <w:autoSpaceDE w:val="0"/>
        <w:autoSpaceDN w:val="0"/>
        <w:adjustRightInd w:val="0"/>
        <w:snapToGrid w:val="0"/>
        <w:spacing w:before="156" w:beforeLines="50" w:line="300" w:lineRule="auto"/>
        <w:ind w:firstLine="539"/>
        <w:outlineLvl w:val="1"/>
        <w:rPr>
          <w:rFonts w:ascii="宋体" w:cs="楷体_GB2312"/>
          <w:color w:val="auto"/>
          <w:sz w:val="24"/>
          <w:highlight w:val="none"/>
          <w:lang w:val="zh-CN"/>
        </w:rPr>
      </w:pPr>
      <w:bookmarkStart w:id="31" w:name="_Toc224739415"/>
      <w:bookmarkStart w:id="32" w:name="_Toc18654"/>
      <w:r>
        <w:rPr>
          <w:rFonts w:ascii="黑体" w:hAnsi="黑体" w:eastAsia="黑体" w:cs="楷体_GB2312"/>
          <w:b/>
          <w:bCs/>
          <w:color w:val="auto"/>
          <w:sz w:val="28"/>
          <w:szCs w:val="28"/>
          <w:highlight w:val="none"/>
          <w:lang w:val="zh-CN"/>
        </w:rPr>
        <w:t xml:space="preserve">5. </w:t>
      </w:r>
      <w:r>
        <w:rPr>
          <w:rFonts w:hint="eastAsia" w:ascii="黑体" w:hAnsi="黑体" w:eastAsia="黑体" w:cs="楷体_GB2312"/>
          <w:b/>
          <w:bCs/>
          <w:color w:val="auto"/>
          <w:sz w:val="28"/>
          <w:szCs w:val="28"/>
          <w:highlight w:val="none"/>
          <w:lang w:val="zh-CN"/>
        </w:rPr>
        <w:t>开标（响应文件的开启）</w:t>
      </w:r>
      <w:bookmarkEnd w:id="31"/>
      <w:bookmarkEnd w:id="32"/>
    </w:p>
    <w:p w14:paraId="3857BAB6">
      <w:pPr>
        <w:autoSpaceDE w:val="0"/>
        <w:autoSpaceDN w:val="0"/>
        <w:adjustRightInd w:val="0"/>
        <w:snapToGrid w:val="0"/>
        <w:spacing w:before="156" w:beforeLines="50" w:line="300" w:lineRule="auto"/>
        <w:ind w:firstLine="539"/>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 xml:space="preserve">5.1 </w:t>
      </w:r>
      <w:r>
        <w:rPr>
          <w:rFonts w:hint="eastAsia" w:ascii="黑体" w:hAnsi="黑体" w:eastAsia="黑体" w:cs="楷体_GB2312"/>
          <w:b/>
          <w:color w:val="auto"/>
          <w:sz w:val="24"/>
          <w:highlight w:val="none"/>
          <w:lang w:val="zh-CN"/>
        </w:rPr>
        <w:t>开标时间和地点</w:t>
      </w:r>
    </w:p>
    <w:p w14:paraId="0ECA2ECB">
      <w:pPr>
        <w:autoSpaceDE w:val="0"/>
        <w:autoSpaceDN w:val="0"/>
        <w:adjustRightInd w:val="0"/>
        <w:snapToGrid w:val="0"/>
        <w:spacing w:before="156" w:beforeLines="50" w:line="300" w:lineRule="auto"/>
        <w:ind w:firstLine="539"/>
        <w:rPr>
          <w:rFonts w:ascii="宋体" w:hAnsi="宋体" w:cs="楷体_GB2312"/>
          <w:b/>
          <w:color w:val="auto"/>
          <w:sz w:val="24"/>
          <w:highlight w:val="none"/>
          <w:lang w:val="zh-CN"/>
        </w:rPr>
      </w:pPr>
      <w:r>
        <w:rPr>
          <w:rFonts w:ascii="宋体" w:hAnsi="宋体" w:cs="楷体_GB2312"/>
          <w:b/>
          <w:color w:val="auto"/>
          <w:sz w:val="24"/>
          <w:highlight w:val="none"/>
          <w:lang w:val="zh-CN"/>
        </w:rPr>
        <w:t xml:space="preserve">5.1.1 </w:t>
      </w:r>
      <w:r>
        <w:rPr>
          <w:rFonts w:hint="eastAsia" w:ascii="宋体" w:hAnsi="宋体" w:cs="楷体_GB2312"/>
          <w:b/>
          <w:color w:val="auto"/>
          <w:sz w:val="24"/>
          <w:highlight w:val="none"/>
          <w:lang w:val="zh-CN"/>
        </w:rPr>
        <w:t>采购人和采购代理机构按谈判公告规定的时间和地点于</w:t>
      </w:r>
      <w:r>
        <w:rPr>
          <w:rFonts w:ascii="宋体" w:hAnsi="宋体" w:cs="楷体_GB2312"/>
          <w:b/>
          <w:color w:val="auto"/>
          <w:sz w:val="24"/>
          <w:highlight w:val="none"/>
          <w:lang w:val="zh-CN"/>
        </w:rPr>
        <w:t>网上</w:t>
      </w:r>
      <w:r>
        <w:rPr>
          <w:rFonts w:hint="eastAsia" w:ascii="宋体" w:hAnsi="宋体" w:cs="楷体_GB2312"/>
          <w:b/>
          <w:color w:val="auto"/>
          <w:sz w:val="24"/>
          <w:highlight w:val="none"/>
          <w:lang w:val="zh-CN"/>
        </w:rPr>
        <w:t>（谈判公告所述网上电子交易系统</w:t>
      </w:r>
      <w:r>
        <w:rPr>
          <w:rFonts w:ascii="宋体" w:hAnsi="宋体" w:cs="楷体_GB2312"/>
          <w:b/>
          <w:color w:val="auto"/>
          <w:sz w:val="24"/>
          <w:highlight w:val="none"/>
          <w:lang w:val="zh-CN"/>
        </w:rPr>
        <w:t>）</w:t>
      </w:r>
      <w:r>
        <w:rPr>
          <w:rFonts w:hint="eastAsia" w:ascii="宋体" w:hAnsi="宋体" w:cs="楷体_GB2312"/>
          <w:b/>
          <w:color w:val="auto"/>
          <w:sz w:val="24"/>
          <w:highlight w:val="none"/>
          <w:lang w:val="zh-CN"/>
        </w:rPr>
        <w:t>公开开标。</w:t>
      </w:r>
    </w:p>
    <w:p w14:paraId="04EF05CB">
      <w:pPr>
        <w:autoSpaceDE w:val="0"/>
        <w:autoSpaceDN w:val="0"/>
        <w:adjustRightInd w:val="0"/>
        <w:snapToGrid w:val="0"/>
        <w:spacing w:before="156" w:beforeLines="50" w:line="300" w:lineRule="auto"/>
        <w:ind w:firstLine="539"/>
        <w:rPr>
          <w:rFonts w:ascii="宋体" w:hAnsi="宋体" w:cs="楷体_GB2312"/>
          <w:b/>
          <w:color w:val="auto"/>
          <w:sz w:val="24"/>
          <w:highlight w:val="none"/>
          <w:lang w:val="zh-CN"/>
        </w:rPr>
      </w:pPr>
      <w:r>
        <w:rPr>
          <w:rFonts w:ascii="宋体" w:hAnsi="宋体" w:cs="楷体_GB2312"/>
          <w:b/>
          <w:color w:val="auto"/>
          <w:sz w:val="24"/>
          <w:highlight w:val="none"/>
          <w:lang w:val="zh-CN"/>
        </w:rPr>
        <w:t>5.1.2</w:t>
      </w:r>
      <w:r>
        <w:rPr>
          <w:rFonts w:hint="eastAsia" w:ascii="宋体" w:hAnsi="宋体" w:cs="楷体_GB2312"/>
          <w:b/>
          <w:color w:val="auto"/>
          <w:sz w:val="24"/>
          <w:highlight w:val="none"/>
          <w:lang w:val="zh-CN"/>
        </w:rPr>
        <w:t>本项目采用远程不见面交易的模式，开标当日，投标人无需到开标现场参加开标会议，投标人应当在投标截止时间前，使用IE浏览器登录到安阳市公共资源交易不见面开标大厅，点击右上方【登录】按钮进入，在线准时参加开标活动并进行投标文件解密等。因投标人原因未能解密、解密失败或解密超时的将被拒绝。</w:t>
      </w:r>
    </w:p>
    <w:p w14:paraId="04486ADE">
      <w:pPr>
        <w:autoSpaceDE w:val="0"/>
        <w:autoSpaceDN w:val="0"/>
        <w:adjustRightInd w:val="0"/>
        <w:snapToGrid w:val="0"/>
        <w:spacing w:before="156" w:beforeLines="50" w:line="300" w:lineRule="auto"/>
        <w:ind w:firstLine="539"/>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 xml:space="preserve">5.2 </w:t>
      </w:r>
      <w:r>
        <w:rPr>
          <w:rFonts w:hint="eastAsia" w:ascii="黑体" w:hAnsi="黑体" w:eastAsia="黑体" w:cs="楷体_GB2312"/>
          <w:b/>
          <w:color w:val="auto"/>
          <w:sz w:val="24"/>
          <w:highlight w:val="none"/>
          <w:lang w:val="zh-CN"/>
        </w:rPr>
        <w:t>开标程序</w:t>
      </w:r>
    </w:p>
    <w:p w14:paraId="07AFBD22">
      <w:pPr>
        <w:autoSpaceDE w:val="0"/>
        <w:autoSpaceDN w:val="0"/>
        <w:adjustRightInd w:val="0"/>
        <w:snapToGrid w:val="0"/>
        <w:spacing w:before="156" w:beforeLines="50" w:line="300" w:lineRule="auto"/>
        <w:ind w:firstLine="539"/>
        <w:rPr>
          <w:rFonts w:ascii="宋体" w:hAnsi="宋体" w:cs="楷体_GB2312"/>
          <w:b/>
          <w:color w:val="auto"/>
          <w:sz w:val="24"/>
          <w:highlight w:val="none"/>
          <w:lang w:val="zh-CN"/>
        </w:rPr>
      </w:pPr>
      <w:r>
        <w:rPr>
          <w:rFonts w:ascii="宋体" w:hAnsi="宋体" w:cs="楷体_GB2312"/>
          <w:b/>
          <w:color w:val="auto"/>
          <w:sz w:val="24"/>
          <w:highlight w:val="none"/>
          <w:lang w:val="zh-CN"/>
        </w:rPr>
        <w:t>5.2.1</w:t>
      </w:r>
      <w:r>
        <w:rPr>
          <w:rFonts w:hint="eastAsia" w:ascii="宋体" w:hAnsi="宋体" w:cs="楷体_GB2312"/>
          <w:b/>
          <w:color w:val="auto"/>
          <w:sz w:val="24"/>
          <w:highlight w:val="none"/>
          <w:lang w:val="zh-CN"/>
        </w:rPr>
        <w:t xml:space="preserve"> 本项目为网</w:t>
      </w:r>
      <w:r>
        <w:rPr>
          <w:rFonts w:ascii="宋体" w:hAnsi="宋体" w:cs="楷体_GB2312"/>
          <w:b/>
          <w:color w:val="auto"/>
          <w:sz w:val="24"/>
          <w:highlight w:val="none"/>
          <w:lang w:val="zh-CN"/>
        </w:rPr>
        <w:t>上</w:t>
      </w:r>
      <w:r>
        <w:rPr>
          <w:rFonts w:hint="eastAsia" w:ascii="宋体" w:hAnsi="宋体" w:cs="楷体_GB2312"/>
          <w:b/>
          <w:color w:val="auto"/>
          <w:sz w:val="24"/>
          <w:highlight w:val="none"/>
          <w:lang w:val="zh-CN"/>
        </w:rPr>
        <w:t>电子交易方</w:t>
      </w:r>
      <w:r>
        <w:rPr>
          <w:rFonts w:ascii="宋体" w:hAnsi="宋体" w:cs="楷体_GB2312"/>
          <w:b/>
          <w:color w:val="auto"/>
          <w:sz w:val="24"/>
          <w:highlight w:val="none"/>
          <w:lang w:val="zh-CN"/>
        </w:rPr>
        <w:t>式，</w:t>
      </w:r>
      <w:r>
        <w:rPr>
          <w:rFonts w:hint="eastAsia" w:ascii="宋体" w:hAnsi="宋体" w:cs="楷体_GB2312"/>
          <w:b/>
          <w:color w:val="auto"/>
          <w:sz w:val="24"/>
          <w:highlight w:val="none"/>
          <w:lang w:val="zh-CN"/>
        </w:rPr>
        <w:t>投标文件（响应文件）的开启方式为远程解密，为保证开标工作顺利进行，投标人需在开标阶段</w:t>
      </w:r>
      <w:r>
        <w:rPr>
          <w:rFonts w:ascii="宋体" w:hAnsi="宋体" w:cs="楷体_GB2312"/>
          <w:b/>
          <w:color w:val="auto"/>
          <w:sz w:val="24"/>
          <w:highlight w:val="none"/>
          <w:lang w:val="zh-CN"/>
        </w:rPr>
        <w:t>、在</w:t>
      </w:r>
      <w:r>
        <w:rPr>
          <w:rFonts w:hint="eastAsia" w:ascii="宋体" w:hAnsi="宋体" w:cs="楷体_GB2312"/>
          <w:b/>
          <w:color w:val="auto"/>
          <w:sz w:val="24"/>
          <w:highlight w:val="none"/>
          <w:lang w:val="zh-CN"/>
        </w:rPr>
        <w:t>管理员下达解密指令后的指定时限内，完成对本单位的加密投标文件（响应文件）的远程解密。如投标人因自身原因、在指定时限内没</w:t>
      </w:r>
      <w:r>
        <w:rPr>
          <w:rFonts w:ascii="宋体" w:hAnsi="宋体" w:cs="楷体_GB2312"/>
          <w:b/>
          <w:color w:val="auto"/>
          <w:sz w:val="24"/>
          <w:highlight w:val="none"/>
          <w:lang w:val="zh-CN"/>
        </w:rPr>
        <w:t>有</w:t>
      </w:r>
      <w:r>
        <w:rPr>
          <w:rFonts w:hint="eastAsia" w:ascii="宋体" w:hAnsi="宋体" w:cs="楷体_GB2312"/>
          <w:b/>
          <w:color w:val="auto"/>
          <w:sz w:val="24"/>
          <w:highlight w:val="none"/>
          <w:lang w:val="zh-CN"/>
        </w:rPr>
        <w:t>解密成功的，其投标将不能被接受，投标人自行承担相应后果。</w:t>
      </w:r>
    </w:p>
    <w:p w14:paraId="650EE244">
      <w:pPr>
        <w:autoSpaceDE w:val="0"/>
        <w:autoSpaceDN w:val="0"/>
        <w:adjustRightInd w:val="0"/>
        <w:snapToGrid w:val="0"/>
        <w:spacing w:before="156" w:beforeLines="50" w:line="300" w:lineRule="auto"/>
        <w:ind w:firstLine="539"/>
        <w:rPr>
          <w:rFonts w:ascii="宋体" w:hAnsi="宋体" w:cs="楷体_GB2312"/>
          <w:b/>
          <w:color w:val="auto"/>
          <w:sz w:val="24"/>
          <w:highlight w:val="none"/>
          <w:lang w:val="zh-CN"/>
        </w:rPr>
      </w:pPr>
      <w:r>
        <w:rPr>
          <w:rFonts w:hint="eastAsia" w:ascii="宋体" w:hAnsi="宋体" w:cs="楷体_GB2312"/>
          <w:b/>
          <w:color w:val="auto"/>
          <w:sz w:val="24"/>
          <w:highlight w:val="none"/>
          <w:lang w:val="zh-CN"/>
        </w:rPr>
        <w:t>鉴于网上电子交易方式的特点，管理员将根据系统情况下达解密指令。</w:t>
      </w:r>
    </w:p>
    <w:p w14:paraId="0901CB34">
      <w:pPr>
        <w:autoSpaceDE w:val="0"/>
        <w:autoSpaceDN w:val="0"/>
        <w:adjustRightInd w:val="0"/>
        <w:snapToGrid w:val="0"/>
        <w:spacing w:before="156" w:beforeLines="50" w:line="300" w:lineRule="auto"/>
        <w:ind w:firstLine="539"/>
        <w:rPr>
          <w:rFonts w:ascii="宋体" w:cs="楷体_GB2312"/>
          <w:color w:val="auto"/>
          <w:sz w:val="24"/>
          <w:highlight w:val="none"/>
          <w:lang w:val="zh-CN"/>
        </w:rPr>
      </w:pPr>
      <w:r>
        <w:rPr>
          <w:rFonts w:ascii="宋体" w:hAnsi="宋体" w:cs="楷体_GB2312"/>
          <w:b/>
          <w:color w:val="auto"/>
          <w:sz w:val="24"/>
          <w:highlight w:val="none"/>
          <w:lang w:val="zh-CN"/>
        </w:rPr>
        <w:t>5.2.2</w:t>
      </w:r>
      <w:r>
        <w:rPr>
          <w:rFonts w:hint="eastAsia" w:ascii="宋体" w:hAnsi="宋体" w:cs="楷体_GB2312"/>
          <w:b/>
          <w:color w:val="auto"/>
          <w:sz w:val="24"/>
          <w:highlight w:val="none"/>
          <w:lang w:val="zh-CN"/>
        </w:rPr>
        <w:t xml:space="preserve"> 投标人对开标过程和开标记录有疑义，以及认为采购人、采购代理机构相关工作人员有需要回避的情形的，应在系统中提出询问或者回避申请，否则，视为对开标无异议。</w:t>
      </w:r>
    </w:p>
    <w:p w14:paraId="54B82E66">
      <w:pPr>
        <w:autoSpaceDE w:val="0"/>
        <w:autoSpaceDN w:val="0"/>
        <w:adjustRightInd w:val="0"/>
        <w:snapToGrid w:val="0"/>
        <w:spacing w:before="156"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 xml:space="preserve">5.2.3 </w:t>
      </w:r>
      <w:r>
        <w:rPr>
          <w:rFonts w:hint="eastAsia" w:ascii="宋体" w:hAnsi="宋体" w:cs="楷体_GB2312"/>
          <w:color w:val="auto"/>
          <w:sz w:val="24"/>
          <w:highlight w:val="none"/>
          <w:lang w:val="zh-CN"/>
        </w:rPr>
        <w:t>在开标或评审过程中，有效投标应在三家以上（包括三家）；有效投标不足三家的应予终止（废标）。</w:t>
      </w:r>
    </w:p>
    <w:p w14:paraId="0A19A2EF">
      <w:pPr>
        <w:autoSpaceDE w:val="0"/>
        <w:autoSpaceDN w:val="0"/>
        <w:adjustRightInd w:val="0"/>
        <w:snapToGrid w:val="0"/>
        <w:spacing w:before="156" w:beforeLines="50" w:line="300" w:lineRule="auto"/>
        <w:ind w:firstLine="539"/>
        <w:rPr>
          <w:rFonts w:ascii="宋体" w:cs="楷体_GB2312"/>
          <w:color w:val="auto"/>
          <w:sz w:val="24"/>
          <w:highlight w:val="none"/>
          <w:lang w:val="zh-CN"/>
        </w:rPr>
      </w:pPr>
    </w:p>
    <w:p w14:paraId="3D4AF1F7">
      <w:pPr>
        <w:autoSpaceDE w:val="0"/>
        <w:autoSpaceDN w:val="0"/>
        <w:adjustRightInd w:val="0"/>
        <w:snapToGrid w:val="0"/>
        <w:spacing w:before="156" w:beforeLines="50" w:line="300" w:lineRule="auto"/>
        <w:ind w:firstLine="539"/>
        <w:outlineLvl w:val="1"/>
        <w:rPr>
          <w:rFonts w:ascii="宋体" w:cs="楷体_GB2312"/>
          <w:color w:val="auto"/>
          <w:sz w:val="24"/>
          <w:highlight w:val="none"/>
          <w:lang w:val="zh-CN"/>
        </w:rPr>
      </w:pPr>
      <w:bookmarkStart w:id="33" w:name="_Toc224739416"/>
      <w:bookmarkStart w:id="34" w:name="_Toc16076"/>
      <w:r>
        <w:rPr>
          <w:rFonts w:ascii="黑体" w:hAnsi="黑体" w:eastAsia="黑体" w:cs="楷体_GB2312"/>
          <w:b/>
          <w:bCs/>
          <w:color w:val="auto"/>
          <w:sz w:val="28"/>
          <w:szCs w:val="28"/>
          <w:highlight w:val="none"/>
          <w:lang w:val="zh-CN"/>
        </w:rPr>
        <w:t xml:space="preserve">6. </w:t>
      </w:r>
      <w:r>
        <w:rPr>
          <w:rFonts w:hint="eastAsia" w:ascii="黑体" w:hAnsi="黑体" w:eastAsia="黑体" w:cs="楷体_GB2312"/>
          <w:b/>
          <w:bCs/>
          <w:color w:val="auto"/>
          <w:sz w:val="28"/>
          <w:szCs w:val="28"/>
          <w:highlight w:val="none"/>
          <w:lang w:val="zh-CN"/>
        </w:rPr>
        <w:t>评审</w:t>
      </w:r>
      <w:bookmarkEnd w:id="33"/>
      <w:bookmarkEnd w:id="34"/>
    </w:p>
    <w:p w14:paraId="58EFBFEF">
      <w:pPr>
        <w:autoSpaceDE w:val="0"/>
        <w:autoSpaceDN w:val="0"/>
        <w:adjustRightInd w:val="0"/>
        <w:snapToGrid w:val="0"/>
        <w:spacing w:before="156" w:beforeLines="50" w:line="300" w:lineRule="auto"/>
        <w:ind w:firstLine="539"/>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 xml:space="preserve">6.1 </w:t>
      </w:r>
      <w:r>
        <w:rPr>
          <w:rFonts w:hint="eastAsia" w:ascii="黑体" w:hAnsi="黑体" w:eastAsia="黑体" w:cs="楷体_GB2312"/>
          <w:b/>
          <w:color w:val="auto"/>
          <w:sz w:val="24"/>
          <w:highlight w:val="none"/>
          <w:lang w:val="zh-CN"/>
        </w:rPr>
        <w:t xml:space="preserve">谈判小组  </w:t>
      </w:r>
    </w:p>
    <w:p w14:paraId="6518934E">
      <w:pPr>
        <w:autoSpaceDE w:val="0"/>
        <w:autoSpaceDN w:val="0"/>
        <w:adjustRightInd w:val="0"/>
        <w:snapToGrid w:val="0"/>
        <w:spacing w:before="156" w:beforeLines="50" w:line="300" w:lineRule="auto"/>
        <w:ind w:firstLine="539"/>
        <w:rPr>
          <w:rFonts w:ascii="宋体" w:hAnsi="宋体" w:cs="楷体_GB2312"/>
          <w:color w:val="auto"/>
          <w:sz w:val="24"/>
          <w:highlight w:val="none"/>
          <w:lang w:val="zh-CN"/>
        </w:rPr>
      </w:pPr>
      <w:r>
        <w:rPr>
          <w:rFonts w:hint="eastAsia" w:ascii="宋体" w:hAnsi="宋体" w:cs="楷体_GB2312"/>
          <w:color w:val="auto"/>
          <w:sz w:val="24"/>
          <w:highlight w:val="none"/>
          <w:lang w:val="zh-CN"/>
        </w:rPr>
        <w:t>评审工作由依法组建的谈判小组负责。谈判小组由3人及以上单数组成，其中评审专家人数不少于谈判小组成员总数的2/3，评审专家是在监督部门监督下从政府采购专家库中随机抽取产生。</w:t>
      </w:r>
    </w:p>
    <w:p w14:paraId="5D848018">
      <w:pPr>
        <w:autoSpaceDE w:val="0"/>
        <w:autoSpaceDN w:val="0"/>
        <w:adjustRightInd w:val="0"/>
        <w:snapToGrid w:val="0"/>
        <w:spacing w:before="156" w:beforeLines="50" w:line="300" w:lineRule="auto"/>
        <w:ind w:firstLine="539"/>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 xml:space="preserve">6.2 </w:t>
      </w:r>
      <w:r>
        <w:rPr>
          <w:rFonts w:hint="eastAsia" w:ascii="黑体" w:hAnsi="黑体" w:eastAsia="黑体" w:cs="楷体_GB2312"/>
          <w:b/>
          <w:color w:val="auto"/>
          <w:sz w:val="24"/>
          <w:highlight w:val="none"/>
          <w:lang w:val="zh-CN"/>
        </w:rPr>
        <w:t>评审原则</w:t>
      </w:r>
    </w:p>
    <w:p w14:paraId="3F55F8D1">
      <w:pPr>
        <w:autoSpaceDE w:val="0"/>
        <w:autoSpaceDN w:val="0"/>
        <w:adjustRightInd w:val="0"/>
        <w:snapToGrid w:val="0"/>
        <w:spacing w:before="156"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 xml:space="preserve">6.2.1 </w:t>
      </w:r>
      <w:r>
        <w:rPr>
          <w:rFonts w:hint="eastAsia" w:ascii="宋体" w:hAnsi="宋体" w:cs="楷体_GB2312"/>
          <w:color w:val="auto"/>
          <w:sz w:val="24"/>
          <w:highlight w:val="none"/>
          <w:lang w:val="zh-CN"/>
        </w:rPr>
        <w:t>坚持公开、公平、公正地对待所有投标人。</w:t>
      </w:r>
    </w:p>
    <w:p w14:paraId="1F51357C">
      <w:pPr>
        <w:autoSpaceDE w:val="0"/>
        <w:autoSpaceDN w:val="0"/>
        <w:adjustRightInd w:val="0"/>
        <w:snapToGrid w:val="0"/>
        <w:spacing w:before="156"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 xml:space="preserve">6.2.2 </w:t>
      </w:r>
      <w:r>
        <w:rPr>
          <w:rFonts w:hint="eastAsia" w:ascii="宋体" w:hAnsi="宋体" w:cs="楷体_GB2312"/>
          <w:color w:val="auto"/>
          <w:sz w:val="24"/>
          <w:highlight w:val="none"/>
          <w:lang w:val="zh-CN"/>
        </w:rPr>
        <w:t>按照同一评审程序及方法审查所有投标人的投标文件。</w:t>
      </w:r>
    </w:p>
    <w:p w14:paraId="7599CE61">
      <w:pPr>
        <w:autoSpaceDE w:val="0"/>
        <w:autoSpaceDN w:val="0"/>
        <w:adjustRightInd w:val="0"/>
        <w:snapToGrid w:val="0"/>
        <w:spacing w:before="156"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 xml:space="preserve">6.2.3 </w:t>
      </w:r>
      <w:r>
        <w:rPr>
          <w:rFonts w:hint="eastAsia" w:ascii="宋体" w:hAnsi="宋体" w:cs="楷体_GB2312"/>
          <w:color w:val="auto"/>
          <w:sz w:val="24"/>
          <w:highlight w:val="none"/>
          <w:lang w:val="zh-CN"/>
        </w:rPr>
        <w:t>反对不正当竞争</w:t>
      </w:r>
    </w:p>
    <w:p w14:paraId="56E12CB1">
      <w:pPr>
        <w:autoSpaceDE w:val="0"/>
        <w:autoSpaceDN w:val="0"/>
        <w:adjustRightInd w:val="0"/>
        <w:snapToGrid w:val="0"/>
        <w:spacing w:before="156" w:beforeLines="50" w:line="300" w:lineRule="auto"/>
        <w:ind w:firstLine="539"/>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 xml:space="preserve">6.3 </w:t>
      </w:r>
      <w:r>
        <w:rPr>
          <w:rFonts w:hint="eastAsia" w:ascii="黑体" w:hAnsi="黑体" w:eastAsia="黑体" w:cs="楷体_GB2312"/>
          <w:b/>
          <w:color w:val="auto"/>
          <w:sz w:val="24"/>
          <w:highlight w:val="none"/>
          <w:lang w:val="zh-CN"/>
        </w:rPr>
        <w:t>评审</w:t>
      </w:r>
    </w:p>
    <w:p w14:paraId="2E4A0BA7">
      <w:pPr>
        <w:autoSpaceDE w:val="0"/>
        <w:autoSpaceDN w:val="0"/>
        <w:adjustRightInd w:val="0"/>
        <w:snapToGrid w:val="0"/>
        <w:spacing w:before="156"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6.3.1</w:t>
      </w:r>
      <w:r>
        <w:rPr>
          <w:rFonts w:hint="eastAsia" w:ascii="宋体" w:hAnsi="宋体" w:cs="楷体_GB2312"/>
          <w:color w:val="auto"/>
          <w:sz w:val="24"/>
          <w:highlight w:val="none"/>
          <w:lang w:val="zh-CN"/>
        </w:rPr>
        <w:t xml:space="preserve"> 评审工作在谈判小组内独立进行。谈判小组按照第四章“评审办法”规定的方法、评审因素、标准和程序对投标文件进行评审。第四章“评审办法”没有规定的方法、评审因素和标准，不作为评审依据。</w:t>
      </w:r>
    </w:p>
    <w:p w14:paraId="1E49AADB">
      <w:pPr>
        <w:autoSpaceDE w:val="0"/>
        <w:autoSpaceDN w:val="0"/>
        <w:adjustRightInd w:val="0"/>
        <w:snapToGrid w:val="0"/>
        <w:spacing w:before="156"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6.3.2</w:t>
      </w:r>
      <w:r>
        <w:rPr>
          <w:rFonts w:hint="eastAsia" w:ascii="宋体" w:hAnsi="宋体" w:cs="楷体_GB2312"/>
          <w:color w:val="auto"/>
          <w:sz w:val="24"/>
          <w:highlight w:val="none"/>
          <w:lang w:val="zh-CN"/>
        </w:rPr>
        <w:t xml:space="preserve"> 在开标、评审期间，投标人不得向谈判小组成员询问情况，不得进行旨在影响评审结果的活动。</w:t>
      </w:r>
    </w:p>
    <w:p w14:paraId="6348A84F">
      <w:pPr>
        <w:autoSpaceDE w:val="0"/>
        <w:autoSpaceDN w:val="0"/>
        <w:adjustRightInd w:val="0"/>
        <w:snapToGrid w:val="0"/>
        <w:spacing w:before="156" w:beforeLines="50" w:line="300" w:lineRule="auto"/>
        <w:ind w:firstLine="539"/>
        <w:rPr>
          <w:rFonts w:ascii="宋体" w:cs="楷体_GB2312"/>
          <w:color w:val="auto"/>
          <w:sz w:val="24"/>
          <w:highlight w:val="none"/>
          <w:lang w:val="zh-CN"/>
        </w:rPr>
      </w:pPr>
      <w:r>
        <w:rPr>
          <w:rFonts w:ascii="黑体" w:hAnsi="黑体" w:eastAsia="黑体" w:cs="楷体_GB2312"/>
          <w:b/>
          <w:color w:val="auto"/>
          <w:sz w:val="24"/>
          <w:highlight w:val="none"/>
          <w:lang w:val="zh-CN"/>
        </w:rPr>
        <w:t xml:space="preserve">6.4 </w:t>
      </w:r>
      <w:r>
        <w:rPr>
          <w:rFonts w:hint="eastAsia" w:ascii="黑体" w:hAnsi="黑体" w:eastAsia="黑体" w:cs="楷体_GB2312"/>
          <w:b/>
          <w:color w:val="auto"/>
          <w:sz w:val="24"/>
          <w:highlight w:val="none"/>
          <w:lang w:val="zh-CN"/>
        </w:rPr>
        <w:t xml:space="preserve"> 谈判：</w:t>
      </w:r>
      <w:r>
        <w:rPr>
          <w:rFonts w:hint="eastAsia" w:ascii="宋体" w:hAnsi="宋体" w:cs="楷体_GB2312"/>
          <w:color w:val="auto"/>
          <w:sz w:val="24"/>
          <w:highlight w:val="none"/>
          <w:lang w:val="zh-CN"/>
        </w:rPr>
        <w:t>见第四章评审办法</w:t>
      </w:r>
      <w:r>
        <w:rPr>
          <w:rFonts w:ascii="宋体" w:hAnsi="宋体" w:cs="楷体_GB2312"/>
          <w:color w:val="auto"/>
          <w:sz w:val="24"/>
          <w:highlight w:val="none"/>
          <w:lang w:val="zh-CN"/>
        </w:rPr>
        <w:t>3.5</w:t>
      </w:r>
      <w:r>
        <w:rPr>
          <w:rFonts w:hint="eastAsia" w:ascii="宋体" w:hAnsi="宋体" w:cs="楷体_GB2312"/>
          <w:color w:val="auto"/>
          <w:sz w:val="24"/>
          <w:highlight w:val="none"/>
          <w:lang w:val="zh-CN"/>
        </w:rPr>
        <w:t>款谈判规则。</w:t>
      </w:r>
    </w:p>
    <w:p w14:paraId="0F10CC1B">
      <w:pPr>
        <w:autoSpaceDE w:val="0"/>
        <w:autoSpaceDN w:val="0"/>
        <w:adjustRightInd w:val="0"/>
        <w:snapToGrid w:val="0"/>
        <w:spacing w:before="156" w:beforeLines="50" w:line="300" w:lineRule="auto"/>
        <w:ind w:firstLine="539"/>
        <w:rPr>
          <w:rFonts w:ascii="宋体" w:cs="楷体_GB2312"/>
          <w:color w:val="auto"/>
          <w:sz w:val="24"/>
          <w:highlight w:val="none"/>
          <w:lang w:val="zh-CN"/>
        </w:rPr>
      </w:pPr>
    </w:p>
    <w:p w14:paraId="7AA85EAE">
      <w:pPr>
        <w:autoSpaceDE w:val="0"/>
        <w:autoSpaceDN w:val="0"/>
        <w:adjustRightInd w:val="0"/>
        <w:snapToGrid w:val="0"/>
        <w:spacing w:before="156" w:beforeLines="50" w:line="300" w:lineRule="auto"/>
        <w:ind w:firstLine="539"/>
        <w:outlineLvl w:val="1"/>
        <w:rPr>
          <w:rFonts w:ascii="黑体" w:hAnsi="黑体" w:eastAsia="黑体" w:cs="楷体_GB2312"/>
          <w:b/>
          <w:bCs/>
          <w:color w:val="auto"/>
          <w:sz w:val="28"/>
          <w:szCs w:val="28"/>
          <w:highlight w:val="none"/>
          <w:lang w:val="zh-CN"/>
        </w:rPr>
      </w:pPr>
      <w:bookmarkStart w:id="35" w:name="_Toc5762"/>
      <w:bookmarkStart w:id="36" w:name="_Toc224739417"/>
      <w:r>
        <w:rPr>
          <w:rFonts w:ascii="黑体" w:hAnsi="黑体" w:eastAsia="黑体" w:cs="楷体_GB2312"/>
          <w:b/>
          <w:bCs/>
          <w:color w:val="auto"/>
          <w:sz w:val="28"/>
          <w:szCs w:val="28"/>
          <w:highlight w:val="none"/>
          <w:lang w:val="zh-CN"/>
        </w:rPr>
        <w:t xml:space="preserve">7. </w:t>
      </w:r>
      <w:r>
        <w:rPr>
          <w:rFonts w:hint="eastAsia" w:ascii="黑体" w:hAnsi="黑体" w:eastAsia="黑体" w:cs="楷体_GB2312"/>
          <w:b/>
          <w:bCs/>
          <w:color w:val="auto"/>
          <w:sz w:val="28"/>
          <w:szCs w:val="28"/>
          <w:highlight w:val="none"/>
          <w:lang w:val="zh-CN"/>
        </w:rPr>
        <w:t>授予合同</w:t>
      </w:r>
      <w:bookmarkEnd w:id="35"/>
      <w:bookmarkEnd w:id="36"/>
    </w:p>
    <w:p w14:paraId="654AED30">
      <w:pPr>
        <w:autoSpaceDE w:val="0"/>
        <w:autoSpaceDN w:val="0"/>
        <w:adjustRightInd w:val="0"/>
        <w:snapToGrid w:val="0"/>
        <w:spacing w:before="156" w:beforeLines="50" w:line="300" w:lineRule="auto"/>
        <w:ind w:firstLine="539"/>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 xml:space="preserve">7.1 </w:t>
      </w:r>
      <w:r>
        <w:rPr>
          <w:rFonts w:hint="eastAsia" w:ascii="黑体" w:hAnsi="黑体" w:eastAsia="黑体" w:cs="楷体_GB2312"/>
          <w:b/>
          <w:color w:val="auto"/>
          <w:sz w:val="24"/>
          <w:highlight w:val="none"/>
          <w:lang w:val="zh-CN"/>
        </w:rPr>
        <w:t>确定成交供应商方式</w:t>
      </w:r>
    </w:p>
    <w:p w14:paraId="5572D1BE">
      <w:pPr>
        <w:autoSpaceDE w:val="0"/>
        <w:autoSpaceDN w:val="0"/>
        <w:adjustRightInd w:val="0"/>
        <w:snapToGrid w:val="0"/>
        <w:spacing w:before="156" w:beforeLines="50" w:line="300" w:lineRule="auto"/>
        <w:ind w:firstLine="539"/>
        <w:rPr>
          <w:rFonts w:ascii="宋体" w:cs="楷体_GB2312"/>
          <w:color w:val="auto"/>
          <w:sz w:val="24"/>
          <w:highlight w:val="none"/>
          <w:lang w:val="zh-CN"/>
        </w:rPr>
      </w:pPr>
      <w:r>
        <w:rPr>
          <w:rFonts w:hint="eastAsia" w:ascii="宋体" w:hAnsi="宋体" w:cs="楷体_GB2312"/>
          <w:color w:val="auto"/>
          <w:sz w:val="24"/>
          <w:highlight w:val="none"/>
          <w:lang w:val="zh-CN"/>
        </w:rPr>
        <w:t>除投标人须知前附表规定授权谈判小组直接确定成交供应商外，采购人应当自收到评审报告之日起</w:t>
      </w:r>
      <w:r>
        <w:rPr>
          <w:rFonts w:ascii="宋体" w:hAnsi="宋体" w:cs="楷体_GB2312"/>
          <w:color w:val="auto"/>
          <w:sz w:val="24"/>
          <w:highlight w:val="none"/>
          <w:lang w:val="zh-CN"/>
        </w:rPr>
        <w:t>5</w:t>
      </w:r>
      <w:r>
        <w:rPr>
          <w:rFonts w:hint="eastAsia" w:ascii="宋体" w:hAnsi="宋体" w:cs="楷体_GB2312"/>
          <w:color w:val="auto"/>
          <w:sz w:val="24"/>
          <w:highlight w:val="none"/>
          <w:lang w:val="zh-CN"/>
        </w:rPr>
        <w:t>个工作日内在评审报告推荐的成交候选人中按顺序确定成交供应商。若排名第一的成交候选人放弃中标（成交），或者因不可抗力不能履行合同，或者被查实存在影响成交结果的违法行为等情形、不符合成交条件的，采购人可以按照谈判小组提出的成交候选人名单排序依次确定其他成交候选人为成交供应商，也可以重新采购。</w:t>
      </w:r>
    </w:p>
    <w:p w14:paraId="36700CC1">
      <w:pPr>
        <w:autoSpaceDE w:val="0"/>
        <w:autoSpaceDN w:val="0"/>
        <w:adjustRightInd w:val="0"/>
        <w:snapToGrid w:val="0"/>
        <w:spacing w:before="156" w:beforeLines="50" w:line="300" w:lineRule="auto"/>
        <w:ind w:firstLine="539"/>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 xml:space="preserve">7.2 </w:t>
      </w:r>
      <w:r>
        <w:rPr>
          <w:rFonts w:hint="eastAsia" w:ascii="黑体" w:hAnsi="黑体" w:eastAsia="黑体" w:cs="楷体_GB2312"/>
          <w:b/>
          <w:color w:val="auto"/>
          <w:sz w:val="24"/>
          <w:highlight w:val="none"/>
          <w:lang w:val="zh-CN"/>
        </w:rPr>
        <w:t>成交结果公告</w:t>
      </w:r>
    </w:p>
    <w:p w14:paraId="4F5318EB">
      <w:pPr>
        <w:autoSpaceDE w:val="0"/>
        <w:autoSpaceDN w:val="0"/>
        <w:adjustRightInd w:val="0"/>
        <w:snapToGrid w:val="0"/>
        <w:spacing w:before="156" w:beforeLines="50" w:line="300" w:lineRule="auto"/>
        <w:ind w:firstLine="539"/>
        <w:rPr>
          <w:rFonts w:ascii="宋体" w:hAnsi="宋体" w:cs="楷体_GB2312"/>
          <w:color w:val="auto"/>
          <w:sz w:val="24"/>
          <w:highlight w:val="none"/>
          <w:lang w:val="zh-CN"/>
        </w:rPr>
      </w:pPr>
      <w:r>
        <w:rPr>
          <w:rFonts w:hint="eastAsia" w:ascii="宋体" w:hAnsi="宋体" w:cs="楷体_GB2312"/>
          <w:color w:val="auto"/>
          <w:sz w:val="24"/>
          <w:highlight w:val="none"/>
          <w:lang w:val="zh-CN"/>
        </w:rPr>
        <w:t>采购代理机构在成交供应商确定后1个工作日内，在谈判公告所述媒体公告成交结果。同时向成交供应商发出成交通知书。成交结果公告期限为</w:t>
      </w:r>
      <w:r>
        <w:rPr>
          <w:rFonts w:ascii="宋体" w:hAnsi="宋体" w:cs="楷体_GB2312"/>
          <w:color w:val="auto"/>
          <w:sz w:val="24"/>
          <w:highlight w:val="none"/>
          <w:lang w:val="zh-CN"/>
        </w:rPr>
        <w:t>1</w:t>
      </w:r>
      <w:r>
        <w:rPr>
          <w:rFonts w:hint="eastAsia" w:ascii="宋体" w:hAnsi="宋体" w:cs="楷体_GB2312"/>
          <w:color w:val="auto"/>
          <w:sz w:val="24"/>
          <w:highlight w:val="none"/>
          <w:lang w:val="zh-CN"/>
        </w:rPr>
        <w:t>个工作日。</w:t>
      </w:r>
    </w:p>
    <w:p w14:paraId="323ABF04">
      <w:pPr>
        <w:autoSpaceDE w:val="0"/>
        <w:autoSpaceDN w:val="0"/>
        <w:adjustRightInd w:val="0"/>
        <w:snapToGrid w:val="0"/>
        <w:spacing w:before="156" w:beforeLines="50" w:line="300" w:lineRule="auto"/>
        <w:ind w:firstLine="539"/>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 xml:space="preserve">7.3 </w:t>
      </w:r>
      <w:r>
        <w:rPr>
          <w:rFonts w:hint="eastAsia" w:ascii="黑体" w:hAnsi="黑体" w:eastAsia="黑体" w:cs="楷体_GB2312"/>
          <w:b/>
          <w:color w:val="auto"/>
          <w:sz w:val="24"/>
          <w:highlight w:val="none"/>
          <w:lang w:val="zh-CN"/>
        </w:rPr>
        <w:t>质疑、投诉：</w:t>
      </w:r>
    </w:p>
    <w:p w14:paraId="4BAD4DBE">
      <w:pPr>
        <w:autoSpaceDE w:val="0"/>
        <w:autoSpaceDN w:val="0"/>
        <w:adjustRightInd w:val="0"/>
        <w:snapToGrid w:val="0"/>
        <w:spacing w:before="156" w:beforeLines="50" w:line="300" w:lineRule="auto"/>
        <w:ind w:firstLine="537" w:firstLineChars="224"/>
        <w:rPr>
          <w:rFonts w:ascii="宋体" w:cs="楷体_GB2312"/>
          <w:color w:val="auto"/>
          <w:sz w:val="24"/>
          <w:highlight w:val="none"/>
          <w:lang w:val="zh-CN"/>
        </w:rPr>
      </w:pPr>
      <w:r>
        <w:rPr>
          <w:rFonts w:ascii="宋体" w:hAnsi="宋体"/>
          <w:color w:val="auto"/>
          <w:sz w:val="24"/>
          <w:highlight w:val="none"/>
        </w:rPr>
        <w:t>7.3.1</w:t>
      </w:r>
      <w:r>
        <w:rPr>
          <w:rFonts w:hint="eastAsia" w:ascii="宋体" w:hAnsi="宋体" w:cs="楷体_GB2312"/>
          <w:color w:val="auto"/>
          <w:sz w:val="24"/>
          <w:highlight w:val="none"/>
          <w:lang w:val="zh-CN"/>
        </w:rPr>
        <w:t>见投标人须知前附表</w:t>
      </w:r>
    </w:p>
    <w:p w14:paraId="65B3FB4D">
      <w:pPr>
        <w:adjustRightInd w:val="0"/>
        <w:snapToGrid w:val="0"/>
        <w:spacing w:before="156" w:beforeLines="50" w:line="240" w:lineRule="auto"/>
        <w:ind w:firstLine="600" w:firstLineChars="250"/>
        <w:rPr>
          <w:rFonts w:ascii="宋体"/>
          <w:color w:val="auto"/>
          <w:sz w:val="24"/>
          <w:highlight w:val="none"/>
        </w:rPr>
      </w:pPr>
      <w:r>
        <w:rPr>
          <w:rFonts w:ascii="宋体" w:hAnsi="宋体"/>
          <w:color w:val="auto"/>
          <w:sz w:val="24"/>
          <w:highlight w:val="none"/>
        </w:rPr>
        <w:t>7.3.2</w:t>
      </w:r>
      <w:r>
        <w:rPr>
          <w:rFonts w:hint="eastAsia" w:ascii="宋体" w:hAnsi="宋体"/>
          <w:color w:val="auto"/>
          <w:sz w:val="24"/>
          <w:highlight w:val="none"/>
        </w:rPr>
        <w:t>询问或者质疑事项可能影响成交结果的，采购人应当暂停签订合同，已经签订合同的，应当中止履行合同。</w:t>
      </w:r>
    </w:p>
    <w:p w14:paraId="314A893C">
      <w:pPr>
        <w:autoSpaceDE w:val="0"/>
        <w:autoSpaceDN w:val="0"/>
        <w:adjustRightInd w:val="0"/>
        <w:snapToGrid w:val="0"/>
        <w:spacing w:before="156" w:beforeLines="50" w:line="300" w:lineRule="auto"/>
        <w:ind w:firstLine="539"/>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 xml:space="preserve">7.4 </w:t>
      </w:r>
      <w:r>
        <w:rPr>
          <w:rFonts w:hint="eastAsia" w:ascii="黑体" w:hAnsi="黑体" w:eastAsia="黑体" w:cs="楷体_GB2312"/>
          <w:b/>
          <w:color w:val="auto"/>
          <w:sz w:val="24"/>
          <w:highlight w:val="none"/>
          <w:lang w:val="zh-CN"/>
        </w:rPr>
        <w:t>成交通知：</w:t>
      </w:r>
      <w:r>
        <w:rPr>
          <w:rFonts w:hint="eastAsia" w:ascii="宋体" w:hAnsi="宋体" w:cs="楷体_GB2312"/>
          <w:color w:val="auto"/>
          <w:sz w:val="24"/>
          <w:highlight w:val="none"/>
          <w:lang w:val="zh-CN"/>
        </w:rPr>
        <w:t>见投标人须知前附表</w:t>
      </w:r>
    </w:p>
    <w:p w14:paraId="70FC0D53">
      <w:pPr>
        <w:autoSpaceDE w:val="0"/>
        <w:autoSpaceDN w:val="0"/>
        <w:adjustRightInd w:val="0"/>
        <w:snapToGrid w:val="0"/>
        <w:spacing w:before="156" w:beforeLines="50" w:line="300" w:lineRule="auto"/>
        <w:ind w:firstLine="539"/>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 xml:space="preserve">7.5 </w:t>
      </w:r>
      <w:r>
        <w:rPr>
          <w:rFonts w:hint="eastAsia" w:ascii="黑体" w:hAnsi="黑体" w:eastAsia="黑体" w:cs="楷体_GB2312"/>
          <w:b/>
          <w:color w:val="auto"/>
          <w:sz w:val="24"/>
          <w:highlight w:val="none"/>
          <w:lang w:val="zh-CN"/>
        </w:rPr>
        <w:t>履约保证金</w:t>
      </w:r>
    </w:p>
    <w:p w14:paraId="1FC4399E">
      <w:pPr>
        <w:autoSpaceDE w:val="0"/>
        <w:autoSpaceDN w:val="0"/>
        <w:adjustRightInd w:val="0"/>
        <w:snapToGrid w:val="0"/>
        <w:spacing w:before="156" w:beforeLines="50" w:line="300" w:lineRule="auto"/>
        <w:ind w:firstLine="539"/>
        <w:rPr>
          <w:rFonts w:ascii="宋体" w:cs="楷体_GB2312"/>
          <w:color w:val="auto"/>
          <w:sz w:val="24"/>
          <w:highlight w:val="none"/>
          <w:lang w:val="zh-CN"/>
        </w:rPr>
      </w:pPr>
      <w:r>
        <w:rPr>
          <w:rFonts w:ascii="宋体" w:hAnsi="宋体" w:cs="楷体_GB2312"/>
          <w:color w:val="auto"/>
          <w:sz w:val="24"/>
          <w:highlight w:val="none"/>
          <w:lang w:val="zh-CN"/>
        </w:rPr>
        <w:t>7.5.1</w:t>
      </w:r>
      <w:r>
        <w:rPr>
          <w:rFonts w:hint="eastAsia" w:ascii="宋体" w:hAnsi="宋体" w:cs="楷体_GB2312"/>
          <w:color w:val="auto"/>
          <w:sz w:val="24"/>
          <w:highlight w:val="none"/>
          <w:lang w:val="zh-CN"/>
        </w:rPr>
        <w:t xml:space="preserve"> 在签订合同时，成交供应商应按投标人须知前附表规定向采购人提交履约保证金。</w:t>
      </w:r>
    </w:p>
    <w:p w14:paraId="35D032E5">
      <w:pPr>
        <w:autoSpaceDE w:val="0"/>
        <w:autoSpaceDN w:val="0"/>
        <w:adjustRightInd w:val="0"/>
        <w:snapToGrid w:val="0"/>
        <w:spacing w:before="156" w:beforeLines="50" w:line="300" w:lineRule="auto"/>
        <w:ind w:firstLine="539"/>
        <w:rPr>
          <w:rFonts w:ascii="宋体" w:hAnsi="宋体" w:cs="楷体_GB2312"/>
          <w:color w:val="auto"/>
          <w:sz w:val="24"/>
          <w:highlight w:val="none"/>
          <w:lang w:val="zh-CN"/>
        </w:rPr>
      </w:pPr>
      <w:r>
        <w:rPr>
          <w:rFonts w:ascii="宋体" w:hAnsi="宋体" w:cs="楷体_GB2312"/>
          <w:color w:val="auto"/>
          <w:sz w:val="24"/>
          <w:highlight w:val="none"/>
          <w:lang w:val="zh-CN"/>
        </w:rPr>
        <w:t xml:space="preserve">7.5.2 </w:t>
      </w:r>
      <w:r>
        <w:rPr>
          <w:rFonts w:hint="eastAsia" w:ascii="宋体" w:hAnsi="宋体" w:cs="楷体_GB2312"/>
          <w:color w:val="auto"/>
          <w:sz w:val="24"/>
          <w:highlight w:val="none"/>
          <w:lang w:val="zh-CN"/>
        </w:rPr>
        <w:t>成交供应商不能按本章第</w:t>
      </w:r>
      <w:r>
        <w:rPr>
          <w:rFonts w:ascii="宋体" w:hAnsi="宋体" w:cs="楷体_GB2312"/>
          <w:color w:val="auto"/>
          <w:sz w:val="24"/>
          <w:highlight w:val="none"/>
          <w:lang w:val="zh-CN"/>
        </w:rPr>
        <w:t>7.5.1</w:t>
      </w:r>
      <w:r>
        <w:rPr>
          <w:rFonts w:hint="eastAsia" w:ascii="宋体" w:hAnsi="宋体" w:cs="楷体_GB2312"/>
          <w:color w:val="auto"/>
          <w:sz w:val="24"/>
          <w:highlight w:val="none"/>
          <w:lang w:val="zh-CN"/>
        </w:rPr>
        <w:t>项要求提交履约保证金的，视为放弃成交资格，</w:t>
      </w:r>
      <w:r>
        <w:rPr>
          <w:rFonts w:hint="eastAsia" w:ascii="宋体" w:hAnsi="宋体"/>
          <w:color w:val="auto"/>
          <w:sz w:val="24"/>
          <w:szCs w:val="24"/>
          <w:highlight w:val="none"/>
        </w:rPr>
        <w:t>依据谈判文件“第三章</w:t>
      </w:r>
      <w:r>
        <w:rPr>
          <w:rFonts w:hint="eastAsia" w:ascii="宋体" w:hAnsi="宋体" w:cs="楷体_GB2312"/>
          <w:color w:val="auto"/>
          <w:sz w:val="24"/>
          <w:szCs w:val="22"/>
          <w:highlight w:val="none"/>
        </w:rPr>
        <w:t>3.5.5 违背承诺的责任追究措施</w:t>
      </w:r>
      <w:r>
        <w:rPr>
          <w:rFonts w:hint="eastAsia" w:ascii="宋体" w:hAnsi="宋体"/>
          <w:color w:val="auto"/>
          <w:sz w:val="24"/>
          <w:szCs w:val="24"/>
          <w:highlight w:val="none"/>
        </w:rPr>
        <w:t>”，投标人</w:t>
      </w:r>
      <w:r>
        <w:rPr>
          <w:rFonts w:hint="eastAsia" w:ascii="宋体" w:hAnsi="宋体" w:cs="楷体_GB2312"/>
          <w:color w:val="auto"/>
          <w:sz w:val="24"/>
          <w:szCs w:val="22"/>
          <w:highlight w:val="none"/>
        </w:rPr>
        <w:t>承担相应法律责任及违约责任。</w:t>
      </w:r>
      <w:r>
        <w:rPr>
          <w:rFonts w:hint="eastAsia" w:ascii="宋体" w:hAnsi="宋体" w:cs="楷体_GB2312"/>
          <w:color w:val="auto"/>
          <w:sz w:val="24"/>
          <w:highlight w:val="none"/>
          <w:lang w:val="zh-CN"/>
        </w:rPr>
        <w:t>给采购人及采购代理机构造成损失的，成交供应商应当予以赔偿。</w:t>
      </w:r>
    </w:p>
    <w:p w14:paraId="5C3D81A2">
      <w:pPr>
        <w:autoSpaceDE w:val="0"/>
        <w:autoSpaceDN w:val="0"/>
        <w:adjustRightInd w:val="0"/>
        <w:snapToGrid w:val="0"/>
        <w:spacing w:before="156" w:beforeLines="50" w:line="300" w:lineRule="auto"/>
        <w:ind w:firstLine="539"/>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 xml:space="preserve">7.6 </w:t>
      </w:r>
      <w:r>
        <w:rPr>
          <w:rFonts w:hint="eastAsia" w:ascii="黑体" w:hAnsi="黑体" w:eastAsia="黑体" w:cs="楷体_GB2312"/>
          <w:b/>
          <w:color w:val="auto"/>
          <w:sz w:val="24"/>
          <w:highlight w:val="none"/>
          <w:lang w:val="zh-CN"/>
        </w:rPr>
        <w:t>签订合同</w:t>
      </w:r>
    </w:p>
    <w:p w14:paraId="16D5D819">
      <w:pPr>
        <w:autoSpaceDE w:val="0"/>
        <w:autoSpaceDN w:val="0"/>
        <w:adjustRightInd w:val="0"/>
        <w:snapToGrid w:val="0"/>
        <w:spacing w:before="156" w:beforeLines="50" w:line="300" w:lineRule="auto"/>
        <w:ind w:firstLine="539"/>
        <w:rPr>
          <w:rFonts w:ascii="宋体" w:hAnsi="宋体"/>
          <w:color w:val="auto"/>
          <w:sz w:val="24"/>
          <w:highlight w:val="none"/>
        </w:rPr>
      </w:pPr>
      <w:r>
        <w:rPr>
          <w:rFonts w:ascii="宋体" w:hAnsi="宋体"/>
          <w:color w:val="auto"/>
          <w:sz w:val="24"/>
          <w:highlight w:val="none"/>
        </w:rPr>
        <w:t xml:space="preserve">7.6.1 </w:t>
      </w:r>
      <w:r>
        <w:rPr>
          <w:rFonts w:hint="eastAsia" w:ascii="宋体" w:hAnsi="宋体"/>
          <w:color w:val="auto"/>
          <w:sz w:val="24"/>
          <w:highlight w:val="none"/>
        </w:rPr>
        <w:t>据优化营商环境精神，成交供应商应在《成交通知书》发出后1个工作日内，按照谈判文件确定的合同文本以及成交标的、技术和服务等事项与采购人签订</w:t>
      </w:r>
      <w:r>
        <w:rPr>
          <w:rFonts w:hint="eastAsia" w:ascii="宋体" w:hAnsi="宋体" w:cs="楷体_GB2312"/>
          <w:color w:val="auto"/>
          <w:sz w:val="24"/>
          <w:highlight w:val="none"/>
          <w:lang w:val="zh-CN"/>
        </w:rPr>
        <w:t>书面</w:t>
      </w:r>
      <w:r>
        <w:rPr>
          <w:rFonts w:hint="eastAsia" w:ascii="宋体" w:hAnsi="宋体"/>
          <w:color w:val="auto"/>
          <w:sz w:val="24"/>
          <w:highlight w:val="none"/>
        </w:rPr>
        <w:t>政府采购合同。</w:t>
      </w:r>
    </w:p>
    <w:p w14:paraId="143A333D">
      <w:pPr>
        <w:autoSpaceDE w:val="0"/>
        <w:autoSpaceDN w:val="0"/>
        <w:adjustRightInd w:val="0"/>
        <w:snapToGrid w:val="0"/>
        <w:spacing w:before="156" w:beforeLines="50" w:line="300" w:lineRule="auto"/>
        <w:ind w:firstLine="539"/>
        <w:rPr>
          <w:rFonts w:ascii="宋体" w:hAnsi="宋体" w:cs="楷体_GB2312"/>
          <w:color w:val="auto"/>
          <w:sz w:val="24"/>
          <w:highlight w:val="none"/>
          <w:lang w:val="zh-CN"/>
        </w:rPr>
      </w:pPr>
      <w:r>
        <w:rPr>
          <w:rFonts w:ascii="宋体" w:hAnsi="宋体"/>
          <w:color w:val="auto"/>
          <w:sz w:val="24"/>
          <w:highlight w:val="none"/>
        </w:rPr>
        <w:t xml:space="preserve">7.6.2 </w:t>
      </w:r>
      <w:r>
        <w:rPr>
          <w:rFonts w:hint="eastAsia" w:ascii="宋体" w:hAnsi="宋体"/>
          <w:color w:val="auto"/>
          <w:sz w:val="24"/>
          <w:highlight w:val="none"/>
        </w:rPr>
        <w:t>如成交供应商不按时签订合同、</w:t>
      </w:r>
      <w:r>
        <w:rPr>
          <w:rFonts w:hint="eastAsia" w:ascii="宋体" w:hAnsi="宋体" w:cs="楷体_GB2312"/>
          <w:color w:val="auto"/>
          <w:sz w:val="24"/>
          <w:highlight w:val="none"/>
          <w:lang w:val="zh-CN"/>
        </w:rPr>
        <w:t>拒签合同的，取消其成交资格，</w:t>
      </w:r>
      <w:r>
        <w:rPr>
          <w:rFonts w:hint="eastAsia" w:ascii="宋体" w:hAnsi="宋体"/>
          <w:color w:val="auto"/>
          <w:sz w:val="24"/>
          <w:szCs w:val="24"/>
          <w:highlight w:val="none"/>
        </w:rPr>
        <w:t>依据谈判文件“第三章</w:t>
      </w:r>
      <w:r>
        <w:rPr>
          <w:rFonts w:hint="eastAsia" w:ascii="宋体" w:hAnsi="宋体" w:cs="楷体_GB2312"/>
          <w:color w:val="auto"/>
          <w:sz w:val="24"/>
          <w:szCs w:val="22"/>
          <w:highlight w:val="none"/>
        </w:rPr>
        <w:t>3.5.5 违背承诺的责任追究措施</w:t>
      </w:r>
      <w:r>
        <w:rPr>
          <w:rFonts w:hint="eastAsia" w:ascii="宋体" w:hAnsi="宋体"/>
          <w:color w:val="auto"/>
          <w:sz w:val="24"/>
          <w:szCs w:val="24"/>
          <w:highlight w:val="none"/>
        </w:rPr>
        <w:t>”，投标人</w:t>
      </w:r>
      <w:r>
        <w:rPr>
          <w:rFonts w:hint="eastAsia" w:ascii="宋体" w:hAnsi="宋体" w:cs="楷体_GB2312"/>
          <w:color w:val="auto"/>
          <w:sz w:val="24"/>
          <w:szCs w:val="22"/>
          <w:highlight w:val="none"/>
        </w:rPr>
        <w:t>承担相应法律责任及违约责任。</w:t>
      </w:r>
      <w:r>
        <w:rPr>
          <w:rFonts w:hint="eastAsia" w:ascii="宋体" w:hAnsi="宋体" w:cs="楷体_GB2312"/>
          <w:color w:val="auto"/>
          <w:sz w:val="24"/>
          <w:highlight w:val="none"/>
          <w:lang w:val="zh-CN"/>
        </w:rPr>
        <w:t>给采购人造成损失的，成交供应商应当予以赔偿。</w:t>
      </w:r>
    </w:p>
    <w:p w14:paraId="56573EC1">
      <w:pPr>
        <w:widowControl w:val="0"/>
        <w:adjustRightInd w:val="0"/>
        <w:snapToGrid w:val="0"/>
        <w:spacing w:before="156" w:beforeLines="50" w:line="300" w:lineRule="auto"/>
        <w:ind w:firstLine="566"/>
        <w:rPr>
          <w:rFonts w:ascii="宋体" w:hAnsi="宋体"/>
          <w:color w:val="auto"/>
          <w:sz w:val="24"/>
          <w:szCs w:val="24"/>
          <w:highlight w:val="none"/>
        </w:rPr>
      </w:pPr>
      <w:r>
        <w:rPr>
          <w:rFonts w:ascii="宋体" w:hAnsi="宋体"/>
          <w:color w:val="auto"/>
          <w:sz w:val="24"/>
          <w:szCs w:val="24"/>
          <w:highlight w:val="none"/>
        </w:rPr>
        <w:t>7.6.3</w:t>
      </w:r>
      <w:r>
        <w:rPr>
          <w:rFonts w:hint="eastAsia" w:ascii="宋体" w:hAnsi="宋体"/>
          <w:color w:val="auto"/>
          <w:sz w:val="24"/>
          <w:szCs w:val="24"/>
          <w:highlight w:val="none"/>
        </w:rPr>
        <w:t xml:space="preserve"> 合同生效：成交供应商与采购人签订的合同，双方签字后盖章生效</w:t>
      </w:r>
      <w:r>
        <w:rPr>
          <w:rFonts w:hint="eastAsia"/>
          <w:color w:val="auto"/>
          <w:sz w:val="24"/>
          <w:szCs w:val="24"/>
          <w:highlight w:val="none"/>
        </w:rPr>
        <w:t>。</w:t>
      </w:r>
      <w:r>
        <w:rPr>
          <w:rFonts w:hint="eastAsia" w:ascii="宋体" w:hAnsi="宋体"/>
          <w:color w:val="auto"/>
          <w:sz w:val="24"/>
          <w:szCs w:val="24"/>
          <w:highlight w:val="none"/>
        </w:rPr>
        <w:t>采购人要在合同签订后1个工作日内登陆安阳市政府采购网进行备案并公告。</w:t>
      </w:r>
    </w:p>
    <w:p w14:paraId="5C33A0A1">
      <w:pPr>
        <w:widowControl w:val="0"/>
        <w:adjustRightInd w:val="0"/>
        <w:snapToGrid w:val="0"/>
        <w:spacing w:before="156" w:beforeLines="50" w:line="300" w:lineRule="auto"/>
        <w:ind w:firstLine="549"/>
        <w:rPr>
          <w:rFonts w:ascii="宋体" w:hAnsi="宋体"/>
          <w:color w:val="auto"/>
          <w:sz w:val="24"/>
          <w:szCs w:val="24"/>
          <w:highlight w:val="none"/>
        </w:rPr>
      </w:pPr>
      <w:r>
        <w:rPr>
          <w:rFonts w:ascii="宋体" w:hAnsi="宋体"/>
          <w:color w:val="auto"/>
          <w:sz w:val="24"/>
          <w:szCs w:val="24"/>
          <w:highlight w:val="none"/>
        </w:rPr>
        <w:t>7.6.4</w:t>
      </w:r>
      <w:r>
        <w:rPr>
          <w:rFonts w:hint="eastAsia" w:ascii="宋体" w:hAnsi="宋体"/>
          <w:color w:val="auto"/>
          <w:sz w:val="24"/>
          <w:szCs w:val="24"/>
          <w:highlight w:val="none"/>
        </w:rPr>
        <w:t>《成交通知书》、谈判文件</w:t>
      </w:r>
      <w:r>
        <w:rPr>
          <w:rFonts w:hint="eastAsia" w:ascii="宋体" w:hAnsi="宋体"/>
          <w:color w:val="auto"/>
          <w:spacing w:val="20"/>
          <w:sz w:val="24"/>
          <w:szCs w:val="24"/>
          <w:highlight w:val="none"/>
        </w:rPr>
        <w:t>及其修改补充澄清</w:t>
      </w:r>
      <w:r>
        <w:rPr>
          <w:rFonts w:hint="eastAsia" w:ascii="宋体" w:hAnsi="宋体"/>
          <w:color w:val="auto"/>
          <w:sz w:val="24"/>
          <w:szCs w:val="24"/>
          <w:highlight w:val="none"/>
        </w:rPr>
        <w:t>、成交供应商的投标文件</w:t>
      </w:r>
      <w:r>
        <w:rPr>
          <w:rFonts w:hint="eastAsia" w:ascii="宋体" w:hAnsi="宋体"/>
          <w:color w:val="auto"/>
          <w:spacing w:val="20"/>
          <w:sz w:val="24"/>
          <w:szCs w:val="24"/>
          <w:highlight w:val="none"/>
        </w:rPr>
        <w:t>及其修改补充澄清</w:t>
      </w:r>
      <w:r>
        <w:rPr>
          <w:rFonts w:hint="eastAsia" w:ascii="宋体" w:hAnsi="宋体"/>
          <w:color w:val="auto"/>
          <w:sz w:val="24"/>
          <w:szCs w:val="24"/>
          <w:highlight w:val="none"/>
        </w:rPr>
        <w:t>等，均为签订合同的依据。所定合同不得对谈判文件和成交供应商的投标文件作实质性修改，采购人和成交供应商不得私下订立背离合同实质性内容的协议。</w:t>
      </w:r>
    </w:p>
    <w:p w14:paraId="76877723">
      <w:pPr>
        <w:widowControl w:val="0"/>
        <w:adjustRightInd w:val="0"/>
        <w:snapToGrid w:val="0"/>
        <w:spacing w:before="156" w:beforeLines="50" w:line="300" w:lineRule="auto"/>
        <w:ind w:firstLine="549"/>
        <w:rPr>
          <w:rFonts w:ascii="宋体" w:hAnsi="宋体"/>
          <w:color w:val="auto"/>
          <w:sz w:val="24"/>
          <w:szCs w:val="24"/>
          <w:highlight w:val="none"/>
        </w:rPr>
      </w:pPr>
      <w:r>
        <w:rPr>
          <w:rFonts w:ascii="宋体" w:hAnsi="宋体"/>
          <w:color w:val="auto"/>
          <w:sz w:val="24"/>
          <w:szCs w:val="24"/>
          <w:highlight w:val="none"/>
        </w:rPr>
        <w:t xml:space="preserve">7.6.5 </w:t>
      </w:r>
      <w:r>
        <w:rPr>
          <w:rFonts w:hint="eastAsia" w:ascii="宋体" w:hAnsi="宋体"/>
          <w:color w:val="auto"/>
          <w:sz w:val="24"/>
          <w:szCs w:val="24"/>
          <w:highlight w:val="none"/>
        </w:rPr>
        <w:t>评审会后，成交供应商、采购人之间擅自私下谈判、变更中标（成交）标的、价格及</w:t>
      </w:r>
      <w:r>
        <w:rPr>
          <w:rFonts w:hint="eastAsia" w:ascii="宋体" w:hAnsi="宋体"/>
          <w:color w:val="auto"/>
          <w:sz w:val="24"/>
          <w:highlight w:val="none"/>
        </w:rPr>
        <w:t>招投</w:t>
      </w:r>
      <w:r>
        <w:rPr>
          <w:rFonts w:hint="eastAsia" w:ascii="宋体" w:hAnsi="宋体"/>
          <w:color w:val="auto"/>
          <w:sz w:val="24"/>
          <w:szCs w:val="24"/>
          <w:highlight w:val="none"/>
        </w:rPr>
        <w:t>标文件实质性内容的，有关部门将按《中华人民共和国政府采购法》及相关法规的规定处理。</w:t>
      </w:r>
    </w:p>
    <w:p w14:paraId="17E88DA1">
      <w:pPr>
        <w:widowControl w:val="0"/>
        <w:adjustRightInd w:val="0"/>
        <w:snapToGrid w:val="0"/>
        <w:spacing w:before="156" w:beforeLines="50" w:line="300" w:lineRule="auto"/>
        <w:ind w:firstLine="549"/>
        <w:rPr>
          <w:color w:val="auto"/>
          <w:sz w:val="24"/>
          <w:szCs w:val="24"/>
          <w:highlight w:val="none"/>
        </w:rPr>
      </w:pPr>
      <w:r>
        <w:rPr>
          <w:rFonts w:ascii="宋体" w:hAnsi="宋体"/>
          <w:color w:val="auto"/>
          <w:sz w:val="24"/>
          <w:szCs w:val="24"/>
          <w:highlight w:val="none"/>
        </w:rPr>
        <w:t>7.6.</w:t>
      </w:r>
      <w:r>
        <w:rPr>
          <w:rFonts w:hint="eastAsia" w:ascii="宋体" w:hAnsi="宋体"/>
          <w:color w:val="auto"/>
          <w:sz w:val="24"/>
          <w:szCs w:val="24"/>
          <w:highlight w:val="none"/>
        </w:rPr>
        <w:t>6</w:t>
      </w:r>
      <w:r>
        <w:rPr>
          <w:rFonts w:ascii="宋体" w:hAnsi="宋体"/>
          <w:color w:val="auto"/>
          <w:sz w:val="24"/>
          <w:szCs w:val="24"/>
          <w:highlight w:val="none"/>
        </w:rPr>
        <w:t xml:space="preserve"> </w:t>
      </w:r>
      <w:r>
        <w:rPr>
          <w:rFonts w:hint="eastAsia" w:ascii="宋体" w:hAnsi="宋体"/>
          <w:color w:val="auto"/>
          <w:sz w:val="24"/>
          <w:szCs w:val="24"/>
          <w:highlight w:val="none"/>
        </w:rPr>
        <w:t>采购人与成交供应商签订《政府采购合同》后，合同履行中产生的纠纷、争议，由采购人与成交供应</w:t>
      </w:r>
      <w:r>
        <w:rPr>
          <w:rFonts w:hint="eastAsia"/>
          <w:color w:val="auto"/>
          <w:sz w:val="24"/>
          <w:szCs w:val="24"/>
          <w:highlight w:val="none"/>
        </w:rPr>
        <w:t>商按合同条款及《中华人民共和国民法典》处理。</w:t>
      </w:r>
    </w:p>
    <w:p w14:paraId="142CEB39">
      <w:pPr>
        <w:widowControl w:val="0"/>
        <w:adjustRightInd w:val="0"/>
        <w:snapToGrid w:val="0"/>
        <w:spacing w:before="156" w:beforeLines="50" w:line="300" w:lineRule="auto"/>
        <w:ind w:firstLine="555"/>
        <w:rPr>
          <w:rFonts w:ascii="黑体" w:hAnsi="黑体" w:eastAsia="黑体" w:cs="楷体_GB2312"/>
          <w:b/>
          <w:color w:val="auto"/>
          <w:sz w:val="24"/>
          <w:highlight w:val="none"/>
          <w:lang w:val="zh-CN"/>
        </w:rPr>
      </w:pPr>
      <w:r>
        <w:rPr>
          <w:rFonts w:ascii="黑体" w:hAnsi="黑体" w:eastAsia="黑体" w:cs="楷体_GB2312"/>
          <w:b/>
          <w:color w:val="auto"/>
          <w:sz w:val="24"/>
          <w:highlight w:val="none"/>
          <w:lang w:val="zh-CN"/>
        </w:rPr>
        <w:t xml:space="preserve">7.7 </w:t>
      </w:r>
      <w:r>
        <w:rPr>
          <w:rFonts w:hint="eastAsia" w:ascii="黑体" w:hAnsi="黑体" w:eastAsia="黑体" w:cs="楷体_GB2312"/>
          <w:b/>
          <w:color w:val="auto"/>
          <w:sz w:val="24"/>
          <w:highlight w:val="none"/>
          <w:lang w:val="zh-CN"/>
        </w:rPr>
        <w:t>合同补充变更</w:t>
      </w:r>
    </w:p>
    <w:p w14:paraId="66B1439E">
      <w:pPr>
        <w:widowControl w:val="0"/>
        <w:adjustRightInd w:val="0"/>
        <w:snapToGrid w:val="0"/>
        <w:spacing w:before="156" w:beforeLines="50" w:line="300" w:lineRule="auto"/>
        <w:ind w:firstLine="555"/>
        <w:rPr>
          <w:rFonts w:ascii="宋体" w:hAnsi="宋体"/>
          <w:color w:val="auto"/>
          <w:sz w:val="24"/>
          <w:szCs w:val="24"/>
          <w:highlight w:val="none"/>
        </w:rPr>
      </w:pPr>
      <w:r>
        <w:rPr>
          <w:rFonts w:ascii="宋体" w:hAnsi="宋体"/>
          <w:color w:val="auto"/>
          <w:sz w:val="24"/>
          <w:szCs w:val="24"/>
          <w:highlight w:val="none"/>
        </w:rPr>
        <w:t xml:space="preserve">7.7.1 </w:t>
      </w:r>
      <w:r>
        <w:rPr>
          <w:rFonts w:hint="eastAsia" w:ascii="宋体" w:hAnsi="宋体"/>
          <w:color w:val="auto"/>
          <w:sz w:val="24"/>
          <w:szCs w:val="24"/>
          <w:highlight w:val="none"/>
        </w:rPr>
        <w:t>政府采购合同履行中，采购人需追加或减少与合同标的相同的货物、工程和服务的（即追加或减少原合同标的数量），在不改变合同条款（包括原合同单价）的前提下，双方可以协商签订补充合同，但所有补充合同总金额不得超过原合同采购金额的</w:t>
      </w:r>
      <w:r>
        <w:rPr>
          <w:rFonts w:ascii="宋体" w:hAnsi="宋体"/>
          <w:color w:val="auto"/>
          <w:sz w:val="24"/>
          <w:szCs w:val="24"/>
          <w:highlight w:val="none"/>
        </w:rPr>
        <w:t>10%</w:t>
      </w:r>
      <w:r>
        <w:rPr>
          <w:rFonts w:hint="eastAsia" w:ascii="宋体" w:hAnsi="宋体"/>
          <w:color w:val="auto"/>
          <w:sz w:val="24"/>
          <w:szCs w:val="24"/>
          <w:highlight w:val="none"/>
        </w:rPr>
        <w:t>，不得调增原合同单价，不得超出项目预算，超过原合同采购金额的</w:t>
      </w:r>
      <w:r>
        <w:rPr>
          <w:rFonts w:ascii="宋体" w:hAnsi="宋体"/>
          <w:color w:val="auto"/>
          <w:sz w:val="24"/>
          <w:szCs w:val="24"/>
          <w:highlight w:val="none"/>
        </w:rPr>
        <w:t>10%</w:t>
      </w:r>
      <w:r>
        <w:rPr>
          <w:rFonts w:hint="eastAsia" w:ascii="宋体" w:hAnsi="宋体"/>
          <w:color w:val="auto"/>
          <w:sz w:val="24"/>
          <w:szCs w:val="24"/>
          <w:highlight w:val="none"/>
        </w:rPr>
        <w:t>，应重新组织采购活动。</w:t>
      </w:r>
    </w:p>
    <w:p w14:paraId="03371267">
      <w:pPr>
        <w:widowControl w:val="0"/>
        <w:adjustRightInd w:val="0"/>
        <w:snapToGrid w:val="0"/>
        <w:spacing w:before="156" w:beforeLines="50" w:line="300" w:lineRule="auto"/>
        <w:ind w:firstLine="555"/>
        <w:rPr>
          <w:color w:val="auto"/>
          <w:sz w:val="24"/>
          <w:szCs w:val="24"/>
          <w:highlight w:val="none"/>
        </w:rPr>
      </w:pPr>
    </w:p>
    <w:p w14:paraId="38944BEF">
      <w:pPr>
        <w:widowControl w:val="0"/>
        <w:adjustRightInd w:val="0"/>
        <w:snapToGrid w:val="0"/>
        <w:spacing w:before="156" w:beforeLines="50" w:line="300" w:lineRule="auto"/>
        <w:ind w:firstLine="561"/>
        <w:outlineLvl w:val="1"/>
        <w:rPr>
          <w:rFonts w:ascii="黑体" w:hAnsi="黑体" w:eastAsia="黑体" w:cs="楷体_GB2312"/>
          <w:b/>
          <w:bCs/>
          <w:color w:val="auto"/>
          <w:sz w:val="28"/>
          <w:szCs w:val="28"/>
          <w:highlight w:val="none"/>
          <w:lang w:val="zh-CN"/>
        </w:rPr>
      </w:pPr>
      <w:bookmarkStart w:id="37" w:name="_Toc3275"/>
      <w:bookmarkStart w:id="38" w:name="_Toc224739418"/>
      <w:r>
        <w:rPr>
          <w:rFonts w:ascii="黑体" w:hAnsi="黑体" w:eastAsia="黑体" w:cs="楷体_GB2312"/>
          <w:b/>
          <w:bCs/>
          <w:color w:val="auto"/>
          <w:sz w:val="28"/>
          <w:szCs w:val="28"/>
          <w:highlight w:val="none"/>
          <w:lang w:val="zh-CN"/>
        </w:rPr>
        <w:t xml:space="preserve">8. </w:t>
      </w:r>
      <w:r>
        <w:rPr>
          <w:rFonts w:hint="eastAsia" w:ascii="黑体" w:hAnsi="黑体" w:eastAsia="黑体" w:cs="楷体_GB2312"/>
          <w:b/>
          <w:bCs/>
          <w:color w:val="auto"/>
          <w:sz w:val="28"/>
          <w:szCs w:val="28"/>
          <w:highlight w:val="none"/>
          <w:lang w:val="zh-CN"/>
        </w:rPr>
        <w:t>验收</w:t>
      </w:r>
      <w:bookmarkEnd w:id="37"/>
      <w:bookmarkEnd w:id="38"/>
    </w:p>
    <w:p w14:paraId="78A1BDEF">
      <w:pPr>
        <w:widowControl w:val="0"/>
        <w:adjustRightInd w:val="0"/>
        <w:snapToGrid w:val="0"/>
        <w:spacing w:before="156" w:beforeLines="50" w:line="300" w:lineRule="auto"/>
        <w:ind w:firstLine="561"/>
        <w:rPr>
          <w:rFonts w:ascii="宋体" w:cs="楷体_GB2312"/>
          <w:color w:val="auto"/>
          <w:sz w:val="24"/>
          <w:highlight w:val="none"/>
          <w:lang w:val="zh-CN"/>
        </w:rPr>
      </w:pPr>
      <w:r>
        <w:rPr>
          <w:rFonts w:ascii="宋体" w:hAnsi="宋体" w:cs="楷体_GB2312"/>
          <w:color w:val="auto"/>
          <w:sz w:val="24"/>
          <w:highlight w:val="none"/>
          <w:lang w:val="zh-CN"/>
        </w:rPr>
        <w:t>8.1</w:t>
      </w:r>
      <w:r>
        <w:rPr>
          <w:rFonts w:hint="eastAsia" w:ascii="宋体" w:hAnsi="宋体" w:cs="楷体_GB2312"/>
          <w:color w:val="auto"/>
          <w:sz w:val="24"/>
          <w:highlight w:val="none"/>
          <w:lang w:val="zh-CN"/>
        </w:rPr>
        <w:t>验收时间：所供货物安装调试结束、具备正常使用及验收条件时，由采购</w:t>
      </w:r>
      <w:r>
        <w:rPr>
          <w:rFonts w:hint="eastAsia" w:ascii="宋体" w:hAnsi="宋体" w:cs="楷体_GB2312"/>
          <w:color w:val="auto"/>
          <w:sz w:val="24"/>
          <w:highlight w:val="none"/>
        </w:rPr>
        <w:t>人</w:t>
      </w:r>
      <w:r>
        <w:rPr>
          <w:rFonts w:hint="eastAsia" w:ascii="宋体" w:hAnsi="宋体" w:cs="楷体_GB2312"/>
          <w:color w:val="auto"/>
          <w:sz w:val="24"/>
          <w:highlight w:val="none"/>
          <w:lang w:val="zh-CN"/>
        </w:rPr>
        <w:t>成立验收工作组负责验收。</w:t>
      </w:r>
      <w:r>
        <w:rPr>
          <w:rFonts w:hint="eastAsia" w:ascii="宋体" w:hAnsi="宋体" w:cs="楷体_GB2312"/>
          <w:color w:val="auto"/>
          <w:sz w:val="24"/>
          <w:highlight w:val="none"/>
        </w:rPr>
        <w:t>技术复杂、社会影响较大的货物类项目，可以根据需要设置出厂检验、到货检验、安装调试检验、配套服务检验等多重验收环节；服务类项目，可根据项目特点对服务期内的服务实施情况进行分期考核，结合考核情况和服务效果进行验收。</w:t>
      </w:r>
    </w:p>
    <w:p w14:paraId="31E260CE">
      <w:pPr>
        <w:widowControl w:val="0"/>
        <w:adjustRightInd w:val="0"/>
        <w:snapToGrid w:val="0"/>
        <w:spacing w:before="156" w:beforeLines="50" w:line="300" w:lineRule="auto"/>
        <w:ind w:firstLine="561"/>
        <w:rPr>
          <w:rFonts w:ascii="宋体" w:hAnsi="宋体" w:cs="楷体_GB2312"/>
          <w:color w:val="auto"/>
          <w:sz w:val="24"/>
          <w:highlight w:val="none"/>
          <w:lang w:val="zh-CN"/>
        </w:rPr>
      </w:pPr>
      <w:r>
        <w:rPr>
          <w:rFonts w:ascii="宋体" w:hAnsi="宋体" w:cs="楷体_GB2312"/>
          <w:color w:val="auto"/>
          <w:sz w:val="24"/>
          <w:highlight w:val="none"/>
          <w:lang w:val="zh-CN"/>
        </w:rPr>
        <w:t>8.2</w:t>
      </w:r>
      <w:r>
        <w:rPr>
          <w:rFonts w:hint="eastAsia" w:ascii="宋体" w:hAnsi="宋体" w:cs="楷体_GB2312"/>
          <w:color w:val="auto"/>
          <w:sz w:val="24"/>
          <w:highlight w:val="none"/>
          <w:lang w:val="zh-CN"/>
        </w:rPr>
        <w:t>验收工作组：合同履约验收工作应成立验收工作组专门负责。</w:t>
      </w:r>
    </w:p>
    <w:p w14:paraId="4A8DE208">
      <w:pPr>
        <w:widowControl w:val="0"/>
        <w:adjustRightInd w:val="0"/>
        <w:snapToGrid w:val="0"/>
        <w:spacing w:before="156" w:beforeLines="50" w:line="300" w:lineRule="auto"/>
        <w:ind w:firstLine="561"/>
        <w:rPr>
          <w:rFonts w:ascii="宋体" w:hAnsi="宋体" w:cs="楷体_GB2312"/>
          <w:color w:val="auto"/>
          <w:sz w:val="24"/>
          <w:highlight w:val="none"/>
          <w:lang w:val="zh-CN"/>
        </w:rPr>
      </w:pPr>
      <w:r>
        <w:rPr>
          <w:rFonts w:hint="eastAsia" w:ascii="宋体" w:hAnsi="宋体" w:cs="楷体_GB2312"/>
          <w:color w:val="auto"/>
          <w:sz w:val="24"/>
          <w:highlight w:val="none"/>
          <w:lang w:val="zh-CN"/>
        </w:rPr>
        <w:t>直接参与该项目政府采购活动的主要负责人不得作为验收工作的主要负责人。</w:t>
      </w:r>
      <w:r>
        <w:rPr>
          <w:rFonts w:hint="eastAsia" w:ascii="宋体" w:hAnsi="宋体" w:cs="楷体_GB2312"/>
          <w:color w:val="auto"/>
          <w:sz w:val="24"/>
          <w:highlight w:val="none"/>
        </w:rPr>
        <w:t>对于采购人和使用人分离的采购项目，应当邀请实际使用人参与验收；政府向社会公众提供的公共服务项目，验收时应当邀请服务对象参与并出具意见，验收结果应当向社会公告。</w:t>
      </w:r>
    </w:p>
    <w:p w14:paraId="7AE0C391">
      <w:pPr>
        <w:widowControl w:val="0"/>
        <w:adjustRightInd w:val="0"/>
        <w:snapToGrid w:val="0"/>
        <w:spacing w:before="156" w:beforeLines="50" w:line="300" w:lineRule="auto"/>
        <w:ind w:firstLine="561"/>
        <w:rPr>
          <w:rFonts w:ascii="宋体" w:hAnsi="宋体" w:cs="楷体_GB2312"/>
          <w:color w:val="auto"/>
          <w:sz w:val="24"/>
          <w:highlight w:val="none"/>
        </w:rPr>
      </w:pPr>
      <w:r>
        <w:rPr>
          <w:rFonts w:hint="eastAsia" w:ascii="宋体" w:hAnsi="宋体" w:cs="楷体_GB2312"/>
          <w:color w:val="auto"/>
          <w:sz w:val="24"/>
          <w:highlight w:val="none"/>
        </w:rPr>
        <w:t>8.2.1</w:t>
      </w:r>
      <w:r>
        <w:rPr>
          <w:rFonts w:hint="eastAsia" w:ascii="宋体" w:hAnsi="宋体" w:cs="楷体_GB2312"/>
          <w:color w:val="auto"/>
          <w:sz w:val="24"/>
          <w:highlight w:val="none"/>
          <w:lang w:val="zh-CN"/>
        </w:rPr>
        <w:t>政府采购合同金额</w:t>
      </w:r>
      <w:r>
        <w:rPr>
          <w:rFonts w:hint="eastAsia" w:ascii="宋体" w:hAnsi="宋体" w:cs="楷体_GB2312"/>
          <w:color w:val="auto"/>
          <w:sz w:val="24"/>
          <w:highlight w:val="none"/>
        </w:rPr>
        <w:t>在</w:t>
      </w:r>
      <w:r>
        <w:rPr>
          <w:rFonts w:hint="eastAsia" w:ascii="宋体" w:hAnsi="宋体" w:cs="楷体_GB2312"/>
          <w:color w:val="auto"/>
          <w:sz w:val="24"/>
          <w:highlight w:val="none"/>
          <w:lang w:val="zh-CN"/>
        </w:rPr>
        <w:t>10万元以下（</w:t>
      </w:r>
      <w:r>
        <w:rPr>
          <w:rFonts w:hint="eastAsia" w:ascii="宋体" w:hAnsi="宋体" w:cs="楷体_GB2312"/>
          <w:color w:val="auto"/>
          <w:sz w:val="24"/>
          <w:highlight w:val="none"/>
        </w:rPr>
        <w:t>含10万元</w:t>
      </w:r>
      <w:r>
        <w:rPr>
          <w:rFonts w:hint="eastAsia" w:ascii="宋体" w:hAnsi="宋体" w:cs="楷体_GB2312"/>
          <w:color w:val="auto"/>
          <w:sz w:val="24"/>
          <w:highlight w:val="none"/>
          <w:lang w:val="zh-CN"/>
        </w:rPr>
        <w:t>）的项目，原则上可以不邀请评审专家参加，组织方成立验收小组自行验收。</w:t>
      </w:r>
      <w:r>
        <w:rPr>
          <w:rFonts w:hint="eastAsia" w:ascii="宋体" w:hAnsi="宋体" w:cs="楷体_GB2312"/>
          <w:color w:val="auto"/>
          <w:sz w:val="24"/>
          <w:highlight w:val="none"/>
        </w:rPr>
        <w:t>自行验收时，验收小组应仔细对照采购文件及合同，对标的物的数量、质量、规格、型号等参数逐一核对，并编制验收报告。组织方认为不能独立完成验收任务的，可以邀请评审专家参与验收。</w:t>
      </w:r>
    </w:p>
    <w:p w14:paraId="017A1333">
      <w:pPr>
        <w:widowControl w:val="0"/>
        <w:adjustRightInd w:val="0"/>
        <w:snapToGrid w:val="0"/>
        <w:spacing w:before="156" w:beforeLines="50" w:line="300" w:lineRule="auto"/>
        <w:ind w:firstLine="561"/>
        <w:rPr>
          <w:rFonts w:ascii="宋体" w:hAnsi="宋体" w:cs="楷体_GB2312"/>
          <w:color w:val="auto"/>
          <w:sz w:val="24"/>
          <w:highlight w:val="none"/>
        </w:rPr>
      </w:pPr>
      <w:r>
        <w:rPr>
          <w:rFonts w:hint="eastAsia" w:ascii="宋体" w:hAnsi="宋体" w:cs="楷体_GB2312"/>
          <w:color w:val="auto"/>
          <w:sz w:val="24"/>
          <w:highlight w:val="none"/>
        </w:rPr>
        <w:t>8.2.2</w:t>
      </w:r>
      <w:r>
        <w:rPr>
          <w:rFonts w:hint="eastAsia" w:ascii="宋体" w:hAnsi="宋体" w:cs="楷体_GB2312"/>
          <w:color w:val="auto"/>
          <w:sz w:val="24"/>
          <w:highlight w:val="none"/>
          <w:lang w:val="zh-CN"/>
        </w:rPr>
        <w:t>政府采购合同金额50万元以下的（含50万元）的项目，验收工作组应不少于三人；政府采购合同金额50万元以上的项目，验收工作组应由</w:t>
      </w:r>
      <w:r>
        <w:rPr>
          <w:rFonts w:hint="eastAsia" w:ascii="宋体" w:hAnsi="宋体" w:cs="楷体_GB2312"/>
          <w:color w:val="auto"/>
          <w:sz w:val="24"/>
          <w:highlight w:val="none"/>
        </w:rPr>
        <w:t>采购人</w:t>
      </w:r>
      <w:r>
        <w:rPr>
          <w:rFonts w:hint="eastAsia" w:ascii="宋体" w:hAnsi="宋体" w:cs="楷体_GB2312"/>
          <w:color w:val="auto"/>
          <w:sz w:val="24"/>
          <w:highlight w:val="none"/>
          <w:lang w:val="zh-CN"/>
        </w:rPr>
        <w:t>领导牵头，财务、审计、监察、资产管理、技术等部门人员参与，成员不少于五人。验收工作</w:t>
      </w:r>
      <w:r>
        <w:rPr>
          <w:rFonts w:hint="eastAsia" w:ascii="宋体" w:hAnsi="宋体" w:cs="楷体_GB2312"/>
          <w:color w:val="auto"/>
          <w:sz w:val="24"/>
          <w:highlight w:val="none"/>
        </w:rPr>
        <w:t>原则上</w:t>
      </w:r>
      <w:r>
        <w:rPr>
          <w:rFonts w:hint="eastAsia" w:ascii="宋体" w:hAnsi="宋体" w:cs="楷体_GB2312"/>
          <w:color w:val="auto"/>
          <w:sz w:val="24"/>
          <w:highlight w:val="none"/>
          <w:lang w:val="zh-CN"/>
        </w:rPr>
        <w:t>应当邀请采购评审专家参加验收；大型、复杂或者技术性很强的政府采购项目，应当邀请国家认可的质量检测机构参加验收工作；国家规定强制性检测的采购项目，</w:t>
      </w:r>
      <w:r>
        <w:rPr>
          <w:rFonts w:hint="eastAsia" w:ascii="宋体" w:hAnsi="宋体" w:cs="楷体_GB2312"/>
          <w:color w:val="auto"/>
          <w:sz w:val="24"/>
          <w:highlight w:val="none"/>
        </w:rPr>
        <w:t>采购人</w:t>
      </w:r>
      <w:r>
        <w:rPr>
          <w:rFonts w:hint="eastAsia" w:ascii="宋体" w:hAnsi="宋体" w:cs="楷体_GB2312"/>
          <w:color w:val="auto"/>
          <w:sz w:val="24"/>
          <w:highlight w:val="none"/>
          <w:lang w:val="zh-CN"/>
        </w:rPr>
        <w:t>必须委托国家认可专业检测机构进行验收。</w:t>
      </w:r>
    </w:p>
    <w:p w14:paraId="6B3CD2B0">
      <w:pPr>
        <w:widowControl w:val="0"/>
        <w:adjustRightInd w:val="0"/>
        <w:snapToGrid w:val="0"/>
        <w:spacing w:before="156" w:beforeLines="50" w:line="300" w:lineRule="auto"/>
        <w:ind w:firstLine="561"/>
        <w:rPr>
          <w:rFonts w:ascii="宋体" w:hAnsi="宋体" w:cs="楷体_GB2312"/>
          <w:color w:val="auto"/>
          <w:sz w:val="24"/>
          <w:highlight w:val="none"/>
        </w:rPr>
      </w:pPr>
      <w:r>
        <w:rPr>
          <w:rFonts w:hint="eastAsia" w:ascii="宋体" w:hAnsi="宋体" w:cs="楷体_GB2312"/>
          <w:color w:val="auto"/>
          <w:sz w:val="24"/>
          <w:highlight w:val="none"/>
        </w:rPr>
        <w:t>8.3验收时，验收小组按照采购合同的约定对每一项技术、服务、安全标准的履约情况进行确认。</w:t>
      </w:r>
      <w:r>
        <w:rPr>
          <w:rFonts w:hint="eastAsia" w:ascii="宋体" w:hAnsi="宋体" w:cs="楷体_GB2312"/>
          <w:color w:val="auto"/>
          <w:sz w:val="24"/>
          <w:highlight w:val="none"/>
          <w:lang w:val="zh-CN"/>
        </w:rPr>
        <w:t>验收时需要进行破坏性试验的，供应商应进行充分的配合并提供备品备件。</w:t>
      </w:r>
    </w:p>
    <w:p w14:paraId="639DCAD9">
      <w:pPr>
        <w:widowControl w:val="0"/>
        <w:adjustRightInd w:val="0"/>
        <w:snapToGrid w:val="0"/>
        <w:spacing w:before="156" w:beforeLines="50" w:line="300" w:lineRule="auto"/>
        <w:ind w:firstLine="561"/>
        <w:rPr>
          <w:rFonts w:ascii="宋体" w:hAnsi="宋体" w:cs="楷体_GB2312"/>
          <w:color w:val="auto"/>
          <w:sz w:val="24"/>
          <w:highlight w:val="none"/>
        </w:rPr>
      </w:pPr>
      <w:r>
        <w:rPr>
          <w:rFonts w:ascii="宋体" w:hAnsi="宋体" w:cs="楷体_GB2312"/>
          <w:color w:val="auto"/>
          <w:sz w:val="24"/>
          <w:highlight w:val="none"/>
          <w:lang w:val="zh-CN"/>
        </w:rPr>
        <w:t>8.</w:t>
      </w:r>
      <w:r>
        <w:rPr>
          <w:rFonts w:hint="eastAsia" w:ascii="宋体" w:hAnsi="宋体" w:cs="楷体_GB2312"/>
          <w:color w:val="auto"/>
          <w:sz w:val="24"/>
          <w:highlight w:val="none"/>
        </w:rPr>
        <w:t>4</w:t>
      </w:r>
      <w:r>
        <w:rPr>
          <w:rFonts w:ascii="宋体" w:hAnsi="宋体" w:cs="楷体_GB2312"/>
          <w:color w:val="auto"/>
          <w:sz w:val="24"/>
          <w:highlight w:val="none"/>
          <w:lang w:val="zh-CN"/>
        </w:rPr>
        <w:t xml:space="preserve"> </w:t>
      </w:r>
      <w:r>
        <w:rPr>
          <w:rFonts w:hint="eastAsia" w:ascii="宋体" w:hAnsi="宋体" w:cs="楷体_GB2312"/>
          <w:color w:val="auto"/>
          <w:sz w:val="24"/>
          <w:highlight w:val="none"/>
          <w:lang w:val="zh-CN"/>
        </w:rPr>
        <w:t>验收报告：验收后，由采购</w:t>
      </w:r>
      <w:r>
        <w:rPr>
          <w:rFonts w:hint="eastAsia" w:ascii="宋体" w:hAnsi="宋体" w:cs="楷体_GB2312"/>
          <w:color w:val="auto"/>
          <w:sz w:val="24"/>
          <w:highlight w:val="none"/>
        </w:rPr>
        <w:t>人</w:t>
      </w:r>
      <w:r>
        <w:rPr>
          <w:rFonts w:hint="eastAsia" w:ascii="宋体" w:hAnsi="宋体" w:cs="楷体_GB2312"/>
          <w:color w:val="auto"/>
          <w:sz w:val="24"/>
          <w:highlight w:val="none"/>
          <w:lang w:val="zh-CN"/>
        </w:rPr>
        <w:t>及专家等出具验收报告（</w:t>
      </w:r>
      <w:r>
        <w:rPr>
          <w:rFonts w:hint="eastAsia" w:ascii="宋体" w:hAnsi="宋体" w:cs="楷体_GB2312"/>
          <w:color w:val="auto"/>
          <w:sz w:val="24"/>
          <w:highlight w:val="none"/>
        </w:rPr>
        <w:t>自行验收的，由采购人出具</w:t>
      </w:r>
      <w:r>
        <w:rPr>
          <w:rFonts w:hint="eastAsia" w:ascii="宋体" w:hAnsi="宋体" w:cs="楷体_GB2312"/>
          <w:color w:val="auto"/>
          <w:sz w:val="24"/>
          <w:highlight w:val="none"/>
          <w:lang w:val="zh-CN"/>
        </w:rPr>
        <w:t>），国家规定强制性检测的采购项目应附国家认可的专业检测机构出具的验收报告。</w:t>
      </w:r>
    </w:p>
    <w:p w14:paraId="0A72623B">
      <w:pPr>
        <w:widowControl w:val="0"/>
        <w:adjustRightInd w:val="0"/>
        <w:snapToGrid w:val="0"/>
        <w:spacing w:before="156" w:beforeLines="50" w:line="300" w:lineRule="auto"/>
        <w:ind w:firstLine="561"/>
        <w:rPr>
          <w:rFonts w:ascii="宋体" w:cs="楷体_GB2312"/>
          <w:color w:val="auto"/>
          <w:sz w:val="24"/>
          <w:highlight w:val="none"/>
          <w:lang w:val="zh-CN"/>
        </w:rPr>
      </w:pPr>
      <w:r>
        <w:rPr>
          <w:rFonts w:hint="eastAsia" w:ascii="宋体" w:hAnsi="宋体" w:cs="楷体_GB2312"/>
          <w:color w:val="auto"/>
          <w:sz w:val="24"/>
          <w:highlight w:val="none"/>
          <w:lang w:val="zh-CN"/>
        </w:rPr>
        <w:t>8.</w:t>
      </w:r>
      <w:r>
        <w:rPr>
          <w:rFonts w:hint="eastAsia" w:ascii="宋体" w:hAnsi="宋体" w:cs="楷体_GB2312"/>
          <w:color w:val="auto"/>
          <w:sz w:val="24"/>
          <w:highlight w:val="none"/>
        </w:rPr>
        <w:t>5</w:t>
      </w:r>
      <w:r>
        <w:rPr>
          <w:rFonts w:hint="eastAsia" w:ascii="宋体" w:hAnsi="宋体" w:cs="楷体_GB2312"/>
          <w:color w:val="auto"/>
          <w:sz w:val="24"/>
          <w:highlight w:val="none"/>
          <w:lang w:val="zh-CN"/>
        </w:rPr>
        <w:t>验收中发现成交供应商未按合同约定的时间、地点或方式履约，提供的货物或服务的数量、质量、性能、功能达不到合同约定的，或者提供假冒伪劣产品等违反合同约定的，验收人员应在验收报告中注明违约情形和事项，并应及时通知财政部门。属假冒伪劣产品的，同时向工商管理、质量监督等行政执法部门举报。</w:t>
      </w:r>
    </w:p>
    <w:p w14:paraId="6359C332">
      <w:pPr>
        <w:autoSpaceDE w:val="0"/>
        <w:autoSpaceDN w:val="0"/>
        <w:adjustRightInd w:val="0"/>
        <w:snapToGrid w:val="0"/>
        <w:spacing w:before="156" w:beforeLines="50" w:line="300" w:lineRule="auto"/>
        <w:ind w:firstLine="539"/>
        <w:rPr>
          <w:rFonts w:ascii="宋体" w:hAnsi="宋体" w:cs="楷体_GB2312"/>
          <w:color w:val="auto"/>
          <w:sz w:val="24"/>
          <w:highlight w:val="none"/>
          <w:lang w:val="zh-CN"/>
        </w:rPr>
      </w:pPr>
      <w:r>
        <w:rPr>
          <w:rFonts w:hint="eastAsia" w:ascii="宋体" w:hAnsi="宋体" w:cs="楷体_GB2312"/>
          <w:color w:val="auto"/>
          <w:sz w:val="24"/>
          <w:highlight w:val="none"/>
          <w:lang w:val="zh-CN"/>
        </w:rPr>
        <w:t>8.6 验收公告的时限：采购人要在政府采购项目验收完成后1个工作日内登陆安阳市政府采购网进行验收公告。</w:t>
      </w:r>
    </w:p>
    <w:p w14:paraId="04A4FE0B">
      <w:pPr>
        <w:widowControl w:val="0"/>
        <w:adjustRightInd w:val="0"/>
        <w:snapToGrid w:val="0"/>
        <w:spacing w:before="156" w:beforeLines="50" w:line="300" w:lineRule="auto"/>
        <w:ind w:firstLine="561"/>
        <w:rPr>
          <w:rFonts w:ascii="宋体" w:cs="楷体_GB2312"/>
          <w:color w:val="auto"/>
          <w:sz w:val="24"/>
          <w:highlight w:val="none"/>
          <w:lang w:val="zh-CN"/>
        </w:rPr>
      </w:pPr>
    </w:p>
    <w:p w14:paraId="442C32CD">
      <w:pPr>
        <w:widowControl w:val="0"/>
        <w:adjustRightInd w:val="0"/>
        <w:snapToGrid w:val="0"/>
        <w:spacing w:before="156" w:beforeLines="50" w:line="300" w:lineRule="auto"/>
        <w:ind w:firstLine="561"/>
        <w:outlineLvl w:val="1"/>
        <w:rPr>
          <w:rFonts w:ascii="黑体" w:hAnsi="黑体" w:eastAsia="黑体" w:cs="楷体_GB2312"/>
          <w:b/>
          <w:bCs/>
          <w:color w:val="auto"/>
          <w:sz w:val="28"/>
          <w:szCs w:val="28"/>
          <w:highlight w:val="none"/>
          <w:lang w:val="zh-CN"/>
        </w:rPr>
      </w:pPr>
      <w:bookmarkStart w:id="39" w:name="_Toc224739419"/>
      <w:bookmarkStart w:id="40" w:name="_Toc29664"/>
      <w:r>
        <w:rPr>
          <w:rFonts w:ascii="黑体" w:hAnsi="黑体" w:eastAsia="黑体" w:cs="楷体_GB2312"/>
          <w:b/>
          <w:bCs/>
          <w:color w:val="auto"/>
          <w:sz w:val="28"/>
          <w:szCs w:val="28"/>
          <w:highlight w:val="none"/>
          <w:lang w:val="zh-CN"/>
        </w:rPr>
        <w:t>9.</w:t>
      </w:r>
      <w:r>
        <w:rPr>
          <w:rFonts w:hint="eastAsia" w:ascii="黑体" w:hAnsi="黑体" w:eastAsia="黑体" w:cs="楷体_GB2312"/>
          <w:b/>
          <w:bCs/>
          <w:color w:val="auto"/>
          <w:sz w:val="28"/>
          <w:szCs w:val="28"/>
          <w:highlight w:val="none"/>
          <w:lang w:val="zh-CN"/>
        </w:rPr>
        <w:t>付款</w:t>
      </w:r>
      <w:bookmarkEnd w:id="39"/>
      <w:bookmarkEnd w:id="40"/>
    </w:p>
    <w:p w14:paraId="5BB55E3B">
      <w:pPr>
        <w:widowControl w:val="0"/>
        <w:adjustRightInd w:val="0"/>
        <w:snapToGrid w:val="0"/>
        <w:spacing w:before="156" w:beforeLines="50" w:line="300" w:lineRule="auto"/>
        <w:ind w:firstLine="561"/>
        <w:rPr>
          <w:rFonts w:ascii="宋体" w:cs="楷体_GB2312"/>
          <w:color w:val="auto"/>
          <w:sz w:val="24"/>
          <w:highlight w:val="none"/>
          <w:lang w:val="zh-CN"/>
        </w:rPr>
      </w:pPr>
      <w:r>
        <w:rPr>
          <w:rFonts w:hint="eastAsia" w:ascii="宋体" w:hAnsi="宋体" w:cs="楷体_GB2312"/>
          <w:color w:val="auto"/>
          <w:sz w:val="24"/>
          <w:highlight w:val="none"/>
          <w:lang w:val="zh-CN"/>
        </w:rPr>
        <w:t>见投标人须知前附表</w:t>
      </w:r>
    </w:p>
    <w:p w14:paraId="0BB9F584">
      <w:pPr>
        <w:widowControl w:val="0"/>
        <w:adjustRightInd w:val="0"/>
        <w:snapToGrid w:val="0"/>
        <w:spacing w:before="156" w:beforeLines="50" w:line="300" w:lineRule="auto"/>
        <w:ind w:firstLine="561"/>
        <w:rPr>
          <w:rFonts w:ascii="黑体" w:hAnsi="黑体" w:eastAsia="黑体" w:cs="楷体_GB2312"/>
          <w:b/>
          <w:bCs/>
          <w:color w:val="auto"/>
          <w:sz w:val="28"/>
          <w:szCs w:val="28"/>
          <w:highlight w:val="none"/>
          <w:lang w:val="zh-CN"/>
        </w:rPr>
      </w:pPr>
    </w:p>
    <w:p w14:paraId="6FD2DF55">
      <w:pPr>
        <w:widowControl w:val="0"/>
        <w:adjustRightInd w:val="0"/>
        <w:snapToGrid w:val="0"/>
        <w:spacing w:before="156" w:beforeLines="50" w:line="300" w:lineRule="auto"/>
        <w:ind w:firstLine="561"/>
        <w:outlineLvl w:val="1"/>
        <w:rPr>
          <w:rFonts w:ascii="黑体" w:hAnsi="黑体" w:eastAsia="黑体" w:cs="楷体_GB2312"/>
          <w:b/>
          <w:bCs/>
          <w:color w:val="auto"/>
          <w:sz w:val="28"/>
          <w:szCs w:val="28"/>
          <w:highlight w:val="none"/>
          <w:lang w:val="zh-CN"/>
        </w:rPr>
      </w:pPr>
      <w:bookmarkStart w:id="41" w:name="_Toc224739420"/>
      <w:bookmarkStart w:id="42" w:name="_Toc23108"/>
      <w:r>
        <w:rPr>
          <w:rFonts w:ascii="黑体" w:hAnsi="黑体" w:eastAsia="黑体" w:cs="楷体_GB2312"/>
          <w:b/>
          <w:bCs/>
          <w:color w:val="auto"/>
          <w:sz w:val="28"/>
          <w:szCs w:val="28"/>
          <w:highlight w:val="none"/>
          <w:lang w:val="zh-CN"/>
        </w:rPr>
        <w:t xml:space="preserve">10. </w:t>
      </w:r>
      <w:r>
        <w:rPr>
          <w:rFonts w:hint="eastAsia" w:ascii="黑体" w:hAnsi="黑体" w:eastAsia="黑体" w:cs="楷体_GB2312"/>
          <w:b/>
          <w:bCs/>
          <w:color w:val="auto"/>
          <w:sz w:val="28"/>
          <w:szCs w:val="28"/>
          <w:highlight w:val="none"/>
          <w:lang w:val="zh-CN"/>
        </w:rPr>
        <w:t>其他</w:t>
      </w:r>
      <w:bookmarkEnd w:id="41"/>
      <w:bookmarkEnd w:id="42"/>
    </w:p>
    <w:p w14:paraId="1A3225E8">
      <w:pPr>
        <w:widowControl w:val="0"/>
        <w:adjustRightInd w:val="0"/>
        <w:snapToGrid w:val="0"/>
        <w:spacing w:before="156" w:beforeLines="50" w:line="300" w:lineRule="auto"/>
        <w:ind w:firstLine="561"/>
        <w:rPr>
          <w:rFonts w:ascii="宋体" w:cs="楷体_GB2312"/>
          <w:color w:val="auto"/>
          <w:sz w:val="24"/>
          <w:highlight w:val="none"/>
          <w:lang w:val="zh-CN"/>
        </w:rPr>
      </w:pPr>
      <w:r>
        <w:rPr>
          <w:rFonts w:ascii="宋体" w:hAnsi="宋体" w:cs="楷体_GB2312"/>
          <w:color w:val="auto"/>
          <w:sz w:val="24"/>
          <w:highlight w:val="none"/>
          <w:lang w:val="zh-CN"/>
        </w:rPr>
        <w:t xml:space="preserve">10.1 </w:t>
      </w:r>
      <w:r>
        <w:rPr>
          <w:rFonts w:hint="eastAsia" w:ascii="宋体" w:hAnsi="宋体" w:cs="楷体_GB2312"/>
          <w:color w:val="auto"/>
          <w:sz w:val="24"/>
          <w:highlight w:val="none"/>
          <w:lang w:val="zh-CN"/>
        </w:rPr>
        <w:t>中标服务费等：见投标人须知前附表</w:t>
      </w:r>
    </w:p>
    <w:p w14:paraId="13776C08">
      <w:pPr>
        <w:widowControl w:val="0"/>
        <w:adjustRightInd w:val="0"/>
        <w:snapToGrid w:val="0"/>
        <w:spacing w:before="156" w:beforeLines="50" w:line="300" w:lineRule="auto"/>
        <w:ind w:firstLine="561"/>
        <w:rPr>
          <w:rFonts w:ascii="宋体" w:hAnsi="宋体" w:cs="楷体_GB2312"/>
          <w:color w:val="auto"/>
          <w:sz w:val="24"/>
          <w:highlight w:val="none"/>
          <w:lang w:val="zh-CN"/>
        </w:rPr>
      </w:pPr>
      <w:r>
        <w:rPr>
          <w:rFonts w:ascii="宋体" w:hAnsi="宋体" w:cs="楷体_GB2312"/>
          <w:color w:val="auto"/>
          <w:sz w:val="24"/>
          <w:highlight w:val="none"/>
          <w:lang w:val="zh-CN"/>
        </w:rPr>
        <w:t xml:space="preserve">10.2 </w:t>
      </w:r>
      <w:r>
        <w:rPr>
          <w:rFonts w:hint="eastAsia" w:ascii="宋体" w:hAnsi="宋体" w:cs="楷体_GB2312"/>
          <w:color w:val="auto"/>
          <w:sz w:val="24"/>
          <w:highlight w:val="none"/>
          <w:lang w:val="zh-CN"/>
        </w:rPr>
        <w:t>同义解释。谈判文件中：“投标”同义“提交响应文件”，“投标人”同义“提交响应文件的供应商”，“投标文件”同义“响应文件”，</w:t>
      </w:r>
      <w:r>
        <w:rPr>
          <w:rFonts w:hint="eastAsia" w:ascii="宋体" w:cs="楷体_GB2312"/>
          <w:color w:val="auto"/>
          <w:sz w:val="24"/>
          <w:highlight w:val="none"/>
          <w:lang w:val="zh-CN"/>
        </w:rPr>
        <w:t>“</w:t>
      </w:r>
      <w:r>
        <w:rPr>
          <w:rFonts w:hint="eastAsia" w:ascii="宋体" w:hAnsi="宋体" w:cs="楷体_GB2312"/>
          <w:color w:val="auto"/>
          <w:sz w:val="24"/>
          <w:highlight w:val="none"/>
          <w:lang w:val="zh-CN"/>
        </w:rPr>
        <w:t>开标”同义“响应文件的开启</w:t>
      </w:r>
      <w:r>
        <w:rPr>
          <w:rFonts w:hint="eastAsia" w:ascii="宋体" w:cs="楷体_GB2312"/>
          <w:color w:val="auto"/>
          <w:sz w:val="24"/>
          <w:highlight w:val="none"/>
          <w:lang w:val="zh-CN"/>
        </w:rPr>
        <w:t>”</w:t>
      </w:r>
      <w:r>
        <w:rPr>
          <w:rFonts w:hint="eastAsia" w:ascii="宋体" w:hAnsi="宋体" w:cs="楷体_GB2312"/>
          <w:color w:val="auto"/>
          <w:sz w:val="24"/>
          <w:highlight w:val="none"/>
          <w:lang w:val="zh-CN"/>
        </w:rPr>
        <w:t>，“中标”同义“成交”，“中标供应商”同义“成交供应商</w:t>
      </w:r>
      <w:r>
        <w:rPr>
          <w:rFonts w:hint="eastAsia" w:ascii="宋体" w:cs="楷体_GB2312"/>
          <w:color w:val="auto"/>
          <w:sz w:val="24"/>
          <w:highlight w:val="none"/>
          <w:lang w:val="zh-CN"/>
        </w:rPr>
        <w:t>”。</w:t>
      </w:r>
    </w:p>
    <w:p w14:paraId="05138063">
      <w:pPr>
        <w:widowControl w:val="0"/>
        <w:adjustRightInd w:val="0"/>
        <w:snapToGrid w:val="0"/>
        <w:spacing w:before="156" w:beforeLines="50" w:line="300" w:lineRule="auto"/>
        <w:ind w:firstLine="561"/>
        <w:rPr>
          <w:rFonts w:ascii="宋体" w:cs="楷体_GB2312"/>
          <w:color w:val="auto"/>
          <w:sz w:val="24"/>
          <w:highlight w:val="none"/>
          <w:lang w:val="zh-CN"/>
        </w:rPr>
      </w:pPr>
      <w:r>
        <w:rPr>
          <w:rFonts w:ascii="宋体" w:hAnsi="宋体" w:cs="楷体_GB2312"/>
          <w:color w:val="auto"/>
          <w:sz w:val="24"/>
          <w:highlight w:val="none"/>
          <w:lang w:val="zh-CN"/>
        </w:rPr>
        <w:t xml:space="preserve">10.3 </w:t>
      </w:r>
      <w:r>
        <w:rPr>
          <w:rFonts w:hint="eastAsia" w:ascii="宋体" w:hAnsi="宋体" w:cs="楷体_GB2312"/>
          <w:color w:val="auto"/>
          <w:sz w:val="24"/>
          <w:highlight w:val="none"/>
          <w:lang w:val="zh-CN"/>
        </w:rPr>
        <w:t>投标人资格条件中包含非法人单位的，谈判文件中法定代表人一词相应包含表示证照标示的负责人；</w:t>
      </w:r>
      <w:r>
        <w:rPr>
          <w:rFonts w:ascii="宋体" w:hAnsi="宋体" w:cs="楷体_GB2312"/>
          <w:color w:val="auto"/>
          <w:sz w:val="24"/>
          <w:highlight w:val="none"/>
          <w:lang w:val="zh-CN"/>
        </w:rPr>
        <w:t xml:space="preserve"> </w:t>
      </w:r>
      <w:r>
        <w:rPr>
          <w:rFonts w:hint="eastAsia" w:ascii="宋体" w:hAnsi="宋体" w:cs="楷体_GB2312"/>
          <w:color w:val="auto"/>
          <w:sz w:val="24"/>
          <w:highlight w:val="none"/>
          <w:lang w:val="zh-CN"/>
        </w:rPr>
        <w:t>投标人资格条件中包含自然人的，谈判文件中法定代表人一词相应包含表示自然人，自然人应由其本人签署投标文件、参加投标，不应再授权他人。</w:t>
      </w:r>
    </w:p>
    <w:p w14:paraId="3198EFF3">
      <w:pPr>
        <w:widowControl w:val="0"/>
        <w:autoSpaceDE w:val="0"/>
        <w:autoSpaceDN w:val="0"/>
        <w:adjustRightInd w:val="0"/>
        <w:spacing w:before="156" w:beforeLines="50" w:line="300" w:lineRule="auto"/>
        <w:ind w:firstLine="480" w:firstLineChars="200"/>
        <w:jc w:val="left"/>
        <w:textAlignment w:val="auto"/>
        <w:rPr>
          <w:rFonts w:ascii="宋体" w:hAnsi="宋体" w:cs="楷体_GB2312"/>
          <w:color w:val="auto"/>
          <w:sz w:val="24"/>
          <w:highlight w:val="none"/>
          <w:lang w:val="zh-CN"/>
        </w:rPr>
      </w:pPr>
      <w:r>
        <w:rPr>
          <w:rFonts w:ascii="宋体" w:hAnsi="宋体" w:cs="楷体_GB2312"/>
          <w:color w:val="auto"/>
          <w:sz w:val="24"/>
          <w:highlight w:val="none"/>
          <w:lang w:val="zh-CN"/>
        </w:rPr>
        <w:t xml:space="preserve">10.4  </w:t>
      </w:r>
      <w:r>
        <w:rPr>
          <w:rFonts w:hint="eastAsia" w:ascii="宋体" w:hAnsi="宋体" w:cs="楷体_GB2312"/>
          <w:color w:val="auto"/>
          <w:sz w:val="24"/>
          <w:highlight w:val="none"/>
          <w:lang w:val="zh-CN"/>
        </w:rPr>
        <w:t>谈判文件第一章至第四章各章中，用序号标示条、款、项、目，例如：</w:t>
      </w:r>
      <w:r>
        <w:rPr>
          <w:rFonts w:ascii="宋体" w:hAnsi="宋体" w:cs="楷体_GB2312"/>
          <w:color w:val="auto"/>
          <w:sz w:val="24"/>
          <w:highlight w:val="none"/>
          <w:lang w:val="zh-CN"/>
        </w:rPr>
        <w:t>1</w:t>
      </w:r>
      <w:r>
        <w:rPr>
          <w:rFonts w:hint="eastAsia" w:ascii="宋体" w:hAnsi="宋体" w:cs="楷体_GB2312"/>
          <w:color w:val="auto"/>
          <w:sz w:val="24"/>
          <w:highlight w:val="none"/>
          <w:lang w:val="zh-CN"/>
        </w:rPr>
        <w:t>为第</w:t>
      </w:r>
      <w:r>
        <w:rPr>
          <w:rFonts w:ascii="宋体" w:hAnsi="宋体" w:cs="楷体_GB2312"/>
          <w:color w:val="auto"/>
          <w:sz w:val="24"/>
          <w:highlight w:val="none"/>
          <w:lang w:val="zh-CN"/>
        </w:rPr>
        <w:t xml:space="preserve">1 </w:t>
      </w:r>
      <w:r>
        <w:rPr>
          <w:rFonts w:hint="eastAsia" w:ascii="宋体" w:hAnsi="宋体" w:cs="楷体_GB2312"/>
          <w:color w:val="auto"/>
          <w:sz w:val="24"/>
          <w:highlight w:val="none"/>
          <w:lang w:val="zh-CN"/>
        </w:rPr>
        <w:t>条，</w:t>
      </w:r>
      <w:r>
        <w:rPr>
          <w:rFonts w:ascii="宋体" w:hAnsi="宋体" w:cs="楷体_GB2312"/>
          <w:color w:val="auto"/>
          <w:sz w:val="24"/>
          <w:highlight w:val="none"/>
          <w:lang w:val="zh-CN"/>
        </w:rPr>
        <w:t>1.1</w:t>
      </w:r>
      <w:r>
        <w:rPr>
          <w:rFonts w:hint="eastAsia" w:ascii="宋体" w:hAnsi="宋体" w:cs="楷体_GB2312"/>
          <w:color w:val="auto"/>
          <w:sz w:val="24"/>
          <w:highlight w:val="none"/>
          <w:lang w:val="zh-CN"/>
        </w:rPr>
        <w:t>为第</w:t>
      </w:r>
      <w:r>
        <w:rPr>
          <w:rFonts w:ascii="宋体" w:hAnsi="宋体" w:cs="楷体_GB2312"/>
          <w:color w:val="auto"/>
          <w:sz w:val="24"/>
          <w:highlight w:val="none"/>
          <w:lang w:val="zh-CN"/>
        </w:rPr>
        <w:t>1</w:t>
      </w:r>
      <w:r>
        <w:rPr>
          <w:rFonts w:hint="eastAsia" w:ascii="宋体" w:hAnsi="宋体" w:cs="楷体_GB2312"/>
          <w:color w:val="auto"/>
          <w:sz w:val="24"/>
          <w:highlight w:val="none"/>
          <w:lang w:val="zh-CN"/>
        </w:rPr>
        <w:t>条第</w:t>
      </w:r>
      <w:r>
        <w:rPr>
          <w:rFonts w:ascii="宋体" w:hAnsi="宋体" w:cs="楷体_GB2312"/>
          <w:color w:val="auto"/>
          <w:sz w:val="24"/>
          <w:highlight w:val="none"/>
          <w:lang w:val="zh-CN"/>
        </w:rPr>
        <w:t>1</w:t>
      </w:r>
      <w:r>
        <w:rPr>
          <w:rFonts w:hint="eastAsia" w:ascii="宋体" w:hAnsi="宋体" w:cs="楷体_GB2312"/>
          <w:color w:val="auto"/>
          <w:sz w:val="24"/>
          <w:highlight w:val="none"/>
          <w:lang w:val="zh-CN"/>
        </w:rPr>
        <w:t>款（简称</w:t>
      </w:r>
      <w:r>
        <w:rPr>
          <w:rFonts w:ascii="宋体" w:hAnsi="宋体" w:cs="楷体_GB2312"/>
          <w:color w:val="auto"/>
          <w:sz w:val="24"/>
          <w:highlight w:val="none"/>
          <w:lang w:val="zh-CN"/>
        </w:rPr>
        <w:t>1.1</w:t>
      </w:r>
      <w:r>
        <w:rPr>
          <w:rFonts w:hint="eastAsia" w:ascii="宋体" w:hAnsi="宋体" w:cs="楷体_GB2312"/>
          <w:color w:val="auto"/>
          <w:sz w:val="24"/>
          <w:highlight w:val="none"/>
          <w:lang w:val="zh-CN"/>
        </w:rPr>
        <w:t>款），</w:t>
      </w:r>
      <w:r>
        <w:rPr>
          <w:rFonts w:ascii="宋体" w:hAnsi="宋体" w:cs="楷体_GB2312"/>
          <w:color w:val="auto"/>
          <w:sz w:val="24"/>
          <w:highlight w:val="none"/>
          <w:lang w:val="zh-CN"/>
        </w:rPr>
        <w:t>1.1.1</w:t>
      </w:r>
      <w:r>
        <w:rPr>
          <w:rFonts w:hint="eastAsia" w:ascii="宋体" w:hAnsi="宋体" w:cs="楷体_GB2312"/>
          <w:color w:val="auto"/>
          <w:sz w:val="24"/>
          <w:highlight w:val="none"/>
          <w:lang w:val="zh-CN"/>
        </w:rPr>
        <w:t>为第</w:t>
      </w:r>
      <w:r>
        <w:rPr>
          <w:rFonts w:ascii="宋体" w:hAnsi="宋体" w:cs="楷体_GB2312"/>
          <w:color w:val="auto"/>
          <w:sz w:val="24"/>
          <w:highlight w:val="none"/>
          <w:lang w:val="zh-CN"/>
        </w:rPr>
        <w:t>1</w:t>
      </w:r>
      <w:r>
        <w:rPr>
          <w:rFonts w:hint="eastAsia" w:ascii="宋体" w:hAnsi="宋体" w:cs="楷体_GB2312"/>
          <w:color w:val="auto"/>
          <w:sz w:val="24"/>
          <w:highlight w:val="none"/>
          <w:lang w:val="zh-CN"/>
        </w:rPr>
        <w:t>条第</w:t>
      </w:r>
      <w:r>
        <w:rPr>
          <w:rFonts w:ascii="宋体" w:hAnsi="宋体" w:cs="楷体_GB2312"/>
          <w:color w:val="auto"/>
          <w:sz w:val="24"/>
          <w:highlight w:val="none"/>
          <w:lang w:val="zh-CN"/>
        </w:rPr>
        <w:t>1</w:t>
      </w:r>
      <w:r>
        <w:rPr>
          <w:rFonts w:hint="eastAsia" w:ascii="宋体" w:hAnsi="宋体" w:cs="楷体_GB2312"/>
          <w:color w:val="auto"/>
          <w:sz w:val="24"/>
          <w:highlight w:val="none"/>
          <w:lang w:val="zh-CN"/>
        </w:rPr>
        <w:t>款第</w:t>
      </w:r>
      <w:r>
        <w:rPr>
          <w:rFonts w:ascii="宋体" w:hAnsi="宋体" w:cs="楷体_GB2312"/>
          <w:color w:val="auto"/>
          <w:sz w:val="24"/>
          <w:highlight w:val="none"/>
          <w:lang w:val="zh-CN"/>
        </w:rPr>
        <w:t>1</w:t>
      </w:r>
      <w:r>
        <w:rPr>
          <w:rFonts w:hint="eastAsia" w:ascii="宋体" w:hAnsi="宋体" w:cs="楷体_GB2312"/>
          <w:color w:val="auto"/>
          <w:sz w:val="24"/>
          <w:highlight w:val="none"/>
          <w:lang w:val="zh-CN"/>
        </w:rPr>
        <w:t>项（简称</w:t>
      </w:r>
      <w:r>
        <w:rPr>
          <w:rFonts w:ascii="宋体" w:hAnsi="宋体" w:cs="楷体_GB2312"/>
          <w:color w:val="auto"/>
          <w:sz w:val="24"/>
          <w:highlight w:val="none"/>
          <w:lang w:val="zh-CN"/>
        </w:rPr>
        <w:t>1.1.1</w:t>
      </w:r>
      <w:r>
        <w:rPr>
          <w:rFonts w:hint="eastAsia" w:ascii="宋体" w:hAnsi="宋体" w:cs="楷体_GB2312"/>
          <w:color w:val="auto"/>
          <w:sz w:val="24"/>
          <w:highlight w:val="none"/>
          <w:lang w:val="zh-CN"/>
        </w:rPr>
        <w:t>项）。“条”包含款、项、目；“款”包含项、目；“项”包含目。</w:t>
      </w:r>
    </w:p>
    <w:p w14:paraId="2E785D33">
      <w:pPr>
        <w:widowControl w:val="0"/>
        <w:autoSpaceDE w:val="0"/>
        <w:autoSpaceDN w:val="0"/>
        <w:adjustRightInd w:val="0"/>
        <w:spacing w:before="156" w:beforeLines="50" w:line="300" w:lineRule="auto"/>
        <w:ind w:firstLine="480" w:firstLineChars="200"/>
        <w:jc w:val="left"/>
        <w:textAlignment w:val="auto"/>
        <w:rPr>
          <w:rFonts w:ascii="宋体" w:hAnsi="宋体" w:cs="楷体_GB2312"/>
          <w:color w:val="auto"/>
          <w:sz w:val="24"/>
          <w:highlight w:val="none"/>
          <w:lang w:val="zh-CN"/>
        </w:rPr>
      </w:pPr>
    </w:p>
    <w:p w14:paraId="5B6B7292">
      <w:pPr>
        <w:widowControl w:val="0"/>
        <w:adjustRightInd w:val="0"/>
        <w:snapToGrid w:val="0"/>
        <w:spacing w:before="156" w:beforeLines="50" w:line="300" w:lineRule="auto"/>
        <w:ind w:firstLine="561"/>
        <w:outlineLvl w:val="1"/>
        <w:rPr>
          <w:rFonts w:ascii="黑体" w:hAnsi="黑体" w:eastAsia="黑体" w:cs="楷体_GB2312"/>
          <w:b/>
          <w:bCs/>
          <w:color w:val="auto"/>
          <w:sz w:val="28"/>
          <w:szCs w:val="28"/>
          <w:highlight w:val="none"/>
          <w:lang w:val="zh-CN"/>
        </w:rPr>
      </w:pPr>
      <w:bookmarkStart w:id="43" w:name="_Toc10211"/>
      <w:bookmarkStart w:id="44" w:name="_Toc58858635"/>
      <w:bookmarkStart w:id="45" w:name="_Toc224739421"/>
      <w:r>
        <w:rPr>
          <w:rFonts w:hint="eastAsia" w:ascii="黑体" w:hAnsi="黑体" w:eastAsia="黑体" w:cs="楷体_GB2312"/>
          <w:b/>
          <w:bCs/>
          <w:color w:val="auto"/>
          <w:sz w:val="28"/>
          <w:szCs w:val="28"/>
          <w:highlight w:val="none"/>
          <w:lang w:val="zh-CN"/>
        </w:rPr>
        <w:t>11. 河南省政府采购合同融资政策告知函</w:t>
      </w:r>
      <w:bookmarkEnd w:id="43"/>
      <w:bookmarkEnd w:id="44"/>
      <w:bookmarkEnd w:id="45"/>
    </w:p>
    <w:p w14:paraId="3CC2406A">
      <w:pPr>
        <w:widowControl w:val="0"/>
        <w:adjustRightInd w:val="0"/>
        <w:snapToGrid w:val="0"/>
        <w:spacing w:before="156" w:beforeLines="50" w:line="300" w:lineRule="auto"/>
        <w:ind w:firstLine="555"/>
        <w:rPr>
          <w:rFonts w:ascii="宋体" w:hAnsi="宋体"/>
          <w:color w:val="auto"/>
          <w:sz w:val="24"/>
          <w:szCs w:val="24"/>
          <w:highlight w:val="none"/>
        </w:rPr>
      </w:pPr>
      <w:r>
        <w:rPr>
          <w:rFonts w:hint="eastAsia" w:ascii="宋体" w:hAnsi="宋体"/>
          <w:color w:val="auto"/>
          <w:sz w:val="24"/>
          <w:szCs w:val="24"/>
          <w:highlight w:val="none"/>
        </w:rPr>
        <w:t>各供应商：</w:t>
      </w:r>
    </w:p>
    <w:p w14:paraId="28E72763">
      <w:pPr>
        <w:widowControl w:val="0"/>
        <w:adjustRightInd w:val="0"/>
        <w:snapToGrid w:val="0"/>
        <w:spacing w:before="156" w:beforeLines="50" w:line="300" w:lineRule="auto"/>
        <w:ind w:firstLine="555"/>
        <w:rPr>
          <w:rFonts w:ascii="宋体" w:hAnsi="宋体"/>
          <w:color w:val="auto"/>
          <w:sz w:val="24"/>
          <w:szCs w:val="24"/>
          <w:highlight w:val="none"/>
        </w:rPr>
      </w:pPr>
      <w:r>
        <w:rPr>
          <w:rFonts w:hint="eastAsia" w:ascii="宋体" w:hAnsi="宋体"/>
          <w:color w:val="auto"/>
          <w:sz w:val="24"/>
          <w:szCs w:val="24"/>
          <w:highlight w:val="none"/>
        </w:rPr>
        <w:t>欢迎贵公司参与河南省政府采购活动！</w:t>
      </w:r>
    </w:p>
    <w:p w14:paraId="74D22C7B">
      <w:pPr>
        <w:widowControl w:val="0"/>
        <w:adjustRightInd w:val="0"/>
        <w:snapToGrid w:val="0"/>
        <w:spacing w:before="156" w:beforeLines="50" w:line="300" w:lineRule="auto"/>
        <w:ind w:firstLine="555"/>
        <w:rPr>
          <w:rFonts w:ascii="宋体" w:hAnsi="宋体"/>
          <w:color w:val="auto"/>
          <w:sz w:val="24"/>
          <w:szCs w:val="24"/>
          <w:highlight w:val="none"/>
        </w:rPr>
      </w:pPr>
      <w:r>
        <w:rPr>
          <w:rFonts w:hint="eastAsia" w:ascii="宋体" w:hAnsi="宋体"/>
          <w:color w:val="auto"/>
          <w:sz w:val="24"/>
          <w:szCs w:val="24"/>
          <w:highlight w:val="none"/>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60727C17">
      <w:pPr>
        <w:widowControl w:val="0"/>
        <w:adjustRightInd w:val="0"/>
        <w:snapToGrid w:val="0"/>
        <w:spacing w:before="156" w:beforeLines="50" w:line="300" w:lineRule="auto"/>
        <w:ind w:firstLine="555"/>
        <w:rPr>
          <w:rFonts w:ascii="宋体" w:hAnsi="宋体"/>
          <w:color w:val="auto"/>
          <w:sz w:val="24"/>
          <w:szCs w:val="24"/>
          <w:highlight w:val="none"/>
        </w:rPr>
      </w:pPr>
      <w:r>
        <w:rPr>
          <w:rFonts w:hint="eastAsia" w:ascii="宋体" w:hAnsi="宋体"/>
          <w:color w:val="auto"/>
          <w:sz w:val="24"/>
          <w:szCs w:val="24"/>
          <w:highlight w:val="none"/>
        </w:rPr>
        <w:t>贷款渠道和提供贷款的金融机构，可在河南省政府采购网“河南省政府采购合同融资平台”查询联系。</w:t>
      </w:r>
    </w:p>
    <w:p w14:paraId="34C7A791">
      <w:pPr>
        <w:widowControl w:val="0"/>
        <w:adjustRightInd w:val="0"/>
        <w:snapToGrid w:val="0"/>
        <w:spacing w:before="156" w:beforeLines="50" w:line="300" w:lineRule="auto"/>
        <w:rPr>
          <w:rFonts w:ascii="宋体" w:cs="楷体_GB2312"/>
          <w:b/>
          <w:color w:val="auto"/>
          <w:sz w:val="30"/>
          <w:szCs w:val="30"/>
          <w:highlight w:val="none"/>
          <w:lang w:val="zh-CN"/>
        </w:rPr>
      </w:pPr>
      <w:permStart w:id="0" w:edGrp="everyone"/>
      <w:permEnd w:id="0"/>
      <w:bookmarkStart w:id="46" w:name="_GoBack"/>
      <w:bookmarkEnd w:id="46"/>
    </w:p>
    <w:sectPr>
      <w:pgSz w:w="11905" w:h="16837"/>
      <w:pgMar w:top="1091" w:right="1106" w:bottom="993" w:left="1418" w:header="850" w:footer="992" w:gutter="0"/>
      <w:pgNumType w:fmt="numberInDash"/>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Tahoma">
    <w:panose1 w:val="020B0604030504040204"/>
    <w:charset w:val="00"/>
    <w:family w:val="swiss"/>
    <w:pitch w:val="default"/>
    <w:sig w:usb0="E1002EFF" w:usb1="C000605B" w:usb2="00000029" w:usb3="00000000" w:csb0="200101FF" w:csb1="20280000"/>
  </w:font>
  <w:font w:name="MingLiU">
    <w:panose1 w:val="02020509000000000000"/>
    <w:charset w:val="88"/>
    <w:family w:val="modern"/>
    <w:pitch w:val="default"/>
    <w:sig w:usb0="A00002FF" w:usb1="28CFFCFA" w:usb2="00000016" w:usb3="00000000" w:csb0="00100001" w:csb1="00000000"/>
  </w:font>
  <w:font w:name="华文楷体">
    <w:altName w:val="宋体"/>
    <w:panose1 w:val="02010600040101010101"/>
    <w:charset w:val="86"/>
    <w:family w:val="auto"/>
    <w:pitch w:val="default"/>
    <w:sig w:usb0="00000000" w:usb1="00000000" w:usb2="00000000" w:usb3="00000000" w:csb0="0004009F" w:csb1="DFD70000"/>
  </w:font>
  <w:font w:name="华文新魏">
    <w:altName w:val="宋体"/>
    <w:panose1 w:val="02010800040101010101"/>
    <w:charset w:val="86"/>
    <w:family w:val="auto"/>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auto"/>
    <w:pitch w:val="default"/>
    <w:sig w:usb0="00000000" w:usb1="00000000" w:usb2="00000000" w:usb3="00000000" w:csb0="00000001" w:csb1="00000000"/>
  </w:font>
  <w:font w:name="华文中宋">
    <w:altName w:val="宋体"/>
    <w:panose1 w:val="02010600040101010101"/>
    <w:charset w:val="86"/>
    <w:family w:val="auto"/>
    <w:pitch w:val="default"/>
    <w:sig w:usb0="00000000" w:usb1="00000000" w:usb2="00000000" w:usb3="00000000" w:csb0="0004009F" w:csb1="DFD70000"/>
  </w:font>
  <w:font w:name="汉仪书宋二S">
    <w:altName w:val="Times New Roman"/>
    <w:panose1 w:val="00000000000000000000"/>
    <w:charset w:val="00"/>
    <w:family w:val="auto"/>
    <w:pitch w:val="default"/>
    <w:sig w:usb0="00000000" w:usb1="00000000" w:usb2="00000000" w:usb3="00000000" w:csb0="0000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8C797D">
    <w:pPr>
      <w:widowControl w:val="0"/>
      <w:snapToGrid w:val="0"/>
      <w:spacing w:line="240" w:lineRule="atLeast"/>
      <w:ind w:right="21"/>
      <w:jc w:val="left"/>
      <w:rPr>
        <w:rFonts w:ascii="宋体" w:hAnsi="宋体"/>
        <w:szCs w:val="21"/>
        <w:u w:val="single"/>
      </w:rPr>
    </w:pPr>
    <w:r>
      <w:rPr>
        <w:rFonts w:hint="eastAsia" w:ascii="宋体" w:hAnsi="宋体"/>
        <w:szCs w:val="21"/>
        <w:u w:val="single"/>
      </w:rPr>
      <w:t>《谈判文件》</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ascii="宋体" w:hAnsi="宋体"/>
        <w:szCs w:val="21"/>
        <w:u w:val="single"/>
      </w:rPr>
      <w:fldChar w:fldCharType="begin"/>
    </w:r>
    <w:r>
      <w:rPr>
        <w:rFonts w:ascii="宋体" w:hAnsi="宋体"/>
        <w:szCs w:val="21"/>
        <w:u w:val="single"/>
      </w:rPr>
      <w:instrText xml:space="preserve"> NUMPAGES-1 \* MERGEFORMAT </w:instrText>
    </w:r>
    <w:r>
      <w:rPr>
        <w:rFonts w:ascii="宋体" w:hAnsi="宋体"/>
        <w:szCs w:val="21"/>
        <w:u w:val="single"/>
      </w:rPr>
      <w:fldChar w:fldCharType="end"/>
    </w:r>
    <w:r>
      <w:rPr>
        <w:rFonts w:ascii="宋体" w:hAnsi="宋体"/>
        <w:szCs w:val="21"/>
        <w:u w:val="single"/>
      </w:rPr>
      <w:fldChar w:fldCharType="begin"/>
    </w:r>
    <w:r>
      <w:rPr>
        <w:rFonts w:ascii="宋体" w:hAnsi="宋体"/>
        <w:szCs w:val="21"/>
        <w:u w:val="single"/>
      </w:rPr>
      <w:instrText xml:space="preserve">NUMPAGES-1\* Arabic \* MERGEFORMAT</w:instrText>
    </w:r>
    <w:r>
      <w:rPr>
        <w:rFonts w:ascii="宋体" w:hAnsi="宋体"/>
        <w:szCs w:val="21"/>
        <w:u w:val="single"/>
      </w:rPr>
      <w:fldChar w:fldCharType="end"/>
    </w:r>
    <w:r>
      <w:rPr>
        <w:rFonts w:ascii="宋体" w:hAnsi="宋体"/>
        <w:szCs w:val="21"/>
        <w:u w:val="single"/>
      </w:rPr>
      <w:fldChar w:fldCharType="begin"/>
    </w:r>
    <w:r>
      <w:rPr>
        <w:rFonts w:ascii="宋体" w:hAnsi="宋体"/>
        <w:szCs w:val="21"/>
        <w:u w:val="single"/>
      </w:rPr>
      <w:instrText xml:space="preserve"> NUMPAGES-1   \* MERGEFORMAT </w:instrText>
    </w:r>
    <w:r>
      <w:rPr>
        <w:rFonts w:ascii="宋体" w:hAnsi="宋体"/>
        <w:szCs w:val="21"/>
        <w:u w:val="single"/>
      </w:rPr>
      <w:fldChar w:fldCharType="end"/>
    </w:r>
    <w:r>
      <w:rPr>
        <w:rStyle w:val="20"/>
        <w:rFonts w:ascii="宋体" w:hAnsi="宋体"/>
        <w:szCs w:val="21"/>
        <w:u w:val="single"/>
      </w:rPr>
      <w:fldChar w:fldCharType="begin"/>
    </w:r>
    <w:r>
      <w:rPr>
        <w:rStyle w:val="20"/>
        <w:rFonts w:ascii="宋体" w:hAnsi="宋体"/>
        <w:szCs w:val="21"/>
        <w:u w:val="single"/>
      </w:rPr>
      <w:instrText xml:space="preserve"> PAGE </w:instrText>
    </w:r>
    <w:r>
      <w:rPr>
        <w:rStyle w:val="20"/>
        <w:rFonts w:ascii="宋体" w:hAnsi="宋体"/>
        <w:szCs w:val="21"/>
        <w:u w:val="single"/>
      </w:rPr>
      <w:fldChar w:fldCharType="separate"/>
    </w:r>
    <w:r>
      <w:rPr>
        <w:rStyle w:val="20"/>
        <w:rFonts w:ascii="宋体" w:hAnsi="宋体"/>
        <w:szCs w:val="21"/>
        <w:u w:val="single"/>
      </w:rPr>
      <w:t>- 96 -</w:t>
    </w:r>
    <w:r>
      <w:rPr>
        <w:rStyle w:val="20"/>
        <w:rFonts w:ascii="宋体" w:hAnsi="宋体"/>
        <w:szCs w:val="21"/>
        <w:u w:val="single"/>
      </w:rPr>
      <w:fldChar w:fldCharType="end"/>
    </w:r>
    <w:r>
      <w:rPr>
        <w:rStyle w:val="20"/>
        <w:rFonts w:ascii="宋体" w:hAnsi="宋体"/>
        <w:szCs w:val="21"/>
        <w:u w:val="single"/>
      </w:rPr>
      <w:t xml:space="preserve"> </w:t>
    </w:r>
    <w:r>
      <w:rPr>
        <w:rStyle w:val="20"/>
        <w:rFonts w:hint="eastAsia" w:ascii="宋体" w:hAnsi="宋体"/>
        <w:szCs w:val="21"/>
        <w:u w:val="single"/>
      </w:rPr>
      <w:t>（</w:t>
    </w:r>
    <w:r>
      <w:rPr>
        <w:rFonts w:hint="eastAsia" w:ascii="宋体" w:hAnsi="宋体"/>
        <w:szCs w:val="21"/>
        <w:u w:val="single"/>
      </w:rPr>
      <w:t>共</w:t>
    </w:r>
    <w:r>
      <w:rPr>
        <w:rFonts w:hint="eastAsia"/>
        <w:u w:val="single"/>
      </w:rPr>
      <w:t>95</w:t>
    </w:r>
    <w:r>
      <w:rPr>
        <w:rFonts w:hint="eastAsia" w:ascii="宋体" w:hAnsi="宋体"/>
        <w:szCs w:val="21"/>
        <w:u w:val="single"/>
      </w:rPr>
      <w:t>页</w:t>
    </w:r>
    <w:r>
      <w:rPr>
        <w:rFonts w:ascii="宋体" w:hAnsi="宋体"/>
        <w:szCs w:val="21"/>
        <w:u w:val="single"/>
      </w:rPr>
      <w:t>)</w:t>
    </w:r>
    <w:r>
      <w:rPr>
        <w:rFonts w:ascii="宋体" w:hAnsi="宋体"/>
      </w:rPr>
      <mc:AlternateContent>
        <mc:Choice Requires="wps">
          <w:drawing>
            <wp:anchor distT="0" distB="0" distL="114300" distR="114300" simplePos="0" relativeHeight="251659264" behindDoc="1" locked="0" layoutInCell="0" allowOverlap="1">
              <wp:simplePos x="0" y="0"/>
              <wp:positionH relativeFrom="page">
                <wp:posOffset>899795</wp:posOffset>
              </wp:positionH>
              <wp:positionV relativeFrom="page">
                <wp:posOffset>10151745</wp:posOffset>
              </wp:positionV>
              <wp:extent cx="5759450" cy="179705"/>
              <wp:effectExtent l="0" t="0" r="0" b="0"/>
              <wp:wrapNone/>
              <wp:docPr id="2" name="文本框 1026"/>
              <wp:cNvGraphicFramePr/>
              <a:graphic xmlns:a="http://schemas.openxmlformats.org/drawingml/2006/main">
                <a:graphicData uri="http://schemas.microsoft.com/office/word/2010/wordprocessingShape">
                  <wps:wsp>
                    <wps:cNvSpPr txBox="1"/>
                    <wps:spPr>
                      <a:xfrm>
                        <a:off x="0" y="0"/>
                        <a:ext cx="5759450" cy="179705"/>
                      </a:xfrm>
                      <a:prstGeom prst="rect">
                        <a:avLst/>
                      </a:prstGeom>
                      <a:noFill/>
                      <a:ln>
                        <a:noFill/>
                      </a:ln>
                    </wps:spPr>
                    <wps:bodyPr lIns="0" tIns="0" rIns="0" bIns="0" upright="1"/>
                  </wps:wsp>
                </a:graphicData>
              </a:graphic>
            </wp:anchor>
          </w:drawing>
        </mc:Choice>
        <mc:Fallback>
          <w:pict>
            <v:shape id="文本框 1026" o:spid="_x0000_s1026" o:spt="202" type="#_x0000_t202" style="position:absolute;left:0pt;margin-left:70.85pt;margin-top:799.35pt;height:14.15pt;width:453.5pt;mso-position-horizontal-relative:page;mso-position-vertical-relative:page;z-index:-251657216;mso-width-relative:page;mso-height-relative:page;" filled="f" stroked="f" coordsize="21600,21600" o:allowincell="f" o:gfxdata="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0ne5yNkAAAAOAQAADwAAAAAAAAABACAAAAAiAAAAZHJzL2Rvd25yZXYueG1sUEsBAhQA&#10;FAAAAAgAh07iQJo/E4C4AQAAagMAAA4AAAAAAAAAAQAgAAAAKAEAAGRycy9lMm9Eb2MueG1sUEsF&#10;BgAAAAAGAAYAWQEAAFIFAAAAAA==&#10;">
              <v:fill on="f" focussize="0,0"/>
              <v:stroke on="f"/>
              <v:imagedata o:title=""/>
              <o:lock v:ext="edit" aspectratio="f"/>
              <v:textbox inset="0mm,0mm,0mm,0mm"/>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861D30">
    <w:pPr>
      <w:pStyle w:val="10"/>
      <w:framePr w:wrap="around" w:vAnchor="text" w:hAnchor="margin" w:xAlign="right" w:y="1"/>
      <w:rPr>
        <w:rStyle w:val="20"/>
      </w:rPr>
    </w:pPr>
    <w:r>
      <w:rPr>
        <w:rStyle w:val="20"/>
      </w:rPr>
      <w:fldChar w:fldCharType="begin"/>
    </w:r>
    <w:r>
      <w:rPr>
        <w:rStyle w:val="20"/>
      </w:rPr>
      <w:instrText xml:space="preserve">PAGE  </w:instrText>
    </w:r>
    <w:r>
      <w:rPr>
        <w:rStyle w:val="20"/>
      </w:rPr>
      <w:fldChar w:fldCharType="end"/>
    </w:r>
  </w:p>
  <w:p w14:paraId="1A4D31C6">
    <w:pPr>
      <w:pStyle w:val="1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7D224">
    <w:pPr>
      <w:pStyle w:val="10"/>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B952D8">
    <w:pPr>
      <w:widowControl w:val="0"/>
      <w:snapToGrid w:val="0"/>
      <w:spacing w:line="240" w:lineRule="atLeast"/>
      <w:rPr>
        <w:rFonts w:ascii="宋体" w:hAnsi="宋体"/>
        <w:szCs w:val="21"/>
      </w:rPr>
    </w:pPr>
    <w:r>
      <w:rPr>
        <w:rFonts w:hint="eastAsia" w:ascii="宋体" w:hAnsi="宋体"/>
        <w:szCs w:val="21"/>
        <w:u w:val="single"/>
      </w:rPr>
      <w:t>安阳市方正招标采购服务有限责任公司</w:t>
    </w:r>
    <w:r>
      <w:rPr>
        <w:rFonts w:ascii="宋体" w:hAnsi="宋体"/>
        <w:szCs w:val="21"/>
        <w:u w:val="single"/>
      </w:rPr>
      <w:t xml:space="preserve">        </w:t>
    </w:r>
    <w:r>
      <w:rPr>
        <w:rFonts w:hint="eastAsia" w:ascii="宋体" w:hAnsi="宋体"/>
        <w:szCs w:val="21"/>
        <w:u w:val="single"/>
      </w:rPr>
      <w:t>电话及传真：</w:t>
    </w:r>
    <w:r>
      <w:rPr>
        <w:rFonts w:ascii="宋体" w:hAnsi="宋体"/>
        <w:szCs w:val="21"/>
        <w:u w:val="single"/>
      </w:rPr>
      <w:t>0372—2283981</w:t>
    </w:r>
    <w:r>
      <w:rPr>
        <w:rFonts w:hint="eastAsia" w:ascii="宋体" w:hAnsi="宋体"/>
        <w:szCs w:val="21"/>
        <w:u w:val="single"/>
      </w:rPr>
      <w:t>、</w:t>
    </w:r>
    <w:r>
      <w:rPr>
        <w:rFonts w:ascii="宋体" w:hAnsi="宋体"/>
        <w:szCs w:val="21"/>
        <w:u w:val="single"/>
      </w:rPr>
      <w:t>2283982</w:t>
    </w:r>
    <w:r>
      <w:rPr>
        <w:rFonts w:hint="eastAsia" w:ascii="宋体" w:hAnsi="宋体"/>
        <w:szCs w:val="21"/>
        <w:u w:val="single"/>
      </w:rPr>
      <w:t>、</w:t>
    </w:r>
    <w:r>
      <w:rPr>
        <w:rFonts w:ascii="宋体" w:hAnsi="宋体"/>
        <w:szCs w:val="21"/>
        <w:u w:val="single"/>
      </w:rPr>
      <w:t>2283983 .</w:t>
    </w:r>
    <w:r>
      <w:rPr>
        <w:rFonts w:ascii="宋体" w:hAnsi="宋体"/>
      </w:rPr>
      <mc:AlternateContent>
        <mc:Choice Requires="wps">
          <w:drawing>
            <wp:anchor distT="0" distB="0" distL="114300" distR="114300" simplePos="0" relativeHeight="251659264" behindDoc="1" locked="0" layoutInCell="0" allowOverlap="1">
              <wp:simplePos x="0" y="0"/>
              <wp:positionH relativeFrom="page">
                <wp:posOffset>899795</wp:posOffset>
              </wp:positionH>
              <wp:positionV relativeFrom="page">
                <wp:posOffset>359410</wp:posOffset>
              </wp:positionV>
              <wp:extent cx="5759450" cy="179705"/>
              <wp:effectExtent l="0" t="0" r="0" b="0"/>
              <wp:wrapNone/>
              <wp:docPr id="1" name="Text Box 1"/>
              <wp:cNvGraphicFramePr/>
              <a:graphic xmlns:a="http://schemas.openxmlformats.org/drawingml/2006/main">
                <a:graphicData uri="http://schemas.microsoft.com/office/word/2010/wordprocessingShape">
                  <wps:wsp>
                    <wps:cNvSpPr txBox="1"/>
                    <wps:spPr>
                      <a:xfrm>
                        <a:off x="0" y="0"/>
                        <a:ext cx="5759450" cy="179705"/>
                      </a:xfrm>
                      <a:prstGeom prst="rect">
                        <a:avLst/>
                      </a:prstGeom>
                      <a:noFill/>
                      <a:ln>
                        <a:noFill/>
                      </a:ln>
                    </wps:spPr>
                    <wps:bodyPr lIns="0" tIns="0" rIns="0" bIns="0" upright="1"/>
                  </wps:wsp>
                </a:graphicData>
              </a:graphic>
            </wp:anchor>
          </w:drawing>
        </mc:Choice>
        <mc:Fallback>
          <w:pict>
            <v:shape id="Text Box 1" o:spid="_x0000_s1026" o:spt="202" type="#_x0000_t202" style="position:absolute;left:0pt;margin-left:70.85pt;margin-top:28.3pt;height:14.15pt;width:453.5pt;mso-position-horizontal-relative:page;mso-position-vertical-relative:page;z-index:-251657216;mso-width-relative:page;mso-height-relative:page;" filled="f" stroked="f" coordsize="21600,21600" o:allowincell="f" o:gfxdata="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DdN05x2AAAAAoBAAAP&#10;AAAAAAAAAAEAIAAAACIAAABkcnMvZG93bnJldi54bWxQSwECFAAUAAAACACHTuJAs2EH6qYBAABm&#10;AwAADgAAAAAAAAABACAAAAAnAQAAZHJzL2Uyb0RvYy54bWxQSwUGAAAAAAYABgBZAQAAPwUAAAAA&#10;">
              <v:fill on="f" focussize="0,0"/>
              <v:stroke on="f"/>
              <v:imagedata o:title=""/>
              <o:lock v:ext="edit" aspectratio="f"/>
              <v:textbox inset="0mm,0mm,0mm,0mm"/>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A8BB5C"/>
    <w:multiLevelType w:val="singleLevel"/>
    <w:tmpl w:val="04A8BB5C"/>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0"/>
  <w:bordersDoNotSurroundFooter w:val="0"/>
  <w:hideSpellingErrors/>
  <w:doNotTrackMoves/>
  <w:documentProtection w:edit="readOnly" w:formatting="1" w:enforcement="1" w:cryptProviderType="rsaFull" w:cryptAlgorithmClass="hash" w:cryptAlgorithmType="typeAny" w:cryptAlgorithmSid="4" w:cryptSpinCount="0" w:hash="Rbmw5nCG+P6BYj5ql1U3XP0YFhE=" w:salt="q7HJ0SDAmquCvF13BKph0Q=="/>
  <w:defaultTabStop w:val="420"/>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doNotWrapTextWithPunct/>
    <w:doNotUseEastAsianBreakRules/>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90B"/>
    <w:rsid w:val="000009A9"/>
    <w:rsid w:val="00001B2F"/>
    <w:rsid w:val="00001D7A"/>
    <w:rsid w:val="00003060"/>
    <w:rsid w:val="000055BB"/>
    <w:rsid w:val="00013814"/>
    <w:rsid w:val="00013DB2"/>
    <w:rsid w:val="00017CFC"/>
    <w:rsid w:val="00017E1E"/>
    <w:rsid w:val="00021EFD"/>
    <w:rsid w:val="00022C34"/>
    <w:rsid w:val="00023676"/>
    <w:rsid w:val="00024608"/>
    <w:rsid w:val="00025F1E"/>
    <w:rsid w:val="0002643A"/>
    <w:rsid w:val="0002701F"/>
    <w:rsid w:val="000339BC"/>
    <w:rsid w:val="00034EBE"/>
    <w:rsid w:val="00035118"/>
    <w:rsid w:val="0003567F"/>
    <w:rsid w:val="00035CA9"/>
    <w:rsid w:val="00036AA4"/>
    <w:rsid w:val="00041891"/>
    <w:rsid w:val="00042CA8"/>
    <w:rsid w:val="00043821"/>
    <w:rsid w:val="00043CBA"/>
    <w:rsid w:val="00044F84"/>
    <w:rsid w:val="00045540"/>
    <w:rsid w:val="00046A4B"/>
    <w:rsid w:val="00046C08"/>
    <w:rsid w:val="00051B50"/>
    <w:rsid w:val="0005241B"/>
    <w:rsid w:val="000565C4"/>
    <w:rsid w:val="00057834"/>
    <w:rsid w:val="00057F78"/>
    <w:rsid w:val="000602CF"/>
    <w:rsid w:val="0006134B"/>
    <w:rsid w:val="00062821"/>
    <w:rsid w:val="000651DA"/>
    <w:rsid w:val="00072834"/>
    <w:rsid w:val="000738CA"/>
    <w:rsid w:val="0007390E"/>
    <w:rsid w:val="00073931"/>
    <w:rsid w:val="00073A45"/>
    <w:rsid w:val="00074766"/>
    <w:rsid w:val="00077629"/>
    <w:rsid w:val="00080AE9"/>
    <w:rsid w:val="00081092"/>
    <w:rsid w:val="00081801"/>
    <w:rsid w:val="00081ACD"/>
    <w:rsid w:val="00081C6C"/>
    <w:rsid w:val="00081EB8"/>
    <w:rsid w:val="00081F16"/>
    <w:rsid w:val="00081F58"/>
    <w:rsid w:val="000823AD"/>
    <w:rsid w:val="000829A8"/>
    <w:rsid w:val="00082FC4"/>
    <w:rsid w:val="000832B2"/>
    <w:rsid w:val="0008431C"/>
    <w:rsid w:val="0008447C"/>
    <w:rsid w:val="000847D3"/>
    <w:rsid w:val="00084AB6"/>
    <w:rsid w:val="00086706"/>
    <w:rsid w:val="00086B70"/>
    <w:rsid w:val="00087637"/>
    <w:rsid w:val="000900BA"/>
    <w:rsid w:val="00090D6B"/>
    <w:rsid w:val="00090EB6"/>
    <w:rsid w:val="00090FEC"/>
    <w:rsid w:val="00091C5E"/>
    <w:rsid w:val="00092A9B"/>
    <w:rsid w:val="00092FFF"/>
    <w:rsid w:val="000933F0"/>
    <w:rsid w:val="00093A6B"/>
    <w:rsid w:val="000956CE"/>
    <w:rsid w:val="00096A9B"/>
    <w:rsid w:val="0009779D"/>
    <w:rsid w:val="000A152E"/>
    <w:rsid w:val="000A1C72"/>
    <w:rsid w:val="000A2E93"/>
    <w:rsid w:val="000A3597"/>
    <w:rsid w:val="000A36C8"/>
    <w:rsid w:val="000A3FE8"/>
    <w:rsid w:val="000A4640"/>
    <w:rsid w:val="000A55EE"/>
    <w:rsid w:val="000A6CD3"/>
    <w:rsid w:val="000A6D2F"/>
    <w:rsid w:val="000A7E88"/>
    <w:rsid w:val="000B1334"/>
    <w:rsid w:val="000B1BD0"/>
    <w:rsid w:val="000B22A3"/>
    <w:rsid w:val="000B380C"/>
    <w:rsid w:val="000B4758"/>
    <w:rsid w:val="000B5412"/>
    <w:rsid w:val="000B6571"/>
    <w:rsid w:val="000B709F"/>
    <w:rsid w:val="000C1E47"/>
    <w:rsid w:val="000C2AA6"/>
    <w:rsid w:val="000C2ED3"/>
    <w:rsid w:val="000C4940"/>
    <w:rsid w:val="000C4BA5"/>
    <w:rsid w:val="000C4C3B"/>
    <w:rsid w:val="000D0476"/>
    <w:rsid w:val="000D2631"/>
    <w:rsid w:val="000D5549"/>
    <w:rsid w:val="000D619E"/>
    <w:rsid w:val="000D7406"/>
    <w:rsid w:val="000D7EA9"/>
    <w:rsid w:val="000E02FC"/>
    <w:rsid w:val="000E1639"/>
    <w:rsid w:val="000E2414"/>
    <w:rsid w:val="000E2432"/>
    <w:rsid w:val="000E4B27"/>
    <w:rsid w:val="000E4CE0"/>
    <w:rsid w:val="000E5379"/>
    <w:rsid w:val="000E54A0"/>
    <w:rsid w:val="000E632B"/>
    <w:rsid w:val="000E6AAA"/>
    <w:rsid w:val="000F0324"/>
    <w:rsid w:val="000F108C"/>
    <w:rsid w:val="000F3188"/>
    <w:rsid w:val="000F3D46"/>
    <w:rsid w:val="000F4146"/>
    <w:rsid w:val="000F6070"/>
    <w:rsid w:val="000F71A3"/>
    <w:rsid w:val="000F73C6"/>
    <w:rsid w:val="000F7917"/>
    <w:rsid w:val="001013AB"/>
    <w:rsid w:val="001019D8"/>
    <w:rsid w:val="00101EAB"/>
    <w:rsid w:val="001023AB"/>
    <w:rsid w:val="001041CB"/>
    <w:rsid w:val="00107435"/>
    <w:rsid w:val="00110434"/>
    <w:rsid w:val="0011043B"/>
    <w:rsid w:val="001118D4"/>
    <w:rsid w:val="00113293"/>
    <w:rsid w:val="00114EE3"/>
    <w:rsid w:val="001160EE"/>
    <w:rsid w:val="001163D8"/>
    <w:rsid w:val="00116DFD"/>
    <w:rsid w:val="00120C96"/>
    <w:rsid w:val="001212EB"/>
    <w:rsid w:val="00122298"/>
    <w:rsid w:val="0012307F"/>
    <w:rsid w:val="00123128"/>
    <w:rsid w:val="001234C9"/>
    <w:rsid w:val="00124F88"/>
    <w:rsid w:val="00126132"/>
    <w:rsid w:val="0012648C"/>
    <w:rsid w:val="0012732E"/>
    <w:rsid w:val="001279FE"/>
    <w:rsid w:val="001304AB"/>
    <w:rsid w:val="00131B13"/>
    <w:rsid w:val="00131CCB"/>
    <w:rsid w:val="00132172"/>
    <w:rsid w:val="001321E1"/>
    <w:rsid w:val="00132364"/>
    <w:rsid w:val="00132A89"/>
    <w:rsid w:val="001342A5"/>
    <w:rsid w:val="00135227"/>
    <w:rsid w:val="00135251"/>
    <w:rsid w:val="00137369"/>
    <w:rsid w:val="001378C9"/>
    <w:rsid w:val="001401E4"/>
    <w:rsid w:val="00141D13"/>
    <w:rsid w:val="00142572"/>
    <w:rsid w:val="00142EF6"/>
    <w:rsid w:val="00143832"/>
    <w:rsid w:val="00144E92"/>
    <w:rsid w:val="001507A5"/>
    <w:rsid w:val="00152007"/>
    <w:rsid w:val="00152E6D"/>
    <w:rsid w:val="00152FD1"/>
    <w:rsid w:val="001532B2"/>
    <w:rsid w:val="001537D5"/>
    <w:rsid w:val="00154FBD"/>
    <w:rsid w:val="00155298"/>
    <w:rsid w:val="00155525"/>
    <w:rsid w:val="00161255"/>
    <w:rsid w:val="00161B8C"/>
    <w:rsid w:val="001639F8"/>
    <w:rsid w:val="00164692"/>
    <w:rsid w:val="00165AF5"/>
    <w:rsid w:val="00166938"/>
    <w:rsid w:val="0016693E"/>
    <w:rsid w:val="001672C3"/>
    <w:rsid w:val="0016783C"/>
    <w:rsid w:val="001678FA"/>
    <w:rsid w:val="001708C3"/>
    <w:rsid w:val="00170AE1"/>
    <w:rsid w:val="00170E55"/>
    <w:rsid w:val="00170F9A"/>
    <w:rsid w:val="00170FDB"/>
    <w:rsid w:val="001719D7"/>
    <w:rsid w:val="00172A27"/>
    <w:rsid w:val="00172A7E"/>
    <w:rsid w:val="00174C97"/>
    <w:rsid w:val="00175E3A"/>
    <w:rsid w:val="001777B6"/>
    <w:rsid w:val="0017792A"/>
    <w:rsid w:val="0018076B"/>
    <w:rsid w:val="00180E2F"/>
    <w:rsid w:val="001813F3"/>
    <w:rsid w:val="00181A4E"/>
    <w:rsid w:val="00182803"/>
    <w:rsid w:val="00183BF5"/>
    <w:rsid w:val="00183C38"/>
    <w:rsid w:val="00184540"/>
    <w:rsid w:val="00184FE8"/>
    <w:rsid w:val="00186AF5"/>
    <w:rsid w:val="00193FCE"/>
    <w:rsid w:val="001941B8"/>
    <w:rsid w:val="00194451"/>
    <w:rsid w:val="001949DF"/>
    <w:rsid w:val="00194D1C"/>
    <w:rsid w:val="00195036"/>
    <w:rsid w:val="0019595A"/>
    <w:rsid w:val="00195ACA"/>
    <w:rsid w:val="0019697C"/>
    <w:rsid w:val="001A0309"/>
    <w:rsid w:val="001A0470"/>
    <w:rsid w:val="001A1BB5"/>
    <w:rsid w:val="001A1D5B"/>
    <w:rsid w:val="001A246D"/>
    <w:rsid w:val="001A29EC"/>
    <w:rsid w:val="001A6EC8"/>
    <w:rsid w:val="001A733E"/>
    <w:rsid w:val="001A786E"/>
    <w:rsid w:val="001B0C40"/>
    <w:rsid w:val="001B1895"/>
    <w:rsid w:val="001B399F"/>
    <w:rsid w:val="001B3DD4"/>
    <w:rsid w:val="001B46BC"/>
    <w:rsid w:val="001B5626"/>
    <w:rsid w:val="001B6072"/>
    <w:rsid w:val="001B63AC"/>
    <w:rsid w:val="001C050D"/>
    <w:rsid w:val="001C0CBE"/>
    <w:rsid w:val="001C2D34"/>
    <w:rsid w:val="001C397C"/>
    <w:rsid w:val="001C6505"/>
    <w:rsid w:val="001C71F2"/>
    <w:rsid w:val="001D0621"/>
    <w:rsid w:val="001D0DA4"/>
    <w:rsid w:val="001D14A1"/>
    <w:rsid w:val="001D17A7"/>
    <w:rsid w:val="001D23F7"/>
    <w:rsid w:val="001D2F63"/>
    <w:rsid w:val="001D3921"/>
    <w:rsid w:val="001D3B0B"/>
    <w:rsid w:val="001D4968"/>
    <w:rsid w:val="001D57AD"/>
    <w:rsid w:val="001D5C73"/>
    <w:rsid w:val="001D61CE"/>
    <w:rsid w:val="001D6398"/>
    <w:rsid w:val="001E04F2"/>
    <w:rsid w:val="001E0A3F"/>
    <w:rsid w:val="001E1A46"/>
    <w:rsid w:val="001E30AE"/>
    <w:rsid w:val="001E45BE"/>
    <w:rsid w:val="001E58CE"/>
    <w:rsid w:val="001E60F3"/>
    <w:rsid w:val="001E66B1"/>
    <w:rsid w:val="001E7368"/>
    <w:rsid w:val="001F0376"/>
    <w:rsid w:val="001F0470"/>
    <w:rsid w:val="001F0931"/>
    <w:rsid w:val="001F15D0"/>
    <w:rsid w:val="001F1A30"/>
    <w:rsid w:val="001F1AC5"/>
    <w:rsid w:val="001F4C70"/>
    <w:rsid w:val="001F5DAF"/>
    <w:rsid w:val="001F6921"/>
    <w:rsid w:val="001F6D7D"/>
    <w:rsid w:val="001F7A0D"/>
    <w:rsid w:val="00200A06"/>
    <w:rsid w:val="00200B9A"/>
    <w:rsid w:val="00200E90"/>
    <w:rsid w:val="0020112A"/>
    <w:rsid w:val="002011F8"/>
    <w:rsid w:val="00201E27"/>
    <w:rsid w:val="00202132"/>
    <w:rsid w:val="002052BF"/>
    <w:rsid w:val="002053C1"/>
    <w:rsid w:val="00205670"/>
    <w:rsid w:val="00205D86"/>
    <w:rsid w:val="00205DC9"/>
    <w:rsid w:val="0020635B"/>
    <w:rsid w:val="002064E1"/>
    <w:rsid w:val="00206EA4"/>
    <w:rsid w:val="00207173"/>
    <w:rsid w:val="00207193"/>
    <w:rsid w:val="00210346"/>
    <w:rsid w:val="00212022"/>
    <w:rsid w:val="002146E7"/>
    <w:rsid w:val="002149A3"/>
    <w:rsid w:val="00214DD7"/>
    <w:rsid w:val="00214F54"/>
    <w:rsid w:val="00215479"/>
    <w:rsid w:val="002155C5"/>
    <w:rsid w:val="00217326"/>
    <w:rsid w:val="0022065A"/>
    <w:rsid w:val="0022149C"/>
    <w:rsid w:val="00221561"/>
    <w:rsid w:val="00221997"/>
    <w:rsid w:val="00222752"/>
    <w:rsid w:val="002228C6"/>
    <w:rsid w:val="0022294E"/>
    <w:rsid w:val="002238AE"/>
    <w:rsid w:val="002243D1"/>
    <w:rsid w:val="00225DB3"/>
    <w:rsid w:val="0023012A"/>
    <w:rsid w:val="00230C43"/>
    <w:rsid w:val="00231D21"/>
    <w:rsid w:val="0023255F"/>
    <w:rsid w:val="00232CD0"/>
    <w:rsid w:val="002341A2"/>
    <w:rsid w:val="00237A15"/>
    <w:rsid w:val="00240733"/>
    <w:rsid w:val="00240FF8"/>
    <w:rsid w:val="002414E5"/>
    <w:rsid w:val="00241D3A"/>
    <w:rsid w:val="0024269B"/>
    <w:rsid w:val="00244532"/>
    <w:rsid w:val="00246DB1"/>
    <w:rsid w:val="00247523"/>
    <w:rsid w:val="00247993"/>
    <w:rsid w:val="002511FE"/>
    <w:rsid w:val="00252113"/>
    <w:rsid w:val="002529D6"/>
    <w:rsid w:val="00253C25"/>
    <w:rsid w:val="002551E0"/>
    <w:rsid w:val="0025530F"/>
    <w:rsid w:val="00255F14"/>
    <w:rsid w:val="002574D7"/>
    <w:rsid w:val="00257B22"/>
    <w:rsid w:val="002602F6"/>
    <w:rsid w:val="00263C39"/>
    <w:rsid w:val="002645C9"/>
    <w:rsid w:val="002665E4"/>
    <w:rsid w:val="002673AF"/>
    <w:rsid w:val="00267440"/>
    <w:rsid w:val="0027067C"/>
    <w:rsid w:val="00270EED"/>
    <w:rsid w:val="00270FE1"/>
    <w:rsid w:val="00271ABB"/>
    <w:rsid w:val="00272B6B"/>
    <w:rsid w:val="00272DEC"/>
    <w:rsid w:val="002751DF"/>
    <w:rsid w:val="002759A2"/>
    <w:rsid w:val="00276204"/>
    <w:rsid w:val="00276967"/>
    <w:rsid w:val="00280E45"/>
    <w:rsid w:val="002810F8"/>
    <w:rsid w:val="00281565"/>
    <w:rsid w:val="00283074"/>
    <w:rsid w:val="00285049"/>
    <w:rsid w:val="00290B53"/>
    <w:rsid w:val="00290D50"/>
    <w:rsid w:val="00292F27"/>
    <w:rsid w:val="00293F3F"/>
    <w:rsid w:val="0029442F"/>
    <w:rsid w:val="002954F0"/>
    <w:rsid w:val="0029595B"/>
    <w:rsid w:val="00295A34"/>
    <w:rsid w:val="00296289"/>
    <w:rsid w:val="00296501"/>
    <w:rsid w:val="002975BF"/>
    <w:rsid w:val="002A0347"/>
    <w:rsid w:val="002A2B5C"/>
    <w:rsid w:val="002A4898"/>
    <w:rsid w:val="002A4B7F"/>
    <w:rsid w:val="002A4B93"/>
    <w:rsid w:val="002A4F6F"/>
    <w:rsid w:val="002A5411"/>
    <w:rsid w:val="002A7325"/>
    <w:rsid w:val="002A7814"/>
    <w:rsid w:val="002B3F5D"/>
    <w:rsid w:val="002B5E0D"/>
    <w:rsid w:val="002B784E"/>
    <w:rsid w:val="002C00FF"/>
    <w:rsid w:val="002C11FF"/>
    <w:rsid w:val="002C13E7"/>
    <w:rsid w:val="002C13ED"/>
    <w:rsid w:val="002C1681"/>
    <w:rsid w:val="002C3330"/>
    <w:rsid w:val="002C6208"/>
    <w:rsid w:val="002C6933"/>
    <w:rsid w:val="002D0379"/>
    <w:rsid w:val="002D0845"/>
    <w:rsid w:val="002D14BE"/>
    <w:rsid w:val="002D26AE"/>
    <w:rsid w:val="002D272C"/>
    <w:rsid w:val="002D35EE"/>
    <w:rsid w:val="002D40A9"/>
    <w:rsid w:val="002D5868"/>
    <w:rsid w:val="002D6349"/>
    <w:rsid w:val="002D6B6F"/>
    <w:rsid w:val="002D7623"/>
    <w:rsid w:val="002D7628"/>
    <w:rsid w:val="002D7A77"/>
    <w:rsid w:val="002D7BE8"/>
    <w:rsid w:val="002E002C"/>
    <w:rsid w:val="002E0250"/>
    <w:rsid w:val="002E098C"/>
    <w:rsid w:val="002E15EE"/>
    <w:rsid w:val="002E2367"/>
    <w:rsid w:val="002E3E40"/>
    <w:rsid w:val="002E5245"/>
    <w:rsid w:val="002E5D37"/>
    <w:rsid w:val="002E60E6"/>
    <w:rsid w:val="002E650E"/>
    <w:rsid w:val="002E76EF"/>
    <w:rsid w:val="002E7E70"/>
    <w:rsid w:val="002F08C6"/>
    <w:rsid w:val="002F0DCD"/>
    <w:rsid w:val="002F24F3"/>
    <w:rsid w:val="002F2754"/>
    <w:rsid w:val="002F32BA"/>
    <w:rsid w:val="002F37CB"/>
    <w:rsid w:val="002F4ADA"/>
    <w:rsid w:val="002F5465"/>
    <w:rsid w:val="002F7AD0"/>
    <w:rsid w:val="002F7EF3"/>
    <w:rsid w:val="00300192"/>
    <w:rsid w:val="00300564"/>
    <w:rsid w:val="0030169A"/>
    <w:rsid w:val="00302091"/>
    <w:rsid w:val="00302EA4"/>
    <w:rsid w:val="00306123"/>
    <w:rsid w:val="00307858"/>
    <w:rsid w:val="00307CF1"/>
    <w:rsid w:val="0031007D"/>
    <w:rsid w:val="00311B9B"/>
    <w:rsid w:val="00313DA1"/>
    <w:rsid w:val="0031405F"/>
    <w:rsid w:val="003144F4"/>
    <w:rsid w:val="003157D1"/>
    <w:rsid w:val="003167BE"/>
    <w:rsid w:val="00316A48"/>
    <w:rsid w:val="00317222"/>
    <w:rsid w:val="00320800"/>
    <w:rsid w:val="003214B1"/>
    <w:rsid w:val="00322799"/>
    <w:rsid w:val="0032321A"/>
    <w:rsid w:val="003241F1"/>
    <w:rsid w:val="0032467A"/>
    <w:rsid w:val="0032568F"/>
    <w:rsid w:val="00332B99"/>
    <w:rsid w:val="003343B3"/>
    <w:rsid w:val="00334BAE"/>
    <w:rsid w:val="00334CC7"/>
    <w:rsid w:val="0033552B"/>
    <w:rsid w:val="003355B7"/>
    <w:rsid w:val="00336881"/>
    <w:rsid w:val="00336AAB"/>
    <w:rsid w:val="00340B42"/>
    <w:rsid w:val="00341021"/>
    <w:rsid w:val="00341F13"/>
    <w:rsid w:val="0034236C"/>
    <w:rsid w:val="003429CA"/>
    <w:rsid w:val="003431FD"/>
    <w:rsid w:val="00343634"/>
    <w:rsid w:val="00343A1D"/>
    <w:rsid w:val="00343D9C"/>
    <w:rsid w:val="003445EE"/>
    <w:rsid w:val="00344CFC"/>
    <w:rsid w:val="003500BA"/>
    <w:rsid w:val="0035121B"/>
    <w:rsid w:val="00351933"/>
    <w:rsid w:val="00352D4E"/>
    <w:rsid w:val="00355DB8"/>
    <w:rsid w:val="00357F64"/>
    <w:rsid w:val="0036067C"/>
    <w:rsid w:val="003612D6"/>
    <w:rsid w:val="003634F4"/>
    <w:rsid w:val="00363B02"/>
    <w:rsid w:val="003642B6"/>
    <w:rsid w:val="00364E6B"/>
    <w:rsid w:val="00365311"/>
    <w:rsid w:val="00365BD8"/>
    <w:rsid w:val="00371760"/>
    <w:rsid w:val="00372115"/>
    <w:rsid w:val="003738EA"/>
    <w:rsid w:val="00374103"/>
    <w:rsid w:val="00374310"/>
    <w:rsid w:val="00374E90"/>
    <w:rsid w:val="00376869"/>
    <w:rsid w:val="00380598"/>
    <w:rsid w:val="00381B01"/>
    <w:rsid w:val="003829D9"/>
    <w:rsid w:val="003832F9"/>
    <w:rsid w:val="00383B07"/>
    <w:rsid w:val="00383B17"/>
    <w:rsid w:val="00384A92"/>
    <w:rsid w:val="003854F3"/>
    <w:rsid w:val="00386518"/>
    <w:rsid w:val="0038748E"/>
    <w:rsid w:val="00391A61"/>
    <w:rsid w:val="0039316A"/>
    <w:rsid w:val="0039491D"/>
    <w:rsid w:val="00397B1C"/>
    <w:rsid w:val="00397E86"/>
    <w:rsid w:val="003A092F"/>
    <w:rsid w:val="003A1388"/>
    <w:rsid w:val="003A139A"/>
    <w:rsid w:val="003A1D20"/>
    <w:rsid w:val="003A258C"/>
    <w:rsid w:val="003A40E7"/>
    <w:rsid w:val="003A4472"/>
    <w:rsid w:val="003A5C2B"/>
    <w:rsid w:val="003A78B7"/>
    <w:rsid w:val="003B095A"/>
    <w:rsid w:val="003B2393"/>
    <w:rsid w:val="003B2D8A"/>
    <w:rsid w:val="003B2F1D"/>
    <w:rsid w:val="003B30E9"/>
    <w:rsid w:val="003B3B94"/>
    <w:rsid w:val="003B4EE5"/>
    <w:rsid w:val="003B50F5"/>
    <w:rsid w:val="003B5D7B"/>
    <w:rsid w:val="003B5F19"/>
    <w:rsid w:val="003B638F"/>
    <w:rsid w:val="003B67A0"/>
    <w:rsid w:val="003B6E79"/>
    <w:rsid w:val="003B70F6"/>
    <w:rsid w:val="003B72E5"/>
    <w:rsid w:val="003C0C7E"/>
    <w:rsid w:val="003C0E0B"/>
    <w:rsid w:val="003C1220"/>
    <w:rsid w:val="003C2DA4"/>
    <w:rsid w:val="003C3607"/>
    <w:rsid w:val="003C4595"/>
    <w:rsid w:val="003C47B5"/>
    <w:rsid w:val="003C5626"/>
    <w:rsid w:val="003C58B5"/>
    <w:rsid w:val="003C6339"/>
    <w:rsid w:val="003C6B76"/>
    <w:rsid w:val="003C779C"/>
    <w:rsid w:val="003C7C2C"/>
    <w:rsid w:val="003D1F56"/>
    <w:rsid w:val="003D1FCD"/>
    <w:rsid w:val="003D3512"/>
    <w:rsid w:val="003D3B92"/>
    <w:rsid w:val="003D4056"/>
    <w:rsid w:val="003D415D"/>
    <w:rsid w:val="003D46D1"/>
    <w:rsid w:val="003D5A77"/>
    <w:rsid w:val="003D681C"/>
    <w:rsid w:val="003E0C29"/>
    <w:rsid w:val="003E4A4E"/>
    <w:rsid w:val="003E4AEB"/>
    <w:rsid w:val="003E58E5"/>
    <w:rsid w:val="003E5EE1"/>
    <w:rsid w:val="003E6A13"/>
    <w:rsid w:val="003E7C9B"/>
    <w:rsid w:val="003E7D25"/>
    <w:rsid w:val="003F0417"/>
    <w:rsid w:val="003F180D"/>
    <w:rsid w:val="003F404C"/>
    <w:rsid w:val="003F45C6"/>
    <w:rsid w:val="003F66A4"/>
    <w:rsid w:val="003F6764"/>
    <w:rsid w:val="0040196C"/>
    <w:rsid w:val="00402F4C"/>
    <w:rsid w:val="004031A9"/>
    <w:rsid w:val="00403958"/>
    <w:rsid w:val="004075E0"/>
    <w:rsid w:val="00407C0B"/>
    <w:rsid w:val="004128F3"/>
    <w:rsid w:val="00412960"/>
    <w:rsid w:val="00412A5D"/>
    <w:rsid w:val="00412CA6"/>
    <w:rsid w:val="00413557"/>
    <w:rsid w:val="004137F3"/>
    <w:rsid w:val="00415470"/>
    <w:rsid w:val="00415CFA"/>
    <w:rsid w:val="00415E18"/>
    <w:rsid w:val="00416388"/>
    <w:rsid w:val="00416EA9"/>
    <w:rsid w:val="00417214"/>
    <w:rsid w:val="0041769D"/>
    <w:rsid w:val="00417D4F"/>
    <w:rsid w:val="00421EEA"/>
    <w:rsid w:val="00422027"/>
    <w:rsid w:val="004221B2"/>
    <w:rsid w:val="004223F4"/>
    <w:rsid w:val="0042390E"/>
    <w:rsid w:val="00425B45"/>
    <w:rsid w:val="00425C82"/>
    <w:rsid w:val="00425D4D"/>
    <w:rsid w:val="00427D04"/>
    <w:rsid w:val="004300B5"/>
    <w:rsid w:val="00430F93"/>
    <w:rsid w:val="00433AB6"/>
    <w:rsid w:val="004342C9"/>
    <w:rsid w:val="004374D0"/>
    <w:rsid w:val="00440412"/>
    <w:rsid w:val="00443935"/>
    <w:rsid w:val="00443D5A"/>
    <w:rsid w:val="004442B3"/>
    <w:rsid w:val="00444482"/>
    <w:rsid w:val="0044498E"/>
    <w:rsid w:val="004460B8"/>
    <w:rsid w:val="00447613"/>
    <w:rsid w:val="00447654"/>
    <w:rsid w:val="00450A1C"/>
    <w:rsid w:val="004513F9"/>
    <w:rsid w:val="00451F87"/>
    <w:rsid w:val="00452D92"/>
    <w:rsid w:val="00452DB9"/>
    <w:rsid w:val="00452F36"/>
    <w:rsid w:val="00453130"/>
    <w:rsid w:val="0045394E"/>
    <w:rsid w:val="004543BF"/>
    <w:rsid w:val="00454B5D"/>
    <w:rsid w:val="00454E5F"/>
    <w:rsid w:val="00455B44"/>
    <w:rsid w:val="00456FA3"/>
    <w:rsid w:val="0045706F"/>
    <w:rsid w:val="0045754E"/>
    <w:rsid w:val="004575C3"/>
    <w:rsid w:val="00460E98"/>
    <w:rsid w:val="00461AA0"/>
    <w:rsid w:val="0046225F"/>
    <w:rsid w:val="004640E1"/>
    <w:rsid w:val="00465462"/>
    <w:rsid w:val="004666B5"/>
    <w:rsid w:val="004667DA"/>
    <w:rsid w:val="004669E3"/>
    <w:rsid w:val="00467112"/>
    <w:rsid w:val="00467B60"/>
    <w:rsid w:val="00467ECF"/>
    <w:rsid w:val="004722EC"/>
    <w:rsid w:val="0047305B"/>
    <w:rsid w:val="004736BA"/>
    <w:rsid w:val="004751E9"/>
    <w:rsid w:val="00475A0F"/>
    <w:rsid w:val="004771A7"/>
    <w:rsid w:val="00477DF1"/>
    <w:rsid w:val="00480562"/>
    <w:rsid w:val="004805E1"/>
    <w:rsid w:val="0048194E"/>
    <w:rsid w:val="00481D33"/>
    <w:rsid w:val="004830D3"/>
    <w:rsid w:val="00483137"/>
    <w:rsid w:val="004833C3"/>
    <w:rsid w:val="00483BCD"/>
    <w:rsid w:val="00484BA8"/>
    <w:rsid w:val="004851E7"/>
    <w:rsid w:val="00486BD8"/>
    <w:rsid w:val="00486D4E"/>
    <w:rsid w:val="00487F50"/>
    <w:rsid w:val="004905D0"/>
    <w:rsid w:val="0049352F"/>
    <w:rsid w:val="00494A80"/>
    <w:rsid w:val="0049585B"/>
    <w:rsid w:val="00496C53"/>
    <w:rsid w:val="00497400"/>
    <w:rsid w:val="004A07AF"/>
    <w:rsid w:val="004A465C"/>
    <w:rsid w:val="004A5A5E"/>
    <w:rsid w:val="004A5AA9"/>
    <w:rsid w:val="004A64A5"/>
    <w:rsid w:val="004A7097"/>
    <w:rsid w:val="004A791C"/>
    <w:rsid w:val="004B10CD"/>
    <w:rsid w:val="004B1FA9"/>
    <w:rsid w:val="004B2765"/>
    <w:rsid w:val="004B672E"/>
    <w:rsid w:val="004B67C9"/>
    <w:rsid w:val="004B6984"/>
    <w:rsid w:val="004B74ED"/>
    <w:rsid w:val="004B7A6F"/>
    <w:rsid w:val="004B7B30"/>
    <w:rsid w:val="004C05F2"/>
    <w:rsid w:val="004C1E28"/>
    <w:rsid w:val="004C2800"/>
    <w:rsid w:val="004C3306"/>
    <w:rsid w:val="004C407E"/>
    <w:rsid w:val="004C40F4"/>
    <w:rsid w:val="004C506F"/>
    <w:rsid w:val="004C5CD3"/>
    <w:rsid w:val="004C7A15"/>
    <w:rsid w:val="004D11B7"/>
    <w:rsid w:val="004D2194"/>
    <w:rsid w:val="004D2778"/>
    <w:rsid w:val="004D4274"/>
    <w:rsid w:val="004D57A0"/>
    <w:rsid w:val="004D5F36"/>
    <w:rsid w:val="004D63F1"/>
    <w:rsid w:val="004D72A6"/>
    <w:rsid w:val="004D7563"/>
    <w:rsid w:val="004E0791"/>
    <w:rsid w:val="004E0F8E"/>
    <w:rsid w:val="004E1013"/>
    <w:rsid w:val="004E2848"/>
    <w:rsid w:val="004E3ADE"/>
    <w:rsid w:val="004E44CC"/>
    <w:rsid w:val="004E5CA5"/>
    <w:rsid w:val="004E67F0"/>
    <w:rsid w:val="004E7065"/>
    <w:rsid w:val="004E7529"/>
    <w:rsid w:val="004F16A1"/>
    <w:rsid w:val="004F2DDA"/>
    <w:rsid w:val="004F352D"/>
    <w:rsid w:val="004F4CDB"/>
    <w:rsid w:val="004F568A"/>
    <w:rsid w:val="004F581C"/>
    <w:rsid w:val="004F68CE"/>
    <w:rsid w:val="004F718A"/>
    <w:rsid w:val="0050062C"/>
    <w:rsid w:val="005021E6"/>
    <w:rsid w:val="005034A8"/>
    <w:rsid w:val="005034FC"/>
    <w:rsid w:val="00503F67"/>
    <w:rsid w:val="005044B9"/>
    <w:rsid w:val="005055E2"/>
    <w:rsid w:val="00506583"/>
    <w:rsid w:val="00507D74"/>
    <w:rsid w:val="00510644"/>
    <w:rsid w:val="005106D5"/>
    <w:rsid w:val="005112F3"/>
    <w:rsid w:val="0051190D"/>
    <w:rsid w:val="00512281"/>
    <w:rsid w:val="0051562D"/>
    <w:rsid w:val="00517BF1"/>
    <w:rsid w:val="00517FDD"/>
    <w:rsid w:val="00520645"/>
    <w:rsid w:val="00520920"/>
    <w:rsid w:val="0052213E"/>
    <w:rsid w:val="00524D6D"/>
    <w:rsid w:val="00524D76"/>
    <w:rsid w:val="00524D8B"/>
    <w:rsid w:val="005252C0"/>
    <w:rsid w:val="00525E8C"/>
    <w:rsid w:val="00527F92"/>
    <w:rsid w:val="00530CE7"/>
    <w:rsid w:val="00530D4A"/>
    <w:rsid w:val="00530DC4"/>
    <w:rsid w:val="00530E45"/>
    <w:rsid w:val="0053101C"/>
    <w:rsid w:val="005316A8"/>
    <w:rsid w:val="00531FA9"/>
    <w:rsid w:val="005323A1"/>
    <w:rsid w:val="00533B7E"/>
    <w:rsid w:val="00535C65"/>
    <w:rsid w:val="00535D41"/>
    <w:rsid w:val="00535ECA"/>
    <w:rsid w:val="0053682D"/>
    <w:rsid w:val="00536D1D"/>
    <w:rsid w:val="0054099F"/>
    <w:rsid w:val="00540FEC"/>
    <w:rsid w:val="005414D6"/>
    <w:rsid w:val="00541F83"/>
    <w:rsid w:val="005430C7"/>
    <w:rsid w:val="00543312"/>
    <w:rsid w:val="00543809"/>
    <w:rsid w:val="005439BF"/>
    <w:rsid w:val="00543CB6"/>
    <w:rsid w:val="00543D6B"/>
    <w:rsid w:val="005446B0"/>
    <w:rsid w:val="00545349"/>
    <w:rsid w:val="00546183"/>
    <w:rsid w:val="005475A9"/>
    <w:rsid w:val="005478E2"/>
    <w:rsid w:val="00547E4F"/>
    <w:rsid w:val="00551DFC"/>
    <w:rsid w:val="0055211A"/>
    <w:rsid w:val="0055216F"/>
    <w:rsid w:val="005605F8"/>
    <w:rsid w:val="0056183F"/>
    <w:rsid w:val="005622D1"/>
    <w:rsid w:val="00563224"/>
    <w:rsid w:val="005633AF"/>
    <w:rsid w:val="0056380E"/>
    <w:rsid w:val="005645A9"/>
    <w:rsid w:val="005650C2"/>
    <w:rsid w:val="00565A8C"/>
    <w:rsid w:val="00567720"/>
    <w:rsid w:val="005723C2"/>
    <w:rsid w:val="00572F0A"/>
    <w:rsid w:val="00573012"/>
    <w:rsid w:val="00573562"/>
    <w:rsid w:val="00574068"/>
    <w:rsid w:val="00575306"/>
    <w:rsid w:val="005761C9"/>
    <w:rsid w:val="005773BE"/>
    <w:rsid w:val="00577C90"/>
    <w:rsid w:val="00580954"/>
    <w:rsid w:val="00580F4C"/>
    <w:rsid w:val="005824F8"/>
    <w:rsid w:val="00583A5C"/>
    <w:rsid w:val="00584ED2"/>
    <w:rsid w:val="005850D6"/>
    <w:rsid w:val="00586357"/>
    <w:rsid w:val="0058643C"/>
    <w:rsid w:val="00586EDA"/>
    <w:rsid w:val="00586F03"/>
    <w:rsid w:val="00587114"/>
    <w:rsid w:val="005927CD"/>
    <w:rsid w:val="00593176"/>
    <w:rsid w:val="0059343A"/>
    <w:rsid w:val="00593CA2"/>
    <w:rsid w:val="00595979"/>
    <w:rsid w:val="00595B4A"/>
    <w:rsid w:val="005964EC"/>
    <w:rsid w:val="00597221"/>
    <w:rsid w:val="005977ED"/>
    <w:rsid w:val="005A0661"/>
    <w:rsid w:val="005A0FEB"/>
    <w:rsid w:val="005A1FDF"/>
    <w:rsid w:val="005A2B40"/>
    <w:rsid w:val="005A2DB1"/>
    <w:rsid w:val="005A3025"/>
    <w:rsid w:val="005A3B60"/>
    <w:rsid w:val="005A4192"/>
    <w:rsid w:val="005A4F1F"/>
    <w:rsid w:val="005A5A1C"/>
    <w:rsid w:val="005A6732"/>
    <w:rsid w:val="005B1C02"/>
    <w:rsid w:val="005B1F53"/>
    <w:rsid w:val="005B33DC"/>
    <w:rsid w:val="005B4FF7"/>
    <w:rsid w:val="005B5511"/>
    <w:rsid w:val="005B6269"/>
    <w:rsid w:val="005B6A2F"/>
    <w:rsid w:val="005B6E58"/>
    <w:rsid w:val="005C115C"/>
    <w:rsid w:val="005C31C8"/>
    <w:rsid w:val="005C4416"/>
    <w:rsid w:val="005C4D85"/>
    <w:rsid w:val="005C5184"/>
    <w:rsid w:val="005C6CE7"/>
    <w:rsid w:val="005D184D"/>
    <w:rsid w:val="005D1BF1"/>
    <w:rsid w:val="005D2C74"/>
    <w:rsid w:val="005D2CB5"/>
    <w:rsid w:val="005D32D1"/>
    <w:rsid w:val="005D386F"/>
    <w:rsid w:val="005D5929"/>
    <w:rsid w:val="005D6DB1"/>
    <w:rsid w:val="005D72C1"/>
    <w:rsid w:val="005D7663"/>
    <w:rsid w:val="005E31E2"/>
    <w:rsid w:val="005E3DC5"/>
    <w:rsid w:val="005E3E03"/>
    <w:rsid w:val="005E4813"/>
    <w:rsid w:val="005E4FC4"/>
    <w:rsid w:val="005E4FE7"/>
    <w:rsid w:val="005E6AD9"/>
    <w:rsid w:val="005E6E82"/>
    <w:rsid w:val="005F0E56"/>
    <w:rsid w:val="005F1007"/>
    <w:rsid w:val="005F10D9"/>
    <w:rsid w:val="005F6167"/>
    <w:rsid w:val="006005D4"/>
    <w:rsid w:val="00600B40"/>
    <w:rsid w:val="0060178F"/>
    <w:rsid w:val="00602576"/>
    <w:rsid w:val="00602663"/>
    <w:rsid w:val="006031DC"/>
    <w:rsid w:val="00604A07"/>
    <w:rsid w:val="0060535C"/>
    <w:rsid w:val="00607400"/>
    <w:rsid w:val="006074A6"/>
    <w:rsid w:val="00611849"/>
    <w:rsid w:val="006120D5"/>
    <w:rsid w:val="00613D71"/>
    <w:rsid w:val="00615523"/>
    <w:rsid w:val="006159BC"/>
    <w:rsid w:val="006167BD"/>
    <w:rsid w:val="006173BB"/>
    <w:rsid w:val="00617D6A"/>
    <w:rsid w:val="006206B9"/>
    <w:rsid w:val="00620BD0"/>
    <w:rsid w:val="00622459"/>
    <w:rsid w:val="00623CBC"/>
    <w:rsid w:val="006243E7"/>
    <w:rsid w:val="00625C51"/>
    <w:rsid w:val="0063027F"/>
    <w:rsid w:val="00630D29"/>
    <w:rsid w:val="006313EC"/>
    <w:rsid w:val="00631AFB"/>
    <w:rsid w:val="0063261A"/>
    <w:rsid w:val="0063473B"/>
    <w:rsid w:val="0063507E"/>
    <w:rsid w:val="006359D2"/>
    <w:rsid w:val="006369CC"/>
    <w:rsid w:val="006374EF"/>
    <w:rsid w:val="00640F02"/>
    <w:rsid w:val="00641153"/>
    <w:rsid w:val="00643E16"/>
    <w:rsid w:val="00645028"/>
    <w:rsid w:val="00646086"/>
    <w:rsid w:val="00646631"/>
    <w:rsid w:val="00647F26"/>
    <w:rsid w:val="00650587"/>
    <w:rsid w:val="00650B1A"/>
    <w:rsid w:val="00652372"/>
    <w:rsid w:val="00653480"/>
    <w:rsid w:val="006536D6"/>
    <w:rsid w:val="00654B00"/>
    <w:rsid w:val="0065532F"/>
    <w:rsid w:val="006560FF"/>
    <w:rsid w:val="00656196"/>
    <w:rsid w:val="006567E7"/>
    <w:rsid w:val="00656CC4"/>
    <w:rsid w:val="00657569"/>
    <w:rsid w:val="00657C0D"/>
    <w:rsid w:val="00657C6F"/>
    <w:rsid w:val="00662875"/>
    <w:rsid w:val="00663399"/>
    <w:rsid w:val="00663AA5"/>
    <w:rsid w:val="0066466F"/>
    <w:rsid w:val="00664915"/>
    <w:rsid w:val="006656A2"/>
    <w:rsid w:val="00665738"/>
    <w:rsid w:val="006657A8"/>
    <w:rsid w:val="00666247"/>
    <w:rsid w:val="00666E5A"/>
    <w:rsid w:val="00667933"/>
    <w:rsid w:val="006679EB"/>
    <w:rsid w:val="00671F59"/>
    <w:rsid w:val="006726B9"/>
    <w:rsid w:val="006743EB"/>
    <w:rsid w:val="00674F5E"/>
    <w:rsid w:val="006763B3"/>
    <w:rsid w:val="00681E1D"/>
    <w:rsid w:val="00682F0F"/>
    <w:rsid w:val="00683222"/>
    <w:rsid w:val="006841FA"/>
    <w:rsid w:val="006849DD"/>
    <w:rsid w:val="00685608"/>
    <w:rsid w:val="00685CFC"/>
    <w:rsid w:val="00686774"/>
    <w:rsid w:val="00686A7A"/>
    <w:rsid w:val="00686F46"/>
    <w:rsid w:val="00687755"/>
    <w:rsid w:val="00687AE9"/>
    <w:rsid w:val="00687B51"/>
    <w:rsid w:val="006900BC"/>
    <w:rsid w:val="006907CD"/>
    <w:rsid w:val="00691002"/>
    <w:rsid w:val="00691AC6"/>
    <w:rsid w:val="0069218D"/>
    <w:rsid w:val="006924FD"/>
    <w:rsid w:val="00692DD7"/>
    <w:rsid w:val="00692DDF"/>
    <w:rsid w:val="0069376A"/>
    <w:rsid w:val="00694936"/>
    <w:rsid w:val="00694F25"/>
    <w:rsid w:val="00695074"/>
    <w:rsid w:val="00695709"/>
    <w:rsid w:val="00696321"/>
    <w:rsid w:val="00696DB6"/>
    <w:rsid w:val="00697007"/>
    <w:rsid w:val="00697FCE"/>
    <w:rsid w:val="006A077D"/>
    <w:rsid w:val="006A1725"/>
    <w:rsid w:val="006A1DAF"/>
    <w:rsid w:val="006A211F"/>
    <w:rsid w:val="006A2156"/>
    <w:rsid w:val="006A5AD0"/>
    <w:rsid w:val="006A5E4F"/>
    <w:rsid w:val="006A5EAE"/>
    <w:rsid w:val="006A72B3"/>
    <w:rsid w:val="006A7652"/>
    <w:rsid w:val="006A76FE"/>
    <w:rsid w:val="006B1F2E"/>
    <w:rsid w:val="006B34CD"/>
    <w:rsid w:val="006B3AD2"/>
    <w:rsid w:val="006B46DC"/>
    <w:rsid w:val="006B666A"/>
    <w:rsid w:val="006B78F3"/>
    <w:rsid w:val="006B7F89"/>
    <w:rsid w:val="006C1199"/>
    <w:rsid w:val="006C1CDA"/>
    <w:rsid w:val="006C1DCC"/>
    <w:rsid w:val="006C3846"/>
    <w:rsid w:val="006C3BF0"/>
    <w:rsid w:val="006C4725"/>
    <w:rsid w:val="006C7DEE"/>
    <w:rsid w:val="006D221B"/>
    <w:rsid w:val="006D3D69"/>
    <w:rsid w:val="006D3EE2"/>
    <w:rsid w:val="006D4845"/>
    <w:rsid w:val="006D5657"/>
    <w:rsid w:val="006D6C4A"/>
    <w:rsid w:val="006D7839"/>
    <w:rsid w:val="006E02B1"/>
    <w:rsid w:val="006E14ED"/>
    <w:rsid w:val="006E157D"/>
    <w:rsid w:val="006E19C5"/>
    <w:rsid w:val="006E3E44"/>
    <w:rsid w:val="006E44E3"/>
    <w:rsid w:val="006E4EF6"/>
    <w:rsid w:val="006E6DDB"/>
    <w:rsid w:val="006F0078"/>
    <w:rsid w:val="006F0296"/>
    <w:rsid w:val="006F0AC4"/>
    <w:rsid w:val="006F2CEE"/>
    <w:rsid w:val="006F3DF9"/>
    <w:rsid w:val="006F5195"/>
    <w:rsid w:val="006F5D51"/>
    <w:rsid w:val="006F61C3"/>
    <w:rsid w:val="006F7546"/>
    <w:rsid w:val="00700495"/>
    <w:rsid w:val="00700AEC"/>
    <w:rsid w:val="00701194"/>
    <w:rsid w:val="007016B1"/>
    <w:rsid w:val="0070375B"/>
    <w:rsid w:val="00705564"/>
    <w:rsid w:val="007060CC"/>
    <w:rsid w:val="007064D1"/>
    <w:rsid w:val="00710C82"/>
    <w:rsid w:val="00713691"/>
    <w:rsid w:val="0071564F"/>
    <w:rsid w:val="0071663D"/>
    <w:rsid w:val="00720431"/>
    <w:rsid w:val="00720556"/>
    <w:rsid w:val="00721ECC"/>
    <w:rsid w:val="00721FF0"/>
    <w:rsid w:val="0072273A"/>
    <w:rsid w:val="00722DD9"/>
    <w:rsid w:val="0072548B"/>
    <w:rsid w:val="00725682"/>
    <w:rsid w:val="007269A4"/>
    <w:rsid w:val="00730182"/>
    <w:rsid w:val="00732018"/>
    <w:rsid w:val="007333DB"/>
    <w:rsid w:val="00733E60"/>
    <w:rsid w:val="00733EA7"/>
    <w:rsid w:val="00734BF0"/>
    <w:rsid w:val="00734E14"/>
    <w:rsid w:val="007358D4"/>
    <w:rsid w:val="00736CC9"/>
    <w:rsid w:val="00737149"/>
    <w:rsid w:val="00737A72"/>
    <w:rsid w:val="00737D3F"/>
    <w:rsid w:val="007409C3"/>
    <w:rsid w:val="00740D11"/>
    <w:rsid w:val="007420CC"/>
    <w:rsid w:val="007420E8"/>
    <w:rsid w:val="00742808"/>
    <w:rsid w:val="00743C96"/>
    <w:rsid w:val="00745FC7"/>
    <w:rsid w:val="00746653"/>
    <w:rsid w:val="00746699"/>
    <w:rsid w:val="00746BCB"/>
    <w:rsid w:val="00747E14"/>
    <w:rsid w:val="007506CA"/>
    <w:rsid w:val="00753442"/>
    <w:rsid w:val="00754000"/>
    <w:rsid w:val="0075584E"/>
    <w:rsid w:val="0075697B"/>
    <w:rsid w:val="007569C0"/>
    <w:rsid w:val="00756EFF"/>
    <w:rsid w:val="00757282"/>
    <w:rsid w:val="0075758D"/>
    <w:rsid w:val="00757D7F"/>
    <w:rsid w:val="00757E2B"/>
    <w:rsid w:val="00760447"/>
    <w:rsid w:val="00760C76"/>
    <w:rsid w:val="00760FA3"/>
    <w:rsid w:val="00761DD0"/>
    <w:rsid w:val="007623A6"/>
    <w:rsid w:val="00762B8C"/>
    <w:rsid w:val="00763CB4"/>
    <w:rsid w:val="00765019"/>
    <w:rsid w:val="0076738D"/>
    <w:rsid w:val="00770F20"/>
    <w:rsid w:val="00771779"/>
    <w:rsid w:val="00771BDB"/>
    <w:rsid w:val="00776C9E"/>
    <w:rsid w:val="00780B22"/>
    <w:rsid w:val="0078114B"/>
    <w:rsid w:val="00781799"/>
    <w:rsid w:val="007817BC"/>
    <w:rsid w:val="007830DD"/>
    <w:rsid w:val="00783340"/>
    <w:rsid w:val="00784AE6"/>
    <w:rsid w:val="00784CA4"/>
    <w:rsid w:val="00784D51"/>
    <w:rsid w:val="0078521D"/>
    <w:rsid w:val="00785C40"/>
    <w:rsid w:val="00785CC6"/>
    <w:rsid w:val="00786F43"/>
    <w:rsid w:val="00787769"/>
    <w:rsid w:val="0079060C"/>
    <w:rsid w:val="00792F17"/>
    <w:rsid w:val="00794E0D"/>
    <w:rsid w:val="00795740"/>
    <w:rsid w:val="007957E4"/>
    <w:rsid w:val="00797162"/>
    <w:rsid w:val="007A0742"/>
    <w:rsid w:val="007A2DB4"/>
    <w:rsid w:val="007A2FF0"/>
    <w:rsid w:val="007A31E6"/>
    <w:rsid w:val="007A3201"/>
    <w:rsid w:val="007A4951"/>
    <w:rsid w:val="007A5EC1"/>
    <w:rsid w:val="007A5F2E"/>
    <w:rsid w:val="007A6334"/>
    <w:rsid w:val="007A69E3"/>
    <w:rsid w:val="007A78B2"/>
    <w:rsid w:val="007A7D92"/>
    <w:rsid w:val="007B1943"/>
    <w:rsid w:val="007B1D8C"/>
    <w:rsid w:val="007B2424"/>
    <w:rsid w:val="007B39B5"/>
    <w:rsid w:val="007B76CF"/>
    <w:rsid w:val="007C0637"/>
    <w:rsid w:val="007C06DB"/>
    <w:rsid w:val="007C07F2"/>
    <w:rsid w:val="007C3581"/>
    <w:rsid w:val="007C3666"/>
    <w:rsid w:val="007C442F"/>
    <w:rsid w:val="007C4873"/>
    <w:rsid w:val="007C52C9"/>
    <w:rsid w:val="007C7289"/>
    <w:rsid w:val="007C7F1C"/>
    <w:rsid w:val="007D1A76"/>
    <w:rsid w:val="007D26D0"/>
    <w:rsid w:val="007D2F6E"/>
    <w:rsid w:val="007D3256"/>
    <w:rsid w:val="007D502C"/>
    <w:rsid w:val="007D542C"/>
    <w:rsid w:val="007D55F3"/>
    <w:rsid w:val="007D6DE9"/>
    <w:rsid w:val="007D71B9"/>
    <w:rsid w:val="007E01BD"/>
    <w:rsid w:val="007E03DA"/>
    <w:rsid w:val="007E12B5"/>
    <w:rsid w:val="007E21C1"/>
    <w:rsid w:val="007E35AA"/>
    <w:rsid w:val="007E5DC0"/>
    <w:rsid w:val="007E6E61"/>
    <w:rsid w:val="007E7CC7"/>
    <w:rsid w:val="007F12B7"/>
    <w:rsid w:val="007F228D"/>
    <w:rsid w:val="007F25A9"/>
    <w:rsid w:val="007F27D7"/>
    <w:rsid w:val="007F33A7"/>
    <w:rsid w:val="007F3C74"/>
    <w:rsid w:val="007F5537"/>
    <w:rsid w:val="007F7311"/>
    <w:rsid w:val="008002E6"/>
    <w:rsid w:val="00800944"/>
    <w:rsid w:val="00801036"/>
    <w:rsid w:val="0080125B"/>
    <w:rsid w:val="00801575"/>
    <w:rsid w:val="00803AE7"/>
    <w:rsid w:val="00803C35"/>
    <w:rsid w:val="00804F81"/>
    <w:rsid w:val="008067D7"/>
    <w:rsid w:val="008068C5"/>
    <w:rsid w:val="0080764D"/>
    <w:rsid w:val="008106CA"/>
    <w:rsid w:val="008107B2"/>
    <w:rsid w:val="00810E4C"/>
    <w:rsid w:val="00811D7A"/>
    <w:rsid w:val="008132FD"/>
    <w:rsid w:val="00813D21"/>
    <w:rsid w:val="00813D5B"/>
    <w:rsid w:val="00815D71"/>
    <w:rsid w:val="00816D5E"/>
    <w:rsid w:val="00817158"/>
    <w:rsid w:val="00820836"/>
    <w:rsid w:val="0082164E"/>
    <w:rsid w:val="00821820"/>
    <w:rsid w:val="00821E9A"/>
    <w:rsid w:val="008231BA"/>
    <w:rsid w:val="008236C3"/>
    <w:rsid w:val="00823CAB"/>
    <w:rsid w:val="008244AB"/>
    <w:rsid w:val="00824E2B"/>
    <w:rsid w:val="00826779"/>
    <w:rsid w:val="00826980"/>
    <w:rsid w:val="008302D6"/>
    <w:rsid w:val="00830674"/>
    <w:rsid w:val="008306DE"/>
    <w:rsid w:val="00830CE7"/>
    <w:rsid w:val="00830D9C"/>
    <w:rsid w:val="008313B2"/>
    <w:rsid w:val="008317AE"/>
    <w:rsid w:val="00831D28"/>
    <w:rsid w:val="00831E17"/>
    <w:rsid w:val="00831EAF"/>
    <w:rsid w:val="00831ECB"/>
    <w:rsid w:val="008321F6"/>
    <w:rsid w:val="00832B98"/>
    <w:rsid w:val="00833627"/>
    <w:rsid w:val="00833CB2"/>
    <w:rsid w:val="00834FEF"/>
    <w:rsid w:val="0083592F"/>
    <w:rsid w:val="00835D47"/>
    <w:rsid w:val="00835FAC"/>
    <w:rsid w:val="008361BE"/>
    <w:rsid w:val="00837F0A"/>
    <w:rsid w:val="00840199"/>
    <w:rsid w:val="008401D7"/>
    <w:rsid w:val="008405A7"/>
    <w:rsid w:val="008406C7"/>
    <w:rsid w:val="0084130A"/>
    <w:rsid w:val="00841C1C"/>
    <w:rsid w:val="00842423"/>
    <w:rsid w:val="00846B25"/>
    <w:rsid w:val="00846F36"/>
    <w:rsid w:val="008477B5"/>
    <w:rsid w:val="0085224F"/>
    <w:rsid w:val="00852A75"/>
    <w:rsid w:val="00853B1B"/>
    <w:rsid w:val="008577D4"/>
    <w:rsid w:val="00860BCB"/>
    <w:rsid w:val="00860DDC"/>
    <w:rsid w:val="00862065"/>
    <w:rsid w:val="00863DB6"/>
    <w:rsid w:val="00863FD0"/>
    <w:rsid w:val="008651BA"/>
    <w:rsid w:val="00865A6D"/>
    <w:rsid w:val="00865FC5"/>
    <w:rsid w:val="00867539"/>
    <w:rsid w:val="00870BB3"/>
    <w:rsid w:val="00870FE9"/>
    <w:rsid w:val="0087158F"/>
    <w:rsid w:val="00871B0F"/>
    <w:rsid w:val="008720D8"/>
    <w:rsid w:val="0087367F"/>
    <w:rsid w:val="00873A06"/>
    <w:rsid w:val="00874D70"/>
    <w:rsid w:val="00875555"/>
    <w:rsid w:val="00875F47"/>
    <w:rsid w:val="008817DA"/>
    <w:rsid w:val="00882331"/>
    <w:rsid w:val="00883E6C"/>
    <w:rsid w:val="00883FAB"/>
    <w:rsid w:val="0088440C"/>
    <w:rsid w:val="00885810"/>
    <w:rsid w:val="008862B5"/>
    <w:rsid w:val="00886462"/>
    <w:rsid w:val="0088721E"/>
    <w:rsid w:val="0088740B"/>
    <w:rsid w:val="00887544"/>
    <w:rsid w:val="00890490"/>
    <w:rsid w:val="008908F5"/>
    <w:rsid w:val="00890A4C"/>
    <w:rsid w:val="00890DDA"/>
    <w:rsid w:val="00891914"/>
    <w:rsid w:val="00892224"/>
    <w:rsid w:val="008937DA"/>
    <w:rsid w:val="008945FD"/>
    <w:rsid w:val="008951AC"/>
    <w:rsid w:val="008961B7"/>
    <w:rsid w:val="0089637A"/>
    <w:rsid w:val="0089677E"/>
    <w:rsid w:val="00896C73"/>
    <w:rsid w:val="008974E7"/>
    <w:rsid w:val="008978CC"/>
    <w:rsid w:val="00897A5B"/>
    <w:rsid w:val="008A027A"/>
    <w:rsid w:val="008A1032"/>
    <w:rsid w:val="008A1053"/>
    <w:rsid w:val="008A2418"/>
    <w:rsid w:val="008A3408"/>
    <w:rsid w:val="008A377A"/>
    <w:rsid w:val="008A6931"/>
    <w:rsid w:val="008B01CC"/>
    <w:rsid w:val="008B1D55"/>
    <w:rsid w:val="008B351C"/>
    <w:rsid w:val="008B5987"/>
    <w:rsid w:val="008B67D7"/>
    <w:rsid w:val="008B6FE5"/>
    <w:rsid w:val="008B76D2"/>
    <w:rsid w:val="008B776F"/>
    <w:rsid w:val="008C04EC"/>
    <w:rsid w:val="008C06E9"/>
    <w:rsid w:val="008C097F"/>
    <w:rsid w:val="008C1721"/>
    <w:rsid w:val="008C2312"/>
    <w:rsid w:val="008C2A3C"/>
    <w:rsid w:val="008C2A46"/>
    <w:rsid w:val="008C2E65"/>
    <w:rsid w:val="008C338C"/>
    <w:rsid w:val="008C34BC"/>
    <w:rsid w:val="008C37C8"/>
    <w:rsid w:val="008C392B"/>
    <w:rsid w:val="008C4474"/>
    <w:rsid w:val="008C4EB9"/>
    <w:rsid w:val="008D0652"/>
    <w:rsid w:val="008D0BF5"/>
    <w:rsid w:val="008D114B"/>
    <w:rsid w:val="008D1720"/>
    <w:rsid w:val="008D3F22"/>
    <w:rsid w:val="008D5E04"/>
    <w:rsid w:val="008D7DDB"/>
    <w:rsid w:val="008E0176"/>
    <w:rsid w:val="008E08F8"/>
    <w:rsid w:val="008E1F19"/>
    <w:rsid w:val="008E752A"/>
    <w:rsid w:val="008F11E2"/>
    <w:rsid w:val="008F2097"/>
    <w:rsid w:val="008F3660"/>
    <w:rsid w:val="008F3F09"/>
    <w:rsid w:val="008F5DC5"/>
    <w:rsid w:val="008F60F9"/>
    <w:rsid w:val="008F7B87"/>
    <w:rsid w:val="00901CCF"/>
    <w:rsid w:val="00902C55"/>
    <w:rsid w:val="00905802"/>
    <w:rsid w:val="00906098"/>
    <w:rsid w:val="009066CD"/>
    <w:rsid w:val="0090707A"/>
    <w:rsid w:val="00907206"/>
    <w:rsid w:val="0090744F"/>
    <w:rsid w:val="00907611"/>
    <w:rsid w:val="00907D5A"/>
    <w:rsid w:val="00911C69"/>
    <w:rsid w:val="009129DD"/>
    <w:rsid w:val="00912DEC"/>
    <w:rsid w:val="0091364C"/>
    <w:rsid w:val="009149A9"/>
    <w:rsid w:val="00914C10"/>
    <w:rsid w:val="00914CB6"/>
    <w:rsid w:val="00915D80"/>
    <w:rsid w:val="00916308"/>
    <w:rsid w:val="009172F1"/>
    <w:rsid w:val="00917556"/>
    <w:rsid w:val="009175E5"/>
    <w:rsid w:val="009205BD"/>
    <w:rsid w:val="009209E2"/>
    <w:rsid w:val="00920AD0"/>
    <w:rsid w:val="00920B88"/>
    <w:rsid w:val="00923923"/>
    <w:rsid w:val="009258F6"/>
    <w:rsid w:val="0092595A"/>
    <w:rsid w:val="00926BBA"/>
    <w:rsid w:val="00926CA6"/>
    <w:rsid w:val="00927F3E"/>
    <w:rsid w:val="00930562"/>
    <w:rsid w:val="0093084B"/>
    <w:rsid w:val="00930A46"/>
    <w:rsid w:val="00930D8F"/>
    <w:rsid w:val="0093157A"/>
    <w:rsid w:val="009322A7"/>
    <w:rsid w:val="009322EF"/>
    <w:rsid w:val="00933FEE"/>
    <w:rsid w:val="00934A69"/>
    <w:rsid w:val="00935CDC"/>
    <w:rsid w:val="00936722"/>
    <w:rsid w:val="009376A3"/>
    <w:rsid w:val="00937836"/>
    <w:rsid w:val="00937CD1"/>
    <w:rsid w:val="009405F0"/>
    <w:rsid w:val="009410CF"/>
    <w:rsid w:val="0094210A"/>
    <w:rsid w:val="00942356"/>
    <w:rsid w:val="0094437C"/>
    <w:rsid w:val="00945087"/>
    <w:rsid w:val="009451C2"/>
    <w:rsid w:val="0094536D"/>
    <w:rsid w:val="009467C3"/>
    <w:rsid w:val="00946F8D"/>
    <w:rsid w:val="00947449"/>
    <w:rsid w:val="0095018E"/>
    <w:rsid w:val="0095073A"/>
    <w:rsid w:val="00950C28"/>
    <w:rsid w:val="0095143A"/>
    <w:rsid w:val="0095144D"/>
    <w:rsid w:val="00952605"/>
    <w:rsid w:val="009528ED"/>
    <w:rsid w:val="009548FE"/>
    <w:rsid w:val="00954B36"/>
    <w:rsid w:val="009558BD"/>
    <w:rsid w:val="009601E0"/>
    <w:rsid w:val="00962CDC"/>
    <w:rsid w:val="00963225"/>
    <w:rsid w:val="00964509"/>
    <w:rsid w:val="00965A62"/>
    <w:rsid w:val="00965A8D"/>
    <w:rsid w:val="00966C54"/>
    <w:rsid w:val="0096730B"/>
    <w:rsid w:val="009678FD"/>
    <w:rsid w:val="0097267E"/>
    <w:rsid w:val="00972CB3"/>
    <w:rsid w:val="00975828"/>
    <w:rsid w:val="00975DA4"/>
    <w:rsid w:val="0097649D"/>
    <w:rsid w:val="00976EC3"/>
    <w:rsid w:val="00977588"/>
    <w:rsid w:val="00977948"/>
    <w:rsid w:val="00977987"/>
    <w:rsid w:val="0098287F"/>
    <w:rsid w:val="00982A30"/>
    <w:rsid w:val="00984601"/>
    <w:rsid w:val="00984F86"/>
    <w:rsid w:val="009853EE"/>
    <w:rsid w:val="00986463"/>
    <w:rsid w:val="009867FF"/>
    <w:rsid w:val="00990627"/>
    <w:rsid w:val="00990A28"/>
    <w:rsid w:val="00990D29"/>
    <w:rsid w:val="009916C7"/>
    <w:rsid w:val="00991817"/>
    <w:rsid w:val="00991914"/>
    <w:rsid w:val="00992276"/>
    <w:rsid w:val="009922CD"/>
    <w:rsid w:val="009944E0"/>
    <w:rsid w:val="009965A7"/>
    <w:rsid w:val="009A0A5F"/>
    <w:rsid w:val="009A14E1"/>
    <w:rsid w:val="009A1567"/>
    <w:rsid w:val="009A32F5"/>
    <w:rsid w:val="009A4397"/>
    <w:rsid w:val="009A4B80"/>
    <w:rsid w:val="009A4E3E"/>
    <w:rsid w:val="009A5462"/>
    <w:rsid w:val="009A58EC"/>
    <w:rsid w:val="009A5BBB"/>
    <w:rsid w:val="009A6C21"/>
    <w:rsid w:val="009A70F0"/>
    <w:rsid w:val="009A7DF7"/>
    <w:rsid w:val="009B0310"/>
    <w:rsid w:val="009B09C6"/>
    <w:rsid w:val="009B13D3"/>
    <w:rsid w:val="009B1ACA"/>
    <w:rsid w:val="009B2ABD"/>
    <w:rsid w:val="009B3566"/>
    <w:rsid w:val="009B4A2A"/>
    <w:rsid w:val="009B5780"/>
    <w:rsid w:val="009C071C"/>
    <w:rsid w:val="009C08A0"/>
    <w:rsid w:val="009C0A02"/>
    <w:rsid w:val="009C11F4"/>
    <w:rsid w:val="009C2FC2"/>
    <w:rsid w:val="009C3782"/>
    <w:rsid w:val="009C3BD8"/>
    <w:rsid w:val="009C4B02"/>
    <w:rsid w:val="009D0B61"/>
    <w:rsid w:val="009D1313"/>
    <w:rsid w:val="009D14AA"/>
    <w:rsid w:val="009D182C"/>
    <w:rsid w:val="009D1B2E"/>
    <w:rsid w:val="009D21C8"/>
    <w:rsid w:val="009D2960"/>
    <w:rsid w:val="009D4ED5"/>
    <w:rsid w:val="009D5869"/>
    <w:rsid w:val="009D6BC0"/>
    <w:rsid w:val="009D6D9F"/>
    <w:rsid w:val="009D7CE9"/>
    <w:rsid w:val="009E031E"/>
    <w:rsid w:val="009E1DFA"/>
    <w:rsid w:val="009E40DD"/>
    <w:rsid w:val="009E56B5"/>
    <w:rsid w:val="009E585B"/>
    <w:rsid w:val="009E6BFC"/>
    <w:rsid w:val="009E74C5"/>
    <w:rsid w:val="009E776F"/>
    <w:rsid w:val="009F0482"/>
    <w:rsid w:val="009F06EF"/>
    <w:rsid w:val="009F0C2E"/>
    <w:rsid w:val="009F0DB1"/>
    <w:rsid w:val="009F185E"/>
    <w:rsid w:val="009F2104"/>
    <w:rsid w:val="009F2584"/>
    <w:rsid w:val="009F2800"/>
    <w:rsid w:val="009F29AD"/>
    <w:rsid w:val="009F31A1"/>
    <w:rsid w:val="009F32DB"/>
    <w:rsid w:val="009F378B"/>
    <w:rsid w:val="009F6808"/>
    <w:rsid w:val="009F703D"/>
    <w:rsid w:val="00A00717"/>
    <w:rsid w:val="00A00951"/>
    <w:rsid w:val="00A012FF"/>
    <w:rsid w:val="00A01679"/>
    <w:rsid w:val="00A01D2E"/>
    <w:rsid w:val="00A034E8"/>
    <w:rsid w:val="00A03655"/>
    <w:rsid w:val="00A03BF8"/>
    <w:rsid w:val="00A056EE"/>
    <w:rsid w:val="00A066EA"/>
    <w:rsid w:val="00A06CEB"/>
    <w:rsid w:val="00A07920"/>
    <w:rsid w:val="00A1300D"/>
    <w:rsid w:val="00A145FC"/>
    <w:rsid w:val="00A14F80"/>
    <w:rsid w:val="00A17418"/>
    <w:rsid w:val="00A202B2"/>
    <w:rsid w:val="00A20770"/>
    <w:rsid w:val="00A209E3"/>
    <w:rsid w:val="00A21B6A"/>
    <w:rsid w:val="00A22797"/>
    <w:rsid w:val="00A2594E"/>
    <w:rsid w:val="00A2673F"/>
    <w:rsid w:val="00A30F8F"/>
    <w:rsid w:val="00A32C0E"/>
    <w:rsid w:val="00A32EFD"/>
    <w:rsid w:val="00A3358B"/>
    <w:rsid w:val="00A33F36"/>
    <w:rsid w:val="00A35F40"/>
    <w:rsid w:val="00A36004"/>
    <w:rsid w:val="00A40524"/>
    <w:rsid w:val="00A409A4"/>
    <w:rsid w:val="00A4131F"/>
    <w:rsid w:val="00A45004"/>
    <w:rsid w:val="00A45711"/>
    <w:rsid w:val="00A46853"/>
    <w:rsid w:val="00A46AEC"/>
    <w:rsid w:val="00A46EF7"/>
    <w:rsid w:val="00A47342"/>
    <w:rsid w:val="00A5003A"/>
    <w:rsid w:val="00A5278B"/>
    <w:rsid w:val="00A529C0"/>
    <w:rsid w:val="00A52E90"/>
    <w:rsid w:val="00A53896"/>
    <w:rsid w:val="00A53900"/>
    <w:rsid w:val="00A5500C"/>
    <w:rsid w:val="00A55D15"/>
    <w:rsid w:val="00A56C27"/>
    <w:rsid w:val="00A56DA2"/>
    <w:rsid w:val="00A60D25"/>
    <w:rsid w:val="00A64632"/>
    <w:rsid w:val="00A6575E"/>
    <w:rsid w:val="00A65E12"/>
    <w:rsid w:val="00A66021"/>
    <w:rsid w:val="00A66A79"/>
    <w:rsid w:val="00A66FC6"/>
    <w:rsid w:val="00A67467"/>
    <w:rsid w:val="00A7088F"/>
    <w:rsid w:val="00A70ACC"/>
    <w:rsid w:val="00A7196F"/>
    <w:rsid w:val="00A71D48"/>
    <w:rsid w:val="00A72CDF"/>
    <w:rsid w:val="00A73361"/>
    <w:rsid w:val="00A73677"/>
    <w:rsid w:val="00A73F02"/>
    <w:rsid w:val="00A74B2E"/>
    <w:rsid w:val="00A758F4"/>
    <w:rsid w:val="00A76A82"/>
    <w:rsid w:val="00A77BB3"/>
    <w:rsid w:val="00A81F6C"/>
    <w:rsid w:val="00A82518"/>
    <w:rsid w:val="00A8371B"/>
    <w:rsid w:val="00A83E3B"/>
    <w:rsid w:val="00A9407A"/>
    <w:rsid w:val="00A9411B"/>
    <w:rsid w:val="00A943CA"/>
    <w:rsid w:val="00A94A12"/>
    <w:rsid w:val="00A95ABA"/>
    <w:rsid w:val="00A9668B"/>
    <w:rsid w:val="00AA0E28"/>
    <w:rsid w:val="00AA118E"/>
    <w:rsid w:val="00AA1FDC"/>
    <w:rsid w:val="00AA347C"/>
    <w:rsid w:val="00AA40B7"/>
    <w:rsid w:val="00AA51FF"/>
    <w:rsid w:val="00AA63E7"/>
    <w:rsid w:val="00AA66A4"/>
    <w:rsid w:val="00AA6CAA"/>
    <w:rsid w:val="00AA6DB0"/>
    <w:rsid w:val="00AA7061"/>
    <w:rsid w:val="00AB0A4C"/>
    <w:rsid w:val="00AB1AA8"/>
    <w:rsid w:val="00AB3041"/>
    <w:rsid w:val="00AB3BDD"/>
    <w:rsid w:val="00AB3D2E"/>
    <w:rsid w:val="00AB4415"/>
    <w:rsid w:val="00AB46FD"/>
    <w:rsid w:val="00AB4FB6"/>
    <w:rsid w:val="00AB54F9"/>
    <w:rsid w:val="00AB694F"/>
    <w:rsid w:val="00AB6C79"/>
    <w:rsid w:val="00AB7905"/>
    <w:rsid w:val="00AB7B74"/>
    <w:rsid w:val="00AC0346"/>
    <w:rsid w:val="00AC078F"/>
    <w:rsid w:val="00AC1068"/>
    <w:rsid w:val="00AC1D75"/>
    <w:rsid w:val="00AC298F"/>
    <w:rsid w:val="00AC2E7C"/>
    <w:rsid w:val="00AC32EE"/>
    <w:rsid w:val="00AC3ADB"/>
    <w:rsid w:val="00AC4054"/>
    <w:rsid w:val="00AC6612"/>
    <w:rsid w:val="00AC7624"/>
    <w:rsid w:val="00AC777E"/>
    <w:rsid w:val="00AD067A"/>
    <w:rsid w:val="00AD0EAF"/>
    <w:rsid w:val="00AD1007"/>
    <w:rsid w:val="00AD14A9"/>
    <w:rsid w:val="00AD3AD2"/>
    <w:rsid w:val="00AD450B"/>
    <w:rsid w:val="00AD482B"/>
    <w:rsid w:val="00AD5870"/>
    <w:rsid w:val="00AD5C4D"/>
    <w:rsid w:val="00AD5D06"/>
    <w:rsid w:val="00AD5E53"/>
    <w:rsid w:val="00AD6DC2"/>
    <w:rsid w:val="00AD7175"/>
    <w:rsid w:val="00AD7394"/>
    <w:rsid w:val="00AE02C3"/>
    <w:rsid w:val="00AE09B8"/>
    <w:rsid w:val="00AE35E2"/>
    <w:rsid w:val="00AE407C"/>
    <w:rsid w:val="00AE40AD"/>
    <w:rsid w:val="00AE4B00"/>
    <w:rsid w:val="00AE5259"/>
    <w:rsid w:val="00AE5BDE"/>
    <w:rsid w:val="00AE61A5"/>
    <w:rsid w:val="00AE6B15"/>
    <w:rsid w:val="00AE7150"/>
    <w:rsid w:val="00AF0B6C"/>
    <w:rsid w:val="00AF1245"/>
    <w:rsid w:val="00AF153D"/>
    <w:rsid w:val="00AF15AB"/>
    <w:rsid w:val="00AF2763"/>
    <w:rsid w:val="00AF4737"/>
    <w:rsid w:val="00AF5E03"/>
    <w:rsid w:val="00AF7161"/>
    <w:rsid w:val="00B000FF"/>
    <w:rsid w:val="00B00A87"/>
    <w:rsid w:val="00B02A63"/>
    <w:rsid w:val="00B0328B"/>
    <w:rsid w:val="00B03A54"/>
    <w:rsid w:val="00B03E26"/>
    <w:rsid w:val="00B04CE3"/>
    <w:rsid w:val="00B0583F"/>
    <w:rsid w:val="00B0669C"/>
    <w:rsid w:val="00B06B06"/>
    <w:rsid w:val="00B07121"/>
    <w:rsid w:val="00B0728F"/>
    <w:rsid w:val="00B101F6"/>
    <w:rsid w:val="00B11C68"/>
    <w:rsid w:val="00B11E69"/>
    <w:rsid w:val="00B12E1D"/>
    <w:rsid w:val="00B133A1"/>
    <w:rsid w:val="00B14565"/>
    <w:rsid w:val="00B15AE4"/>
    <w:rsid w:val="00B165E3"/>
    <w:rsid w:val="00B1664E"/>
    <w:rsid w:val="00B17419"/>
    <w:rsid w:val="00B222C9"/>
    <w:rsid w:val="00B24207"/>
    <w:rsid w:val="00B24A9B"/>
    <w:rsid w:val="00B25CD2"/>
    <w:rsid w:val="00B27B0E"/>
    <w:rsid w:val="00B308A3"/>
    <w:rsid w:val="00B31078"/>
    <w:rsid w:val="00B3268E"/>
    <w:rsid w:val="00B32F20"/>
    <w:rsid w:val="00B33815"/>
    <w:rsid w:val="00B33D16"/>
    <w:rsid w:val="00B341C1"/>
    <w:rsid w:val="00B3460C"/>
    <w:rsid w:val="00B347DC"/>
    <w:rsid w:val="00B35E7F"/>
    <w:rsid w:val="00B36160"/>
    <w:rsid w:val="00B36561"/>
    <w:rsid w:val="00B400EA"/>
    <w:rsid w:val="00B40306"/>
    <w:rsid w:val="00B41904"/>
    <w:rsid w:val="00B423C8"/>
    <w:rsid w:val="00B43416"/>
    <w:rsid w:val="00B438AE"/>
    <w:rsid w:val="00B448A6"/>
    <w:rsid w:val="00B46129"/>
    <w:rsid w:val="00B46ADD"/>
    <w:rsid w:val="00B50649"/>
    <w:rsid w:val="00B50F48"/>
    <w:rsid w:val="00B52694"/>
    <w:rsid w:val="00B52B03"/>
    <w:rsid w:val="00B535E8"/>
    <w:rsid w:val="00B5470E"/>
    <w:rsid w:val="00B56264"/>
    <w:rsid w:val="00B571F8"/>
    <w:rsid w:val="00B57631"/>
    <w:rsid w:val="00B630CF"/>
    <w:rsid w:val="00B6328F"/>
    <w:rsid w:val="00B63F49"/>
    <w:rsid w:val="00B65358"/>
    <w:rsid w:val="00B65ACE"/>
    <w:rsid w:val="00B65C97"/>
    <w:rsid w:val="00B65EC2"/>
    <w:rsid w:val="00B6616F"/>
    <w:rsid w:val="00B66FE1"/>
    <w:rsid w:val="00B67FF1"/>
    <w:rsid w:val="00B7007B"/>
    <w:rsid w:val="00B7023D"/>
    <w:rsid w:val="00B708B1"/>
    <w:rsid w:val="00B7110D"/>
    <w:rsid w:val="00B711FB"/>
    <w:rsid w:val="00B71667"/>
    <w:rsid w:val="00B72BAD"/>
    <w:rsid w:val="00B73982"/>
    <w:rsid w:val="00B73ECE"/>
    <w:rsid w:val="00B74DFB"/>
    <w:rsid w:val="00B756C9"/>
    <w:rsid w:val="00B75D74"/>
    <w:rsid w:val="00B77029"/>
    <w:rsid w:val="00B77183"/>
    <w:rsid w:val="00B77A25"/>
    <w:rsid w:val="00B815A9"/>
    <w:rsid w:val="00B817E0"/>
    <w:rsid w:val="00B818C8"/>
    <w:rsid w:val="00B82738"/>
    <w:rsid w:val="00B83416"/>
    <w:rsid w:val="00B843CD"/>
    <w:rsid w:val="00B84AE8"/>
    <w:rsid w:val="00B86B09"/>
    <w:rsid w:val="00B86B3C"/>
    <w:rsid w:val="00B86B7A"/>
    <w:rsid w:val="00B86FC6"/>
    <w:rsid w:val="00B87418"/>
    <w:rsid w:val="00B876EF"/>
    <w:rsid w:val="00B87F3A"/>
    <w:rsid w:val="00B90BF3"/>
    <w:rsid w:val="00B92014"/>
    <w:rsid w:val="00B9360B"/>
    <w:rsid w:val="00B94616"/>
    <w:rsid w:val="00B951EF"/>
    <w:rsid w:val="00B96979"/>
    <w:rsid w:val="00B97946"/>
    <w:rsid w:val="00BA0E76"/>
    <w:rsid w:val="00BA19EC"/>
    <w:rsid w:val="00BA1E39"/>
    <w:rsid w:val="00BA2225"/>
    <w:rsid w:val="00BA30A1"/>
    <w:rsid w:val="00BA39C4"/>
    <w:rsid w:val="00BA3BB4"/>
    <w:rsid w:val="00BA474B"/>
    <w:rsid w:val="00BA510E"/>
    <w:rsid w:val="00BA51EF"/>
    <w:rsid w:val="00BB3926"/>
    <w:rsid w:val="00BB3AEE"/>
    <w:rsid w:val="00BB6334"/>
    <w:rsid w:val="00BC2097"/>
    <w:rsid w:val="00BC2AA4"/>
    <w:rsid w:val="00BC375A"/>
    <w:rsid w:val="00BC55A1"/>
    <w:rsid w:val="00BC618A"/>
    <w:rsid w:val="00BD14A4"/>
    <w:rsid w:val="00BD25BF"/>
    <w:rsid w:val="00BD32FA"/>
    <w:rsid w:val="00BD5667"/>
    <w:rsid w:val="00BD6D7C"/>
    <w:rsid w:val="00BD7083"/>
    <w:rsid w:val="00BE0054"/>
    <w:rsid w:val="00BE0F2C"/>
    <w:rsid w:val="00BE0F82"/>
    <w:rsid w:val="00BE11C4"/>
    <w:rsid w:val="00BE1CB8"/>
    <w:rsid w:val="00BE1DE5"/>
    <w:rsid w:val="00BE2061"/>
    <w:rsid w:val="00BE309E"/>
    <w:rsid w:val="00BE3476"/>
    <w:rsid w:val="00BE3942"/>
    <w:rsid w:val="00BE41DE"/>
    <w:rsid w:val="00BE51FD"/>
    <w:rsid w:val="00BE5796"/>
    <w:rsid w:val="00BE5D49"/>
    <w:rsid w:val="00BE79B4"/>
    <w:rsid w:val="00BF0691"/>
    <w:rsid w:val="00BF0778"/>
    <w:rsid w:val="00BF13A5"/>
    <w:rsid w:val="00BF1DA5"/>
    <w:rsid w:val="00BF243B"/>
    <w:rsid w:val="00BF2441"/>
    <w:rsid w:val="00BF2689"/>
    <w:rsid w:val="00BF283C"/>
    <w:rsid w:val="00BF2914"/>
    <w:rsid w:val="00BF3213"/>
    <w:rsid w:val="00BF35ED"/>
    <w:rsid w:val="00BF3F63"/>
    <w:rsid w:val="00BF44BF"/>
    <w:rsid w:val="00BF5896"/>
    <w:rsid w:val="00BF760E"/>
    <w:rsid w:val="00C0084D"/>
    <w:rsid w:val="00C00872"/>
    <w:rsid w:val="00C02243"/>
    <w:rsid w:val="00C03A5A"/>
    <w:rsid w:val="00C0489E"/>
    <w:rsid w:val="00C04C66"/>
    <w:rsid w:val="00C04E48"/>
    <w:rsid w:val="00C05EBE"/>
    <w:rsid w:val="00C06F93"/>
    <w:rsid w:val="00C07061"/>
    <w:rsid w:val="00C0725D"/>
    <w:rsid w:val="00C102DA"/>
    <w:rsid w:val="00C10437"/>
    <w:rsid w:val="00C107BE"/>
    <w:rsid w:val="00C10B14"/>
    <w:rsid w:val="00C116D2"/>
    <w:rsid w:val="00C11A77"/>
    <w:rsid w:val="00C126FA"/>
    <w:rsid w:val="00C12952"/>
    <w:rsid w:val="00C14230"/>
    <w:rsid w:val="00C143B5"/>
    <w:rsid w:val="00C1633A"/>
    <w:rsid w:val="00C167AC"/>
    <w:rsid w:val="00C1758D"/>
    <w:rsid w:val="00C20564"/>
    <w:rsid w:val="00C206A7"/>
    <w:rsid w:val="00C20CD5"/>
    <w:rsid w:val="00C220E7"/>
    <w:rsid w:val="00C22229"/>
    <w:rsid w:val="00C22776"/>
    <w:rsid w:val="00C2476B"/>
    <w:rsid w:val="00C250DA"/>
    <w:rsid w:val="00C25E5D"/>
    <w:rsid w:val="00C273FF"/>
    <w:rsid w:val="00C3000A"/>
    <w:rsid w:val="00C30101"/>
    <w:rsid w:val="00C32997"/>
    <w:rsid w:val="00C32D3F"/>
    <w:rsid w:val="00C3386A"/>
    <w:rsid w:val="00C34E17"/>
    <w:rsid w:val="00C35333"/>
    <w:rsid w:val="00C374B1"/>
    <w:rsid w:val="00C40CEC"/>
    <w:rsid w:val="00C424C7"/>
    <w:rsid w:val="00C42C0F"/>
    <w:rsid w:val="00C43038"/>
    <w:rsid w:val="00C430E3"/>
    <w:rsid w:val="00C43613"/>
    <w:rsid w:val="00C45F57"/>
    <w:rsid w:val="00C46500"/>
    <w:rsid w:val="00C50250"/>
    <w:rsid w:val="00C50F3C"/>
    <w:rsid w:val="00C51EDF"/>
    <w:rsid w:val="00C5250C"/>
    <w:rsid w:val="00C5363E"/>
    <w:rsid w:val="00C559EA"/>
    <w:rsid w:val="00C55A5E"/>
    <w:rsid w:val="00C55A7D"/>
    <w:rsid w:val="00C56936"/>
    <w:rsid w:val="00C62C80"/>
    <w:rsid w:val="00C62CB0"/>
    <w:rsid w:val="00C63ECE"/>
    <w:rsid w:val="00C64F66"/>
    <w:rsid w:val="00C671F1"/>
    <w:rsid w:val="00C700AE"/>
    <w:rsid w:val="00C72DC4"/>
    <w:rsid w:val="00C72E1E"/>
    <w:rsid w:val="00C747F3"/>
    <w:rsid w:val="00C74B7D"/>
    <w:rsid w:val="00C7516B"/>
    <w:rsid w:val="00C75296"/>
    <w:rsid w:val="00C75E32"/>
    <w:rsid w:val="00C764DA"/>
    <w:rsid w:val="00C767EA"/>
    <w:rsid w:val="00C8145D"/>
    <w:rsid w:val="00C81DFC"/>
    <w:rsid w:val="00C854EB"/>
    <w:rsid w:val="00C8592B"/>
    <w:rsid w:val="00C85EA8"/>
    <w:rsid w:val="00C86BD4"/>
    <w:rsid w:val="00C94DF9"/>
    <w:rsid w:val="00C96E35"/>
    <w:rsid w:val="00CA020E"/>
    <w:rsid w:val="00CA0B79"/>
    <w:rsid w:val="00CA19A4"/>
    <w:rsid w:val="00CA279F"/>
    <w:rsid w:val="00CA2FF1"/>
    <w:rsid w:val="00CA3DA2"/>
    <w:rsid w:val="00CA652B"/>
    <w:rsid w:val="00CA6FFD"/>
    <w:rsid w:val="00CA7199"/>
    <w:rsid w:val="00CA7AE0"/>
    <w:rsid w:val="00CB001B"/>
    <w:rsid w:val="00CB2BAE"/>
    <w:rsid w:val="00CB303B"/>
    <w:rsid w:val="00CB481B"/>
    <w:rsid w:val="00CB6913"/>
    <w:rsid w:val="00CB6EAC"/>
    <w:rsid w:val="00CB6F73"/>
    <w:rsid w:val="00CB732D"/>
    <w:rsid w:val="00CB7F74"/>
    <w:rsid w:val="00CC14C1"/>
    <w:rsid w:val="00CC157B"/>
    <w:rsid w:val="00CC172B"/>
    <w:rsid w:val="00CC206B"/>
    <w:rsid w:val="00CC25EB"/>
    <w:rsid w:val="00CC3232"/>
    <w:rsid w:val="00CC3309"/>
    <w:rsid w:val="00CC4269"/>
    <w:rsid w:val="00CC4E3C"/>
    <w:rsid w:val="00CC4E5C"/>
    <w:rsid w:val="00CC5A84"/>
    <w:rsid w:val="00CC5EE7"/>
    <w:rsid w:val="00CC70DC"/>
    <w:rsid w:val="00CC7112"/>
    <w:rsid w:val="00CC7CE2"/>
    <w:rsid w:val="00CD1819"/>
    <w:rsid w:val="00CD2896"/>
    <w:rsid w:val="00CD2CCE"/>
    <w:rsid w:val="00CD40C4"/>
    <w:rsid w:val="00CD44D2"/>
    <w:rsid w:val="00CD5625"/>
    <w:rsid w:val="00CD57D3"/>
    <w:rsid w:val="00CD6149"/>
    <w:rsid w:val="00CD69B2"/>
    <w:rsid w:val="00CD6FD1"/>
    <w:rsid w:val="00CD7D98"/>
    <w:rsid w:val="00CE06EC"/>
    <w:rsid w:val="00CE19AF"/>
    <w:rsid w:val="00CE1D8D"/>
    <w:rsid w:val="00CE2754"/>
    <w:rsid w:val="00CE3598"/>
    <w:rsid w:val="00CE4A50"/>
    <w:rsid w:val="00CE64BC"/>
    <w:rsid w:val="00CE6A45"/>
    <w:rsid w:val="00CF1C30"/>
    <w:rsid w:val="00CF230E"/>
    <w:rsid w:val="00CF23E3"/>
    <w:rsid w:val="00CF328E"/>
    <w:rsid w:val="00CF380C"/>
    <w:rsid w:val="00CF3CDC"/>
    <w:rsid w:val="00CF6310"/>
    <w:rsid w:val="00CF6CE9"/>
    <w:rsid w:val="00CF7CD6"/>
    <w:rsid w:val="00D00BB9"/>
    <w:rsid w:val="00D00C66"/>
    <w:rsid w:val="00D01253"/>
    <w:rsid w:val="00D01398"/>
    <w:rsid w:val="00D03688"/>
    <w:rsid w:val="00D0500C"/>
    <w:rsid w:val="00D056BF"/>
    <w:rsid w:val="00D06DA1"/>
    <w:rsid w:val="00D101B1"/>
    <w:rsid w:val="00D102B9"/>
    <w:rsid w:val="00D14E9B"/>
    <w:rsid w:val="00D1584D"/>
    <w:rsid w:val="00D15B80"/>
    <w:rsid w:val="00D16651"/>
    <w:rsid w:val="00D20263"/>
    <w:rsid w:val="00D21F09"/>
    <w:rsid w:val="00D238E8"/>
    <w:rsid w:val="00D2444C"/>
    <w:rsid w:val="00D24A23"/>
    <w:rsid w:val="00D25CA2"/>
    <w:rsid w:val="00D2737B"/>
    <w:rsid w:val="00D27A78"/>
    <w:rsid w:val="00D3579F"/>
    <w:rsid w:val="00D363F6"/>
    <w:rsid w:val="00D36DD6"/>
    <w:rsid w:val="00D37B8E"/>
    <w:rsid w:val="00D400B5"/>
    <w:rsid w:val="00D4118C"/>
    <w:rsid w:val="00D41FA1"/>
    <w:rsid w:val="00D42C43"/>
    <w:rsid w:val="00D43C91"/>
    <w:rsid w:val="00D44FF9"/>
    <w:rsid w:val="00D45775"/>
    <w:rsid w:val="00D4610E"/>
    <w:rsid w:val="00D46228"/>
    <w:rsid w:val="00D4654C"/>
    <w:rsid w:val="00D46AC3"/>
    <w:rsid w:val="00D46CB0"/>
    <w:rsid w:val="00D46DF1"/>
    <w:rsid w:val="00D51C9A"/>
    <w:rsid w:val="00D52A56"/>
    <w:rsid w:val="00D541DC"/>
    <w:rsid w:val="00D56733"/>
    <w:rsid w:val="00D56AFD"/>
    <w:rsid w:val="00D6227C"/>
    <w:rsid w:val="00D62402"/>
    <w:rsid w:val="00D628A2"/>
    <w:rsid w:val="00D63859"/>
    <w:rsid w:val="00D63C60"/>
    <w:rsid w:val="00D63FF1"/>
    <w:rsid w:val="00D64231"/>
    <w:rsid w:val="00D64683"/>
    <w:rsid w:val="00D651DD"/>
    <w:rsid w:val="00D66ACF"/>
    <w:rsid w:val="00D70984"/>
    <w:rsid w:val="00D70BC5"/>
    <w:rsid w:val="00D70F0D"/>
    <w:rsid w:val="00D71800"/>
    <w:rsid w:val="00D726B6"/>
    <w:rsid w:val="00D74FDA"/>
    <w:rsid w:val="00D75C87"/>
    <w:rsid w:val="00D7649C"/>
    <w:rsid w:val="00D77749"/>
    <w:rsid w:val="00D82AD9"/>
    <w:rsid w:val="00D83165"/>
    <w:rsid w:val="00D8376F"/>
    <w:rsid w:val="00D87E6F"/>
    <w:rsid w:val="00D9279B"/>
    <w:rsid w:val="00D927CE"/>
    <w:rsid w:val="00D92838"/>
    <w:rsid w:val="00D92A8A"/>
    <w:rsid w:val="00D9387B"/>
    <w:rsid w:val="00D93BDF"/>
    <w:rsid w:val="00D94630"/>
    <w:rsid w:val="00D94BD4"/>
    <w:rsid w:val="00D94E6E"/>
    <w:rsid w:val="00D96227"/>
    <w:rsid w:val="00D9633C"/>
    <w:rsid w:val="00D96679"/>
    <w:rsid w:val="00D97347"/>
    <w:rsid w:val="00D97BD6"/>
    <w:rsid w:val="00DA1115"/>
    <w:rsid w:val="00DA19BC"/>
    <w:rsid w:val="00DA4A55"/>
    <w:rsid w:val="00DA4AE2"/>
    <w:rsid w:val="00DA5380"/>
    <w:rsid w:val="00DA5895"/>
    <w:rsid w:val="00DA6ACF"/>
    <w:rsid w:val="00DA79F6"/>
    <w:rsid w:val="00DB11F4"/>
    <w:rsid w:val="00DB2FF3"/>
    <w:rsid w:val="00DB4784"/>
    <w:rsid w:val="00DB5B36"/>
    <w:rsid w:val="00DB6685"/>
    <w:rsid w:val="00DB6850"/>
    <w:rsid w:val="00DB69D4"/>
    <w:rsid w:val="00DB6C15"/>
    <w:rsid w:val="00DB74DE"/>
    <w:rsid w:val="00DB7917"/>
    <w:rsid w:val="00DC1C82"/>
    <w:rsid w:val="00DC1CA3"/>
    <w:rsid w:val="00DC224F"/>
    <w:rsid w:val="00DC25CB"/>
    <w:rsid w:val="00DC393D"/>
    <w:rsid w:val="00DC511E"/>
    <w:rsid w:val="00DC5DD9"/>
    <w:rsid w:val="00DC6149"/>
    <w:rsid w:val="00DD091C"/>
    <w:rsid w:val="00DD1D9A"/>
    <w:rsid w:val="00DD26B1"/>
    <w:rsid w:val="00DD427D"/>
    <w:rsid w:val="00DD4B99"/>
    <w:rsid w:val="00DD4C82"/>
    <w:rsid w:val="00DD4E68"/>
    <w:rsid w:val="00DD5033"/>
    <w:rsid w:val="00DD5786"/>
    <w:rsid w:val="00DD66B5"/>
    <w:rsid w:val="00DE3DFD"/>
    <w:rsid w:val="00DE4511"/>
    <w:rsid w:val="00DE584B"/>
    <w:rsid w:val="00DE6F54"/>
    <w:rsid w:val="00DE794D"/>
    <w:rsid w:val="00DE7C24"/>
    <w:rsid w:val="00DF02D6"/>
    <w:rsid w:val="00DF102A"/>
    <w:rsid w:val="00DF2D6D"/>
    <w:rsid w:val="00DF2E49"/>
    <w:rsid w:val="00DF4116"/>
    <w:rsid w:val="00DF5D49"/>
    <w:rsid w:val="00DF5DB8"/>
    <w:rsid w:val="00DF6A98"/>
    <w:rsid w:val="00E004C0"/>
    <w:rsid w:val="00E032D8"/>
    <w:rsid w:val="00E0344B"/>
    <w:rsid w:val="00E0405E"/>
    <w:rsid w:val="00E05182"/>
    <w:rsid w:val="00E0520E"/>
    <w:rsid w:val="00E054BB"/>
    <w:rsid w:val="00E05DE6"/>
    <w:rsid w:val="00E06CC8"/>
    <w:rsid w:val="00E107B3"/>
    <w:rsid w:val="00E10F19"/>
    <w:rsid w:val="00E114DC"/>
    <w:rsid w:val="00E1181B"/>
    <w:rsid w:val="00E11E49"/>
    <w:rsid w:val="00E1374D"/>
    <w:rsid w:val="00E14272"/>
    <w:rsid w:val="00E1457C"/>
    <w:rsid w:val="00E14D21"/>
    <w:rsid w:val="00E15791"/>
    <w:rsid w:val="00E15BB6"/>
    <w:rsid w:val="00E1750C"/>
    <w:rsid w:val="00E200B1"/>
    <w:rsid w:val="00E20784"/>
    <w:rsid w:val="00E20CA3"/>
    <w:rsid w:val="00E23D18"/>
    <w:rsid w:val="00E240A5"/>
    <w:rsid w:val="00E243BB"/>
    <w:rsid w:val="00E245B2"/>
    <w:rsid w:val="00E247F0"/>
    <w:rsid w:val="00E24943"/>
    <w:rsid w:val="00E24E94"/>
    <w:rsid w:val="00E25817"/>
    <w:rsid w:val="00E25A3C"/>
    <w:rsid w:val="00E25E6E"/>
    <w:rsid w:val="00E26336"/>
    <w:rsid w:val="00E266D4"/>
    <w:rsid w:val="00E307AD"/>
    <w:rsid w:val="00E308A5"/>
    <w:rsid w:val="00E3091B"/>
    <w:rsid w:val="00E3153D"/>
    <w:rsid w:val="00E3482E"/>
    <w:rsid w:val="00E34934"/>
    <w:rsid w:val="00E3722F"/>
    <w:rsid w:val="00E37966"/>
    <w:rsid w:val="00E37B70"/>
    <w:rsid w:val="00E4194D"/>
    <w:rsid w:val="00E43F01"/>
    <w:rsid w:val="00E449A7"/>
    <w:rsid w:val="00E45DEC"/>
    <w:rsid w:val="00E465EC"/>
    <w:rsid w:val="00E46B33"/>
    <w:rsid w:val="00E515EB"/>
    <w:rsid w:val="00E523EB"/>
    <w:rsid w:val="00E530DB"/>
    <w:rsid w:val="00E56A92"/>
    <w:rsid w:val="00E617CE"/>
    <w:rsid w:val="00E62F3C"/>
    <w:rsid w:val="00E63478"/>
    <w:rsid w:val="00E63B87"/>
    <w:rsid w:val="00E63CFB"/>
    <w:rsid w:val="00E63EA7"/>
    <w:rsid w:val="00E644E0"/>
    <w:rsid w:val="00E65E72"/>
    <w:rsid w:val="00E6627D"/>
    <w:rsid w:val="00E665AA"/>
    <w:rsid w:val="00E6763A"/>
    <w:rsid w:val="00E679D7"/>
    <w:rsid w:val="00E701BC"/>
    <w:rsid w:val="00E70F72"/>
    <w:rsid w:val="00E752A8"/>
    <w:rsid w:val="00E7671D"/>
    <w:rsid w:val="00E76C6F"/>
    <w:rsid w:val="00E77246"/>
    <w:rsid w:val="00E80091"/>
    <w:rsid w:val="00E80344"/>
    <w:rsid w:val="00E80B46"/>
    <w:rsid w:val="00E80CCF"/>
    <w:rsid w:val="00E818AD"/>
    <w:rsid w:val="00E81ABF"/>
    <w:rsid w:val="00E81F1F"/>
    <w:rsid w:val="00E83763"/>
    <w:rsid w:val="00E848FF"/>
    <w:rsid w:val="00E84974"/>
    <w:rsid w:val="00E84F24"/>
    <w:rsid w:val="00E85EB4"/>
    <w:rsid w:val="00E87817"/>
    <w:rsid w:val="00E8794D"/>
    <w:rsid w:val="00E917E6"/>
    <w:rsid w:val="00E92021"/>
    <w:rsid w:val="00E92213"/>
    <w:rsid w:val="00E92980"/>
    <w:rsid w:val="00E933F2"/>
    <w:rsid w:val="00E93838"/>
    <w:rsid w:val="00E958CB"/>
    <w:rsid w:val="00E96D6B"/>
    <w:rsid w:val="00E97229"/>
    <w:rsid w:val="00EA1510"/>
    <w:rsid w:val="00EA21C9"/>
    <w:rsid w:val="00EA3FCF"/>
    <w:rsid w:val="00EA4294"/>
    <w:rsid w:val="00EA42E9"/>
    <w:rsid w:val="00EA499B"/>
    <w:rsid w:val="00EA4F20"/>
    <w:rsid w:val="00EA6050"/>
    <w:rsid w:val="00EA6552"/>
    <w:rsid w:val="00EA73DB"/>
    <w:rsid w:val="00EA750B"/>
    <w:rsid w:val="00EA77E5"/>
    <w:rsid w:val="00EB0C2C"/>
    <w:rsid w:val="00EB0E5E"/>
    <w:rsid w:val="00EB1A49"/>
    <w:rsid w:val="00EB1EBB"/>
    <w:rsid w:val="00EB20C1"/>
    <w:rsid w:val="00EB23AB"/>
    <w:rsid w:val="00EB30F1"/>
    <w:rsid w:val="00EB32EB"/>
    <w:rsid w:val="00EB41A2"/>
    <w:rsid w:val="00EB4D7D"/>
    <w:rsid w:val="00EB5E0E"/>
    <w:rsid w:val="00EB6BC3"/>
    <w:rsid w:val="00EB70CD"/>
    <w:rsid w:val="00EB736F"/>
    <w:rsid w:val="00EC0FD7"/>
    <w:rsid w:val="00EC1882"/>
    <w:rsid w:val="00EC2F5A"/>
    <w:rsid w:val="00EC42F6"/>
    <w:rsid w:val="00EC5B6B"/>
    <w:rsid w:val="00ED02A1"/>
    <w:rsid w:val="00ED1498"/>
    <w:rsid w:val="00ED1FF5"/>
    <w:rsid w:val="00ED4A57"/>
    <w:rsid w:val="00ED6410"/>
    <w:rsid w:val="00EE04A5"/>
    <w:rsid w:val="00EE04CD"/>
    <w:rsid w:val="00EE1F40"/>
    <w:rsid w:val="00EE28AB"/>
    <w:rsid w:val="00EE326E"/>
    <w:rsid w:val="00EE34E9"/>
    <w:rsid w:val="00EE5CB2"/>
    <w:rsid w:val="00EE650F"/>
    <w:rsid w:val="00EF08E2"/>
    <w:rsid w:val="00EF14CF"/>
    <w:rsid w:val="00EF2A9D"/>
    <w:rsid w:val="00EF2EED"/>
    <w:rsid w:val="00EF3306"/>
    <w:rsid w:val="00EF36C8"/>
    <w:rsid w:val="00EF3AE1"/>
    <w:rsid w:val="00EF3F8C"/>
    <w:rsid w:val="00EF41DC"/>
    <w:rsid w:val="00EF5D3F"/>
    <w:rsid w:val="00EF712B"/>
    <w:rsid w:val="00EF77E5"/>
    <w:rsid w:val="00EF7D5A"/>
    <w:rsid w:val="00F008F3"/>
    <w:rsid w:val="00F0091F"/>
    <w:rsid w:val="00F00E6D"/>
    <w:rsid w:val="00F012F0"/>
    <w:rsid w:val="00F01F2D"/>
    <w:rsid w:val="00F020DD"/>
    <w:rsid w:val="00F03617"/>
    <w:rsid w:val="00F04EF2"/>
    <w:rsid w:val="00F05860"/>
    <w:rsid w:val="00F05FA7"/>
    <w:rsid w:val="00F06535"/>
    <w:rsid w:val="00F06DF4"/>
    <w:rsid w:val="00F06EAB"/>
    <w:rsid w:val="00F07D95"/>
    <w:rsid w:val="00F101C0"/>
    <w:rsid w:val="00F10503"/>
    <w:rsid w:val="00F112EA"/>
    <w:rsid w:val="00F11A3C"/>
    <w:rsid w:val="00F127BA"/>
    <w:rsid w:val="00F13519"/>
    <w:rsid w:val="00F16C66"/>
    <w:rsid w:val="00F17781"/>
    <w:rsid w:val="00F17B80"/>
    <w:rsid w:val="00F22322"/>
    <w:rsid w:val="00F2325E"/>
    <w:rsid w:val="00F23E3D"/>
    <w:rsid w:val="00F23EB6"/>
    <w:rsid w:val="00F24853"/>
    <w:rsid w:val="00F25C21"/>
    <w:rsid w:val="00F25F07"/>
    <w:rsid w:val="00F26B4C"/>
    <w:rsid w:val="00F26EB0"/>
    <w:rsid w:val="00F2797A"/>
    <w:rsid w:val="00F344EC"/>
    <w:rsid w:val="00F34C3E"/>
    <w:rsid w:val="00F34DA5"/>
    <w:rsid w:val="00F35EC8"/>
    <w:rsid w:val="00F36D1D"/>
    <w:rsid w:val="00F36FE1"/>
    <w:rsid w:val="00F377A4"/>
    <w:rsid w:val="00F37BF1"/>
    <w:rsid w:val="00F4091A"/>
    <w:rsid w:val="00F41368"/>
    <w:rsid w:val="00F41834"/>
    <w:rsid w:val="00F44056"/>
    <w:rsid w:val="00F44420"/>
    <w:rsid w:val="00F45CFC"/>
    <w:rsid w:val="00F469BA"/>
    <w:rsid w:val="00F47C18"/>
    <w:rsid w:val="00F50437"/>
    <w:rsid w:val="00F507D9"/>
    <w:rsid w:val="00F5134A"/>
    <w:rsid w:val="00F52628"/>
    <w:rsid w:val="00F530D1"/>
    <w:rsid w:val="00F54BAD"/>
    <w:rsid w:val="00F5502C"/>
    <w:rsid w:val="00F55FA6"/>
    <w:rsid w:val="00F5774B"/>
    <w:rsid w:val="00F60480"/>
    <w:rsid w:val="00F614FB"/>
    <w:rsid w:val="00F61FE9"/>
    <w:rsid w:val="00F6396E"/>
    <w:rsid w:val="00F63C90"/>
    <w:rsid w:val="00F64D99"/>
    <w:rsid w:val="00F65492"/>
    <w:rsid w:val="00F678E0"/>
    <w:rsid w:val="00F67CEC"/>
    <w:rsid w:val="00F703CA"/>
    <w:rsid w:val="00F7122C"/>
    <w:rsid w:val="00F715E6"/>
    <w:rsid w:val="00F715FD"/>
    <w:rsid w:val="00F7263B"/>
    <w:rsid w:val="00F732B5"/>
    <w:rsid w:val="00F733ED"/>
    <w:rsid w:val="00F743FE"/>
    <w:rsid w:val="00F76B51"/>
    <w:rsid w:val="00F774B6"/>
    <w:rsid w:val="00F779CD"/>
    <w:rsid w:val="00F80A6A"/>
    <w:rsid w:val="00F8149C"/>
    <w:rsid w:val="00F82F40"/>
    <w:rsid w:val="00F831C9"/>
    <w:rsid w:val="00F837B8"/>
    <w:rsid w:val="00F84381"/>
    <w:rsid w:val="00F84D96"/>
    <w:rsid w:val="00F8690D"/>
    <w:rsid w:val="00F91422"/>
    <w:rsid w:val="00F9167A"/>
    <w:rsid w:val="00F91DBB"/>
    <w:rsid w:val="00F9293F"/>
    <w:rsid w:val="00F931F4"/>
    <w:rsid w:val="00F94944"/>
    <w:rsid w:val="00F961B9"/>
    <w:rsid w:val="00F97E5C"/>
    <w:rsid w:val="00FA01A4"/>
    <w:rsid w:val="00FA145E"/>
    <w:rsid w:val="00FA20CA"/>
    <w:rsid w:val="00FA3EAA"/>
    <w:rsid w:val="00FA3F43"/>
    <w:rsid w:val="00FA49AE"/>
    <w:rsid w:val="00FA4B6A"/>
    <w:rsid w:val="00FA4C10"/>
    <w:rsid w:val="00FA6EF4"/>
    <w:rsid w:val="00FB094D"/>
    <w:rsid w:val="00FB16CB"/>
    <w:rsid w:val="00FB1BE3"/>
    <w:rsid w:val="00FB202B"/>
    <w:rsid w:val="00FB2256"/>
    <w:rsid w:val="00FB2595"/>
    <w:rsid w:val="00FB2B62"/>
    <w:rsid w:val="00FB3398"/>
    <w:rsid w:val="00FB38B9"/>
    <w:rsid w:val="00FB3EF3"/>
    <w:rsid w:val="00FB497C"/>
    <w:rsid w:val="00FB4B0F"/>
    <w:rsid w:val="00FB4FC4"/>
    <w:rsid w:val="00FB50D6"/>
    <w:rsid w:val="00FB665C"/>
    <w:rsid w:val="00FB668B"/>
    <w:rsid w:val="00FB6733"/>
    <w:rsid w:val="00FC072E"/>
    <w:rsid w:val="00FC388D"/>
    <w:rsid w:val="00FC3EEF"/>
    <w:rsid w:val="00FC4DF9"/>
    <w:rsid w:val="00FC5AEE"/>
    <w:rsid w:val="00FC656E"/>
    <w:rsid w:val="00FD46D1"/>
    <w:rsid w:val="00FD54DB"/>
    <w:rsid w:val="00FD58F2"/>
    <w:rsid w:val="00FD5E24"/>
    <w:rsid w:val="00FD6B91"/>
    <w:rsid w:val="00FD71D6"/>
    <w:rsid w:val="00FE1080"/>
    <w:rsid w:val="00FE133D"/>
    <w:rsid w:val="00FE1E83"/>
    <w:rsid w:val="00FE2FC1"/>
    <w:rsid w:val="00FE4D17"/>
    <w:rsid w:val="00FE4E04"/>
    <w:rsid w:val="00FE5427"/>
    <w:rsid w:val="00FE63A1"/>
    <w:rsid w:val="00FE71C5"/>
    <w:rsid w:val="00FF1DF1"/>
    <w:rsid w:val="00FF23BD"/>
    <w:rsid w:val="00FF25E8"/>
    <w:rsid w:val="00FF30D2"/>
    <w:rsid w:val="00FF4CA5"/>
    <w:rsid w:val="00FF50E8"/>
    <w:rsid w:val="00FF536D"/>
    <w:rsid w:val="00FF5408"/>
    <w:rsid w:val="00FF5B07"/>
    <w:rsid w:val="00FF623A"/>
    <w:rsid w:val="00FF6240"/>
    <w:rsid w:val="00FF6644"/>
    <w:rsid w:val="00FF680E"/>
    <w:rsid w:val="00FF6975"/>
    <w:rsid w:val="00FF7339"/>
    <w:rsid w:val="027520D7"/>
    <w:rsid w:val="029F0571"/>
    <w:rsid w:val="045625A1"/>
    <w:rsid w:val="05972FDC"/>
    <w:rsid w:val="07F832D5"/>
    <w:rsid w:val="09023052"/>
    <w:rsid w:val="097A13A5"/>
    <w:rsid w:val="0B737474"/>
    <w:rsid w:val="104208F6"/>
    <w:rsid w:val="104D2A05"/>
    <w:rsid w:val="12EF15FF"/>
    <w:rsid w:val="14BD72BF"/>
    <w:rsid w:val="14D86C9D"/>
    <w:rsid w:val="16463906"/>
    <w:rsid w:val="1BDC2735"/>
    <w:rsid w:val="1F1225CF"/>
    <w:rsid w:val="1F817EB6"/>
    <w:rsid w:val="229017FF"/>
    <w:rsid w:val="22EC3DEA"/>
    <w:rsid w:val="2A9C2D33"/>
    <w:rsid w:val="2B685271"/>
    <w:rsid w:val="2BA924ED"/>
    <w:rsid w:val="2BC674CC"/>
    <w:rsid w:val="2CEA1574"/>
    <w:rsid w:val="2D6418C1"/>
    <w:rsid w:val="2E1132D2"/>
    <w:rsid w:val="2EBF3A83"/>
    <w:rsid w:val="355F439E"/>
    <w:rsid w:val="37711E4C"/>
    <w:rsid w:val="3B9241ED"/>
    <w:rsid w:val="3E7503C3"/>
    <w:rsid w:val="3E7A709E"/>
    <w:rsid w:val="3EEC6DAF"/>
    <w:rsid w:val="409A75A1"/>
    <w:rsid w:val="41AC2719"/>
    <w:rsid w:val="45F35012"/>
    <w:rsid w:val="49812CCC"/>
    <w:rsid w:val="4C8B5357"/>
    <w:rsid w:val="4D632788"/>
    <w:rsid w:val="4D65225D"/>
    <w:rsid w:val="4D7202BF"/>
    <w:rsid w:val="4DD626C2"/>
    <w:rsid w:val="4E864122"/>
    <w:rsid w:val="4EA50F9A"/>
    <w:rsid w:val="4F205EB0"/>
    <w:rsid w:val="52C1469D"/>
    <w:rsid w:val="52D51B3B"/>
    <w:rsid w:val="53D224C1"/>
    <w:rsid w:val="55FF69BF"/>
    <w:rsid w:val="5963728A"/>
    <w:rsid w:val="5A8C74A6"/>
    <w:rsid w:val="653462C0"/>
    <w:rsid w:val="65BE3FD6"/>
    <w:rsid w:val="66134BAF"/>
    <w:rsid w:val="678F3DBF"/>
    <w:rsid w:val="67A81E44"/>
    <w:rsid w:val="691A2790"/>
    <w:rsid w:val="6A47353F"/>
    <w:rsid w:val="6C2B4727"/>
    <w:rsid w:val="6E2D3A10"/>
    <w:rsid w:val="6F8A1A3C"/>
    <w:rsid w:val="6F8C2172"/>
    <w:rsid w:val="70B31249"/>
    <w:rsid w:val="7133582F"/>
    <w:rsid w:val="715D66CE"/>
    <w:rsid w:val="73050BD0"/>
    <w:rsid w:val="744901B5"/>
    <w:rsid w:val="79C63C7A"/>
    <w:rsid w:val="7AC92FA9"/>
    <w:rsid w:val="7B4B69B2"/>
    <w:rsid w:val="7C017AAC"/>
    <w:rsid w:val="7D3A2326"/>
    <w:rsid w:val="7FB1638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iPriority="1" w:name="Default Paragraph Font"/>
    <w:lsdException w:qFormat="1" w:uiPriority="99" w:name="Body Text" w:locked="1"/>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qFormat="1" w:unhideWhenUsed="0" w:uiPriority="99" w:semiHidden="0" w:name="Date"/>
    <w:lsdException w:uiPriority="99" w:name="Body Text First Indent" w:locked="1"/>
    <w:lsdException w:uiPriority="99" w:name="Body Text First Indent 2" w:locked="1"/>
    <w:lsdException w:uiPriority="99" w:name="Note Heading" w:locked="1"/>
    <w:lsdException w:qFormat="1" w:unhideWhenUsed="0" w:uiPriority="99" w:semiHidden="0" w:name="Body Text 2"/>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99" w:semiHidden="0" w:name="Strong"/>
    <w:lsdException w:qFormat="1" w:unhideWhenUsed="0" w:uiPriority="0" w:semiHidden="0" w:name="Emphasis"/>
    <w:lsdException w:uiPriority="99" w:name="Document Map" w:locked="1"/>
    <w:lsdException w:qFormat="1" w:unhideWhenUsed="0" w:uiPriority="0"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57" w:lineRule="atLeast"/>
      <w:jc w:val="both"/>
      <w:textAlignment w:val="baseline"/>
    </w:pPr>
    <w:rPr>
      <w:rFonts w:ascii="Times New Roman" w:hAnsi="Times New Roman" w:eastAsia="宋体" w:cs="Times New Roman"/>
      <w:color w:val="000000"/>
      <w:sz w:val="21"/>
      <w:u w:color="000000"/>
      <w:lang w:val="en-US" w:eastAsia="zh-CN" w:bidi="ar-SA"/>
    </w:rPr>
  </w:style>
  <w:style w:type="paragraph" w:styleId="2">
    <w:name w:val="heading 1"/>
    <w:basedOn w:val="1"/>
    <w:next w:val="1"/>
    <w:link w:val="22"/>
    <w:qFormat/>
    <w:uiPriority w:val="99"/>
    <w:pPr>
      <w:keepNext/>
      <w:keepLines/>
      <w:widowControl w:val="0"/>
      <w:spacing w:before="340" w:after="330" w:line="576" w:lineRule="auto"/>
      <w:textAlignment w:val="auto"/>
      <w:outlineLvl w:val="0"/>
    </w:pPr>
    <w:rPr>
      <w:b/>
      <w:bCs/>
      <w:color w:val="auto"/>
      <w:kern w:val="44"/>
      <w:sz w:val="44"/>
      <w:szCs w:val="44"/>
    </w:rPr>
  </w:style>
  <w:style w:type="paragraph" w:styleId="3">
    <w:name w:val="heading 2"/>
    <w:basedOn w:val="1"/>
    <w:next w:val="1"/>
    <w:link w:val="63"/>
    <w:semiHidden/>
    <w:unhideWhenUsed/>
    <w:qFormat/>
    <w:uiPriority w:val="0"/>
    <w:pPr>
      <w:keepNext/>
      <w:keepLines/>
      <w:spacing w:before="260" w:after="260" w:line="416" w:lineRule="atLeast"/>
      <w:outlineLvl w:val="1"/>
    </w:pPr>
    <w:rPr>
      <w:rFonts w:ascii="Cambria" w:hAnsi="Cambria"/>
      <w:b/>
      <w:bCs/>
      <w:sz w:val="32"/>
      <w:szCs w:val="32"/>
    </w:rPr>
  </w:style>
  <w:style w:type="paragraph" w:styleId="4">
    <w:name w:val="heading 3"/>
    <w:basedOn w:val="1"/>
    <w:next w:val="1"/>
    <w:link w:val="23"/>
    <w:qFormat/>
    <w:uiPriority w:val="99"/>
    <w:pPr>
      <w:keepNext/>
      <w:keepLines/>
      <w:spacing w:before="260" w:after="260" w:line="416" w:lineRule="atLeast"/>
      <w:outlineLvl w:val="2"/>
    </w:pPr>
    <w:rPr>
      <w:b/>
      <w:bCs/>
      <w:sz w:val="32"/>
      <w:szCs w:val="32"/>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64"/>
    <w:semiHidden/>
    <w:unhideWhenUsed/>
    <w:qFormat/>
    <w:locked/>
    <w:uiPriority w:val="99"/>
    <w:pPr>
      <w:spacing w:after="120"/>
    </w:pPr>
  </w:style>
  <w:style w:type="paragraph" w:styleId="6">
    <w:name w:val="Body Text Indent"/>
    <w:basedOn w:val="1"/>
    <w:link w:val="24"/>
    <w:qFormat/>
    <w:uiPriority w:val="99"/>
    <w:pPr>
      <w:widowControl w:val="0"/>
      <w:snapToGrid w:val="0"/>
      <w:spacing w:before="283" w:line="560" w:lineRule="exact"/>
      <w:ind w:firstLine="510"/>
    </w:pPr>
    <w:rPr>
      <w:sz w:val="28"/>
    </w:rPr>
  </w:style>
  <w:style w:type="paragraph" w:styleId="7">
    <w:name w:val="Plain Text"/>
    <w:basedOn w:val="1"/>
    <w:link w:val="53"/>
    <w:qFormat/>
    <w:uiPriority w:val="0"/>
    <w:pPr>
      <w:widowControl w:val="0"/>
      <w:spacing w:line="240" w:lineRule="auto"/>
      <w:textAlignment w:val="auto"/>
    </w:pPr>
    <w:rPr>
      <w:rFonts w:ascii="宋体" w:hAnsi="Courier New"/>
      <w:color w:val="auto"/>
      <w:kern w:val="2"/>
    </w:rPr>
  </w:style>
  <w:style w:type="paragraph" w:styleId="8">
    <w:name w:val="Date"/>
    <w:basedOn w:val="1"/>
    <w:next w:val="1"/>
    <w:link w:val="26"/>
    <w:qFormat/>
    <w:uiPriority w:val="99"/>
    <w:pPr>
      <w:ind w:left="100" w:leftChars="2500"/>
    </w:pPr>
  </w:style>
  <w:style w:type="paragraph" w:styleId="9">
    <w:name w:val="Balloon Text"/>
    <w:basedOn w:val="1"/>
    <w:link w:val="27"/>
    <w:qFormat/>
    <w:uiPriority w:val="99"/>
    <w:pPr>
      <w:spacing w:line="240" w:lineRule="auto"/>
    </w:pPr>
    <w:rPr>
      <w:sz w:val="18"/>
      <w:szCs w:val="18"/>
    </w:rPr>
  </w:style>
  <w:style w:type="paragraph" w:styleId="10">
    <w:name w:val="footer"/>
    <w:basedOn w:val="1"/>
    <w:link w:val="28"/>
    <w:qFormat/>
    <w:uiPriority w:val="99"/>
    <w:pPr>
      <w:tabs>
        <w:tab w:val="center" w:pos="4153"/>
        <w:tab w:val="right" w:pos="8306"/>
      </w:tabs>
      <w:snapToGrid w:val="0"/>
      <w:spacing w:line="240" w:lineRule="atLeast"/>
      <w:jc w:val="left"/>
    </w:pPr>
    <w:rPr>
      <w:sz w:val="18"/>
      <w:szCs w:val="18"/>
    </w:rPr>
  </w:style>
  <w:style w:type="paragraph" w:styleId="11">
    <w:name w:val="header"/>
    <w:basedOn w:val="1"/>
    <w:link w:val="29"/>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12">
    <w:name w:val="toc 1"/>
    <w:basedOn w:val="1"/>
    <w:next w:val="1"/>
    <w:qFormat/>
    <w:uiPriority w:val="39"/>
  </w:style>
  <w:style w:type="paragraph" w:styleId="13">
    <w:name w:val="toc 2"/>
    <w:basedOn w:val="1"/>
    <w:next w:val="1"/>
    <w:qFormat/>
    <w:uiPriority w:val="39"/>
    <w:pPr>
      <w:ind w:left="420" w:leftChars="200"/>
    </w:pPr>
  </w:style>
  <w:style w:type="paragraph" w:styleId="14">
    <w:name w:val="Body Text 2"/>
    <w:basedOn w:val="1"/>
    <w:link w:val="30"/>
    <w:qFormat/>
    <w:uiPriority w:val="99"/>
    <w:pPr>
      <w:spacing w:after="120" w:line="480" w:lineRule="auto"/>
    </w:pPr>
  </w:style>
  <w:style w:type="paragraph" w:styleId="15">
    <w:name w:val="Normal (Web)"/>
    <w:basedOn w:val="1"/>
    <w:qFormat/>
    <w:uiPriority w:val="99"/>
    <w:pPr>
      <w:spacing w:before="100" w:beforeAutospacing="1" w:after="100" w:afterAutospacing="1" w:line="240" w:lineRule="auto"/>
      <w:jc w:val="left"/>
      <w:textAlignment w:val="auto"/>
    </w:pPr>
    <w:rPr>
      <w:rFonts w:ascii="宋体" w:hAnsi="宋体" w:cs="宋体"/>
      <w:sz w:val="24"/>
      <w:szCs w:val="24"/>
    </w:rPr>
  </w:style>
  <w:style w:type="table" w:styleId="17">
    <w:name w:val="Table Grid"/>
    <w:basedOn w:val="16"/>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qFormat/>
    <w:uiPriority w:val="99"/>
    <w:rPr>
      <w:rFonts w:cs="Times New Roman"/>
      <w:b/>
    </w:rPr>
  </w:style>
  <w:style w:type="character" w:styleId="20">
    <w:name w:val="page number"/>
    <w:qFormat/>
    <w:uiPriority w:val="99"/>
    <w:rPr>
      <w:rFonts w:cs="Times New Roman"/>
    </w:rPr>
  </w:style>
  <w:style w:type="character" w:styleId="21">
    <w:name w:val="Hyperlink"/>
    <w:qFormat/>
    <w:uiPriority w:val="99"/>
    <w:rPr>
      <w:rFonts w:cs="Times New Roman"/>
      <w:color w:val="0368A8"/>
      <w:u w:val="none"/>
    </w:rPr>
  </w:style>
  <w:style w:type="character" w:customStyle="1" w:styleId="22">
    <w:name w:val="标题 1 Char"/>
    <w:link w:val="2"/>
    <w:qFormat/>
    <w:locked/>
    <w:uiPriority w:val="99"/>
    <w:rPr>
      <w:rFonts w:cs="Times New Roman"/>
      <w:b/>
      <w:bCs/>
      <w:color w:val="000000"/>
      <w:kern w:val="44"/>
      <w:sz w:val="44"/>
      <w:szCs w:val="44"/>
      <w:u w:val="none" w:color="000000"/>
    </w:rPr>
  </w:style>
  <w:style w:type="character" w:customStyle="1" w:styleId="23">
    <w:name w:val="标题 3 Char"/>
    <w:link w:val="4"/>
    <w:semiHidden/>
    <w:qFormat/>
    <w:locked/>
    <w:uiPriority w:val="99"/>
    <w:rPr>
      <w:rFonts w:cs="Times New Roman"/>
      <w:b/>
      <w:bCs/>
      <w:color w:val="000000"/>
      <w:sz w:val="32"/>
      <w:szCs w:val="32"/>
      <w:u w:val="none" w:color="000000"/>
    </w:rPr>
  </w:style>
  <w:style w:type="character" w:customStyle="1" w:styleId="24">
    <w:name w:val="正文文本缩进 Char"/>
    <w:link w:val="6"/>
    <w:qFormat/>
    <w:locked/>
    <w:uiPriority w:val="99"/>
    <w:rPr>
      <w:rFonts w:cs="Times New Roman"/>
      <w:color w:val="000000"/>
      <w:kern w:val="0"/>
      <w:sz w:val="20"/>
      <w:szCs w:val="20"/>
      <w:u w:val="none" w:color="000000"/>
    </w:rPr>
  </w:style>
  <w:style w:type="character" w:customStyle="1" w:styleId="25">
    <w:name w:val="Plain Text Char"/>
    <w:qFormat/>
    <w:locked/>
    <w:uiPriority w:val="99"/>
    <w:rPr>
      <w:rFonts w:ascii="宋体" w:hAnsi="Courier New" w:eastAsia="宋体" w:cs="Times New Roman"/>
      <w:kern w:val="2"/>
      <w:sz w:val="21"/>
      <w:lang w:val="en-US" w:eastAsia="zh-CN"/>
    </w:rPr>
  </w:style>
  <w:style w:type="character" w:customStyle="1" w:styleId="26">
    <w:name w:val="日期 Char"/>
    <w:link w:val="8"/>
    <w:qFormat/>
    <w:locked/>
    <w:uiPriority w:val="99"/>
    <w:rPr>
      <w:rFonts w:cs="Times New Roman"/>
      <w:color w:val="000000"/>
      <w:sz w:val="21"/>
      <w:u w:val="none" w:color="000000"/>
    </w:rPr>
  </w:style>
  <w:style w:type="character" w:customStyle="1" w:styleId="27">
    <w:name w:val="批注框文本 Char"/>
    <w:link w:val="9"/>
    <w:qFormat/>
    <w:locked/>
    <w:uiPriority w:val="99"/>
    <w:rPr>
      <w:rFonts w:cs="Times New Roman"/>
      <w:color w:val="000000"/>
      <w:sz w:val="18"/>
      <w:szCs w:val="18"/>
      <w:u w:val="none" w:color="000000"/>
    </w:rPr>
  </w:style>
  <w:style w:type="character" w:customStyle="1" w:styleId="28">
    <w:name w:val="页脚 Char"/>
    <w:link w:val="10"/>
    <w:semiHidden/>
    <w:qFormat/>
    <w:locked/>
    <w:uiPriority w:val="99"/>
    <w:rPr>
      <w:rFonts w:cs="Times New Roman"/>
      <w:color w:val="000000"/>
      <w:kern w:val="0"/>
      <w:sz w:val="18"/>
      <w:szCs w:val="18"/>
      <w:u w:val="none" w:color="000000"/>
    </w:rPr>
  </w:style>
  <w:style w:type="character" w:customStyle="1" w:styleId="29">
    <w:name w:val="页眉 Char"/>
    <w:link w:val="11"/>
    <w:semiHidden/>
    <w:qFormat/>
    <w:locked/>
    <w:uiPriority w:val="99"/>
    <w:rPr>
      <w:rFonts w:cs="Times New Roman"/>
      <w:color w:val="000000"/>
      <w:kern w:val="0"/>
      <w:sz w:val="18"/>
      <w:szCs w:val="18"/>
      <w:u w:val="none" w:color="000000"/>
    </w:rPr>
  </w:style>
  <w:style w:type="character" w:customStyle="1" w:styleId="30">
    <w:name w:val="正文文本 2 Char"/>
    <w:link w:val="14"/>
    <w:semiHidden/>
    <w:qFormat/>
    <w:locked/>
    <w:uiPriority w:val="99"/>
    <w:rPr>
      <w:rFonts w:cs="Times New Roman"/>
      <w:color w:val="000000"/>
      <w:kern w:val="0"/>
      <w:sz w:val="20"/>
      <w:szCs w:val="20"/>
      <w:u w:val="none" w:color="000000"/>
    </w:rPr>
  </w:style>
  <w:style w:type="paragraph" w:customStyle="1" w:styleId="31">
    <w:name w:val="目录1"/>
    <w:basedOn w:val="1"/>
    <w:next w:val="1"/>
    <w:qFormat/>
    <w:uiPriority w:val="99"/>
    <w:pPr>
      <w:tabs>
        <w:tab w:val="left" w:leader="dot" w:pos="8503"/>
      </w:tabs>
      <w:spacing w:after="136" w:line="289" w:lineRule="atLeast"/>
      <w:jc w:val="left"/>
    </w:pPr>
    <w:rPr>
      <w:rFonts w:ascii="Arial" w:eastAsia="黑体"/>
      <w:sz w:val="28"/>
    </w:rPr>
  </w:style>
  <w:style w:type="paragraph" w:customStyle="1" w:styleId="32">
    <w:name w:val="章标题"/>
    <w:basedOn w:val="1"/>
    <w:next w:val="33"/>
    <w:qFormat/>
    <w:uiPriority w:val="99"/>
    <w:pPr>
      <w:spacing w:before="158" w:after="153" w:line="323" w:lineRule="atLeast"/>
      <w:jc w:val="center"/>
    </w:pPr>
    <w:rPr>
      <w:rFonts w:ascii="Arial" w:eastAsia="黑体"/>
      <w:sz w:val="31"/>
    </w:rPr>
  </w:style>
  <w:style w:type="paragraph" w:customStyle="1" w:styleId="33">
    <w:name w:val="节标题"/>
    <w:basedOn w:val="1"/>
    <w:next w:val="34"/>
    <w:qFormat/>
    <w:uiPriority w:val="99"/>
    <w:pPr>
      <w:spacing w:line="289" w:lineRule="atLeast"/>
      <w:jc w:val="center"/>
    </w:pPr>
    <w:rPr>
      <w:sz w:val="28"/>
    </w:rPr>
  </w:style>
  <w:style w:type="paragraph" w:customStyle="1" w:styleId="34">
    <w:name w:val="小节标题"/>
    <w:basedOn w:val="1"/>
    <w:next w:val="1"/>
    <w:qFormat/>
    <w:uiPriority w:val="99"/>
    <w:pPr>
      <w:spacing w:before="175" w:after="102" w:line="351" w:lineRule="atLeast"/>
    </w:pPr>
    <w:rPr>
      <w:rFonts w:eastAsia="黑体"/>
    </w:rPr>
  </w:style>
  <w:style w:type="paragraph" w:customStyle="1" w:styleId="35">
    <w:name w:val="目录2"/>
    <w:basedOn w:val="1"/>
    <w:next w:val="1"/>
    <w:qFormat/>
    <w:uiPriority w:val="99"/>
    <w:pPr>
      <w:tabs>
        <w:tab w:val="left" w:leader="dot" w:pos="8503"/>
      </w:tabs>
      <w:spacing w:line="317" w:lineRule="atLeast"/>
      <w:ind w:firstLine="209"/>
    </w:pPr>
  </w:style>
  <w:style w:type="paragraph" w:customStyle="1" w:styleId="36">
    <w:name w:val="目录4"/>
    <w:basedOn w:val="1"/>
    <w:next w:val="1"/>
    <w:qFormat/>
    <w:uiPriority w:val="99"/>
    <w:pPr>
      <w:tabs>
        <w:tab w:val="left" w:leader="dot" w:pos="8503"/>
      </w:tabs>
      <w:spacing w:line="317" w:lineRule="atLeast"/>
      <w:ind w:firstLine="629"/>
    </w:pPr>
  </w:style>
  <w:style w:type="paragraph" w:customStyle="1" w:styleId="37">
    <w:name w:val="1 Char Char Char Char"/>
    <w:basedOn w:val="1"/>
    <w:qFormat/>
    <w:uiPriority w:val="99"/>
    <w:pPr>
      <w:widowControl w:val="0"/>
      <w:spacing w:line="240" w:lineRule="auto"/>
      <w:textAlignment w:val="auto"/>
    </w:pPr>
    <w:rPr>
      <w:rFonts w:ascii="Tahoma" w:hAnsi="Tahoma" w:cs="Tahoma"/>
      <w:color w:val="auto"/>
      <w:kern w:val="2"/>
      <w:sz w:val="24"/>
      <w:szCs w:val="24"/>
    </w:rPr>
  </w:style>
  <w:style w:type="paragraph" w:customStyle="1" w:styleId="38">
    <w:name w:val="Char Char Char"/>
    <w:basedOn w:val="1"/>
    <w:qFormat/>
    <w:uiPriority w:val="99"/>
    <w:pPr>
      <w:widowControl w:val="0"/>
      <w:spacing w:line="240" w:lineRule="auto"/>
      <w:textAlignment w:val="auto"/>
    </w:pPr>
    <w:rPr>
      <w:rFonts w:ascii="Tahoma" w:hAnsi="Tahoma"/>
      <w:color w:val="auto"/>
      <w:kern w:val="2"/>
      <w:sz w:val="24"/>
    </w:rPr>
  </w:style>
  <w:style w:type="paragraph" w:customStyle="1" w:styleId="39">
    <w:name w:val="目录3"/>
    <w:basedOn w:val="1"/>
    <w:next w:val="1"/>
    <w:qFormat/>
    <w:uiPriority w:val="99"/>
    <w:pPr>
      <w:tabs>
        <w:tab w:val="left" w:leader="dot" w:pos="8503"/>
      </w:tabs>
      <w:spacing w:line="317" w:lineRule="atLeast"/>
      <w:ind w:firstLine="419"/>
    </w:pPr>
  </w:style>
  <w:style w:type="paragraph" w:customStyle="1" w:styleId="40">
    <w:name w:val="目录标题"/>
    <w:basedOn w:val="1"/>
    <w:next w:val="1"/>
    <w:qFormat/>
    <w:uiPriority w:val="99"/>
    <w:pPr>
      <w:spacing w:before="566" w:after="544" w:line="566" w:lineRule="atLeast"/>
      <w:ind w:firstLine="419"/>
      <w:jc w:val="center"/>
    </w:pPr>
    <w:rPr>
      <w:rFonts w:ascii="Arial" w:eastAsia="黑体"/>
      <w:spacing w:val="566"/>
      <w:sz w:val="54"/>
    </w:rPr>
  </w:style>
  <w:style w:type="paragraph" w:customStyle="1" w:styleId="41">
    <w:name w:val="文章总标题"/>
    <w:basedOn w:val="1"/>
    <w:next w:val="42"/>
    <w:qFormat/>
    <w:uiPriority w:val="99"/>
    <w:pPr>
      <w:spacing w:before="566" w:after="544" w:line="566" w:lineRule="atLeast"/>
      <w:jc w:val="center"/>
    </w:pPr>
    <w:rPr>
      <w:rFonts w:ascii="Arial" w:eastAsia="黑体"/>
      <w:sz w:val="54"/>
    </w:rPr>
  </w:style>
  <w:style w:type="paragraph" w:customStyle="1" w:styleId="42">
    <w:name w:val="文章附标题"/>
    <w:basedOn w:val="1"/>
    <w:next w:val="32"/>
    <w:qFormat/>
    <w:uiPriority w:val="99"/>
    <w:pPr>
      <w:spacing w:before="187" w:after="175" w:line="374" w:lineRule="atLeast"/>
      <w:jc w:val="center"/>
    </w:pPr>
    <w:rPr>
      <w:sz w:val="36"/>
    </w:rPr>
  </w:style>
  <w:style w:type="paragraph" w:customStyle="1" w:styleId="43">
    <w:name w:val="Char1"/>
    <w:basedOn w:val="1"/>
    <w:qFormat/>
    <w:uiPriority w:val="99"/>
    <w:pPr>
      <w:widowControl w:val="0"/>
      <w:spacing w:line="240" w:lineRule="auto"/>
      <w:textAlignment w:val="auto"/>
    </w:pPr>
    <w:rPr>
      <w:rFonts w:ascii="Tahoma" w:hAnsi="Tahoma"/>
      <w:color w:val="auto"/>
      <w:kern w:val="2"/>
      <w:sz w:val="24"/>
    </w:rPr>
  </w:style>
  <w:style w:type="paragraph" w:customStyle="1" w:styleId="44">
    <w:name w:val="Char11"/>
    <w:basedOn w:val="1"/>
    <w:qFormat/>
    <w:uiPriority w:val="99"/>
    <w:pPr>
      <w:widowControl w:val="0"/>
      <w:spacing w:line="240" w:lineRule="auto"/>
      <w:textAlignment w:val="auto"/>
    </w:pPr>
    <w:rPr>
      <w:rFonts w:ascii="Tahoma" w:hAnsi="Tahoma"/>
      <w:color w:val="auto"/>
      <w:kern w:val="2"/>
      <w:sz w:val="24"/>
    </w:rPr>
  </w:style>
  <w:style w:type="paragraph" w:customStyle="1" w:styleId="45">
    <w:name w:val="Char Char Char Char Char Char Char"/>
    <w:basedOn w:val="1"/>
    <w:qFormat/>
    <w:uiPriority w:val="99"/>
    <w:pPr>
      <w:widowControl w:val="0"/>
      <w:spacing w:line="240" w:lineRule="auto"/>
      <w:textAlignment w:val="auto"/>
    </w:pPr>
    <w:rPr>
      <w:rFonts w:ascii="Tahoma" w:hAnsi="Tahoma"/>
      <w:color w:val="auto"/>
      <w:kern w:val="2"/>
      <w:sz w:val="24"/>
    </w:rPr>
  </w:style>
  <w:style w:type="paragraph" w:customStyle="1" w:styleId="46">
    <w:name w:val="WPS Plain"/>
    <w:qFormat/>
    <w:uiPriority w:val="99"/>
    <w:rPr>
      <w:rFonts w:ascii="Times New Roman" w:hAnsi="Times New Roman" w:eastAsia="宋体" w:cs="Times New Roman"/>
      <w:lang w:val="en-US" w:eastAsia="zh-CN" w:bidi="ar-SA"/>
    </w:rPr>
  </w:style>
  <w:style w:type="paragraph" w:customStyle="1" w:styleId="47">
    <w:name w:val="cjk"/>
    <w:basedOn w:val="1"/>
    <w:qFormat/>
    <w:uiPriority w:val="99"/>
    <w:pPr>
      <w:spacing w:before="100" w:beforeAutospacing="1" w:after="100" w:afterAutospacing="1" w:line="240" w:lineRule="auto"/>
      <w:jc w:val="left"/>
      <w:textAlignment w:val="auto"/>
    </w:pPr>
    <w:rPr>
      <w:rFonts w:ascii="宋体" w:hAnsi="宋体" w:cs="宋体"/>
      <w:color w:val="auto"/>
      <w:sz w:val="18"/>
      <w:szCs w:val="18"/>
    </w:rPr>
  </w:style>
  <w:style w:type="paragraph" w:customStyle="1" w:styleId="48">
    <w:name w:val="Default"/>
    <w:qFormat/>
    <w:uiPriority w:val="99"/>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49">
    <w:name w:val="TOC 标题1"/>
    <w:basedOn w:val="2"/>
    <w:next w:val="1"/>
    <w:qFormat/>
    <w:uiPriority w:val="99"/>
    <w:pPr>
      <w:widowControl/>
      <w:spacing w:before="480" w:after="0" w:line="276" w:lineRule="auto"/>
      <w:jc w:val="left"/>
      <w:outlineLvl w:val="9"/>
    </w:pPr>
    <w:rPr>
      <w:rFonts w:ascii="Cambria" w:hAnsi="Cambria"/>
      <w:color w:val="365F91"/>
      <w:kern w:val="0"/>
      <w:sz w:val="28"/>
      <w:szCs w:val="28"/>
    </w:rPr>
  </w:style>
  <w:style w:type="character" w:customStyle="1" w:styleId="50">
    <w:name w:val="链接"/>
    <w:qFormat/>
    <w:uiPriority w:val="99"/>
    <w:rPr>
      <w:rFonts w:ascii="Times New Roman" w:eastAsia="宋体"/>
      <w:color w:val="0000FF"/>
      <w:sz w:val="21"/>
      <w:u w:val="single" w:color="0000FF"/>
      <w:lang w:val="en-US" w:eastAsia="zh-CN"/>
    </w:rPr>
  </w:style>
  <w:style w:type="character" w:customStyle="1" w:styleId="51">
    <w:name w:val="超级链接"/>
    <w:qFormat/>
    <w:uiPriority w:val="99"/>
    <w:rPr>
      <w:rFonts w:ascii="Times New Roman" w:eastAsia="宋体"/>
      <w:color w:val="0000FF"/>
      <w:sz w:val="21"/>
      <w:u w:val="single" w:color="0000FF"/>
      <w:lang w:val="en-US" w:eastAsia="zh-CN"/>
    </w:rPr>
  </w:style>
  <w:style w:type="character" w:customStyle="1" w:styleId="52">
    <w:name w:val="param_td12"/>
    <w:qFormat/>
    <w:uiPriority w:val="99"/>
    <w:rPr>
      <w:rFonts w:cs="Times New Roman"/>
    </w:rPr>
  </w:style>
  <w:style w:type="character" w:customStyle="1" w:styleId="53">
    <w:name w:val="纯文本 Char"/>
    <w:link w:val="7"/>
    <w:qFormat/>
    <w:locked/>
    <w:uiPriority w:val="0"/>
    <w:rPr>
      <w:rFonts w:ascii="宋体" w:hAnsi="Courier New" w:cs="Courier New"/>
      <w:color w:val="000000"/>
      <w:kern w:val="0"/>
      <w:sz w:val="21"/>
      <w:szCs w:val="21"/>
      <w:u w:val="none" w:color="000000"/>
    </w:rPr>
  </w:style>
  <w:style w:type="character" w:customStyle="1" w:styleId="54">
    <w:name w:val="纯文本 Char Char"/>
    <w:qFormat/>
    <w:uiPriority w:val="99"/>
    <w:rPr>
      <w:rFonts w:ascii="宋体" w:hAnsi="Courier New" w:eastAsia="宋体"/>
      <w:kern w:val="2"/>
      <w:sz w:val="21"/>
      <w:lang w:val="en-US" w:eastAsia="zh-CN"/>
    </w:rPr>
  </w:style>
  <w:style w:type="character" w:customStyle="1" w:styleId="55">
    <w:name w:val="Char Char4"/>
    <w:qFormat/>
    <w:uiPriority w:val="99"/>
    <w:rPr>
      <w:rFonts w:ascii="宋体" w:eastAsia="宋体"/>
      <w:kern w:val="2"/>
      <w:sz w:val="28"/>
    </w:rPr>
  </w:style>
  <w:style w:type="character" w:customStyle="1" w:styleId="56">
    <w:name w:val="纯文本 Char1"/>
    <w:qFormat/>
    <w:locked/>
    <w:uiPriority w:val="99"/>
    <w:rPr>
      <w:rFonts w:ascii="宋体" w:hAnsi="Courier New" w:cs="Times New Roman"/>
      <w:color w:val="000000"/>
      <w:kern w:val="0"/>
      <w:sz w:val="21"/>
      <w:u w:val="none" w:color="000000"/>
    </w:rPr>
  </w:style>
  <w:style w:type="paragraph" w:customStyle="1" w:styleId="57">
    <w:name w:val="无间隔1"/>
    <w:qFormat/>
    <w:uiPriority w:val="0"/>
    <w:pPr>
      <w:widowControl w:val="0"/>
      <w:spacing w:after="200" w:line="276" w:lineRule="auto"/>
      <w:jc w:val="both"/>
    </w:pPr>
    <w:rPr>
      <w:rFonts w:ascii="Calibri" w:hAnsi="Calibri" w:eastAsia="宋体" w:cs="Times New Roman"/>
      <w:kern w:val="2"/>
      <w:sz w:val="21"/>
      <w:szCs w:val="22"/>
      <w:lang w:val="en-US" w:eastAsia="zh-CN" w:bidi="ar-SA"/>
    </w:rPr>
  </w:style>
  <w:style w:type="character" w:customStyle="1" w:styleId="58">
    <w:name w:val="页眉或页脚 + Calibri"/>
    <w:qFormat/>
    <w:uiPriority w:val="0"/>
    <w:rPr>
      <w:rFonts w:ascii="Calibri" w:hAnsi="Calibri" w:eastAsia="Calibri" w:cs="Calibri"/>
      <w:color w:val="000000"/>
      <w:spacing w:val="0"/>
      <w:w w:val="100"/>
      <w:position w:val="0"/>
      <w:sz w:val="20"/>
      <w:szCs w:val="20"/>
      <w:u w:val="none"/>
      <w:lang w:val="zh-CN" w:eastAsia="zh-CN" w:bidi="zh-CN"/>
    </w:rPr>
  </w:style>
  <w:style w:type="character" w:customStyle="1" w:styleId="59">
    <w:name w:val="页眉或页脚"/>
    <w:qFormat/>
    <w:uiPriority w:val="0"/>
    <w:rPr>
      <w:rFonts w:ascii="MingLiU" w:hAnsi="MingLiU" w:eastAsia="MingLiU" w:cs="MingLiU"/>
      <w:color w:val="000000"/>
      <w:spacing w:val="0"/>
      <w:w w:val="100"/>
      <w:position w:val="0"/>
      <w:sz w:val="18"/>
      <w:szCs w:val="18"/>
      <w:u w:val="none"/>
      <w:lang w:val="zh-CN" w:eastAsia="zh-CN" w:bidi="zh-CN"/>
    </w:rPr>
  </w:style>
  <w:style w:type="paragraph" w:customStyle="1" w:styleId="60">
    <w:name w:val="正文文本 (2)"/>
    <w:basedOn w:val="1"/>
    <w:link w:val="61"/>
    <w:qFormat/>
    <w:uiPriority w:val="0"/>
    <w:pPr>
      <w:widowControl w:val="0"/>
      <w:shd w:val="clear" w:color="auto" w:fill="FFFFFF"/>
      <w:spacing w:after="660" w:line="0" w:lineRule="atLeast"/>
      <w:jc w:val="left"/>
      <w:textAlignment w:val="auto"/>
    </w:pPr>
    <w:rPr>
      <w:rFonts w:ascii="MingLiU" w:hAnsi="MingLiU" w:eastAsia="MingLiU" w:cs="MingLiU"/>
      <w:color w:val="auto"/>
      <w:spacing w:val="30"/>
      <w:sz w:val="30"/>
      <w:szCs w:val="30"/>
    </w:rPr>
  </w:style>
  <w:style w:type="character" w:customStyle="1" w:styleId="61">
    <w:name w:val="正文文本 (2)_"/>
    <w:link w:val="60"/>
    <w:qFormat/>
    <w:uiPriority w:val="0"/>
    <w:rPr>
      <w:rFonts w:ascii="MingLiU" w:hAnsi="MingLiU" w:eastAsia="MingLiU" w:cs="MingLiU"/>
      <w:spacing w:val="30"/>
      <w:sz w:val="30"/>
      <w:szCs w:val="30"/>
      <w:u w:color="000000"/>
      <w:shd w:val="clear" w:color="auto" w:fill="FFFFFF"/>
    </w:rPr>
  </w:style>
  <w:style w:type="paragraph" w:styleId="62">
    <w:name w:val="List Paragraph"/>
    <w:basedOn w:val="1"/>
    <w:unhideWhenUsed/>
    <w:qFormat/>
    <w:uiPriority w:val="99"/>
    <w:pPr>
      <w:ind w:firstLine="420" w:firstLineChars="200"/>
    </w:pPr>
  </w:style>
  <w:style w:type="character" w:customStyle="1" w:styleId="63">
    <w:name w:val="标题 2 Char"/>
    <w:link w:val="3"/>
    <w:semiHidden/>
    <w:qFormat/>
    <w:uiPriority w:val="0"/>
    <w:rPr>
      <w:rFonts w:ascii="Cambria" w:hAnsi="Cambria"/>
      <w:b/>
      <w:bCs/>
      <w:color w:val="000000"/>
      <w:sz w:val="32"/>
      <w:szCs w:val="32"/>
      <w:u w:color="000000"/>
    </w:rPr>
  </w:style>
  <w:style w:type="character" w:customStyle="1" w:styleId="64">
    <w:name w:val="正文文本 Char"/>
    <w:link w:val="5"/>
    <w:semiHidden/>
    <w:qFormat/>
    <w:uiPriority w:val="99"/>
    <w:rPr>
      <w:color w:val="000000"/>
      <w:sz w:val="21"/>
      <w:u w:color="000000"/>
    </w:rPr>
  </w:style>
  <w:style w:type="paragraph" w:customStyle="1" w:styleId="65">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66">
    <w:name w:val="列出段落1"/>
    <w:basedOn w:val="1"/>
    <w:qFormat/>
    <w:uiPriority w:val="0"/>
    <w:pPr>
      <w:widowControl w:val="0"/>
      <w:spacing w:line="240" w:lineRule="auto"/>
      <w:ind w:firstLine="420" w:firstLineChars="200"/>
      <w:textAlignment w:val="auto"/>
    </w:pPr>
    <w:rPr>
      <w:color w:val="auto"/>
      <w:kern w:val="2"/>
      <w:szCs w:val="21"/>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35</Pages>
  <Words>7066</Words>
  <Characters>8069</Characters>
  <Lines>505</Lines>
  <Paragraphs>142</Paragraphs>
  <TotalTime>268</TotalTime>
  <ScaleCrop>false</ScaleCrop>
  <LinksUpToDate>false</LinksUpToDate>
  <CharactersWithSpaces>8201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2015-09-10T13:42:00Z</dcterms:created>
  <dc:creator>ZM</dc:creator>
  <cp:lastModifiedBy>hp</cp:lastModifiedBy>
  <cp:lastPrinted>2026-07-10T06:48:00Z</cp:lastPrinted>
  <dcterms:modified xsi:type="dcterms:W3CDTF">2026-08-03T07:42:47Z</dcterms:modified>
  <cp:revision>525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eyJoZGlkIjoiNjgyZjE4ZDU4ZGE4NzllY2IyYjRhMDAzZTNmMGI3ZWEiLCJ1c2VySWQiOiIyNzYxODc2MzIifQ==</vt:lpwstr>
  </property>
  <property fmtid="{D5CDD505-2E9C-101B-9397-08002B2CF9AE}" pid="4" name="ICV">
    <vt:lpwstr>D8A150AB03AC4690925D4CB40DB50398_13</vt:lpwstr>
  </property>
</Properties>
</file>