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CDC2DE">
      <w:pPr>
        <w:widowControl w:val="0"/>
        <w:snapToGrid w:val="0"/>
        <w:spacing w:line="560" w:lineRule="exact"/>
        <w:ind w:firstLine="241" w:firstLineChars="50"/>
        <w:rPr>
          <w:rFonts w:eastAsia="黑体"/>
          <w:b/>
          <w:color w:val="auto"/>
          <w:spacing w:val="40"/>
          <w:sz w:val="40"/>
          <w:szCs w:val="40"/>
          <w:highlight w:val="none"/>
        </w:rPr>
      </w:pPr>
    </w:p>
    <w:p w14:paraId="35A07EE5">
      <w:pPr>
        <w:widowControl w:val="0"/>
        <w:snapToGrid w:val="0"/>
        <w:spacing w:line="560" w:lineRule="exact"/>
        <w:ind w:firstLine="241" w:firstLineChars="50"/>
        <w:jc w:val="center"/>
        <w:rPr>
          <w:rFonts w:eastAsia="黑体"/>
          <w:b/>
          <w:color w:val="auto"/>
          <w:spacing w:val="40"/>
          <w:sz w:val="40"/>
          <w:szCs w:val="40"/>
          <w:highlight w:val="none"/>
        </w:rPr>
      </w:pPr>
    </w:p>
    <w:p w14:paraId="2DBDEBB7">
      <w:pPr>
        <w:widowControl w:val="0"/>
        <w:snapToGrid w:val="0"/>
        <w:spacing w:line="560" w:lineRule="exact"/>
        <w:ind w:firstLine="241" w:firstLineChars="50"/>
        <w:jc w:val="center"/>
        <w:rPr>
          <w:rFonts w:eastAsia="黑体"/>
          <w:b/>
          <w:color w:val="auto"/>
          <w:spacing w:val="40"/>
          <w:sz w:val="40"/>
          <w:szCs w:val="40"/>
          <w:highlight w:val="none"/>
        </w:rPr>
      </w:pPr>
    </w:p>
    <w:p w14:paraId="2160CBE9">
      <w:pPr>
        <w:widowControl w:val="0"/>
        <w:snapToGrid w:val="0"/>
        <w:spacing w:line="560" w:lineRule="exact"/>
        <w:ind w:firstLine="221" w:firstLineChars="50"/>
        <w:jc w:val="center"/>
        <w:rPr>
          <w:rFonts w:hint="eastAsia" w:ascii="黑体" w:eastAsia="黑体"/>
          <w:b/>
          <w:color w:val="auto"/>
          <w:sz w:val="44"/>
          <w:szCs w:val="44"/>
          <w:highlight w:val="none"/>
          <w:lang w:eastAsia="zh-CN"/>
        </w:rPr>
      </w:pPr>
      <w:r>
        <w:rPr>
          <w:rFonts w:hint="eastAsia" w:ascii="黑体" w:eastAsia="黑体"/>
          <w:b/>
          <w:color w:val="auto"/>
          <w:sz w:val="44"/>
          <w:szCs w:val="44"/>
          <w:highlight w:val="none"/>
          <w:lang w:eastAsia="zh-CN"/>
        </w:rPr>
        <w:t>安阳新型化工产业园区铜冶片区管理委员会</w:t>
      </w:r>
    </w:p>
    <w:p w14:paraId="5B9D4FA5">
      <w:pPr>
        <w:widowControl w:val="0"/>
        <w:snapToGrid w:val="0"/>
        <w:spacing w:line="560" w:lineRule="exact"/>
        <w:ind w:firstLine="221" w:firstLineChars="50"/>
        <w:jc w:val="center"/>
        <w:rPr>
          <w:rFonts w:hint="eastAsia" w:ascii="黑体" w:eastAsia="黑体"/>
          <w:b/>
          <w:color w:val="auto"/>
          <w:spacing w:val="40"/>
          <w:sz w:val="44"/>
          <w:szCs w:val="44"/>
          <w:highlight w:val="none"/>
          <w:lang w:eastAsia="zh-CN"/>
        </w:rPr>
      </w:pPr>
      <w:r>
        <w:rPr>
          <w:rFonts w:hint="eastAsia" w:ascii="黑体" w:eastAsia="黑体"/>
          <w:b/>
          <w:color w:val="auto"/>
          <w:sz w:val="44"/>
          <w:szCs w:val="44"/>
          <w:highlight w:val="none"/>
          <w:lang w:eastAsia="zh-CN"/>
        </w:rPr>
        <w:t>安阳新型化工产业园区铜冶片区服务外包项目</w:t>
      </w:r>
    </w:p>
    <w:p w14:paraId="0A41C373">
      <w:pPr>
        <w:widowControl w:val="0"/>
        <w:snapToGrid w:val="0"/>
        <w:spacing w:before="240" w:beforeLines="100" w:line="560" w:lineRule="exact"/>
        <w:jc w:val="center"/>
        <w:rPr>
          <w:rFonts w:eastAsia="黑体"/>
          <w:b/>
          <w:color w:val="auto"/>
          <w:sz w:val="44"/>
          <w:highlight w:val="none"/>
        </w:rPr>
      </w:pPr>
    </w:p>
    <w:p w14:paraId="42270DBD">
      <w:pPr>
        <w:widowControl w:val="0"/>
        <w:snapToGrid w:val="0"/>
        <w:spacing w:before="240" w:beforeLines="100" w:line="240" w:lineRule="auto"/>
        <w:jc w:val="center"/>
        <w:rPr>
          <w:rFonts w:eastAsia="黑体"/>
          <w:b/>
          <w:color w:val="auto"/>
          <w:sz w:val="44"/>
          <w:highlight w:val="none"/>
        </w:rPr>
      </w:pPr>
    </w:p>
    <w:p w14:paraId="6CAAB64F">
      <w:pPr>
        <w:widowControl w:val="0"/>
        <w:snapToGrid w:val="0"/>
        <w:spacing w:before="240" w:beforeLines="100" w:line="240" w:lineRule="auto"/>
        <w:jc w:val="center"/>
        <w:rPr>
          <w:rFonts w:eastAsia="黑体"/>
          <w:b/>
          <w:color w:val="auto"/>
          <w:sz w:val="44"/>
          <w:highlight w:val="none"/>
        </w:rPr>
      </w:pPr>
    </w:p>
    <w:p w14:paraId="32C4F45C">
      <w:pPr>
        <w:widowControl w:val="0"/>
        <w:snapToGrid w:val="0"/>
        <w:spacing w:before="240" w:beforeLines="100" w:line="240" w:lineRule="auto"/>
        <w:jc w:val="center"/>
        <w:rPr>
          <w:rFonts w:ascii="华文新魏" w:hAnsi="微软雅黑" w:eastAsia="华文新魏"/>
          <w:b/>
          <w:color w:val="auto"/>
          <w:sz w:val="116"/>
          <w:szCs w:val="116"/>
          <w:highlight w:val="none"/>
        </w:rPr>
      </w:pPr>
      <w:r>
        <w:rPr>
          <w:rFonts w:hint="eastAsia" w:ascii="华文新魏" w:hAnsi="微软雅黑" w:eastAsia="华文新魏"/>
          <w:b/>
          <w:color w:val="auto"/>
          <w:sz w:val="116"/>
          <w:szCs w:val="116"/>
          <w:highlight w:val="none"/>
        </w:rPr>
        <w:t>招</w:t>
      </w:r>
      <w:r>
        <w:rPr>
          <w:rFonts w:ascii="华文新魏" w:hAnsi="微软雅黑" w:eastAsia="华文新魏"/>
          <w:b/>
          <w:color w:val="auto"/>
          <w:sz w:val="116"/>
          <w:szCs w:val="116"/>
          <w:highlight w:val="none"/>
        </w:rPr>
        <w:t xml:space="preserve"> </w:t>
      </w:r>
      <w:r>
        <w:rPr>
          <w:rFonts w:hint="eastAsia" w:ascii="华文新魏" w:hAnsi="微软雅黑" w:eastAsia="华文新魏"/>
          <w:b/>
          <w:color w:val="auto"/>
          <w:sz w:val="116"/>
          <w:szCs w:val="116"/>
          <w:highlight w:val="none"/>
        </w:rPr>
        <w:t>标</w:t>
      </w:r>
      <w:r>
        <w:rPr>
          <w:rFonts w:ascii="华文新魏" w:hAnsi="微软雅黑" w:eastAsia="华文新魏"/>
          <w:b/>
          <w:color w:val="auto"/>
          <w:sz w:val="116"/>
          <w:szCs w:val="116"/>
          <w:highlight w:val="none"/>
        </w:rPr>
        <w:t xml:space="preserve"> </w:t>
      </w:r>
      <w:r>
        <w:rPr>
          <w:rFonts w:hint="eastAsia" w:ascii="华文新魏" w:hAnsi="微软雅黑" w:eastAsia="华文新魏"/>
          <w:b/>
          <w:color w:val="auto"/>
          <w:sz w:val="116"/>
          <w:szCs w:val="116"/>
          <w:highlight w:val="none"/>
        </w:rPr>
        <w:t>文</w:t>
      </w:r>
      <w:r>
        <w:rPr>
          <w:rFonts w:ascii="华文新魏" w:hAnsi="微软雅黑" w:eastAsia="华文新魏"/>
          <w:b/>
          <w:color w:val="auto"/>
          <w:sz w:val="116"/>
          <w:szCs w:val="116"/>
          <w:highlight w:val="none"/>
        </w:rPr>
        <w:t xml:space="preserve"> </w:t>
      </w:r>
      <w:r>
        <w:rPr>
          <w:rFonts w:hint="eastAsia" w:ascii="华文新魏" w:hAnsi="微软雅黑" w:eastAsia="华文新魏"/>
          <w:b/>
          <w:color w:val="auto"/>
          <w:sz w:val="116"/>
          <w:szCs w:val="116"/>
          <w:highlight w:val="none"/>
        </w:rPr>
        <w:t>件</w:t>
      </w:r>
    </w:p>
    <w:p w14:paraId="76EDEF46">
      <w:pPr>
        <w:widowControl w:val="0"/>
        <w:snapToGrid w:val="0"/>
        <w:spacing w:before="240" w:beforeLines="100" w:line="560" w:lineRule="exact"/>
        <w:jc w:val="center"/>
        <w:rPr>
          <w:rFonts w:hint="default" w:eastAsia="宋体"/>
          <w:b/>
          <w:color w:val="auto"/>
          <w:sz w:val="30"/>
          <w:szCs w:val="30"/>
          <w:highlight w:val="none"/>
          <w:lang w:val="en-US" w:eastAsia="zh-CN"/>
        </w:rPr>
      </w:pPr>
      <w:r>
        <w:rPr>
          <w:rFonts w:hint="eastAsia" w:ascii="宋体" w:hAnsi="宋体"/>
          <w:color w:val="auto"/>
          <w:sz w:val="32"/>
          <w:szCs w:val="32"/>
          <w:highlight w:val="none"/>
        </w:rPr>
        <w:t>项目编号：</w:t>
      </w:r>
      <w:r>
        <w:rPr>
          <w:rFonts w:hint="eastAsia" w:ascii="宋体" w:hAnsi="宋体"/>
          <w:color w:val="auto"/>
          <w:sz w:val="32"/>
          <w:szCs w:val="32"/>
          <w:highlight w:val="none"/>
          <w:lang w:eastAsia="zh-CN"/>
        </w:rPr>
        <w:t>殷公开</w:t>
      </w:r>
      <w:r>
        <w:rPr>
          <w:rFonts w:hint="eastAsia" w:ascii="宋体" w:hAnsi="宋体"/>
          <w:color w:val="auto"/>
          <w:sz w:val="32"/>
          <w:szCs w:val="32"/>
          <w:highlight w:val="none"/>
          <w:lang w:val="en-US" w:eastAsia="zh-CN"/>
        </w:rPr>
        <w:t>-2026-3</w:t>
      </w:r>
    </w:p>
    <w:p w14:paraId="18B5E8F3">
      <w:pPr>
        <w:widowControl w:val="0"/>
        <w:snapToGrid w:val="0"/>
        <w:spacing w:before="240" w:beforeLines="100" w:line="560" w:lineRule="exact"/>
        <w:jc w:val="center"/>
        <w:rPr>
          <w:rFonts w:eastAsia="黑体"/>
          <w:b/>
          <w:color w:val="auto"/>
          <w:sz w:val="44"/>
          <w:highlight w:val="none"/>
        </w:rPr>
      </w:pPr>
    </w:p>
    <w:p w14:paraId="7B48A008">
      <w:pPr>
        <w:widowControl w:val="0"/>
        <w:snapToGrid w:val="0"/>
        <w:spacing w:before="240" w:beforeLines="100" w:line="560" w:lineRule="exact"/>
        <w:jc w:val="center"/>
        <w:rPr>
          <w:rFonts w:eastAsia="黑体"/>
          <w:b/>
          <w:color w:val="auto"/>
          <w:sz w:val="44"/>
          <w:highlight w:val="none"/>
        </w:rPr>
      </w:pPr>
    </w:p>
    <w:p w14:paraId="618B4BF8">
      <w:pPr>
        <w:widowControl w:val="0"/>
        <w:snapToGrid w:val="0"/>
        <w:spacing w:before="240" w:beforeLines="100" w:line="560" w:lineRule="exact"/>
        <w:rPr>
          <w:rFonts w:eastAsia="黑体"/>
          <w:b/>
          <w:color w:val="auto"/>
          <w:sz w:val="44"/>
          <w:highlight w:val="none"/>
        </w:rPr>
      </w:pPr>
    </w:p>
    <w:p w14:paraId="0A50BF35">
      <w:pPr>
        <w:widowControl w:val="0"/>
        <w:snapToGrid w:val="0"/>
        <w:spacing w:before="240" w:beforeLines="100" w:line="560" w:lineRule="exact"/>
        <w:rPr>
          <w:rFonts w:eastAsia="黑体"/>
          <w:b/>
          <w:color w:val="auto"/>
          <w:sz w:val="44"/>
          <w:highlight w:val="none"/>
        </w:rPr>
      </w:pPr>
    </w:p>
    <w:p w14:paraId="28543385">
      <w:pPr>
        <w:widowControl w:val="0"/>
        <w:snapToGrid w:val="0"/>
        <w:spacing w:line="660" w:lineRule="exact"/>
        <w:ind w:firstLine="540" w:firstLineChars="16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rPr>
        <w:t>采购人：</w:t>
      </w:r>
      <w:r>
        <w:rPr>
          <w:rFonts w:hint="eastAsia" w:ascii="黑体" w:hAnsi="黑体" w:eastAsia="黑体"/>
          <w:b/>
          <w:color w:val="auto"/>
          <w:sz w:val="32"/>
          <w:szCs w:val="32"/>
          <w:highlight w:val="none"/>
          <w:lang w:eastAsia="zh-CN"/>
        </w:rPr>
        <w:t>安阳新型化工产业园区铜冶片区管理委员会</w:t>
      </w:r>
    </w:p>
    <w:p w14:paraId="673E7333">
      <w:pPr>
        <w:widowControl w:val="0"/>
        <w:snapToGrid w:val="0"/>
        <w:spacing w:line="660" w:lineRule="exact"/>
        <w:ind w:firstLine="540" w:firstLineChars="168"/>
        <w:rPr>
          <w:rFonts w:ascii="黑体" w:hAnsi="黑体" w:eastAsia="黑体"/>
          <w:b/>
          <w:color w:val="auto"/>
          <w:sz w:val="32"/>
          <w:szCs w:val="32"/>
          <w:highlight w:val="none"/>
        </w:rPr>
        <w:sectPr>
          <w:footerReference r:id="rId8" w:type="first"/>
          <w:headerReference r:id="rId5" w:type="default"/>
          <w:footerReference r:id="rId6" w:type="default"/>
          <w:footerReference r:id="rId7" w:type="even"/>
          <w:pgSz w:w="11905" w:h="16837"/>
          <w:pgMar w:top="1418" w:right="1106" w:bottom="1418" w:left="1418" w:header="567" w:footer="567" w:gutter="0"/>
          <w:pgBorders>
            <w:top w:val="none" w:sz="0" w:space="0"/>
            <w:left w:val="none" w:sz="0" w:space="0"/>
            <w:bottom w:val="none" w:sz="0" w:space="0"/>
            <w:right w:val="none" w:sz="0" w:space="0"/>
          </w:pgBorders>
          <w:pgNumType w:fmt="numberInDash" w:start="0"/>
          <w:cols w:space="720" w:num="1"/>
          <w:titlePg/>
        </w:sectPr>
      </w:pPr>
      <w:r>
        <w:rPr>
          <w:rFonts w:hint="eastAsia" w:ascii="黑体" w:hAnsi="黑体" w:eastAsia="黑体"/>
          <w:b/>
          <w:color w:val="auto"/>
          <w:sz w:val="32"/>
          <w:szCs w:val="32"/>
          <w:highlight w:val="none"/>
        </w:rPr>
        <w:t>代理机构：安阳市方正招标采购服务有限责任公司</w:t>
      </w:r>
    </w:p>
    <w:p w14:paraId="1CB2274A">
      <w:pPr>
        <w:keepNext w:val="0"/>
        <w:keepLines w:val="0"/>
        <w:pageBreakBefore w:val="0"/>
        <w:widowControl w:val="0"/>
        <w:kinsoku/>
        <w:wordWrap/>
        <w:overflowPunct/>
        <w:topLinePunct w:val="0"/>
        <w:autoSpaceDE/>
        <w:autoSpaceDN/>
        <w:bidi w:val="0"/>
        <w:adjustRightInd/>
        <w:snapToGrid w:val="0"/>
        <w:spacing w:line="560" w:lineRule="exact"/>
        <w:textAlignment w:val="baseline"/>
        <w:rPr>
          <w:rFonts w:ascii="黑体" w:hAnsi="黑体" w:eastAsia="黑体"/>
          <w:b/>
          <w:color w:val="auto"/>
          <w:sz w:val="36"/>
          <w:szCs w:val="36"/>
          <w:highlight w:val="none"/>
        </w:rPr>
      </w:pPr>
    </w:p>
    <w:p w14:paraId="63CA8C52">
      <w:pPr>
        <w:pStyle w:val="56"/>
        <w:keepNext/>
        <w:keepLines/>
        <w:pageBreakBefore w:val="0"/>
        <w:widowControl/>
        <w:kinsoku/>
        <w:wordWrap/>
        <w:overflowPunct/>
        <w:topLinePunct w:val="0"/>
        <w:autoSpaceDE/>
        <w:autoSpaceDN/>
        <w:bidi w:val="0"/>
        <w:adjustRightInd/>
        <w:snapToGrid/>
        <w:spacing w:before="0" w:after="0" w:afterLines="50" w:line="360" w:lineRule="auto"/>
        <w:jc w:val="center"/>
        <w:textAlignment w:val="auto"/>
        <w:rPr>
          <w:rFonts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目</w:t>
      </w:r>
      <w:r>
        <w:rPr>
          <w:rFonts w:ascii="黑体" w:hAnsi="黑体" w:eastAsia="黑体"/>
          <w:color w:val="auto"/>
          <w:sz w:val="36"/>
          <w:szCs w:val="36"/>
          <w:highlight w:val="none"/>
          <w:lang w:val="zh-CN"/>
        </w:rPr>
        <w:t xml:space="preserve"> </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lang w:val="zh-CN"/>
        </w:rPr>
        <w:t>录</w:t>
      </w:r>
    </w:p>
    <w:p w14:paraId="0951379C">
      <w:pPr>
        <w:pStyle w:val="14"/>
        <w:tabs>
          <w:tab w:val="right" w:leader="dot" w:pos="9381"/>
        </w:tabs>
        <w:rPr>
          <w:b/>
          <w:bCs/>
          <w:color w:val="auto"/>
          <w:highlight w:val="none"/>
        </w:rPr>
      </w:pPr>
      <w:r>
        <w:rPr>
          <w:b/>
          <w:bCs/>
          <w:color w:val="auto"/>
          <w:highlight w:val="none"/>
        </w:rPr>
        <w:fldChar w:fldCharType="begin"/>
      </w:r>
      <w:r>
        <w:rPr>
          <w:b/>
          <w:bCs/>
          <w:color w:val="auto"/>
          <w:highlight w:val="none"/>
        </w:rPr>
        <w:instrText xml:space="preserve"> TOC \o "1-3" \h \z \u </w:instrText>
      </w:r>
      <w:r>
        <w:rPr>
          <w:b/>
          <w:bCs/>
          <w:color w:val="auto"/>
          <w:highlight w:val="none"/>
        </w:rPr>
        <w:fldChar w:fldCharType="separate"/>
      </w:r>
      <w:r>
        <w:rPr>
          <w:b/>
          <w:bCs/>
          <w:color w:val="auto"/>
          <w:highlight w:val="none"/>
        </w:rPr>
        <w:fldChar w:fldCharType="begin"/>
      </w:r>
      <w:r>
        <w:rPr>
          <w:b/>
          <w:bCs/>
          <w:color w:val="auto"/>
          <w:highlight w:val="none"/>
        </w:rPr>
        <w:instrText xml:space="preserve"> HYPERLINK \l _Toc7305 </w:instrText>
      </w:r>
      <w:r>
        <w:rPr>
          <w:b/>
          <w:bCs/>
          <w:color w:val="auto"/>
          <w:highlight w:val="none"/>
        </w:rPr>
        <w:fldChar w:fldCharType="separate"/>
      </w:r>
      <w:r>
        <w:rPr>
          <w:rFonts w:hint="eastAsia" w:eastAsia="黑体"/>
          <w:b/>
          <w:bCs/>
          <w:color w:val="auto"/>
          <w:szCs w:val="36"/>
          <w:highlight w:val="none"/>
        </w:rPr>
        <w:t>第一章</w:t>
      </w:r>
      <w:r>
        <w:rPr>
          <w:rFonts w:eastAsia="黑体"/>
          <w:b/>
          <w:bCs/>
          <w:color w:val="auto"/>
          <w:szCs w:val="36"/>
          <w:highlight w:val="none"/>
        </w:rPr>
        <w:t xml:space="preserve">  </w:t>
      </w:r>
      <w:r>
        <w:rPr>
          <w:rFonts w:hint="eastAsia" w:eastAsia="黑体"/>
          <w:b/>
          <w:bCs/>
          <w:color w:val="auto"/>
          <w:szCs w:val="36"/>
          <w:highlight w:val="none"/>
        </w:rPr>
        <w:t>招标公告</w:t>
      </w:r>
      <w:r>
        <w:rPr>
          <w:b/>
          <w:bCs/>
          <w:color w:val="auto"/>
          <w:highlight w:val="none"/>
        </w:rPr>
        <w:tab/>
      </w:r>
      <w:r>
        <w:rPr>
          <w:b/>
          <w:bCs/>
          <w:color w:val="auto"/>
          <w:highlight w:val="none"/>
        </w:rPr>
        <w:fldChar w:fldCharType="begin"/>
      </w:r>
      <w:r>
        <w:rPr>
          <w:b/>
          <w:bCs/>
          <w:color w:val="auto"/>
          <w:highlight w:val="none"/>
        </w:rPr>
        <w:instrText xml:space="preserve"> PAGEREF _Toc7305 \h </w:instrText>
      </w:r>
      <w:r>
        <w:rPr>
          <w:b/>
          <w:bCs/>
          <w:color w:val="auto"/>
          <w:highlight w:val="none"/>
        </w:rPr>
        <w:fldChar w:fldCharType="separate"/>
      </w:r>
      <w:r>
        <w:rPr>
          <w:b/>
          <w:bCs/>
          <w:color w:val="auto"/>
          <w:highlight w:val="none"/>
        </w:rPr>
        <w:t>- 1 -</w:t>
      </w:r>
      <w:r>
        <w:rPr>
          <w:b/>
          <w:bCs/>
          <w:color w:val="auto"/>
          <w:highlight w:val="none"/>
        </w:rPr>
        <w:fldChar w:fldCharType="end"/>
      </w:r>
      <w:r>
        <w:rPr>
          <w:b/>
          <w:bCs/>
          <w:color w:val="auto"/>
          <w:highlight w:val="none"/>
        </w:rPr>
        <w:fldChar w:fldCharType="end"/>
      </w:r>
    </w:p>
    <w:p w14:paraId="32FF49C7">
      <w:pPr>
        <w:pStyle w:val="14"/>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_Toc11217 </w:instrText>
      </w:r>
      <w:r>
        <w:rPr>
          <w:b/>
          <w:bCs/>
          <w:color w:val="auto"/>
          <w:highlight w:val="none"/>
        </w:rPr>
        <w:fldChar w:fldCharType="separate"/>
      </w:r>
      <w:r>
        <w:rPr>
          <w:rFonts w:hint="eastAsia" w:eastAsia="黑体"/>
          <w:b/>
          <w:bCs/>
          <w:color w:val="auto"/>
          <w:szCs w:val="36"/>
          <w:highlight w:val="none"/>
        </w:rPr>
        <w:t>第二章  招标项目要求及采购需求</w:t>
      </w:r>
      <w:r>
        <w:rPr>
          <w:b/>
          <w:bCs/>
          <w:color w:val="auto"/>
          <w:highlight w:val="none"/>
        </w:rPr>
        <w:tab/>
      </w:r>
      <w:r>
        <w:rPr>
          <w:b/>
          <w:bCs/>
          <w:color w:val="auto"/>
          <w:highlight w:val="none"/>
        </w:rPr>
        <w:fldChar w:fldCharType="begin"/>
      </w:r>
      <w:r>
        <w:rPr>
          <w:b/>
          <w:bCs/>
          <w:color w:val="auto"/>
          <w:highlight w:val="none"/>
        </w:rPr>
        <w:instrText xml:space="preserve"> PAGEREF _Toc11217 \h </w:instrText>
      </w:r>
      <w:r>
        <w:rPr>
          <w:b/>
          <w:bCs/>
          <w:color w:val="auto"/>
          <w:highlight w:val="none"/>
        </w:rPr>
        <w:fldChar w:fldCharType="separate"/>
      </w:r>
      <w:r>
        <w:rPr>
          <w:b/>
          <w:bCs/>
          <w:color w:val="auto"/>
          <w:highlight w:val="none"/>
        </w:rPr>
        <w:t>- 6 -</w:t>
      </w:r>
      <w:r>
        <w:rPr>
          <w:b/>
          <w:bCs/>
          <w:color w:val="auto"/>
          <w:highlight w:val="none"/>
        </w:rPr>
        <w:fldChar w:fldCharType="end"/>
      </w:r>
      <w:r>
        <w:rPr>
          <w:b/>
          <w:bCs/>
          <w:color w:val="auto"/>
          <w:highlight w:val="none"/>
        </w:rPr>
        <w:fldChar w:fldCharType="end"/>
      </w:r>
    </w:p>
    <w:p w14:paraId="03FDFB05">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_Toc27548 </w:instrText>
      </w:r>
      <w:r>
        <w:rPr>
          <w:b/>
          <w:bCs/>
          <w:color w:val="auto"/>
          <w:highlight w:val="none"/>
        </w:rPr>
        <w:fldChar w:fldCharType="separate"/>
      </w:r>
      <w:r>
        <w:rPr>
          <w:rFonts w:ascii="黑体" w:hAnsi="黑体" w:eastAsia="黑体"/>
          <w:b/>
          <w:bCs/>
          <w:color w:val="auto"/>
          <w:highlight w:val="none"/>
        </w:rPr>
        <w:t xml:space="preserve">1. </w:t>
      </w:r>
      <w:r>
        <w:rPr>
          <w:rFonts w:hint="eastAsia" w:ascii="黑体" w:hAnsi="黑体" w:eastAsia="黑体"/>
          <w:b/>
          <w:bCs/>
          <w:color w:val="auto"/>
          <w:highlight w:val="none"/>
        </w:rPr>
        <w:t>招标项目、标段（包）划分、投标报价</w:t>
      </w:r>
      <w:r>
        <w:rPr>
          <w:b/>
          <w:bCs/>
          <w:color w:val="auto"/>
          <w:highlight w:val="none"/>
        </w:rPr>
        <w:tab/>
      </w:r>
      <w:r>
        <w:rPr>
          <w:b/>
          <w:bCs/>
          <w:color w:val="auto"/>
          <w:highlight w:val="none"/>
        </w:rPr>
        <w:fldChar w:fldCharType="begin"/>
      </w:r>
      <w:r>
        <w:rPr>
          <w:b/>
          <w:bCs/>
          <w:color w:val="auto"/>
          <w:highlight w:val="none"/>
        </w:rPr>
        <w:instrText xml:space="preserve"> PAGEREF _Toc27548 \h </w:instrText>
      </w:r>
      <w:r>
        <w:rPr>
          <w:b/>
          <w:bCs/>
          <w:color w:val="auto"/>
          <w:highlight w:val="none"/>
        </w:rPr>
        <w:fldChar w:fldCharType="separate"/>
      </w:r>
      <w:r>
        <w:rPr>
          <w:b/>
          <w:bCs/>
          <w:color w:val="auto"/>
          <w:highlight w:val="none"/>
        </w:rPr>
        <w:t>- 6 -</w:t>
      </w:r>
      <w:r>
        <w:rPr>
          <w:b/>
          <w:bCs/>
          <w:color w:val="auto"/>
          <w:highlight w:val="none"/>
        </w:rPr>
        <w:fldChar w:fldCharType="end"/>
      </w:r>
      <w:r>
        <w:rPr>
          <w:b/>
          <w:bCs/>
          <w:color w:val="auto"/>
          <w:highlight w:val="none"/>
        </w:rPr>
        <w:fldChar w:fldCharType="end"/>
      </w:r>
    </w:p>
    <w:p w14:paraId="63473434">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_Toc15431 </w:instrText>
      </w:r>
      <w:r>
        <w:rPr>
          <w:b/>
          <w:bCs/>
          <w:color w:val="auto"/>
          <w:highlight w:val="none"/>
        </w:rPr>
        <w:fldChar w:fldCharType="separate"/>
      </w:r>
      <w:r>
        <w:rPr>
          <w:rFonts w:ascii="黑体" w:hAnsi="黑体" w:eastAsia="黑体"/>
          <w:b/>
          <w:bCs/>
          <w:color w:val="auto"/>
          <w:highlight w:val="none"/>
        </w:rPr>
        <w:t xml:space="preserve">2. </w:t>
      </w:r>
      <w:r>
        <w:rPr>
          <w:rFonts w:hint="eastAsia" w:ascii="黑体" w:hAnsi="黑体" w:eastAsia="黑体"/>
          <w:b/>
          <w:bCs/>
          <w:color w:val="auto"/>
          <w:highlight w:val="none"/>
        </w:rPr>
        <w:t>标段（包）内容（范围）及具体采购需求</w:t>
      </w:r>
      <w:r>
        <w:rPr>
          <w:b/>
          <w:bCs/>
          <w:color w:val="auto"/>
          <w:highlight w:val="none"/>
        </w:rPr>
        <w:tab/>
      </w:r>
      <w:r>
        <w:rPr>
          <w:b/>
          <w:bCs/>
          <w:color w:val="auto"/>
          <w:highlight w:val="none"/>
        </w:rPr>
        <w:fldChar w:fldCharType="begin"/>
      </w:r>
      <w:r>
        <w:rPr>
          <w:b/>
          <w:bCs/>
          <w:color w:val="auto"/>
          <w:highlight w:val="none"/>
        </w:rPr>
        <w:instrText xml:space="preserve"> PAGEREF _Toc15431 \h </w:instrText>
      </w:r>
      <w:r>
        <w:rPr>
          <w:b/>
          <w:bCs/>
          <w:color w:val="auto"/>
          <w:highlight w:val="none"/>
        </w:rPr>
        <w:fldChar w:fldCharType="separate"/>
      </w:r>
      <w:r>
        <w:rPr>
          <w:b/>
          <w:bCs/>
          <w:color w:val="auto"/>
          <w:highlight w:val="none"/>
        </w:rPr>
        <w:t>- 6 -</w:t>
      </w:r>
      <w:r>
        <w:rPr>
          <w:b/>
          <w:bCs/>
          <w:color w:val="auto"/>
          <w:highlight w:val="none"/>
        </w:rPr>
        <w:fldChar w:fldCharType="end"/>
      </w:r>
      <w:r>
        <w:rPr>
          <w:b/>
          <w:bCs/>
          <w:color w:val="auto"/>
          <w:highlight w:val="none"/>
        </w:rPr>
        <w:fldChar w:fldCharType="end"/>
      </w:r>
    </w:p>
    <w:p w14:paraId="055E5A2D">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_Toc20305 </w:instrText>
      </w:r>
      <w:r>
        <w:rPr>
          <w:b/>
          <w:bCs/>
          <w:color w:val="auto"/>
          <w:highlight w:val="none"/>
        </w:rPr>
        <w:fldChar w:fldCharType="separate"/>
      </w:r>
      <w:r>
        <w:rPr>
          <w:rFonts w:hint="eastAsia" w:ascii="黑体" w:hAnsi="黑体" w:eastAsia="黑体"/>
          <w:b/>
          <w:bCs/>
          <w:color w:val="auto"/>
          <w:highlight w:val="none"/>
        </w:rPr>
        <w:t>3</w:t>
      </w:r>
      <w:r>
        <w:rPr>
          <w:rFonts w:ascii="黑体" w:hAnsi="黑体" w:eastAsia="黑体"/>
          <w:b/>
          <w:bCs/>
          <w:color w:val="auto"/>
          <w:highlight w:val="none"/>
        </w:rPr>
        <w:t xml:space="preserve">. </w:t>
      </w:r>
      <w:r>
        <w:rPr>
          <w:rFonts w:hint="eastAsia" w:ascii="黑体" w:hAnsi="黑体" w:eastAsia="黑体"/>
          <w:b/>
          <w:bCs/>
          <w:color w:val="auto"/>
          <w:highlight w:val="none"/>
        </w:rPr>
        <w:t>项目其他要求</w:t>
      </w:r>
      <w:r>
        <w:rPr>
          <w:b/>
          <w:bCs/>
          <w:color w:val="auto"/>
          <w:highlight w:val="none"/>
        </w:rPr>
        <w:tab/>
      </w:r>
      <w:r>
        <w:rPr>
          <w:b/>
          <w:bCs/>
          <w:color w:val="auto"/>
          <w:highlight w:val="none"/>
        </w:rPr>
        <w:fldChar w:fldCharType="begin"/>
      </w:r>
      <w:r>
        <w:rPr>
          <w:b/>
          <w:bCs/>
          <w:color w:val="auto"/>
          <w:highlight w:val="none"/>
        </w:rPr>
        <w:instrText xml:space="preserve"> PAGEREF _Toc20305 \h </w:instrText>
      </w:r>
      <w:r>
        <w:rPr>
          <w:b/>
          <w:bCs/>
          <w:color w:val="auto"/>
          <w:highlight w:val="none"/>
        </w:rPr>
        <w:fldChar w:fldCharType="separate"/>
      </w:r>
      <w:r>
        <w:rPr>
          <w:b/>
          <w:bCs/>
          <w:color w:val="auto"/>
          <w:highlight w:val="none"/>
        </w:rPr>
        <w:t>- 17 -</w:t>
      </w:r>
      <w:r>
        <w:rPr>
          <w:b/>
          <w:bCs/>
          <w:color w:val="auto"/>
          <w:highlight w:val="none"/>
        </w:rPr>
        <w:fldChar w:fldCharType="end"/>
      </w:r>
      <w:r>
        <w:rPr>
          <w:b/>
          <w:bCs/>
          <w:color w:val="auto"/>
          <w:highlight w:val="none"/>
        </w:rPr>
        <w:fldChar w:fldCharType="end"/>
      </w:r>
    </w:p>
    <w:p w14:paraId="6CBE746D">
      <w:pPr>
        <w:pStyle w:val="14"/>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_Toc10107 </w:instrText>
      </w:r>
      <w:r>
        <w:rPr>
          <w:b/>
          <w:bCs/>
          <w:color w:val="auto"/>
          <w:highlight w:val="none"/>
        </w:rPr>
        <w:fldChar w:fldCharType="separate"/>
      </w:r>
      <w:r>
        <w:rPr>
          <w:rFonts w:hint="eastAsia" w:eastAsia="黑体"/>
          <w:b/>
          <w:bCs/>
          <w:color w:val="auto"/>
          <w:szCs w:val="36"/>
          <w:highlight w:val="none"/>
        </w:rPr>
        <w:t>第三章  投标人须知</w:t>
      </w:r>
      <w:r>
        <w:rPr>
          <w:b/>
          <w:bCs/>
          <w:color w:val="auto"/>
          <w:highlight w:val="none"/>
        </w:rPr>
        <w:tab/>
      </w:r>
      <w:r>
        <w:rPr>
          <w:b/>
          <w:bCs/>
          <w:color w:val="auto"/>
          <w:highlight w:val="none"/>
        </w:rPr>
        <w:fldChar w:fldCharType="begin"/>
      </w:r>
      <w:r>
        <w:rPr>
          <w:b/>
          <w:bCs/>
          <w:color w:val="auto"/>
          <w:highlight w:val="none"/>
        </w:rPr>
        <w:instrText xml:space="preserve"> PAGEREF _Toc10107 \h </w:instrText>
      </w:r>
      <w:r>
        <w:rPr>
          <w:b/>
          <w:bCs/>
          <w:color w:val="auto"/>
          <w:highlight w:val="none"/>
        </w:rPr>
        <w:fldChar w:fldCharType="separate"/>
      </w:r>
      <w:r>
        <w:rPr>
          <w:b/>
          <w:bCs/>
          <w:color w:val="auto"/>
          <w:highlight w:val="none"/>
        </w:rPr>
        <w:t>- 19 -</w:t>
      </w:r>
      <w:r>
        <w:rPr>
          <w:b/>
          <w:bCs/>
          <w:color w:val="auto"/>
          <w:highlight w:val="none"/>
        </w:rPr>
        <w:fldChar w:fldCharType="end"/>
      </w:r>
      <w:r>
        <w:rPr>
          <w:b/>
          <w:bCs/>
          <w:color w:val="auto"/>
          <w:highlight w:val="none"/>
        </w:rPr>
        <w:fldChar w:fldCharType="end"/>
      </w:r>
    </w:p>
    <w:p w14:paraId="7E87E2E4">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_Toc18902 </w:instrText>
      </w:r>
      <w:r>
        <w:rPr>
          <w:b/>
          <w:bCs/>
          <w:color w:val="auto"/>
          <w:highlight w:val="none"/>
        </w:rPr>
        <w:fldChar w:fldCharType="separate"/>
      </w:r>
      <w:r>
        <w:rPr>
          <w:rFonts w:hint="eastAsia" w:eastAsia="黑体"/>
          <w:b/>
          <w:bCs/>
          <w:color w:val="auto"/>
          <w:szCs w:val="28"/>
          <w:highlight w:val="none"/>
        </w:rPr>
        <w:t>投标人须知前附表</w:t>
      </w:r>
      <w:r>
        <w:rPr>
          <w:b/>
          <w:bCs/>
          <w:color w:val="auto"/>
          <w:highlight w:val="none"/>
        </w:rPr>
        <w:tab/>
      </w:r>
      <w:r>
        <w:rPr>
          <w:b/>
          <w:bCs/>
          <w:color w:val="auto"/>
          <w:highlight w:val="none"/>
        </w:rPr>
        <w:fldChar w:fldCharType="begin"/>
      </w:r>
      <w:r>
        <w:rPr>
          <w:b/>
          <w:bCs/>
          <w:color w:val="auto"/>
          <w:highlight w:val="none"/>
        </w:rPr>
        <w:instrText xml:space="preserve"> PAGEREF _Toc18902 \h </w:instrText>
      </w:r>
      <w:r>
        <w:rPr>
          <w:b/>
          <w:bCs/>
          <w:color w:val="auto"/>
          <w:highlight w:val="none"/>
        </w:rPr>
        <w:fldChar w:fldCharType="separate"/>
      </w:r>
      <w:r>
        <w:rPr>
          <w:b/>
          <w:bCs/>
          <w:color w:val="auto"/>
          <w:highlight w:val="none"/>
        </w:rPr>
        <w:t>- 19 -</w:t>
      </w:r>
      <w:r>
        <w:rPr>
          <w:b/>
          <w:bCs/>
          <w:color w:val="auto"/>
          <w:highlight w:val="none"/>
        </w:rPr>
        <w:fldChar w:fldCharType="end"/>
      </w:r>
      <w:r>
        <w:rPr>
          <w:b/>
          <w:bCs/>
          <w:color w:val="auto"/>
          <w:highlight w:val="none"/>
        </w:rPr>
        <w:fldChar w:fldCharType="end"/>
      </w:r>
    </w:p>
    <w:p w14:paraId="51C8A1FB">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_Toc1582 </w:instrText>
      </w:r>
      <w:r>
        <w:rPr>
          <w:b/>
          <w:bCs/>
          <w:color w:val="auto"/>
          <w:highlight w:val="none"/>
        </w:rPr>
        <w:fldChar w:fldCharType="separate"/>
      </w:r>
      <w:r>
        <w:rPr>
          <w:rFonts w:ascii="黑体" w:hAnsi="黑体" w:eastAsia="黑体" w:cs="楷体_GB2312"/>
          <w:b/>
          <w:bCs/>
          <w:color w:val="auto"/>
          <w:szCs w:val="28"/>
          <w:highlight w:val="none"/>
          <w:lang w:val="zh-CN"/>
        </w:rPr>
        <w:t xml:space="preserve">1. </w:t>
      </w:r>
      <w:r>
        <w:rPr>
          <w:rFonts w:hint="eastAsia" w:ascii="黑体" w:hAnsi="黑体" w:eastAsia="黑体" w:cs="楷体_GB2312"/>
          <w:b/>
          <w:bCs/>
          <w:color w:val="auto"/>
          <w:szCs w:val="28"/>
          <w:highlight w:val="none"/>
          <w:lang w:val="zh-CN"/>
        </w:rPr>
        <w:t>总则</w:t>
      </w:r>
      <w:r>
        <w:rPr>
          <w:b/>
          <w:bCs/>
          <w:color w:val="auto"/>
          <w:highlight w:val="none"/>
        </w:rPr>
        <w:tab/>
      </w:r>
      <w:r>
        <w:rPr>
          <w:b/>
          <w:bCs/>
          <w:color w:val="auto"/>
          <w:highlight w:val="none"/>
        </w:rPr>
        <w:fldChar w:fldCharType="begin"/>
      </w:r>
      <w:r>
        <w:rPr>
          <w:b/>
          <w:bCs/>
          <w:color w:val="auto"/>
          <w:highlight w:val="none"/>
        </w:rPr>
        <w:instrText xml:space="preserve"> PAGEREF _Toc1582 \h </w:instrText>
      </w:r>
      <w:r>
        <w:rPr>
          <w:b/>
          <w:bCs/>
          <w:color w:val="auto"/>
          <w:highlight w:val="none"/>
        </w:rPr>
        <w:fldChar w:fldCharType="separate"/>
      </w:r>
      <w:r>
        <w:rPr>
          <w:b/>
          <w:bCs/>
          <w:color w:val="auto"/>
          <w:highlight w:val="none"/>
        </w:rPr>
        <w:t>- 22 -</w:t>
      </w:r>
      <w:r>
        <w:rPr>
          <w:b/>
          <w:bCs/>
          <w:color w:val="auto"/>
          <w:highlight w:val="none"/>
        </w:rPr>
        <w:fldChar w:fldCharType="end"/>
      </w:r>
      <w:r>
        <w:rPr>
          <w:b/>
          <w:bCs/>
          <w:color w:val="auto"/>
          <w:highlight w:val="none"/>
        </w:rPr>
        <w:fldChar w:fldCharType="end"/>
      </w:r>
    </w:p>
    <w:p w14:paraId="3F72B04D">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_Toc15135 </w:instrText>
      </w:r>
      <w:r>
        <w:rPr>
          <w:b/>
          <w:bCs/>
          <w:color w:val="auto"/>
          <w:highlight w:val="none"/>
        </w:rPr>
        <w:fldChar w:fldCharType="separate"/>
      </w:r>
      <w:r>
        <w:rPr>
          <w:rFonts w:ascii="黑体" w:hAnsi="黑体" w:eastAsia="黑体" w:cs="楷体_GB2312"/>
          <w:b/>
          <w:bCs/>
          <w:color w:val="auto"/>
          <w:szCs w:val="28"/>
          <w:highlight w:val="none"/>
          <w:lang w:val="zh-CN"/>
        </w:rPr>
        <w:t>2.</w:t>
      </w:r>
      <w:r>
        <w:rPr>
          <w:rFonts w:hint="eastAsia" w:ascii="黑体" w:hAnsi="黑体" w:eastAsia="黑体" w:cs="楷体_GB2312"/>
          <w:b/>
          <w:bCs/>
          <w:color w:val="auto"/>
          <w:szCs w:val="28"/>
          <w:highlight w:val="none"/>
          <w:lang w:val="zh-CN"/>
        </w:rPr>
        <w:t>《招标文件》</w:t>
      </w:r>
      <w:r>
        <w:rPr>
          <w:b/>
          <w:bCs/>
          <w:color w:val="auto"/>
          <w:highlight w:val="none"/>
        </w:rPr>
        <w:tab/>
      </w:r>
      <w:r>
        <w:rPr>
          <w:b/>
          <w:bCs/>
          <w:color w:val="auto"/>
          <w:highlight w:val="none"/>
        </w:rPr>
        <w:fldChar w:fldCharType="begin"/>
      </w:r>
      <w:r>
        <w:rPr>
          <w:b/>
          <w:bCs/>
          <w:color w:val="auto"/>
          <w:highlight w:val="none"/>
        </w:rPr>
        <w:instrText xml:space="preserve"> PAGEREF _Toc15135 \h </w:instrText>
      </w:r>
      <w:r>
        <w:rPr>
          <w:b/>
          <w:bCs/>
          <w:color w:val="auto"/>
          <w:highlight w:val="none"/>
        </w:rPr>
        <w:fldChar w:fldCharType="separate"/>
      </w:r>
      <w:r>
        <w:rPr>
          <w:b/>
          <w:bCs/>
          <w:color w:val="auto"/>
          <w:highlight w:val="none"/>
        </w:rPr>
        <w:t>- 25 -</w:t>
      </w:r>
      <w:r>
        <w:rPr>
          <w:b/>
          <w:bCs/>
          <w:color w:val="auto"/>
          <w:highlight w:val="none"/>
        </w:rPr>
        <w:fldChar w:fldCharType="end"/>
      </w:r>
      <w:r>
        <w:rPr>
          <w:b/>
          <w:bCs/>
          <w:color w:val="auto"/>
          <w:highlight w:val="none"/>
        </w:rPr>
        <w:fldChar w:fldCharType="end"/>
      </w:r>
    </w:p>
    <w:p w14:paraId="6888F6CF">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_Toc8655 </w:instrText>
      </w:r>
      <w:r>
        <w:rPr>
          <w:b/>
          <w:bCs/>
          <w:color w:val="auto"/>
          <w:highlight w:val="none"/>
        </w:rPr>
        <w:fldChar w:fldCharType="separate"/>
      </w:r>
      <w:r>
        <w:rPr>
          <w:rFonts w:ascii="黑体" w:hAnsi="黑体" w:eastAsia="黑体" w:cs="楷体_GB2312"/>
          <w:b/>
          <w:bCs/>
          <w:color w:val="auto"/>
          <w:szCs w:val="28"/>
          <w:highlight w:val="none"/>
          <w:lang w:val="zh-CN"/>
        </w:rPr>
        <w:t>3.</w:t>
      </w:r>
      <w:r>
        <w:rPr>
          <w:rFonts w:hint="eastAsia" w:ascii="黑体" w:hAnsi="黑体" w:eastAsia="黑体" w:cs="楷体_GB2312"/>
          <w:b/>
          <w:bCs/>
          <w:color w:val="auto"/>
          <w:szCs w:val="28"/>
          <w:highlight w:val="none"/>
          <w:lang w:val="zh-CN"/>
        </w:rPr>
        <w:t>《投标文件》</w:t>
      </w:r>
      <w:r>
        <w:rPr>
          <w:b/>
          <w:bCs/>
          <w:color w:val="auto"/>
          <w:highlight w:val="none"/>
        </w:rPr>
        <w:tab/>
      </w:r>
      <w:r>
        <w:rPr>
          <w:b/>
          <w:bCs/>
          <w:color w:val="auto"/>
          <w:highlight w:val="none"/>
        </w:rPr>
        <w:fldChar w:fldCharType="begin"/>
      </w:r>
      <w:r>
        <w:rPr>
          <w:b/>
          <w:bCs/>
          <w:color w:val="auto"/>
          <w:highlight w:val="none"/>
        </w:rPr>
        <w:instrText xml:space="preserve"> PAGEREF _Toc8655 \h </w:instrText>
      </w:r>
      <w:r>
        <w:rPr>
          <w:b/>
          <w:bCs/>
          <w:color w:val="auto"/>
          <w:highlight w:val="none"/>
        </w:rPr>
        <w:fldChar w:fldCharType="separate"/>
      </w:r>
      <w:r>
        <w:rPr>
          <w:b/>
          <w:bCs/>
          <w:color w:val="auto"/>
          <w:highlight w:val="none"/>
        </w:rPr>
        <w:t>- 26 -</w:t>
      </w:r>
      <w:r>
        <w:rPr>
          <w:b/>
          <w:bCs/>
          <w:color w:val="auto"/>
          <w:highlight w:val="none"/>
        </w:rPr>
        <w:fldChar w:fldCharType="end"/>
      </w:r>
      <w:r>
        <w:rPr>
          <w:b/>
          <w:bCs/>
          <w:color w:val="auto"/>
          <w:highlight w:val="none"/>
        </w:rPr>
        <w:fldChar w:fldCharType="end"/>
      </w:r>
    </w:p>
    <w:p w14:paraId="3B7051EA">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_Toc21224 </w:instrText>
      </w:r>
      <w:r>
        <w:rPr>
          <w:b/>
          <w:bCs/>
          <w:color w:val="auto"/>
          <w:highlight w:val="none"/>
        </w:rPr>
        <w:fldChar w:fldCharType="separate"/>
      </w:r>
      <w:r>
        <w:rPr>
          <w:rFonts w:ascii="黑体" w:hAnsi="黑体" w:eastAsia="黑体" w:cs="楷体_GB2312"/>
          <w:b/>
          <w:bCs/>
          <w:color w:val="auto"/>
          <w:szCs w:val="28"/>
          <w:highlight w:val="none"/>
          <w:lang w:val="zh-CN"/>
        </w:rPr>
        <w:t xml:space="preserve">4. </w:t>
      </w:r>
      <w:r>
        <w:rPr>
          <w:rFonts w:hint="eastAsia" w:ascii="黑体" w:hAnsi="黑体" w:eastAsia="黑体" w:cs="楷体_GB2312"/>
          <w:b/>
          <w:bCs/>
          <w:color w:val="auto"/>
          <w:szCs w:val="28"/>
          <w:highlight w:val="none"/>
          <w:lang w:val="zh-CN"/>
        </w:rPr>
        <w:t>投标</w:t>
      </w:r>
      <w:r>
        <w:rPr>
          <w:b/>
          <w:bCs/>
          <w:color w:val="auto"/>
          <w:highlight w:val="none"/>
        </w:rPr>
        <w:tab/>
      </w:r>
      <w:r>
        <w:rPr>
          <w:b/>
          <w:bCs/>
          <w:color w:val="auto"/>
          <w:highlight w:val="none"/>
        </w:rPr>
        <w:fldChar w:fldCharType="begin"/>
      </w:r>
      <w:r>
        <w:rPr>
          <w:b/>
          <w:bCs/>
          <w:color w:val="auto"/>
          <w:highlight w:val="none"/>
        </w:rPr>
        <w:instrText xml:space="preserve"> PAGEREF _Toc21224 \h </w:instrText>
      </w:r>
      <w:r>
        <w:rPr>
          <w:b/>
          <w:bCs/>
          <w:color w:val="auto"/>
          <w:highlight w:val="none"/>
        </w:rPr>
        <w:fldChar w:fldCharType="separate"/>
      </w:r>
      <w:r>
        <w:rPr>
          <w:b/>
          <w:bCs/>
          <w:color w:val="auto"/>
          <w:highlight w:val="none"/>
        </w:rPr>
        <w:t>- 29 -</w:t>
      </w:r>
      <w:r>
        <w:rPr>
          <w:b/>
          <w:bCs/>
          <w:color w:val="auto"/>
          <w:highlight w:val="none"/>
        </w:rPr>
        <w:fldChar w:fldCharType="end"/>
      </w:r>
      <w:r>
        <w:rPr>
          <w:b/>
          <w:bCs/>
          <w:color w:val="auto"/>
          <w:highlight w:val="none"/>
        </w:rPr>
        <w:fldChar w:fldCharType="end"/>
      </w:r>
    </w:p>
    <w:p w14:paraId="53BE6038">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_Toc28430 </w:instrText>
      </w:r>
      <w:r>
        <w:rPr>
          <w:b/>
          <w:bCs/>
          <w:color w:val="auto"/>
          <w:highlight w:val="none"/>
        </w:rPr>
        <w:fldChar w:fldCharType="separate"/>
      </w:r>
      <w:r>
        <w:rPr>
          <w:rFonts w:ascii="黑体" w:hAnsi="黑体" w:eastAsia="黑体" w:cs="楷体_GB2312"/>
          <w:b/>
          <w:bCs/>
          <w:color w:val="auto"/>
          <w:szCs w:val="28"/>
          <w:highlight w:val="none"/>
          <w:lang w:val="zh-CN"/>
        </w:rPr>
        <w:t xml:space="preserve">5. </w:t>
      </w:r>
      <w:r>
        <w:rPr>
          <w:rFonts w:hint="eastAsia" w:ascii="黑体" w:hAnsi="黑体" w:eastAsia="黑体" w:cs="楷体_GB2312"/>
          <w:b/>
          <w:bCs/>
          <w:color w:val="auto"/>
          <w:szCs w:val="28"/>
          <w:highlight w:val="none"/>
          <w:lang w:val="zh-CN"/>
        </w:rPr>
        <w:t>开标</w:t>
      </w:r>
      <w:r>
        <w:rPr>
          <w:b/>
          <w:bCs/>
          <w:color w:val="auto"/>
          <w:highlight w:val="none"/>
        </w:rPr>
        <w:tab/>
      </w:r>
      <w:r>
        <w:rPr>
          <w:b/>
          <w:bCs/>
          <w:color w:val="auto"/>
          <w:highlight w:val="none"/>
        </w:rPr>
        <w:fldChar w:fldCharType="begin"/>
      </w:r>
      <w:r>
        <w:rPr>
          <w:b/>
          <w:bCs/>
          <w:color w:val="auto"/>
          <w:highlight w:val="none"/>
        </w:rPr>
        <w:instrText xml:space="preserve"> PAGEREF _Toc28430 \h </w:instrText>
      </w:r>
      <w:r>
        <w:rPr>
          <w:b/>
          <w:bCs/>
          <w:color w:val="auto"/>
          <w:highlight w:val="none"/>
        </w:rPr>
        <w:fldChar w:fldCharType="separate"/>
      </w:r>
      <w:r>
        <w:rPr>
          <w:b/>
          <w:bCs/>
          <w:color w:val="auto"/>
          <w:highlight w:val="none"/>
        </w:rPr>
        <w:t>- 30 -</w:t>
      </w:r>
      <w:r>
        <w:rPr>
          <w:b/>
          <w:bCs/>
          <w:color w:val="auto"/>
          <w:highlight w:val="none"/>
        </w:rPr>
        <w:fldChar w:fldCharType="end"/>
      </w:r>
      <w:r>
        <w:rPr>
          <w:b/>
          <w:bCs/>
          <w:color w:val="auto"/>
          <w:highlight w:val="none"/>
        </w:rPr>
        <w:fldChar w:fldCharType="end"/>
      </w:r>
    </w:p>
    <w:p w14:paraId="10A33E2D">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_Toc12157 </w:instrText>
      </w:r>
      <w:r>
        <w:rPr>
          <w:b/>
          <w:bCs/>
          <w:color w:val="auto"/>
          <w:highlight w:val="none"/>
        </w:rPr>
        <w:fldChar w:fldCharType="separate"/>
      </w:r>
      <w:r>
        <w:rPr>
          <w:rFonts w:ascii="黑体" w:hAnsi="黑体" w:eastAsia="黑体" w:cs="楷体_GB2312"/>
          <w:b/>
          <w:bCs/>
          <w:color w:val="auto"/>
          <w:szCs w:val="28"/>
          <w:highlight w:val="none"/>
          <w:lang w:val="zh-CN"/>
        </w:rPr>
        <w:t xml:space="preserve">6. </w:t>
      </w:r>
      <w:r>
        <w:rPr>
          <w:rFonts w:hint="eastAsia" w:ascii="黑体" w:hAnsi="黑体" w:eastAsia="黑体" w:cs="楷体_GB2312"/>
          <w:b/>
          <w:bCs/>
          <w:color w:val="auto"/>
          <w:szCs w:val="28"/>
          <w:highlight w:val="none"/>
          <w:lang w:val="zh-CN"/>
        </w:rPr>
        <w:t>资格性审查</w:t>
      </w:r>
      <w:r>
        <w:rPr>
          <w:b/>
          <w:bCs/>
          <w:color w:val="auto"/>
          <w:highlight w:val="none"/>
        </w:rPr>
        <w:tab/>
      </w:r>
      <w:r>
        <w:rPr>
          <w:b/>
          <w:bCs/>
          <w:color w:val="auto"/>
          <w:highlight w:val="none"/>
        </w:rPr>
        <w:fldChar w:fldCharType="begin"/>
      </w:r>
      <w:r>
        <w:rPr>
          <w:b/>
          <w:bCs/>
          <w:color w:val="auto"/>
          <w:highlight w:val="none"/>
        </w:rPr>
        <w:instrText xml:space="preserve"> PAGEREF _Toc12157 \h </w:instrText>
      </w:r>
      <w:r>
        <w:rPr>
          <w:b/>
          <w:bCs/>
          <w:color w:val="auto"/>
          <w:highlight w:val="none"/>
        </w:rPr>
        <w:fldChar w:fldCharType="separate"/>
      </w:r>
      <w:r>
        <w:rPr>
          <w:b/>
          <w:bCs/>
          <w:color w:val="auto"/>
          <w:highlight w:val="none"/>
        </w:rPr>
        <w:t>- 31 -</w:t>
      </w:r>
      <w:r>
        <w:rPr>
          <w:b/>
          <w:bCs/>
          <w:color w:val="auto"/>
          <w:highlight w:val="none"/>
        </w:rPr>
        <w:fldChar w:fldCharType="end"/>
      </w:r>
      <w:r>
        <w:rPr>
          <w:b/>
          <w:bCs/>
          <w:color w:val="auto"/>
          <w:highlight w:val="none"/>
        </w:rPr>
        <w:fldChar w:fldCharType="end"/>
      </w:r>
    </w:p>
    <w:p w14:paraId="72B6DE42">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_Toc1529 </w:instrText>
      </w:r>
      <w:r>
        <w:rPr>
          <w:b/>
          <w:bCs/>
          <w:color w:val="auto"/>
          <w:highlight w:val="none"/>
        </w:rPr>
        <w:fldChar w:fldCharType="separate"/>
      </w:r>
      <w:r>
        <w:rPr>
          <w:rFonts w:ascii="黑体" w:hAnsi="黑体" w:eastAsia="黑体" w:cs="楷体_GB2312"/>
          <w:b/>
          <w:bCs/>
          <w:color w:val="auto"/>
          <w:szCs w:val="28"/>
          <w:highlight w:val="none"/>
          <w:lang w:val="zh-CN"/>
        </w:rPr>
        <w:t xml:space="preserve">7. </w:t>
      </w:r>
      <w:r>
        <w:rPr>
          <w:rFonts w:hint="eastAsia" w:ascii="黑体" w:hAnsi="黑体" w:eastAsia="黑体" w:cs="楷体_GB2312"/>
          <w:b/>
          <w:bCs/>
          <w:color w:val="auto"/>
          <w:szCs w:val="28"/>
          <w:highlight w:val="none"/>
          <w:lang w:val="zh-CN"/>
        </w:rPr>
        <w:t>评审</w:t>
      </w:r>
      <w:r>
        <w:rPr>
          <w:b/>
          <w:bCs/>
          <w:color w:val="auto"/>
          <w:highlight w:val="none"/>
        </w:rPr>
        <w:tab/>
      </w:r>
      <w:r>
        <w:rPr>
          <w:b/>
          <w:bCs/>
          <w:color w:val="auto"/>
          <w:highlight w:val="none"/>
        </w:rPr>
        <w:fldChar w:fldCharType="begin"/>
      </w:r>
      <w:r>
        <w:rPr>
          <w:b/>
          <w:bCs/>
          <w:color w:val="auto"/>
          <w:highlight w:val="none"/>
        </w:rPr>
        <w:instrText xml:space="preserve"> PAGEREF _Toc1529 \h </w:instrText>
      </w:r>
      <w:r>
        <w:rPr>
          <w:b/>
          <w:bCs/>
          <w:color w:val="auto"/>
          <w:highlight w:val="none"/>
        </w:rPr>
        <w:fldChar w:fldCharType="separate"/>
      </w:r>
      <w:r>
        <w:rPr>
          <w:b/>
          <w:bCs/>
          <w:color w:val="auto"/>
          <w:highlight w:val="none"/>
        </w:rPr>
        <w:t>- 31 -</w:t>
      </w:r>
      <w:r>
        <w:rPr>
          <w:b/>
          <w:bCs/>
          <w:color w:val="auto"/>
          <w:highlight w:val="none"/>
        </w:rPr>
        <w:fldChar w:fldCharType="end"/>
      </w:r>
      <w:r>
        <w:rPr>
          <w:b/>
          <w:bCs/>
          <w:color w:val="auto"/>
          <w:highlight w:val="none"/>
        </w:rPr>
        <w:fldChar w:fldCharType="end"/>
      </w:r>
    </w:p>
    <w:p w14:paraId="398C9B54">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_Toc30687 </w:instrText>
      </w:r>
      <w:r>
        <w:rPr>
          <w:b/>
          <w:bCs/>
          <w:color w:val="auto"/>
          <w:highlight w:val="none"/>
        </w:rPr>
        <w:fldChar w:fldCharType="separate"/>
      </w:r>
      <w:r>
        <w:rPr>
          <w:rFonts w:ascii="黑体" w:hAnsi="黑体" w:eastAsia="黑体" w:cs="楷体_GB2312"/>
          <w:b/>
          <w:bCs/>
          <w:color w:val="auto"/>
          <w:szCs w:val="28"/>
          <w:highlight w:val="none"/>
          <w:lang w:val="zh-CN"/>
        </w:rPr>
        <w:t xml:space="preserve">8. </w:t>
      </w:r>
      <w:r>
        <w:rPr>
          <w:rFonts w:hint="eastAsia" w:ascii="黑体" w:hAnsi="黑体" w:eastAsia="黑体" w:cs="楷体_GB2312"/>
          <w:b/>
          <w:bCs/>
          <w:color w:val="auto"/>
          <w:szCs w:val="28"/>
          <w:highlight w:val="none"/>
          <w:lang w:val="zh-CN"/>
        </w:rPr>
        <w:t>授予合同</w:t>
      </w:r>
      <w:r>
        <w:rPr>
          <w:b/>
          <w:bCs/>
          <w:color w:val="auto"/>
          <w:highlight w:val="none"/>
        </w:rPr>
        <w:tab/>
      </w:r>
      <w:r>
        <w:rPr>
          <w:b/>
          <w:bCs/>
          <w:color w:val="auto"/>
          <w:highlight w:val="none"/>
        </w:rPr>
        <w:fldChar w:fldCharType="begin"/>
      </w:r>
      <w:r>
        <w:rPr>
          <w:b/>
          <w:bCs/>
          <w:color w:val="auto"/>
          <w:highlight w:val="none"/>
        </w:rPr>
        <w:instrText xml:space="preserve"> PAGEREF _Toc30687 \h </w:instrText>
      </w:r>
      <w:r>
        <w:rPr>
          <w:b/>
          <w:bCs/>
          <w:color w:val="auto"/>
          <w:highlight w:val="none"/>
        </w:rPr>
        <w:fldChar w:fldCharType="separate"/>
      </w:r>
      <w:r>
        <w:rPr>
          <w:b/>
          <w:bCs/>
          <w:color w:val="auto"/>
          <w:highlight w:val="none"/>
        </w:rPr>
        <w:t>- 32 -</w:t>
      </w:r>
      <w:r>
        <w:rPr>
          <w:b/>
          <w:bCs/>
          <w:color w:val="auto"/>
          <w:highlight w:val="none"/>
        </w:rPr>
        <w:fldChar w:fldCharType="end"/>
      </w:r>
      <w:r>
        <w:rPr>
          <w:b/>
          <w:bCs/>
          <w:color w:val="auto"/>
          <w:highlight w:val="none"/>
        </w:rPr>
        <w:fldChar w:fldCharType="end"/>
      </w:r>
    </w:p>
    <w:p w14:paraId="2A7CDCA7">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_Toc19470 </w:instrText>
      </w:r>
      <w:r>
        <w:rPr>
          <w:b/>
          <w:bCs/>
          <w:color w:val="auto"/>
          <w:highlight w:val="none"/>
        </w:rPr>
        <w:fldChar w:fldCharType="separate"/>
      </w:r>
      <w:r>
        <w:rPr>
          <w:rFonts w:ascii="黑体" w:hAnsi="黑体" w:eastAsia="黑体" w:cs="楷体_GB2312"/>
          <w:b/>
          <w:bCs/>
          <w:color w:val="auto"/>
          <w:szCs w:val="28"/>
          <w:highlight w:val="none"/>
          <w:lang w:val="zh-CN"/>
        </w:rPr>
        <w:t xml:space="preserve">9. </w:t>
      </w:r>
      <w:r>
        <w:rPr>
          <w:rFonts w:hint="eastAsia" w:ascii="黑体" w:hAnsi="黑体" w:eastAsia="黑体" w:cs="楷体_GB2312"/>
          <w:b/>
          <w:bCs/>
          <w:color w:val="auto"/>
          <w:szCs w:val="28"/>
          <w:highlight w:val="none"/>
          <w:lang w:val="zh-CN"/>
        </w:rPr>
        <w:t>验收</w:t>
      </w:r>
      <w:r>
        <w:rPr>
          <w:b/>
          <w:bCs/>
          <w:color w:val="auto"/>
          <w:highlight w:val="none"/>
        </w:rPr>
        <w:tab/>
      </w:r>
      <w:r>
        <w:rPr>
          <w:b/>
          <w:bCs/>
          <w:color w:val="auto"/>
          <w:highlight w:val="none"/>
        </w:rPr>
        <w:fldChar w:fldCharType="begin"/>
      </w:r>
      <w:r>
        <w:rPr>
          <w:b/>
          <w:bCs/>
          <w:color w:val="auto"/>
          <w:highlight w:val="none"/>
        </w:rPr>
        <w:instrText xml:space="preserve"> PAGEREF _Toc19470 \h </w:instrText>
      </w:r>
      <w:r>
        <w:rPr>
          <w:b/>
          <w:bCs/>
          <w:color w:val="auto"/>
          <w:highlight w:val="none"/>
        </w:rPr>
        <w:fldChar w:fldCharType="separate"/>
      </w:r>
      <w:r>
        <w:rPr>
          <w:b/>
          <w:bCs/>
          <w:color w:val="auto"/>
          <w:highlight w:val="none"/>
        </w:rPr>
        <w:t>- 33 -</w:t>
      </w:r>
      <w:r>
        <w:rPr>
          <w:b/>
          <w:bCs/>
          <w:color w:val="auto"/>
          <w:highlight w:val="none"/>
        </w:rPr>
        <w:fldChar w:fldCharType="end"/>
      </w:r>
      <w:r>
        <w:rPr>
          <w:b/>
          <w:bCs/>
          <w:color w:val="auto"/>
          <w:highlight w:val="none"/>
        </w:rPr>
        <w:fldChar w:fldCharType="end"/>
      </w:r>
    </w:p>
    <w:p w14:paraId="7CD0D345">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_Toc29705 </w:instrText>
      </w:r>
      <w:r>
        <w:rPr>
          <w:b/>
          <w:bCs/>
          <w:color w:val="auto"/>
          <w:highlight w:val="none"/>
        </w:rPr>
        <w:fldChar w:fldCharType="separate"/>
      </w:r>
      <w:r>
        <w:rPr>
          <w:rFonts w:ascii="黑体" w:hAnsi="黑体" w:eastAsia="黑体" w:cs="楷体_GB2312"/>
          <w:b/>
          <w:bCs/>
          <w:color w:val="auto"/>
          <w:szCs w:val="28"/>
          <w:highlight w:val="none"/>
          <w:lang w:val="zh-CN"/>
        </w:rPr>
        <w:t xml:space="preserve">10. </w:t>
      </w:r>
      <w:r>
        <w:rPr>
          <w:rFonts w:hint="eastAsia" w:ascii="黑体" w:hAnsi="黑体" w:eastAsia="黑体" w:cs="楷体_GB2312"/>
          <w:b/>
          <w:bCs/>
          <w:color w:val="auto"/>
          <w:szCs w:val="28"/>
          <w:highlight w:val="none"/>
          <w:lang w:val="zh-CN"/>
        </w:rPr>
        <w:t>付款</w:t>
      </w:r>
      <w:r>
        <w:rPr>
          <w:b/>
          <w:bCs/>
          <w:color w:val="auto"/>
          <w:highlight w:val="none"/>
        </w:rPr>
        <w:tab/>
      </w:r>
      <w:r>
        <w:rPr>
          <w:b/>
          <w:bCs/>
          <w:color w:val="auto"/>
          <w:highlight w:val="none"/>
        </w:rPr>
        <w:fldChar w:fldCharType="begin"/>
      </w:r>
      <w:r>
        <w:rPr>
          <w:b/>
          <w:bCs/>
          <w:color w:val="auto"/>
          <w:highlight w:val="none"/>
        </w:rPr>
        <w:instrText xml:space="preserve"> PAGEREF _Toc29705 \h </w:instrText>
      </w:r>
      <w:r>
        <w:rPr>
          <w:b/>
          <w:bCs/>
          <w:color w:val="auto"/>
          <w:highlight w:val="none"/>
        </w:rPr>
        <w:fldChar w:fldCharType="separate"/>
      </w:r>
      <w:r>
        <w:rPr>
          <w:b/>
          <w:bCs/>
          <w:color w:val="auto"/>
          <w:highlight w:val="none"/>
        </w:rPr>
        <w:t>- 34 -</w:t>
      </w:r>
      <w:r>
        <w:rPr>
          <w:b/>
          <w:bCs/>
          <w:color w:val="auto"/>
          <w:highlight w:val="none"/>
        </w:rPr>
        <w:fldChar w:fldCharType="end"/>
      </w:r>
      <w:r>
        <w:rPr>
          <w:b/>
          <w:bCs/>
          <w:color w:val="auto"/>
          <w:highlight w:val="none"/>
        </w:rPr>
        <w:fldChar w:fldCharType="end"/>
      </w:r>
    </w:p>
    <w:p w14:paraId="2B89034A">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_Toc26609 </w:instrText>
      </w:r>
      <w:r>
        <w:rPr>
          <w:b/>
          <w:bCs/>
          <w:color w:val="auto"/>
          <w:highlight w:val="none"/>
        </w:rPr>
        <w:fldChar w:fldCharType="separate"/>
      </w:r>
      <w:r>
        <w:rPr>
          <w:rFonts w:ascii="黑体" w:hAnsi="黑体" w:eastAsia="黑体" w:cs="楷体_GB2312"/>
          <w:b/>
          <w:bCs/>
          <w:color w:val="auto"/>
          <w:szCs w:val="28"/>
          <w:highlight w:val="none"/>
          <w:lang w:val="zh-CN"/>
        </w:rPr>
        <w:t xml:space="preserve">11. </w:t>
      </w:r>
      <w:r>
        <w:rPr>
          <w:rFonts w:hint="eastAsia" w:ascii="黑体" w:hAnsi="黑体" w:eastAsia="黑体" w:cs="楷体_GB2312"/>
          <w:b/>
          <w:bCs/>
          <w:color w:val="auto"/>
          <w:szCs w:val="28"/>
          <w:highlight w:val="none"/>
          <w:lang w:val="zh-CN"/>
        </w:rPr>
        <w:t>其他</w:t>
      </w:r>
      <w:r>
        <w:rPr>
          <w:b/>
          <w:bCs/>
          <w:color w:val="auto"/>
          <w:highlight w:val="none"/>
        </w:rPr>
        <w:tab/>
      </w:r>
      <w:r>
        <w:rPr>
          <w:b/>
          <w:bCs/>
          <w:color w:val="auto"/>
          <w:highlight w:val="none"/>
        </w:rPr>
        <w:fldChar w:fldCharType="begin"/>
      </w:r>
      <w:r>
        <w:rPr>
          <w:b/>
          <w:bCs/>
          <w:color w:val="auto"/>
          <w:highlight w:val="none"/>
        </w:rPr>
        <w:instrText xml:space="preserve"> PAGEREF _Toc26609 \h </w:instrText>
      </w:r>
      <w:r>
        <w:rPr>
          <w:b/>
          <w:bCs/>
          <w:color w:val="auto"/>
          <w:highlight w:val="none"/>
        </w:rPr>
        <w:fldChar w:fldCharType="separate"/>
      </w:r>
      <w:r>
        <w:rPr>
          <w:b/>
          <w:bCs/>
          <w:color w:val="auto"/>
          <w:highlight w:val="none"/>
        </w:rPr>
        <w:t>- 35 -</w:t>
      </w:r>
      <w:r>
        <w:rPr>
          <w:b/>
          <w:bCs/>
          <w:color w:val="auto"/>
          <w:highlight w:val="none"/>
        </w:rPr>
        <w:fldChar w:fldCharType="end"/>
      </w:r>
      <w:r>
        <w:rPr>
          <w:b/>
          <w:bCs/>
          <w:color w:val="auto"/>
          <w:highlight w:val="none"/>
        </w:rPr>
        <w:fldChar w:fldCharType="end"/>
      </w:r>
    </w:p>
    <w:p w14:paraId="48B69449">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_Toc31837 </w:instrText>
      </w:r>
      <w:r>
        <w:rPr>
          <w:b/>
          <w:bCs/>
          <w:color w:val="auto"/>
          <w:highlight w:val="none"/>
        </w:rPr>
        <w:fldChar w:fldCharType="separate"/>
      </w:r>
      <w:r>
        <w:rPr>
          <w:rFonts w:ascii="黑体" w:hAnsi="黑体" w:eastAsia="黑体" w:cs="楷体_GB2312"/>
          <w:b/>
          <w:bCs/>
          <w:color w:val="auto"/>
          <w:szCs w:val="28"/>
          <w:highlight w:val="none"/>
          <w:lang w:val="zh-CN"/>
        </w:rPr>
        <w:t>1</w:t>
      </w:r>
      <w:r>
        <w:rPr>
          <w:rFonts w:hint="eastAsia" w:ascii="黑体" w:hAnsi="黑体" w:eastAsia="黑体" w:cs="楷体_GB2312"/>
          <w:b/>
          <w:bCs/>
          <w:color w:val="auto"/>
          <w:szCs w:val="28"/>
          <w:highlight w:val="none"/>
          <w:lang w:val="zh-CN"/>
        </w:rPr>
        <w:t>2</w:t>
      </w:r>
      <w:r>
        <w:rPr>
          <w:rFonts w:ascii="黑体" w:hAnsi="黑体" w:eastAsia="黑体" w:cs="楷体_GB2312"/>
          <w:b/>
          <w:bCs/>
          <w:color w:val="auto"/>
          <w:szCs w:val="28"/>
          <w:highlight w:val="none"/>
          <w:lang w:val="zh-CN"/>
        </w:rPr>
        <w:t xml:space="preserve">. </w:t>
      </w:r>
      <w:r>
        <w:rPr>
          <w:rFonts w:hint="eastAsia" w:ascii="黑体" w:hAnsi="黑体" w:eastAsia="黑体" w:cs="楷体_GB2312"/>
          <w:b/>
          <w:bCs/>
          <w:color w:val="auto"/>
          <w:szCs w:val="28"/>
          <w:highlight w:val="none"/>
          <w:lang w:val="zh-CN"/>
        </w:rPr>
        <w:t>河南省政府采购合同融资政策告知函</w:t>
      </w:r>
      <w:r>
        <w:rPr>
          <w:b/>
          <w:bCs/>
          <w:color w:val="auto"/>
          <w:highlight w:val="none"/>
        </w:rPr>
        <w:tab/>
      </w:r>
      <w:r>
        <w:rPr>
          <w:b/>
          <w:bCs/>
          <w:color w:val="auto"/>
          <w:highlight w:val="none"/>
        </w:rPr>
        <w:fldChar w:fldCharType="begin"/>
      </w:r>
      <w:r>
        <w:rPr>
          <w:b/>
          <w:bCs/>
          <w:color w:val="auto"/>
          <w:highlight w:val="none"/>
        </w:rPr>
        <w:instrText xml:space="preserve"> PAGEREF _Toc31837 \h </w:instrText>
      </w:r>
      <w:r>
        <w:rPr>
          <w:b/>
          <w:bCs/>
          <w:color w:val="auto"/>
          <w:highlight w:val="none"/>
        </w:rPr>
        <w:fldChar w:fldCharType="separate"/>
      </w:r>
      <w:r>
        <w:rPr>
          <w:b/>
          <w:bCs/>
          <w:color w:val="auto"/>
          <w:highlight w:val="none"/>
        </w:rPr>
        <w:t>- 35 -</w:t>
      </w:r>
      <w:r>
        <w:rPr>
          <w:b/>
          <w:bCs/>
          <w:color w:val="auto"/>
          <w:highlight w:val="none"/>
        </w:rPr>
        <w:fldChar w:fldCharType="end"/>
      </w:r>
      <w:r>
        <w:rPr>
          <w:b/>
          <w:bCs/>
          <w:color w:val="auto"/>
          <w:highlight w:val="none"/>
        </w:rPr>
        <w:fldChar w:fldCharType="end"/>
      </w:r>
    </w:p>
    <w:p w14:paraId="18F64FE7">
      <w:pPr>
        <w:pStyle w:val="14"/>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_Toc5021 </w:instrText>
      </w:r>
      <w:r>
        <w:rPr>
          <w:b/>
          <w:bCs/>
          <w:color w:val="auto"/>
          <w:highlight w:val="none"/>
        </w:rPr>
        <w:fldChar w:fldCharType="separate"/>
      </w:r>
      <w:r>
        <w:rPr>
          <w:rFonts w:hint="eastAsia" w:eastAsia="黑体"/>
          <w:b/>
          <w:bCs/>
          <w:color w:val="auto"/>
          <w:szCs w:val="36"/>
          <w:highlight w:val="none"/>
          <w:lang w:val="zh-CN"/>
        </w:rPr>
        <w:t>第四章  评标办法（综合评分法）</w:t>
      </w:r>
      <w:r>
        <w:rPr>
          <w:b/>
          <w:bCs/>
          <w:color w:val="auto"/>
          <w:highlight w:val="none"/>
        </w:rPr>
        <w:tab/>
      </w:r>
      <w:r>
        <w:rPr>
          <w:b/>
          <w:bCs/>
          <w:color w:val="auto"/>
          <w:highlight w:val="none"/>
        </w:rPr>
        <w:fldChar w:fldCharType="begin"/>
      </w:r>
      <w:r>
        <w:rPr>
          <w:b/>
          <w:bCs/>
          <w:color w:val="auto"/>
          <w:highlight w:val="none"/>
        </w:rPr>
        <w:instrText xml:space="preserve"> PAGEREF _Toc5021 \h </w:instrText>
      </w:r>
      <w:r>
        <w:rPr>
          <w:b/>
          <w:bCs/>
          <w:color w:val="auto"/>
          <w:highlight w:val="none"/>
        </w:rPr>
        <w:fldChar w:fldCharType="separate"/>
      </w:r>
      <w:r>
        <w:rPr>
          <w:b/>
          <w:bCs/>
          <w:color w:val="auto"/>
          <w:highlight w:val="none"/>
        </w:rPr>
        <w:t>- 36 -</w:t>
      </w:r>
      <w:r>
        <w:rPr>
          <w:b/>
          <w:bCs/>
          <w:color w:val="auto"/>
          <w:highlight w:val="none"/>
        </w:rPr>
        <w:fldChar w:fldCharType="end"/>
      </w:r>
      <w:r>
        <w:rPr>
          <w:b/>
          <w:bCs/>
          <w:color w:val="auto"/>
          <w:highlight w:val="none"/>
        </w:rPr>
        <w:fldChar w:fldCharType="end"/>
      </w:r>
    </w:p>
    <w:p w14:paraId="50AEC76E">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_Toc8580 </w:instrText>
      </w:r>
      <w:r>
        <w:rPr>
          <w:b/>
          <w:bCs/>
          <w:color w:val="auto"/>
          <w:highlight w:val="none"/>
        </w:rPr>
        <w:fldChar w:fldCharType="separate"/>
      </w:r>
      <w:r>
        <w:rPr>
          <w:rFonts w:hint="eastAsia" w:ascii="黑体" w:hAnsi="黑体" w:eastAsia="黑体"/>
          <w:b/>
          <w:bCs/>
          <w:color w:val="auto"/>
          <w:szCs w:val="28"/>
          <w:highlight w:val="none"/>
        </w:rPr>
        <w:t>评标办法前附表</w:t>
      </w:r>
      <w:r>
        <w:rPr>
          <w:b/>
          <w:bCs/>
          <w:color w:val="auto"/>
          <w:highlight w:val="none"/>
        </w:rPr>
        <w:tab/>
      </w:r>
      <w:r>
        <w:rPr>
          <w:b/>
          <w:bCs/>
          <w:color w:val="auto"/>
          <w:highlight w:val="none"/>
        </w:rPr>
        <w:fldChar w:fldCharType="begin"/>
      </w:r>
      <w:r>
        <w:rPr>
          <w:b/>
          <w:bCs/>
          <w:color w:val="auto"/>
          <w:highlight w:val="none"/>
        </w:rPr>
        <w:instrText xml:space="preserve"> PAGEREF _Toc8580 \h </w:instrText>
      </w:r>
      <w:r>
        <w:rPr>
          <w:b/>
          <w:bCs/>
          <w:color w:val="auto"/>
          <w:highlight w:val="none"/>
        </w:rPr>
        <w:fldChar w:fldCharType="separate"/>
      </w:r>
      <w:r>
        <w:rPr>
          <w:b/>
          <w:bCs/>
          <w:color w:val="auto"/>
          <w:highlight w:val="none"/>
        </w:rPr>
        <w:t>- 36 -</w:t>
      </w:r>
      <w:r>
        <w:rPr>
          <w:b/>
          <w:bCs/>
          <w:color w:val="auto"/>
          <w:highlight w:val="none"/>
        </w:rPr>
        <w:fldChar w:fldCharType="end"/>
      </w:r>
      <w:r>
        <w:rPr>
          <w:b/>
          <w:bCs/>
          <w:color w:val="auto"/>
          <w:highlight w:val="none"/>
        </w:rPr>
        <w:fldChar w:fldCharType="end"/>
      </w:r>
    </w:p>
    <w:p w14:paraId="58FDF94A">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_Toc18760 </w:instrText>
      </w:r>
      <w:r>
        <w:rPr>
          <w:b/>
          <w:bCs/>
          <w:color w:val="auto"/>
          <w:highlight w:val="none"/>
        </w:rPr>
        <w:fldChar w:fldCharType="separate"/>
      </w:r>
      <w:r>
        <w:rPr>
          <w:rFonts w:ascii="黑体" w:hAnsi="黑体" w:eastAsia="黑体" w:cs="楷体_GB2312"/>
          <w:b/>
          <w:bCs/>
          <w:color w:val="auto"/>
          <w:szCs w:val="28"/>
          <w:highlight w:val="none"/>
          <w:lang w:val="zh-CN"/>
        </w:rPr>
        <w:t xml:space="preserve">1. </w:t>
      </w:r>
      <w:r>
        <w:rPr>
          <w:rFonts w:hint="eastAsia" w:ascii="黑体" w:hAnsi="黑体" w:eastAsia="黑体" w:cs="楷体_GB2312"/>
          <w:b/>
          <w:bCs/>
          <w:color w:val="auto"/>
          <w:szCs w:val="28"/>
          <w:highlight w:val="none"/>
          <w:lang w:val="zh-CN"/>
        </w:rPr>
        <w:t>评标方法</w:t>
      </w:r>
      <w:r>
        <w:rPr>
          <w:b/>
          <w:bCs/>
          <w:color w:val="auto"/>
          <w:highlight w:val="none"/>
        </w:rPr>
        <w:tab/>
      </w:r>
      <w:r>
        <w:rPr>
          <w:b/>
          <w:bCs/>
          <w:color w:val="auto"/>
          <w:highlight w:val="none"/>
        </w:rPr>
        <w:fldChar w:fldCharType="begin"/>
      </w:r>
      <w:r>
        <w:rPr>
          <w:b/>
          <w:bCs/>
          <w:color w:val="auto"/>
          <w:highlight w:val="none"/>
        </w:rPr>
        <w:instrText xml:space="preserve"> PAGEREF _Toc18760 \h </w:instrText>
      </w:r>
      <w:r>
        <w:rPr>
          <w:b/>
          <w:bCs/>
          <w:color w:val="auto"/>
          <w:highlight w:val="none"/>
        </w:rPr>
        <w:fldChar w:fldCharType="separate"/>
      </w:r>
      <w:r>
        <w:rPr>
          <w:b/>
          <w:bCs/>
          <w:color w:val="auto"/>
          <w:highlight w:val="none"/>
        </w:rPr>
        <w:t>- 40 -</w:t>
      </w:r>
      <w:r>
        <w:rPr>
          <w:b/>
          <w:bCs/>
          <w:color w:val="auto"/>
          <w:highlight w:val="none"/>
        </w:rPr>
        <w:fldChar w:fldCharType="end"/>
      </w:r>
      <w:r>
        <w:rPr>
          <w:b/>
          <w:bCs/>
          <w:color w:val="auto"/>
          <w:highlight w:val="none"/>
        </w:rPr>
        <w:fldChar w:fldCharType="end"/>
      </w:r>
    </w:p>
    <w:p w14:paraId="75FA5332">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_Toc14406 </w:instrText>
      </w:r>
      <w:r>
        <w:rPr>
          <w:b/>
          <w:bCs/>
          <w:color w:val="auto"/>
          <w:highlight w:val="none"/>
        </w:rPr>
        <w:fldChar w:fldCharType="separate"/>
      </w:r>
      <w:r>
        <w:rPr>
          <w:rFonts w:ascii="黑体" w:hAnsi="黑体" w:eastAsia="黑体" w:cs="楷体_GB2312"/>
          <w:b/>
          <w:bCs/>
          <w:color w:val="auto"/>
          <w:szCs w:val="28"/>
          <w:highlight w:val="none"/>
          <w:lang w:val="zh-CN"/>
        </w:rPr>
        <w:t xml:space="preserve">2. </w:t>
      </w:r>
      <w:r>
        <w:rPr>
          <w:rFonts w:hint="eastAsia" w:ascii="黑体" w:hAnsi="黑体" w:eastAsia="黑体" w:cs="楷体_GB2312"/>
          <w:b/>
          <w:bCs/>
          <w:color w:val="auto"/>
          <w:szCs w:val="28"/>
          <w:highlight w:val="none"/>
          <w:lang w:val="zh-CN"/>
        </w:rPr>
        <w:t>评标标准</w:t>
      </w:r>
      <w:r>
        <w:rPr>
          <w:b/>
          <w:bCs/>
          <w:color w:val="auto"/>
          <w:highlight w:val="none"/>
        </w:rPr>
        <w:tab/>
      </w:r>
      <w:r>
        <w:rPr>
          <w:b/>
          <w:bCs/>
          <w:color w:val="auto"/>
          <w:highlight w:val="none"/>
        </w:rPr>
        <w:fldChar w:fldCharType="begin"/>
      </w:r>
      <w:r>
        <w:rPr>
          <w:b/>
          <w:bCs/>
          <w:color w:val="auto"/>
          <w:highlight w:val="none"/>
        </w:rPr>
        <w:instrText xml:space="preserve"> PAGEREF _Toc14406 \h </w:instrText>
      </w:r>
      <w:r>
        <w:rPr>
          <w:b/>
          <w:bCs/>
          <w:color w:val="auto"/>
          <w:highlight w:val="none"/>
        </w:rPr>
        <w:fldChar w:fldCharType="separate"/>
      </w:r>
      <w:r>
        <w:rPr>
          <w:b/>
          <w:bCs/>
          <w:color w:val="auto"/>
          <w:highlight w:val="none"/>
        </w:rPr>
        <w:t>- 40 -</w:t>
      </w:r>
      <w:r>
        <w:rPr>
          <w:b/>
          <w:bCs/>
          <w:color w:val="auto"/>
          <w:highlight w:val="none"/>
        </w:rPr>
        <w:fldChar w:fldCharType="end"/>
      </w:r>
      <w:r>
        <w:rPr>
          <w:b/>
          <w:bCs/>
          <w:color w:val="auto"/>
          <w:highlight w:val="none"/>
        </w:rPr>
        <w:fldChar w:fldCharType="end"/>
      </w:r>
    </w:p>
    <w:p w14:paraId="5D939B8D">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_Toc26713 </w:instrText>
      </w:r>
      <w:r>
        <w:rPr>
          <w:b/>
          <w:bCs/>
          <w:color w:val="auto"/>
          <w:highlight w:val="none"/>
        </w:rPr>
        <w:fldChar w:fldCharType="separate"/>
      </w:r>
      <w:r>
        <w:rPr>
          <w:rFonts w:ascii="黑体" w:hAnsi="黑体" w:eastAsia="黑体" w:cs="楷体_GB2312"/>
          <w:b/>
          <w:bCs/>
          <w:color w:val="auto"/>
          <w:szCs w:val="28"/>
          <w:highlight w:val="none"/>
          <w:lang w:val="zh-CN"/>
        </w:rPr>
        <w:t xml:space="preserve">3. </w:t>
      </w:r>
      <w:r>
        <w:rPr>
          <w:rFonts w:hint="eastAsia" w:ascii="黑体" w:hAnsi="黑体" w:eastAsia="黑体" w:cs="楷体_GB2312"/>
          <w:b/>
          <w:bCs/>
          <w:color w:val="auto"/>
          <w:szCs w:val="28"/>
          <w:highlight w:val="none"/>
          <w:lang w:val="zh-CN"/>
        </w:rPr>
        <w:t>评标程序</w:t>
      </w:r>
      <w:r>
        <w:rPr>
          <w:b/>
          <w:bCs/>
          <w:color w:val="auto"/>
          <w:highlight w:val="none"/>
        </w:rPr>
        <w:tab/>
      </w:r>
      <w:r>
        <w:rPr>
          <w:b/>
          <w:bCs/>
          <w:color w:val="auto"/>
          <w:highlight w:val="none"/>
        </w:rPr>
        <w:fldChar w:fldCharType="begin"/>
      </w:r>
      <w:r>
        <w:rPr>
          <w:b/>
          <w:bCs/>
          <w:color w:val="auto"/>
          <w:highlight w:val="none"/>
        </w:rPr>
        <w:instrText xml:space="preserve"> PAGEREF _Toc26713 \h </w:instrText>
      </w:r>
      <w:r>
        <w:rPr>
          <w:b/>
          <w:bCs/>
          <w:color w:val="auto"/>
          <w:highlight w:val="none"/>
        </w:rPr>
        <w:fldChar w:fldCharType="separate"/>
      </w:r>
      <w:r>
        <w:rPr>
          <w:b/>
          <w:bCs/>
          <w:color w:val="auto"/>
          <w:highlight w:val="none"/>
        </w:rPr>
        <w:t>- 40 -</w:t>
      </w:r>
      <w:r>
        <w:rPr>
          <w:b/>
          <w:bCs/>
          <w:color w:val="auto"/>
          <w:highlight w:val="none"/>
        </w:rPr>
        <w:fldChar w:fldCharType="end"/>
      </w:r>
      <w:r>
        <w:rPr>
          <w:b/>
          <w:bCs/>
          <w:color w:val="auto"/>
          <w:highlight w:val="none"/>
        </w:rPr>
        <w:fldChar w:fldCharType="end"/>
      </w:r>
    </w:p>
    <w:p w14:paraId="7020D048">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_Toc4390 </w:instrText>
      </w:r>
      <w:r>
        <w:rPr>
          <w:b/>
          <w:bCs/>
          <w:color w:val="auto"/>
          <w:highlight w:val="none"/>
        </w:rPr>
        <w:fldChar w:fldCharType="separate"/>
      </w:r>
      <w:r>
        <w:rPr>
          <w:rFonts w:ascii="黑体" w:hAnsi="黑体" w:eastAsia="黑体" w:cs="楷体_GB2312"/>
          <w:b/>
          <w:bCs/>
          <w:color w:val="auto"/>
          <w:szCs w:val="28"/>
          <w:highlight w:val="none"/>
          <w:lang w:val="zh-CN"/>
        </w:rPr>
        <w:t xml:space="preserve">4. </w:t>
      </w:r>
      <w:r>
        <w:rPr>
          <w:rFonts w:hint="eastAsia" w:ascii="黑体" w:hAnsi="黑体" w:eastAsia="黑体" w:cs="楷体_GB2312"/>
          <w:b/>
          <w:bCs/>
          <w:color w:val="auto"/>
          <w:szCs w:val="28"/>
          <w:highlight w:val="none"/>
          <w:lang w:val="zh-CN"/>
        </w:rPr>
        <w:t>政府采购促进中小企业发展扶持政策</w:t>
      </w:r>
      <w:r>
        <w:rPr>
          <w:b/>
          <w:bCs/>
          <w:color w:val="auto"/>
          <w:highlight w:val="none"/>
        </w:rPr>
        <w:tab/>
      </w:r>
      <w:r>
        <w:rPr>
          <w:b/>
          <w:bCs/>
          <w:color w:val="auto"/>
          <w:highlight w:val="none"/>
        </w:rPr>
        <w:fldChar w:fldCharType="begin"/>
      </w:r>
      <w:r>
        <w:rPr>
          <w:b/>
          <w:bCs/>
          <w:color w:val="auto"/>
          <w:highlight w:val="none"/>
        </w:rPr>
        <w:instrText xml:space="preserve"> PAGEREF _Toc4390 \h </w:instrText>
      </w:r>
      <w:r>
        <w:rPr>
          <w:b/>
          <w:bCs/>
          <w:color w:val="auto"/>
          <w:highlight w:val="none"/>
        </w:rPr>
        <w:fldChar w:fldCharType="separate"/>
      </w:r>
      <w:r>
        <w:rPr>
          <w:b/>
          <w:bCs/>
          <w:color w:val="auto"/>
          <w:highlight w:val="none"/>
        </w:rPr>
        <w:t>- 45 -</w:t>
      </w:r>
      <w:r>
        <w:rPr>
          <w:b/>
          <w:bCs/>
          <w:color w:val="auto"/>
          <w:highlight w:val="none"/>
        </w:rPr>
        <w:fldChar w:fldCharType="end"/>
      </w:r>
      <w:r>
        <w:rPr>
          <w:b/>
          <w:bCs/>
          <w:color w:val="auto"/>
          <w:highlight w:val="none"/>
        </w:rPr>
        <w:fldChar w:fldCharType="end"/>
      </w:r>
    </w:p>
    <w:p w14:paraId="65D5DB80">
      <w:pPr>
        <w:pStyle w:val="15"/>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_Toc6945 </w:instrText>
      </w:r>
      <w:r>
        <w:rPr>
          <w:b/>
          <w:bCs/>
          <w:color w:val="auto"/>
          <w:highlight w:val="none"/>
        </w:rPr>
        <w:fldChar w:fldCharType="separate"/>
      </w:r>
      <w:r>
        <w:rPr>
          <w:rFonts w:hint="eastAsia" w:ascii="黑体" w:hAnsi="黑体" w:eastAsia="黑体" w:cs="楷体_GB2312"/>
          <w:b/>
          <w:bCs/>
          <w:color w:val="auto"/>
          <w:szCs w:val="28"/>
          <w:highlight w:val="none"/>
          <w:lang w:val="en-US" w:eastAsia="zh-CN"/>
        </w:rPr>
        <w:t>5</w:t>
      </w:r>
      <w:r>
        <w:rPr>
          <w:rFonts w:ascii="黑体" w:hAnsi="黑体" w:eastAsia="黑体" w:cs="楷体_GB2312"/>
          <w:b/>
          <w:bCs/>
          <w:color w:val="auto"/>
          <w:szCs w:val="28"/>
          <w:highlight w:val="none"/>
          <w:lang w:val="zh-CN"/>
        </w:rPr>
        <w:t xml:space="preserve">. </w:t>
      </w:r>
      <w:r>
        <w:rPr>
          <w:rFonts w:hint="eastAsia" w:ascii="黑体" w:hAnsi="黑体" w:eastAsia="黑体" w:cs="楷体_GB2312"/>
          <w:b/>
          <w:bCs/>
          <w:color w:val="auto"/>
          <w:szCs w:val="28"/>
          <w:highlight w:val="none"/>
          <w:lang w:val="zh-CN"/>
        </w:rPr>
        <w:t>异常低价审查</w:t>
      </w:r>
      <w:r>
        <w:rPr>
          <w:b/>
          <w:bCs/>
          <w:color w:val="auto"/>
          <w:highlight w:val="none"/>
        </w:rPr>
        <w:tab/>
      </w:r>
      <w:r>
        <w:rPr>
          <w:b/>
          <w:bCs/>
          <w:color w:val="auto"/>
          <w:highlight w:val="none"/>
        </w:rPr>
        <w:fldChar w:fldCharType="begin"/>
      </w:r>
      <w:r>
        <w:rPr>
          <w:b/>
          <w:bCs/>
          <w:color w:val="auto"/>
          <w:highlight w:val="none"/>
        </w:rPr>
        <w:instrText xml:space="preserve"> PAGEREF _Toc6945 \h </w:instrText>
      </w:r>
      <w:r>
        <w:rPr>
          <w:b/>
          <w:bCs/>
          <w:color w:val="auto"/>
          <w:highlight w:val="none"/>
        </w:rPr>
        <w:fldChar w:fldCharType="separate"/>
      </w:r>
      <w:r>
        <w:rPr>
          <w:b/>
          <w:bCs/>
          <w:color w:val="auto"/>
          <w:highlight w:val="none"/>
        </w:rPr>
        <w:t>- 46 -</w:t>
      </w:r>
      <w:r>
        <w:rPr>
          <w:b/>
          <w:bCs/>
          <w:color w:val="auto"/>
          <w:highlight w:val="none"/>
        </w:rPr>
        <w:fldChar w:fldCharType="end"/>
      </w:r>
      <w:r>
        <w:rPr>
          <w:b/>
          <w:bCs/>
          <w:color w:val="auto"/>
          <w:highlight w:val="none"/>
        </w:rPr>
        <w:fldChar w:fldCharType="end"/>
      </w:r>
    </w:p>
    <w:p w14:paraId="759BB28C">
      <w:pPr>
        <w:pStyle w:val="14"/>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_Toc8637 </w:instrText>
      </w:r>
      <w:r>
        <w:rPr>
          <w:b/>
          <w:bCs/>
          <w:color w:val="auto"/>
          <w:highlight w:val="none"/>
        </w:rPr>
        <w:fldChar w:fldCharType="separate"/>
      </w:r>
      <w:r>
        <w:rPr>
          <w:rFonts w:hint="eastAsia" w:eastAsia="黑体"/>
          <w:b/>
          <w:bCs/>
          <w:color w:val="auto"/>
          <w:szCs w:val="36"/>
          <w:highlight w:val="none"/>
          <w:lang w:val="zh-CN"/>
        </w:rPr>
        <w:t>第五章  合同主要条款</w:t>
      </w:r>
      <w:r>
        <w:rPr>
          <w:b/>
          <w:bCs/>
          <w:color w:val="auto"/>
          <w:highlight w:val="none"/>
        </w:rPr>
        <w:tab/>
      </w:r>
      <w:r>
        <w:rPr>
          <w:b/>
          <w:bCs/>
          <w:color w:val="auto"/>
          <w:highlight w:val="none"/>
        </w:rPr>
        <w:fldChar w:fldCharType="begin"/>
      </w:r>
      <w:r>
        <w:rPr>
          <w:b/>
          <w:bCs/>
          <w:color w:val="auto"/>
          <w:highlight w:val="none"/>
        </w:rPr>
        <w:instrText xml:space="preserve"> PAGEREF _Toc8637 \h </w:instrText>
      </w:r>
      <w:r>
        <w:rPr>
          <w:b/>
          <w:bCs/>
          <w:color w:val="auto"/>
          <w:highlight w:val="none"/>
        </w:rPr>
        <w:fldChar w:fldCharType="separate"/>
      </w:r>
      <w:r>
        <w:rPr>
          <w:b/>
          <w:bCs/>
          <w:color w:val="auto"/>
          <w:highlight w:val="none"/>
        </w:rPr>
        <w:t>- 48 -</w:t>
      </w:r>
      <w:r>
        <w:rPr>
          <w:b/>
          <w:bCs/>
          <w:color w:val="auto"/>
          <w:highlight w:val="none"/>
        </w:rPr>
        <w:fldChar w:fldCharType="end"/>
      </w:r>
      <w:r>
        <w:rPr>
          <w:b/>
          <w:bCs/>
          <w:color w:val="auto"/>
          <w:highlight w:val="none"/>
        </w:rPr>
        <w:fldChar w:fldCharType="end"/>
      </w:r>
    </w:p>
    <w:p w14:paraId="2FA5DB51">
      <w:pPr>
        <w:pStyle w:val="14"/>
        <w:tabs>
          <w:tab w:val="right" w:leader="dot" w:pos="9381"/>
        </w:tabs>
        <w:rPr>
          <w:b/>
          <w:bCs/>
          <w:color w:val="auto"/>
          <w:highlight w:val="none"/>
        </w:rPr>
      </w:pPr>
      <w:r>
        <w:rPr>
          <w:b/>
          <w:bCs/>
          <w:color w:val="auto"/>
          <w:highlight w:val="none"/>
        </w:rPr>
        <w:fldChar w:fldCharType="begin"/>
      </w:r>
      <w:r>
        <w:rPr>
          <w:b/>
          <w:bCs/>
          <w:color w:val="auto"/>
          <w:highlight w:val="none"/>
        </w:rPr>
        <w:instrText xml:space="preserve"> HYPERLINK \l _Toc19248 </w:instrText>
      </w:r>
      <w:r>
        <w:rPr>
          <w:b/>
          <w:bCs/>
          <w:color w:val="auto"/>
          <w:highlight w:val="none"/>
        </w:rPr>
        <w:fldChar w:fldCharType="separate"/>
      </w:r>
      <w:r>
        <w:rPr>
          <w:rFonts w:hint="eastAsia" w:eastAsia="黑体"/>
          <w:b/>
          <w:bCs/>
          <w:color w:val="auto"/>
          <w:szCs w:val="36"/>
          <w:highlight w:val="none"/>
          <w:lang w:val="zh-CN"/>
        </w:rPr>
        <w:t>第六章 《投标文件》格式</w:t>
      </w:r>
      <w:r>
        <w:rPr>
          <w:b/>
          <w:bCs/>
          <w:color w:val="auto"/>
          <w:highlight w:val="none"/>
        </w:rPr>
        <w:tab/>
      </w:r>
      <w:r>
        <w:rPr>
          <w:b/>
          <w:bCs/>
          <w:color w:val="auto"/>
          <w:highlight w:val="none"/>
        </w:rPr>
        <w:fldChar w:fldCharType="begin"/>
      </w:r>
      <w:r>
        <w:rPr>
          <w:b/>
          <w:bCs/>
          <w:color w:val="auto"/>
          <w:highlight w:val="none"/>
        </w:rPr>
        <w:instrText xml:space="preserve"> PAGEREF _Toc19248 \h </w:instrText>
      </w:r>
      <w:r>
        <w:rPr>
          <w:b/>
          <w:bCs/>
          <w:color w:val="auto"/>
          <w:highlight w:val="none"/>
        </w:rPr>
        <w:fldChar w:fldCharType="separate"/>
      </w:r>
      <w:r>
        <w:rPr>
          <w:b/>
          <w:bCs/>
          <w:color w:val="auto"/>
          <w:highlight w:val="none"/>
        </w:rPr>
        <w:t>- 52 -</w:t>
      </w:r>
      <w:r>
        <w:rPr>
          <w:b/>
          <w:bCs/>
          <w:color w:val="auto"/>
          <w:highlight w:val="none"/>
        </w:rPr>
        <w:fldChar w:fldCharType="end"/>
      </w:r>
      <w:r>
        <w:rPr>
          <w:b/>
          <w:bCs/>
          <w:color w:val="auto"/>
          <w:highlight w:val="none"/>
        </w:rPr>
        <w:fldChar w:fldCharType="end"/>
      </w:r>
    </w:p>
    <w:p w14:paraId="75994F44">
      <w:pPr>
        <w:rPr>
          <w:color w:val="auto"/>
          <w:highlight w:val="none"/>
        </w:rPr>
        <w:sectPr>
          <w:pgSz w:w="11905" w:h="16837"/>
          <w:pgMar w:top="1418" w:right="1106" w:bottom="1418" w:left="1418" w:header="567" w:footer="567" w:gutter="0"/>
          <w:pgBorders>
            <w:top w:val="none" w:sz="0" w:space="0"/>
            <w:left w:val="none" w:sz="0" w:space="0"/>
            <w:bottom w:val="none" w:sz="0" w:space="0"/>
            <w:right w:val="none" w:sz="0" w:space="0"/>
          </w:pgBorders>
          <w:pgNumType w:fmt="numberInDash" w:start="0"/>
          <w:cols w:space="720" w:num="1"/>
          <w:titlePg/>
        </w:sectPr>
      </w:pPr>
      <w:r>
        <w:rPr>
          <w:b/>
          <w:bCs/>
          <w:color w:val="auto"/>
          <w:highlight w:val="none"/>
        </w:rPr>
        <w:fldChar w:fldCharType="end"/>
      </w:r>
    </w:p>
    <w:p w14:paraId="4143E89E">
      <w:pPr>
        <w:keepNext w:val="0"/>
        <w:keepLines w:val="0"/>
        <w:pageBreakBefore w:val="0"/>
        <w:widowControl w:val="0"/>
        <w:kinsoku/>
        <w:wordWrap/>
        <w:overflowPunct/>
        <w:topLinePunct w:val="0"/>
        <w:autoSpaceDE/>
        <w:autoSpaceDN/>
        <w:bidi w:val="0"/>
        <w:adjustRightInd/>
        <w:snapToGrid w:val="0"/>
        <w:spacing w:line="276" w:lineRule="auto"/>
        <w:jc w:val="left"/>
        <w:textAlignment w:val="baseline"/>
        <w:rPr>
          <w:rFonts w:hint="eastAsia" w:asciiTheme="minorEastAsia" w:hAnsiTheme="minorEastAsia" w:eastAsiaTheme="minorEastAsia" w:cstheme="minorEastAsia"/>
          <w:color w:val="auto"/>
          <w:sz w:val="24"/>
          <w:szCs w:val="24"/>
          <w:highlight w:val="none"/>
        </w:rPr>
      </w:pPr>
    </w:p>
    <w:p w14:paraId="1A6F9BA8">
      <w:pPr>
        <w:widowControl w:val="0"/>
        <w:snapToGrid w:val="0"/>
        <w:spacing w:line="560" w:lineRule="exact"/>
        <w:jc w:val="center"/>
        <w:outlineLvl w:val="0"/>
        <w:rPr>
          <w:color w:val="auto"/>
          <w:sz w:val="36"/>
          <w:szCs w:val="36"/>
          <w:highlight w:val="none"/>
        </w:rPr>
      </w:pPr>
      <w:bookmarkStart w:id="0" w:name="_Toc7305"/>
      <w:r>
        <w:rPr>
          <w:rFonts w:hint="eastAsia" w:eastAsia="黑体"/>
          <w:b/>
          <w:color w:val="auto"/>
          <w:sz w:val="36"/>
          <w:szCs w:val="36"/>
          <w:highlight w:val="none"/>
        </w:rPr>
        <w:t>第一章</w:t>
      </w:r>
      <w:r>
        <w:rPr>
          <w:rFonts w:eastAsia="黑体"/>
          <w:b/>
          <w:color w:val="auto"/>
          <w:sz w:val="36"/>
          <w:szCs w:val="36"/>
          <w:highlight w:val="none"/>
        </w:rPr>
        <w:t xml:space="preserve">  </w:t>
      </w:r>
      <w:r>
        <w:rPr>
          <w:rFonts w:hint="eastAsia" w:eastAsia="黑体"/>
          <w:b/>
          <w:color w:val="auto"/>
          <w:sz w:val="36"/>
          <w:szCs w:val="36"/>
          <w:highlight w:val="none"/>
        </w:rPr>
        <w:t>招标公告</w:t>
      </w:r>
      <w:bookmarkEnd w:id="0"/>
    </w:p>
    <w:p w14:paraId="2200EC11">
      <w:pPr>
        <w:keepNext w:val="0"/>
        <w:keepLines w:val="0"/>
        <w:pageBreakBefore w:val="0"/>
        <w:widowControl w:val="0"/>
        <w:kinsoku/>
        <w:wordWrap/>
        <w:overflowPunct/>
        <w:topLinePunct w:val="0"/>
        <w:autoSpaceDE/>
        <w:autoSpaceDN/>
        <w:bidi w:val="0"/>
        <w:adjustRightInd/>
        <w:snapToGrid w:val="0"/>
        <w:spacing w:line="276" w:lineRule="auto"/>
        <w:jc w:val="left"/>
        <w:textAlignment w:val="baseline"/>
        <w:rPr>
          <w:rFonts w:hint="eastAsia" w:asciiTheme="minorEastAsia" w:hAnsiTheme="minorEastAsia" w:eastAsiaTheme="minorEastAsia" w:cstheme="minorEastAsia"/>
          <w:b/>
          <w:color w:val="auto"/>
          <w:sz w:val="24"/>
          <w:szCs w:val="24"/>
          <w:highlight w:val="none"/>
        </w:rPr>
      </w:pPr>
    </w:p>
    <w:p w14:paraId="48C44B02">
      <w:pPr>
        <w:widowControl w:val="0"/>
        <w:snapToGrid w:val="0"/>
        <w:spacing w:line="360" w:lineRule="auto"/>
        <w:ind w:firstLine="562" w:firstLineChars="200"/>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1.项目基本情况</w:t>
      </w:r>
      <w:r>
        <w:rPr>
          <w:rFonts w:hint="eastAsia" w:ascii="黑体" w:hAnsi="黑体" w:eastAsia="黑体"/>
          <w:b/>
          <w:color w:val="auto"/>
          <w:sz w:val="28"/>
          <w:szCs w:val="28"/>
          <w:highlight w:val="none"/>
          <w:lang w:eastAsia="zh-CN"/>
        </w:rPr>
        <w:t>：</w:t>
      </w:r>
    </w:p>
    <w:p w14:paraId="4B4E2064">
      <w:pPr>
        <w:widowControl w:val="0"/>
        <w:adjustRightInd w:val="0"/>
        <w:snapToGrid w:val="0"/>
        <w:spacing w:line="360" w:lineRule="auto"/>
        <w:ind w:firstLine="540" w:firstLineChars="225"/>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项目编号：</w:t>
      </w:r>
      <w:r>
        <w:rPr>
          <w:rFonts w:hint="eastAsia" w:asciiTheme="minorEastAsia" w:hAnsiTheme="minorEastAsia" w:eastAsiaTheme="minorEastAsia" w:cstheme="minorEastAsia"/>
          <w:color w:val="auto"/>
          <w:sz w:val="24"/>
          <w:szCs w:val="24"/>
          <w:highlight w:val="none"/>
          <w:lang w:eastAsia="zh-CN"/>
        </w:rPr>
        <w:t>殷公开</w:t>
      </w:r>
      <w:r>
        <w:rPr>
          <w:rFonts w:hint="eastAsia" w:asciiTheme="minorEastAsia" w:hAnsiTheme="minorEastAsia" w:eastAsiaTheme="minorEastAsia" w:cstheme="minorEastAsia"/>
          <w:color w:val="auto"/>
          <w:sz w:val="24"/>
          <w:szCs w:val="24"/>
          <w:highlight w:val="none"/>
          <w:lang w:val="en-US" w:eastAsia="zh-CN"/>
        </w:rPr>
        <w:t>-2026-3</w:t>
      </w:r>
    </w:p>
    <w:p w14:paraId="35BDDD7D">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lang w:eastAsia="zh-CN"/>
        </w:rPr>
        <w:t>安阳新型化工产业园区铜冶片区管理委员会安阳新型化工产业园区铜冶片区服务外包项目</w:t>
      </w:r>
    </w:p>
    <w:p w14:paraId="22FF7510">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采购方式：公开招标</w:t>
      </w:r>
    </w:p>
    <w:p w14:paraId="4A99418C">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预算金额：</w:t>
      </w:r>
      <w:r>
        <w:rPr>
          <w:rFonts w:hint="eastAsia" w:asciiTheme="minorEastAsia" w:hAnsiTheme="minorEastAsia" w:eastAsiaTheme="minorEastAsia" w:cstheme="minorEastAsia"/>
          <w:color w:val="auto"/>
          <w:sz w:val="24"/>
          <w:szCs w:val="24"/>
          <w:highlight w:val="none"/>
          <w:lang w:val="en-US" w:eastAsia="zh-CN"/>
        </w:rPr>
        <w:t>4960000</w:t>
      </w:r>
      <w:r>
        <w:rPr>
          <w:rFonts w:hint="eastAsia" w:asciiTheme="minorEastAsia" w:hAnsiTheme="minorEastAsia" w:eastAsiaTheme="minorEastAsia" w:cstheme="minorEastAsia"/>
          <w:color w:val="auto"/>
          <w:sz w:val="24"/>
          <w:szCs w:val="24"/>
          <w:highlight w:val="none"/>
        </w:rPr>
        <w:t xml:space="preserve">元 </w:t>
      </w:r>
    </w:p>
    <w:p w14:paraId="7139EAEE">
      <w:pPr>
        <w:adjustRightInd w:val="0"/>
        <w:snapToGrid w:val="0"/>
        <w:spacing w:line="360" w:lineRule="auto"/>
        <w:ind w:firstLine="540" w:firstLineChars="225"/>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1.5</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采购需求（详见法定媒体公告附件）：</w:t>
      </w:r>
      <w:r>
        <w:rPr>
          <w:rFonts w:hint="eastAsia" w:asciiTheme="minorEastAsia" w:hAnsiTheme="minorEastAsia" w:eastAsiaTheme="minorEastAsia" w:cstheme="minorEastAsia"/>
          <w:color w:val="auto"/>
          <w:sz w:val="24"/>
          <w:szCs w:val="24"/>
          <w:highlight w:val="none"/>
          <w:lang w:eastAsia="zh-CN"/>
        </w:rPr>
        <w:t>服务外包，详见《招标文件》“采购需求”。</w:t>
      </w:r>
    </w:p>
    <w:p w14:paraId="152C1A52">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合同履行期限：</w:t>
      </w:r>
      <w:r>
        <w:rPr>
          <w:rFonts w:hint="eastAsia" w:asciiTheme="minorEastAsia" w:hAnsiTheme="minorEastAsia" w:eastAsiaTheme="minorEastAsia" w:cstheme="minorEastAsia"/>
          <w:color w:val="auto"/>
          <w:sz w:val="24"/>
          <w:szCs w:val="24"/>
          <w:highlight w:val="none"/>
          <w:lang w:eastAsia="zh-CN"/>
        </w:rPr>
        <w:t>合同约定之日起二年</w:t>
      </w:r>
    </w:p>
    <w:p w14:paraId="71F6A99F">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本项目（是/否）接受联合体投标：否</w:t>
      </w:r>
    </w:p>
    <w:p w14:paraId="10E3E7B8">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是否接受进口产品：否</w:t>
      </w:r>
    </w:p>
    <w:p w14:paraId="40620389">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 xml:space="preserve">9 </w:t>
      </w:r>
      <w:r>
        <w:rPr>
          <w:rFonts w:hint="eastAsia" w:asciiTheme="minorEastAsia" w:hAnsiTheme="minorEastAsia" w:eastAsiaTheme="minorEastAsia" w:cstheme="minorEastAsia"/>
          <w:color w:val="auto"/>
          <w:sz w:val="24"/>
          <w:szCs w:val="24"/>
          <w:highlight w:val="none"/>
        </w:rPr>
        <w:t>是否专门面向中小企业：</w:t>
      </w:r>
      <w:r>
        <w:rPr>
          <w:rFonts w:hint="eastAsia" w:asciiTheme="minorEastAsia" w:hAnsiTheme="minorEastAsia" w:eastAsiaTheme="minorEastAsia" w:cstheme="minorEastAsia"/>
          <w:color w:val="auto"/>
          <w:sz w:val="24"/>
          <w:szCs w:val="24"/>
          <w:highlight w:val="none"/>
          <w:lang w:eastAsia="zh-CN"/>
        </w:rPr>
        <w:t>是</w:t>
      </w:r>
    </w:p>
    <w:p w14:paraId="355971CA">
      <w:pPr>
        <w:keepNext w:val="0"/>
        <w:keepLines w:val="0"/>
        <w:pageBreakBefore w:val="0"/>
        <w:widowControl w:val="0"/>
        <w:kinsoku/>
        <w:wordWrap/>
        <w:overflowPunct/>
        <w:topLinePunct w:val="0"/>
        <w:autoSpaceDE/>
        <w:autoSpaceDN/>
        <w:bidi w:val="0"/>
        <w:adjustRightInd/>
        <w:snapToGrid w:val="0"/>
        <w:spacing w:line="276" w:lineRule="auto"/>
        <w:jc w:val="left"/>
        <w:textAlignment w:val="baseline"/>
        <w:rPr>
          <w:rFonts w:ascii="宋体" w:hAnsi="宋体"/>
          <w:b/>
          <w:color w:val="auto"/>
          <w:sz w:val="24"/>
          <w:szCs w:val="24"/>
          <w:highlight w:val="none"/>
        </w:rPr>
      </w:pPr>
    </w:p>
    <w:p w14:paraId="05C42496">
      <w:pPr>
        <w:widowControl w:val="0"/>
        <w:snapToGrid w:val="0"/>
        <w:spacing w:line="360" w:lineRule="auto"/>
        <w:ind w:firstLine="562" w:firstLineChars="200"/>
        <w:rPr>
          <w:rFonts w:ascii="黑体" w:hAnsi="黑体" w:eastAsia="黑体"/>
          <w:b/>
          <w:color w:val="auto"/>
          <w:sz w:val="28"/>
          <w:szCs w:val="28"/>
          <w:highlight w:val="none"/>
        </w:rPr>
      </w:pPr>
      <w:bookmarkStart w:id="1" w:name="_Toc35393622"/>
      <w:bookmarkStart w:id="2" w:name="_Toc28359080"/>
      <w:bookmarkStart w:id="3" w:name="_Toc28359003"/>
      <w:bookmarkStart w:id="4" w:name="_Toc35393791"/>
      <w:r>
        <w:rPr>
          <w:rFonts w:hint="eastAsia" w:ascii="黑体" w:hAnsi="黑体" w:eastAsia="黑体"/>
          <w:b/>
          <w:color w:val="auto"/>
          <w:sz w:val="28"/>
          <w:szCs w:val="28"/>
          <w:highlight w:val="none"/>
        </w:rPr>
        <w:t>2.申请人的资格要求：</w:t>
      </w:r>
      <w:bookmarkEnd w:id="1"/>
      <w:bookmarkEnd w:id="2"/>
      <w:bookmarkEnd w:id="3"/>
      <w:bookmarkEnd w:id="4"/>
    </w:p>
    <w:p w14:paraId="07C45FC2">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满足《中华人民共和国政府采购法》第二十二条规定；</w:t>
      </w:r>
    </w:p>
    <w:p w14:paraId="1AC47F78">
      <w:pPr>
        <w:widowControl w:val="0"/>
        <w:adjustRightInd w:val="0"/>
        <w:snapToGrid w:val="0"/>
        <w:spacing w:line="360" w:lineRule="auto"/>
        <w:ind w:firstLine="540" w:firstLineChars="225"/>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2.2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落实政府采购政策需满足的资格要求：</w:t>
      </w:r>
      <w:r>
        <w:rPr>
          <w:rFonts w:hint="eastAsia" w:asciiTheme="minorEastAsia" w:hAnsiTheme="minorEastAsia" w:eastAsiaTheme="minorEastAsia" w:cstheme="minorEastAsia"/>
          <w:b/>
          <w:bCs/>
          <w:color w:val="auto"/>
          <w:sz w:val="24"/>
          <w:szCs w:val="24"/>
          <w:highlight w:val="none"/>
        </w:rPr>
        <w:t>本</w:t>
      </w:r>
      <w:r>
        <w:rPr>
          <w:rFonts w:hint="eastAsia" w:asciiTheme="minorEastAsia" w:hAnsiTheme="minorEastAsia" w:eastAsiaTheme="minorEastAsia" w:cstheme="minorEastAsia"/>
          <w:b/>
          <w:bCs/>
          <w:color w:val="auto"/>
          <w:sz w:val="24"/>
          <w:szCs w:val="24"/>
          <w:highlight w:val="none"/>
          <w:lang w:eastAsia="zh-CN"/>
        </w:rPr>
        <w:t>项目</w:t>
      </w:r>
      <w:r>
        <w:rPr>
          <w:rFonts w:hint="eastAsia" w:asciiTheme="minorEastAsia" w:hAnsiTheme="minorEastAsia" w:eastAsiaTheme="minorEastAsia" w:cstheme="minorEastAsia"/>
          <w:b/>
          <w:bCs/>
          <w:color w:val="auto"/>
          <w:sz w:val="24"/>
          <w:szCs w:val="24"/>
          <w:highlight w:val="none"/>
        </w:rPr>
        <w:t>专门面向中小企业采购，■提供《中小企业声明函》。</w:t>
      </w:r>
    </w:p>
    <w:p w14:paraId="3485C2E3">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本项目的特定资格要求：</w:t>
      </w:r>
    </w:p>
    <w:p w14:paraId="443DF5C0">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满足《中华人民共和国政府采购法》第二十二条第一款规定的供应商资格要求；供应商自行承诺并承担后果，承诺书不实的，按《政府采购法》有关提供虚假材料的有关规定给予处罚。</w:t>
      </w:r>
    </w:p>
    <w:p w14:paraId="32CE4AE8">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2.3.2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对供应商的限制性规定</w:t>
      </w:r>
      <w:r>
        <w:rPr>
          <w:rFonts w:hint="eastAsia" w:asciiTheme="minorEastAsia" w:hAnsiTheme="minorEastAsia" w:eastAsiaTheme="minorEastAsia" w:cstheme="minorEastAsia"/>
          <w:color w:val="auto"/>
          <w:sz w:val="24"/>
          <w:szCs w:val="24"/>
          <w:highlight w:val="none"/>
          <w:lang w:eastAsia="zh-CN"/>
        </w:rPr>
        <w:t>：</w:t>
      </w:r>
    </w:p>
    <w:p w14:paraId="6ED0BDF4">
      <w:pPr>
        <w:widowControl w:val="0"/>
        <w:snapToGrid w:val="0"/>
        <w:spacing w:line="360" w:lineRule="auto"/>
        <w:ind w:firstLine="540" w:firstLineChars="225"/>
        <w:rPr>
          <w:rFonts w:hint="eastAsia" w:ascii="宋体" w:hAnsi="宋体"/>
          <w:color w:val="auto"/>
          <w:sz w:val="24"/>
          <w:szCs w:val="24"/>
          <w:highlight w:val="none"/>
        </w:rPr>
      </w:pPr>
      <w:r>
        <w:rPr>
          <w:rFonts w:hint="eastAsia" w:ascii="宋体" w:hAnsi="宋体"/>
          <w:color w:val="auto"/>
          <w:sz w:val="24"/>
          <w:szCs w:val="24"/>
          <w:highlight w:val="none"/>
        </w:rPr>
        <w:t>（1）供应商应当无不良信用记录。(未列入“信用中国”&lt;www.creditchina.gov.cn&gt;网站的“失信被执行人”和“重大税收违法失信主体”及“中国政府采购网”&lt;www.ccgp.gov.cn&gt;网站的“政府采购严重违法失信行为记录名单”)</w:t>
      </w:r>
    </w:p>
    <w:p w14:paraId="688639C0">
      <w:pPr>
        <w:widowControl w:val="0"/>
        <w:snapToGrid w:val="0"/>
        <w:spacing w:line="360" w:lineRule="auto"/>
        <w:ind w:firstLine="540" w:firstLineChars="225"/>
        <w:rPr>
          <w:rFonts w:hint="eastAsia" w:ascii="宋体" w:hAnsi="宋体"/>
          <w:color w:val="auto"/>
          <w:sz w:val="24"/>
          <w:szCs w:val="24"/>
          <w:highlight w:val="none"/>
        </w:rPr>
      </w:pPr>
      <w:r>
        <w:rPr>
          <w:rFonts w:hint="eastAsia" w:ascii="宋体" w:hAnsi="宋体"/>
          <w:color w:val="auto"/>
          <w:sz w:val="24"/>
          <w:szCs w:val="24"/>
          <w:highlight w:val="none"/>
        </w:rPr>
        <w:t>供应商递交</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后，采购人或者采购代理机构将按以上信用信息查询渠道在解密</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之前对参加本项目的供应商信用记录进行查询，供应商有上述任一不良信用记录的，其投标将被拒绝、为无效投标。查询的网页内容将以截图或者拍照作为证据留存。</w:t>
      </w:r>
    </w:p>
    <w:p w14:paraId="22BDDE96">
      <w:pPr>
        <w:widowControl w:val="0"/>
        <w:snapToGrid w:val="0"/>
        <w:spacing w:line="360" w:lineRule="auto"/>
        <w:ind w:firstLine="540" w:firstLineChars="225"/>
        <w:rPr>
          <w:rFonts w:hint="eastAsia" w:ascii="宋体" w:hAnsi="宋体"/>
          <w:color w:val="auto"/>
          <w:sz w:val="24"/>
          <w:szCs w:val="24"/>
          <w:highlight w:val="none"/>
        </w:rPr>
      </w:pPr>
      <w:r>
        <w:rPr>
          <w:rFonts w:hint="eastAsia" w:ascii="宋体" w:hAnsi="宋体"/>
          <w:color w:val="auto"/>
          <w:sz w:val="24"/>
          <w:szCs w:val="24"/>
          <w:highlight w:val="none"/>
        </w:rPr>
        <w:t>（2）单位负责人为同一人或者存在直接控股、管理关系的不同供应商，不得参加本合同项下的政府采购活动。供应商自行承诺并提供《国家企业信用信息公示系统》中本公司企业信用信息公示报告。承诺书不实的，按《政府采购法》有关提供虚假材料的有关规定给予处罚。</w:t>
      </w:r>
    </w:p>
    <w:p w14:paraId="4907F73C">
      <w:pPr>
        <w:widowControl w:val="0"/>
        <w:snapToGrid w:val="0"/>
        <w:spacing w:line="360" w:lineRule="auto"/>
        <w:ind w:firstLine="540" w:firstLineChars="225"/>
        <w:rPr>
          <w:rFonts w:hint="eastAsia" w:ascii="宋体" w:hAnsi="宋体"/>
          <w:color w:val="auto"/>
          <w:sz w:val="24"/>
          <w:szCs w:val="24"/>
          <w:highlight w:val="none"/>
        </w:rPr>
      </w:pPr>
      <w:r>
        <w:rPr>
          <w:rFonts w:hint="eastAsia" w:ascii="宋体" w:hAnsi="宋体"/>
          <w:color w:val="auto"/>
          <w:sz w:val="24"/>
          <w:szCs w:val="24"/>
          <w:highlight w:val="none"/>
        </w:rPr>
        <w:t>（3）为本采购项目提供整体设计、规范编制或者项目管理、监理、检测等服务的供应商，不得再参加本采购项目。供应商自行承诺并承担后果，承诺书不实的，按《政府采购法》有关提供虚假材料的有关规定给予处罚。</w:t>
      </w:r>
    </w:p>
    <w:p w14:paraId="56A16265">
      <w:pPr>
        <w:widowControl w:val="0"/>
        <w:snapToGrid w:val="0"/>
        <w:spacing w:line="360" w:lineRule="auto"/>
        <w:ind w:firstLine="540" w:firstLineChars="22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3</w:t>
      </w:r>
      <w:r>
        <w:rPr>
          <w:rFonts w:hint="eastAsia" w:ascii="宋体" w:hAnsi="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项目的特定资格要求：</w:t>
      </w:r>
    </w:p>
    <w:p w14:paraId="459C2137">
      <w:pPr>
        <w:widowControl w:val="0"/>
        <w:snapToGrid w:val="0"/>
        <w:spacing w:line="360" w:lineRule="auto"/>
        <w:ind w:firstLine="540" w:firstLineChars="225"/>
        <w:rPr>
          <w:rFonts w:hint="eastAsia" w:ascii="宋体" w:hAnsi="宋体"/>
          <w:color w:val="auto"/>
          <w:sz w:val="24"/>
          <w:szCs w:val="24"/>
          <w:highlight w:val="none"/>
        </w:rPr>
      </w:pPr>
      <w:r>
        <w:rPr>
          <w:rFonts w:hint="eastAsia" w:ascii="宋体" w:hAnsi="宋体"/>
          <w:color w:val="auto"/>
          <w:sz w:val="24"/>
          <w:szCs w:val="24"/>
          <w:highlight w:val="none"/>
        </w:rPr>
        <w:t>（1）具备法律、行政法规规定的其他条件。</w:t>
      </w:r>
    </w:p>
    <w:p w14:paraId="12DE60B6">
      <w:pPr>
        <w:widowControl w:val="0"/>
        <w:snapToGrid w:val="0"/>
        <w:spacing w:line="360" w:lineRule="auto"/>
        <w:ind w:firstLine="540" w:firstLineChars="225"/>
        <w:rPr>
          <w:rFonts w:hint="eastAsia" w:ascii="宋体" w:hAnsi="宋体"/>
          <w:color w:val="auto"/>
          <w:sz w:val="24"/>
          <w:szCs w:val="24"/>
          <w:highlight w:val="none"/>
          <w:lang w:eastAsia="zh-CN"/>
        </w:rPr>
      </w:pPr>
      <w:r>
        <w:rPr>
          <w:rFonts w:hint="eastAsia" w:ascii="宋体" w:hAnsi="宋体"/>
          <w:color w:val="auto"/>
          <w:sz w:val="24"/>
          <w:szCs w:val="24"/>
          <w:highlight w:val="none"/>
        </w:rPr>
        <w:t>（2）本项目（是/否）接受联合体投标：同“项目基本情况”1.7款要求</w:t>
      </w:r>
      <w:r>
        <w:rPr>
          <w:rFonts w:hint="eastAsia" w:ascii="宋体" w:hAnsi="宋体"/>
          <w:color w:val="auto"/>
          <w:sz w:val="24"/>
          <w:szCs w:val="24"/>
          <w:highlight w:val="none"/>
          <w:lang w:eastAsia="zh-CN"/>
        </w:rPr>
        <w:t>。</w:t>
      </w:r>
    </w:p>
    <w:p w14:paraId="7036392E">
      <w:pPr>
        <w:keepNext w:val="0"/>
        <w:keepLines w:val="0"/>
        <w:pageBreakBefore w:val="0"/>
        <w:widowControl w:val="0"/>
        <w:kinsoku/>
        <w:wordWrap/>
        <w:overflowPunct/>
        <w:topLinePunct w:val="0"/>
        <w:autoSpaceDE/>
        <w:autoSpaceDN/>
        <w:bidi w:val="0"/>
        <w:adjustRightInd w:val="0"/>
        <w:snapToGrid w:val="0"/>
        <w:spacing w:before="0" w:beforeLines="50" w:line="360" w:lineRule="auto"/>
        <w:ind w:firstLine="81" w:firstLineChars="34"/>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注：（1）所有证照均应为有效的证照；文中“近”、“前”指距投标截止时间。</w:t>
      </w:r>
    </w:p>
    <w:p w14:paraId="74AB921B">
      <w:pPr>
        <w:keepNext w:val="0"/>
        <w:keepLines w:val="0"/>
        <w:pageBreakBefore w:val="0"/>
        <w:widowControl w:val="0"/>
        <w:kinsoku/>
        <w:wordWrap/>
        <w:overflowPunct/>
        <w:topLinePunct w:val="0"/>
        <w:autoSpaceDE/>
        <w:autoSpaceDN/>
        <w:bidi w:val="0"/>
        <w:adjustRightInd w:val="0"/>
        <w:snapToGrid w:val="0"/>
        <w:spacing w:line="360" w:lineRule="auto"/>
        <w:ind w:firstLine="540" w:firstLineChars="225"/>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（2）资格证明材料（文件）应附于</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中并经投标人电子签章。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对资格证明材料（文件）真实性有效合规承担责任，提供虚假材料的为无效投标并将进一步追究其责任。</w:t>
      </w:r>
    </w:p>
    <w:p w14:paraId="2A001C0F">
      <w:pPr>
        <w:keepNext w:val="0"/>
        <w:keepLines w:val="0"/>
        <w:pageBreakBefore w:val="0"/>
        <w:widowControl w:val="0"/>
        <w:kinsoku/>
        <w:wordWrap/>
        <w:overflowPunct/>
        <w:topLinePunct w:val="0"/>
        <w:autoSpaceDE/>
        <w:autoSpaceDN/>
        <w:bidi w:val="0"/>
        <w:adjustRightInd w:val="0"/>
        <w:snapToGrid w:val="0"/>
        <w:spacing w:line="360" w:lineRule="auto"/>
        <w:ind w:firstLine="540" w:firstLineChars="225"/>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本项目采取资格后审，开标后，将由采购人或者采购代理机构对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的资格证明材料（文件）等进行资格审核，未按要求逐一提供、或资格审查不合格的为无效投标，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应自负其风险费用。</w:t>
      </w:r>
    </w:p>
    <w:p w14:paraId="744891A0">
      <w:pPr>
        <w:keepNext w:val="0"/>
        <w:keepLines w:val="0"/>
        <w:pageBreakBefore w:val="0"/>
        <w:widowControl w:val="0"/>
        <w:kinsoku/>
        <w:wordWrap/>
        <w:overflowPunct/>
        <w:topLinePunct w:val="0"/>
        <w:autoSpaceDE/>
        <w:autoSpaceDN/>
        <w:bidi w:val="0"/>
        <w:adjustRightInd/>
        <w:snapToGrid w:val="0"/>
        <w:spacing w:line="276" w:lineRule="auto"/>
        <w:jc w:val="left"/>
        <w:textAlignment w:val="baseline"/>
        <w:rPr>
          <w:b/>
          <w:color w:val="auto"/>
          <w:sz w:val="24"/>
          <w:szCs w:val="24"/>
          <w:highlight w:val="none"/>
        </w:rPr>
      </w:pPr>
    </w:p>
    <w:p w14:paraId="622FCC52">
      <w:pPr>
        <w:widowControl w:val="0"/>
        <w:snapToGrid w:val="0"/>
        <w:spacing w:line="360" w:lineRule="auto"/>
        <w:ind w:firstLine="562" w:firstLineChars="200"/>
        <w:rPr>
          <w:rFonts w:hint="eastAsia" w:ascii="黑体" w:hAnsi="黑体" w:eastAsia="黑体"/>
          <w:b/>
          <w:color w:val="auto"/>
          <w:sz w:val="28"/>
          <w:szCs w:val="28"/>
          <w:highlight w:val="none"/>
          <w:lang w:eastAsia="zh-CN"/>
        </w:rPr>
      </w:pPr>
      <w:bookmarkStart w:id="5" w:name="_Toc35393792"/>
      <w:bookmarkStart w:id="6" w:name="_Toc35393623"/>
      <w:r>
        <w:rPr>
          <w:rFonts w:hint="eastAsia" w:ascii="黑体" w:hAnsi="黑体" w:eastAsia="黑体"/>
          <w:b/>
          <w:color w:val="auto"/>
          <w:sz w:val="28"/>
          <w:szCs w:val="28"/>
          <w:highlight w:val="none"/>
        </w:rPr>
        <w:t>3.获取</w:t>
      </w:r>
      <w:bookmarkEnd w:id="5"/>
      <w:bookmarkEnd w:id="6"/>
      <w:r>
        <w:rPr>
          <w:rFonts w:hint="eastAsia" w:ascii="黑体" w:hAnsi="黑体" w:eastAsia="黑体"/>
          <w:b/>
          <w:color w:val="auto"/>
          <w:sz w:val="28"/>
          <w:szCs w:val="28"/>
          <w:highlight w:val="none"/>
          <w:lang w:eastAsia="zh-CN"/>
        </w:rPr>
        <w:t>《招标文件》：</w:t>
      </w:r>
    </w:p>
    <w:p w14:paraId="5BF42324">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bookmarkStart w:id="7" w:name="_Toc28359082"/>
      <w:bookmarkStart w:id="8" w:name="_Toc28359005"/>
      <w:bookmarkStart w:id="9" w:name="_Toc35393793"/>
      <w:bookmarkStart w:id="10" w:name="_Toc35393624"/>
      <w:r>
        <w:rPr>
          <w:rFonts w:hint="eastAsia" w:asciiTheme="minorEastAsia" w:hAnsiTheme="minorEastAsia" w:eastAsiaTheme="minorEastAsia" w:cstheme="minorEastAsia"/>
          <w:color w:val="auto"/>
          <w:sz w:val="24"/>
          <w:szCs w:val="24"/>
          <w:highlight w:val="none"/>
        </w:rPr>
        <w:t>3.1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auto"/>
          <w:sz w:val="24"/>
          <w:szCs w:val="24"/>
          <w:highlight w:val="none"/>
          <w:lang w:val="en-US" w:eastAsia="zh-CN"/>
        </w:rPr>
        <w:t>2026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24</w:t>
      </w:r>
      <w:r>
        <w:rPr>
          <w:rFonts w:hint="eastAsia" w:asciiTheme="minorEastAsia" w:hAnsiTheme="minorEastAsia" w:eastAsiaTheme="minorEastAsia" w:cstheme="minorEastAsia"/>
          <w:color w:val="auto"/>
          <w:sz w:val="24"/>
          <w:szCs w:val="24"/>
          <w:highlight w:val="none"/>
        </w:rPr>
        <w:t>日至</w:t>
      </w:r>
      <w:r>
        <w:rPr>
          <w:rFonts w:hint="eastAsia" w:asciiTheme="minorEastAsia" w:hAnsiTheme="minorEastAsia" w:eastAsiaTheme="minorEastAsia" w:cstheme="minorEastAsia"/>
          <w:color w:val="auto"/>
          <w:sz w:val="24"/>
          <w:szCs w:val="24"/>
          <w:highlight w:val="none"/>
          <w:lang w:val="en-US" w:eastAsia="zh-CN"/>
        </w:rPr>
        <w:t>2026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31</w:t>
      </w:r>
      <w:r>
        <w:rPr>
          <w:rFonts w:hint="eastAsia" w:asciiTheme="minorEastAsia" w:hAnsiTheme="minorEastAsia" w:eastAsiaTheme="minorEastAsia" w:cstheme="minorEastAsia"/>
          <w:color w:val="auto"/>
          <w:sz w:val="24"/>
          <w:szCs w:val="24"/>
          <w:highlight w:val="none"/>
        </w:rPr>
        <w:t>日，每天上午</w:t>
      </w:r>
      <w:r>
        <w:rPr>
          <w:rFonts w:hint="eastAsia" w:asciiTheme="minorEastAsia" w:hAnsiTheme="minorEastAsia" w:eastAsiaTheme="minorEastAsia" w:cstheme="minorEastAsia"/>
          <w:color w:val="auto"/>
          <w:sz w:val="24"/>
          <w:szCs w:val="24"/>
          <w:highlight w:val="none"/>
          <w:lang w:val="en-US" w:eastAsia="zh-CN"/>
        </w:rPr>
        <w:t>00：00</w:t>
      </w:r>
      <w:r>
        <w:rPr>
          <w:rFonts w:hint="eastAsia" w:asciiTheme="minorEastAsia" w:hAnsiTheme="minorEastAsia" w:eastAsiaTheme="minorEastAsia" w:cstheme="minorEastAsia"/>
          <w:color w:val="auto"/>
          <w:sz w:val="24"/>
          <w:szCs w:val="24"/>
          <w:highlight w:val="none"/>
        </w:rPr>
        <w:t>至</w:t>
      </w:r>
      <w:r>
        <w:rPr>
          <w:rFonts w:hint="eastAsia" w:asciiTheme="minorEastAsia" w:hAnsiTheme="minorEastAsia" w:eastAsiaTheme="minorEastAsia" w:cstheme="minorEastAsia"/>
          <w:color w:val="auto"/>
          <w:sz w:val="24"/>
          <w:szCs w:val="24"/>
          <w:highlight w:val="none"/>
          <w:lang w:val="en-US" w:eastAsia="zh-CN"/>
        </w:rPr>
        <w:t>12：00</w:t>
      </w:r>
      <w:r>
        <w:rPr>
          <w:rFonts w:hint="eastAsia" w:asciiTheme="minorEastAsia" w:hAnsiTheme="minorEastAsia" w:eastAsiaTheme="minorEastAsia" w:cstheme="minorEastAsia"/>
          <w:color w:val="auto"/>
          <w:sz w:val="24"/>
          <w:szCs w:val="24"/>
          <w:highlight w:val="none"/>
        </w:rPr>
        <w:t>，下午</w:t>
      </w:r>
      <w:r>
        <w:rPr>
          <w:rFonts w:hint="eastAsia" w:asciiTheme="minorEastAsia" w:hAnsiTheme="minorEastAsia" w:eastAsiaTheme="minorEastAsia" w:cstheme="minorEastAsia"/>
          <w:color w:val="auto"/>
          <w:sz w:val="24"/>
          <w:szCs w:val="24"/>
          <w:highlight w:val="none"/>
          <w:lang w:val="en-US" w:eastAsia="zh-CN"/>
        </w:rPr>
        <w:t>12：00</w:t>
      </w:r>
      <w:r>
        <w:rPr>
          <w:rFonts w:hint="eastAsia" w:asciiTheme="minorEastAsia" w:hAnsiTheme="minorEastAsia" w:eastAsiaTheme="minorEastAsia" w:cstheme="minorEastAsia"/>
          <w:color w:val="auto"/>
          <w:sz w:val="24"/>
          <w:szCs w:val="24"/>
          <w:highlight w:val="none"/>
        </w:rPr>
        <w:t>至</w:t>
      </w:r>
      <w:r>
        <w:rPr>
          <w:rFonts w:hint="eastAsia" w:asciiTheme="minorEastAsia" w:hAnsiTheme="minorEastAsia" w:eastAsiaTheme="minorEastAsia" w:cstheme="minorEastAsia"/>
          <w:color w:val="auto"/>
          <w:sz w:val="24"/>
          <w:szCs w:val="24"/>
          <w:highlight w:val="none"/>
          <w:lang w:val="en-US" w:eastAsia="zh-CN"/>
        </w:rPr>
        <w:t>23：59</w:t>
      </w:r>
      <w:r>
        <w:rPr>
          <w:rFonts w:hint="eastAsia" w:asciiTheme="minorEastAsia" w:hAnsiTheme="minorEastAsia" w:eastAsiaTheme="minorEastAsia" w:cstheme="minorEastAsia"/>
          <w:color w:val="auto"/>
          <w:sz w:val="24"/>
          <w:szCs w:val="24"/>
          <w:highlight w:val="none"/>
        </w:rPr>
        <w:t>（北京时间，法定节假日除外）</w:t>
      </w:r>
      <w:r>
        <w:rPr>
          <w:rFonts w:hint="eastAsia" w:asciiTheme="minorEastAsia" w:hAnsiTheme="minorEastAsia" w:eastAsiaTheme="minorEastAsia" w:cstheme="minorEastAsia"/>
          <w:color w:val="auto"/>
          <w:sz w:val="24"/>
          <w:szCs w:val="24"/>
          <w:highlight w:val="none"/>
          <w:lang w:val="en-US" w:eastAsia="zh-CN"/>
        </w:rPr>
        <w:t>。</w:t>
      </w:r>
    </w:p>
    <w:p w14:paraId="102FEE78">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地点：</w:t>
      </w:r>
      <w:r>
        <w:rPr>
          <w:rFonts w:hint="eastAsia" w:asciiTheme="minorEastAsia" w:hAnsiTheme="minorEastAsia" w:eastAsiaTheme="minorEastAsia" w:cstheme="minorEastAsia"/>
          <w:color w:val="auto"/>
          <w:sz w:val="24"/>
          <w:szCs w:val="24"/>
          <w:highlight w:val="none"/>
          <w:lang w:val="en-US" w:eastAsia="zh-CN"/>
        </w:rPr>
        <w:t>登录</w:t>
      </w:r>
      <w:r>
        <w:rPr>
          <w:rFonts w:hint="eastAsia" w:asciiTheme="minorEastAsia" w:hAnsiTheme="minorEastAsia" w:eastAsiaTheme="minorEastAsia" w:cstheme="minorEastAsia"/>
          <w:color w:val="auto"/>
          <w:sz w:val="24"/>
          <w:szCs w:val="24"/>
          <w:highlight w:val="none"/>
        </w:rPr>
        <w:t>殷都区公共资源交易中心网站</w:t>
      </w:r>
      <w:r>
        <w:rPr>
          <w:rFonts w:hint="eastAsia" w:asciiTheme="minorEastAsia" w:hAnsiTheme="minorEastAsia" w:eastAsiaTheme="minorEastAsia" w:cstheme="minorEastAsia"/>
          <w:color w:val="auto"/>
          <w:sz w:val="21"/>
          <w:szCs w:val="21"/>
          <w:highlight w:val="none"/>
        </w:rPr>
        <w:t>（https://ggzy.anyang.gov.cn/ydggzy）</w:t>
      </w:r>
      <w:r>
        <w:rPr>
          <w:rFonts w:hint="eastAsia" w:asciiTheme="minorEastAsia" w:hAnsiTheme="minorEastAsia" w:eastAsiaTheme="minorEastAsia" w:cstheme="minorEastAsia"/>
          <w:color w:val="auto"/>
          <w:sz w:val="24"/>
          <w:szCs w:val="24"/>
          <w:highlight w:val="none"/>
        </w:rPr>
        <w:t>，在【交易主体登录】入口完成注册。凭数字证书下载</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及其它资料。</w:t>
      </w:r>
    </w:p>
    <w:p w14:paraId="48F681CE">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方式：网上下载；具体流程请查询殷都区公共资源交易中心网站-服务指南-操作手册-《安阳市公共资源交易系统投标人（供应商）操作手册》。如有技术问题请咨询400-998-0000、0372-3387739。</w:t>
      </w:r>
    </w:p>
    <w:p w14:paraId="009C022F">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售价：0元</w:t>
      </w:r>
    </w:p>
    <w:p w14:paraId="075C9822">
      <w:pPr>
        <w:keepNext w:val="0"/>
        <w:keepLines w:val="0"/>
        <w:pageBreakBefore w:val="0"/>
        <w:widowControl w:val="0"/>
        <w:kinsoku/>
        <w:wordWrap/>
        <w:overflowPunct/>
        <w:topLinePunct w:val="0"/>
        <w:autoSpaceDE/>
        <w:autoSpaceDN/>
        <w:bidi w:val="0"/>
        <w:adjustRightInd/>
        <w:snapToGrid w:val="0"/>
        <w:spacing w:line="276" w:lineRule="auto"/>
        <w:jc w:val="left"/>
        <w:textAlignment w:val="baseline"/>
        <w:rPr>
          <w:rFonts w:cs="Times New Roman"/>
          <w:color w:val="auto"/>
          <w:sz w:val="24"/>
          <w:szCs w:val="24"/>
          <w:highlight w:val="none"/>
        </w:rPr>
      </w:pPr>
    </w:p>
    <w:p w14:paraId="61090C70">
      <w:pPr>
        <w:widowControl w:val="0"/>
        <w:snapToGrid w:val="0"/>
        <w:spacing w:line="360" w:lineRule="auto"/>
        <w:ind w:firstLine="562" w:firstLineChars="200"/>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4.提交</w:t>
      </w:r>
      <w:bookmarkEnd w:id="7"/>
      <w:bookmarkEnd w:id="8"/>
      <w:r>
        <w:rPr>
          <w:rFonts w:hint="eastAsia" w:ascii="黑体" w:hAnsi="黑体" w:eastAsia="黑体"/>
          <w:b/>
          <w:color w:val="auto"/>
          <w:sz w:val="28"/>
          <w:szCs w:val="28"/>
          <w:highlight w:val="none"/>
          <w:lang w:eastAsia="zh-CN"/>
        </w:rPr>
        <w:t>《投标文件》</w:t>
      </w:r>
      <w:r>
        <w:rPr>
          <w:rFonts w:hint="eastAsia" w:ascii="黑体" w:hAnsi="黑体" w:eastAsia="黑体"/>
          <w:b/>
          <w:color w:val="auto"/>
          <w:sz w:val="28"/>
          <w:szCs w:val="28"/>
          <w:highlight w:val="none"/>
        </w:rPr>
        <w:t>截止时间</w:t>
      </w:r>
      <w:bookmarkEnd w:id="9"/>
      <w:bookmarkEnd w:id="10"/>
      <w:r>
        <w:rPr>
          <w:rFonts w:hint="eastAsia" w:ascii="黑体" w:hAnsi="黑体" w:eastAsia="黑体"/>
          <w:b/>
          <w:color w:val="auto"/>
          <w:sz w:val="28"/>
          <w:szCs w:val="28"/>
          <w:highlight w:val="none"/>
        </w:rPr>
        <w:t>（投标截止时间及地点）</w:t>
      </w:r>
      <w:r>
        <w:rPr>
          <w:rFonts w:hint="eastAsia" w:ascii="黑体" w:hAnsi="黑体" w:eastAsia="黑体"/>
          <w:b/>
          <w:color w:val="auto"/>
          <w:sz w:val="28"/>
          <w:szCs w:val="28"/>
          <w:highlight w:val="none"/>
          <w:lang w:eastAsia="zh-CN"/>
        </w:rPr>
        <w:t>：</w:t>
      </w:r>
    </w:p>
    <w:p w14:paraId="042C4B8D">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时间：2026年</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日09时00分（北京时间）</w:t>
      </w:r>
    </w:p>
    <w:p w14:paraId="4A90CD9C">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地点：于殷都区公共资源交易平台网上上传递交、并由投标人在规定时间远程解密。</w:t>
      </w:r>
    </w:p>
    <w:p w14:paraId="7A2F5DD6">
      <w:pPr>
        <w:keepNext w:val="0"/>
        <w:keepLines w:val="0"/>
        <w:pageBreakBefore w:val="0"/>
        <w:widowControl w:val="0"/>
        <w:kinsoku/>
        <w:wordWrap/>
        <w:overflowPunct/>
        <w:topLinePunct w:val="0"/>
        <w:autoSpaceDE/>
        <w:autoSpaceDN/>
        <w:bidi w:val="0"/>
        <w:adjustRightInd/>
        <w:snapToGrid w:val="0"/>
        <w:spacing w:line="276" w:lineRule="auto"/>
        <w:jc w:val="left"/>
        <w:textAlignment w:val="baseline"/>
        <w:rPr>
          <w:rFonts w:hint="eastAsia" w:asciiTheme="minorEastAsia" w:hAnsiTheme="minorEastAsia" w:eastAsiaTheme="minorEastAsia" w:cstheme="minorEastAsia"/>
          <w:color w:val="auto"/>
          <w:sz w:val="24"/>
          <w:szCs w:val="24"/>
          <w:highlight w:val="none"/>
        </w:rPr>
      </w:pPr>
    </w:p>
    <w:p w14:paraId="243EB48A">
      <w:pPr>
        <w:widowControl w:val="0"/>
        <w:snapToGrid w:val="0"/>
        <w:spacing w:line="360" w:lineRule="auto"/>
        <w:ind w:firstLine="562" w:firstLineChars="200"/>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5.开标时间和地点</w:t>
      </w:r>
      <w:r>
        <w:rPr>
          <w:rFonts w:hint="eastAsia" w:ascii="黑体" w:hAnsi="黑体" w:eastAsia="黑体"/>
          <w:b/>
          <w:color w:val="auto"/>
          <w:sz w:val="28"/>
          <w:szCs w:val="28"/>
          <w:highlight w:val="none"/>
          <w:lang w:eastAsia="zh-CN"/>
        </w:rPr>
        <w:t>：</w:t>
      </w:r>
    </w:p>
    <w:p w14:paraId="28733445">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时间：2026年</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日09时00分（北京时间）</w:t>
      </w:r>
    </w:p>
    <w:p w14:paraId="3A5F4A26">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地点（管理员网上操作地点）：殷都区公共资源交易中心二楼开标</w:t>
      </w: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rPr>
        <w:t>室（安阳市高新区文昌大道与东风路交叉口向南300米路西 东风路342号）。</w:t>
      </w:r>
    </w:p>
    <w:p w14:paraId="41263AE8">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本项目采用远程不见面交易的模式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开标当日，</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无需到开标现场参加开标会议，</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应当在投标截止时间前，使用IE浏览器登录到安阳市公共资源交易不见面开标大厅，点击右上方【登录】按钮进入，在线准时参加开标活动并进行</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解密等。因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原因未能解密、解密失败或解密超时的将被拒绝。</w:t>
      </w:r>
    </w:p>
    <w:p w14:paraId="4502A21E">
      <w:pPr>
        <w:keepNext w:val="0"/>
        <w:keepLines w:val="0"/>
        <w:pageBreakBefore w:val="0"/>
        <w:widowControl w:val="0"/>
        <w:kinsoku/>
        <w:wordWrap/>
        <w:overflowPunct/>
        <w:topLinePunct w:val="0"/>
        <w:autoSpaceDE/>
        <w:autoSpaceDN/>
        <w:bidi w:val="0"/>
        <w:adjustRightInd/>
        <w:snapToGrid w:val="0"/>
        <w:spacing w:line="276" w:lineRule="auto"/>
        <w:jc w:val="left"/>
        <w:textAlignment w:val="baseline"/>
        <w:rPr>
          <w:rFonts w:hint="eastAsia" w:asciiTheme="minorEastAsia" w:hAnsiTheme="minorEastAsia" w:eastAsiaTheme="minorEastAsia" w:cstheme="minorEastAsia"/>
          <w:color w:val="auto"/>
          <w:sz w:val="24"/>
          <w:szCs w:val="24"/>
          <w:highlight w:val="none"/>
        </w:rPr>
      </w:pPr>
    </w:p>
    <w:p w14:paraId="0DB4E39B">
      <w:pPr>
        <w:widowControl w:val="0"/>
        <w:snapToGrid w:val="0"/>
        <w:spacing w:line="360" w:lineRule="auto"/>
        <w:ind w:firstLine="562" w:firstLineChars="200"/>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6.发布公告的媒介及招标公告期限</w:t>
      </w:r>
      <w:r>
        <w:rPr>
          <w:rFonts w:hint="eastAsia" w:ascii="黑体" w:hAnsi="黑体" w:eastAsia="黑体"/>
          <w:b/>
          <w:color w:val="auto"/>
          <w:sz w:val="28"/>
          <w:szCs w:val="28"/>
          <w:highlight w:val="none"/>
          <w:lang w:eastAsia="zh-CN"/>
        </w:rPr>
        <w:t>：</w:t>
      </w:r>
    </w:p>
    <w:p w14:paraId="1370A1D0">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本项目在“河南省政府采购网（安阳市政府采购网）”、“全国公共资源交易平台（河南省·殷都区）殷都区公共资源交易中心”、“安阳招标采购网”网站上同期发布。招标公告期限为五个工作日。</w:t>
      </w:r>
    </w:p>
    <w:p w14:paraId="63760EBE">
      <w:pPr>
        <w:keepNext w:val="0"/>
        <w:keepLines w:val="0"/>
        <w:pageBreakBefore w:val="0"/>
        <w:widowControl w:val="0"/>
        <w:kinsoku/>
        <w:wordWrap/>
        <w:overflowPunct/>
        <w:topLinePunct w:val="0"/>
        <w:autoSpaceDE/>
        <w:autoSpaceDN/>
        <w:bidi w:val="0"/>
        <w:adjustRightInd/>
        <w:snapToGrid w:val="0"/>
        <w:spacing w:line="276" w:lineRule="auto"/>
        <w:jc w:val="left"/>
        <w:textAlignment w:val="baseline"/>
        <w:rPr>
          <w:rFonts w:ascii="宋体" w:hAnsi="宋体"/>
          <w:color w:val="auto"/>
          <w:kern w:val="2"/>
          <w:sz w:val="24"/>
          <w:szCs w:val="24"/>
          <w:highlight w:val="none"/>
        </w:rPr>
      </w:pPr>
    </w:p>
    <w:p w14:paraId="4714F6BB">
      <w:pPr>
        <w:widowControl w:val="0"/>
        <w:snapToGrid w:val="0"/>
        <w:spacing w:line="360" w:lineRule="auto"/>
        <w:ind w:firstLine="562" w:firstLineChars="200"/>
        <w:rPr>
          <w:rFonts w:hint="eastAsia" w:ascii="黑体" w:hAnsi="黑体" w:eastAsia="黑体"/>
          <w:b/>
          <w:color w:val="auto"/>
          <w:sz w:val="28"/>
          <w:szCs w:val="28"/>
          <w:highlight w:val="none"/>
          <w:lang w:eastAsia="zh-CN"/>
        </w:rPr>
      </w:pPr>
      <w:bookmarkStart w:id="11" w:name="_Toc35393626"/>
      <w:bookmarkStart w:id="12" w:name="_Toc35393795"/>
      <w:r>
        <w:rPr>
          <w:rFonts w:hint="eastAsia" w:ascii="黑体" w:hAnsi="黑体" w:eastAsia="黑体"/>
          <w:b/>
          <w:color w:val="auto"/>
          <w:sz w:val="28"/>
          <w:szCs w:val="28"/>
          <w:highlight w:val="none"/>
        </w:rPr>
        <w:t>7.其他补充事宜</w:t>
      </w:r>
      <w:bookmarkEnd w:id="11"/>
      <w:bookmarkEnd w:id="12"/>
      <w:r>
        <w:rPr>
          <w:rFonts w:hint="eastAsia" w:ascii="黑体" w:hAnsi="黑体" w:eastAsia="黑体"/>
          <w:b/>
          <w:color w:val="auto"/>
          <w:sz w:val="28"/>
          <w:szCs w:val="28"/>
          <w:highlight w:val="none"/>
          <w:lang w:eastAsia="zh-CN"/>
        </w:rPr>
        <w:t>：</w:t>
      </w:r>
    </w:p>
    <w:p w14:paraId="45D3D8AF">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项目落实的政府采购政策：强制节能产品强制采购、节能产品、环境标志产品优先采购、促进中小企业发展扶持政策、进口产品政策、信息安全产品、社会信用体系建设、促进残疾人就业、支持监狱企业发展、支持绿色建筑、绿色建材，支持不发达、少数民族地区的企业，促进自主创新产业发展，支持脱贫攻坚、本国产品的支持政策等。</w:t>
      </w:r>
    </w:p>
    <w:p w14:paraId="6846A480">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政府采购合同融资</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根据豫财购〔2017〕10号和安财购〔2017〕7号文要求，参加政府采购项目的中小微企业供应商，持中标（成交）通知书可向金融机构申请合同融资，详情请登录安阳市政府采购网，进入网站飘窗或业务指南窗口了解金融机构提供的融资服务内容。</w:t>
      </w:r>
    </w:p>
    <w:p w14:paraId="3931F302">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7.3 网上电子交易系统网址</w:t>
      </w:r>
      <w:r>
        <w:rPr>
          <w:rFonts w:hint="eastAsia" w:asciiTheme="minorEastAsia" w:hAnsiTheme="minorEastAsia" w:eastAsiaTheme="minorEastAsia" w:cstheme="minorEastAsia"/>
          <w:color w:val="auto"/>
          <w:sz w:val="24"/>
          <w:szCs w:val="24"/>
          <w:highlight w:val="none"/>
          <w:lang w:eastAsia="zh-CN"/>
        </w:rPr>
        <w:t>：</w:t>
      </w:r>
    </w:p>
    <w:p w14:paraId="40746D64">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bookmarkStart w:id="13" w:name="_Toc35393796"/>
      <w:bookmarkStart w:id="14" w:name="_Toc28359085"/>
      <w:bookmarkStart w:id="15" w:name="_Toc35393627"/>
      <w:bookmarkStart w:id="16" w:name="_Toc28359008"/>
      <w:r>
        <w:rPr>
          <w:rFonts w:hint="eastAsia" w:asciiTheme="minorEastAsia" w:hAnsiTheme="minorEastAsia" w:eastAsiaTheme="minorEastAsia" w:cstheme="minorEastAsia"/>
          <w:color w:val="auto"/>
          <w:sz w:val="24"/>
          <w:szCs w:val="24"/>
          <w:highlight w:val="none"/>
        </w:rPr>
        <w:t>7.3.1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全国公共资源交易平台（河南省·殷都区）</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"https://ggzy.anyang.gov.cn/ydggzy"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https://ggzy.anyang.gov.cn/ydggzy</w:t>
      </w:r>
      <w:r>
        <w:rPr>
          <w:rFonts w:hint="eastAsia" w:asciiTheme="minorEastAsia" w:hAnsiTheme="minorEastAsia" w:eastAsiaTheme="minorEastAsia" w:cstheme="minorEastAsia"/>
          <w:color w:val="auto"/>
          <w:sz w:val="21"/>
          <w:szCs w:val="21"/>
          <w:highlight w:val="none"/>
        </w:rPr>
        <w:fldChar w:fldCharType="end"/>
      </w:r>
    </w:p>
    <w:p w14:paraId="6EC88F31">
      <w:pPr>
        <w:widowControl w:val="0"/>
        <w:adjustRightInd w:val="0"/>
        <w:snapToGrid w:val="0"/>
        <w:spacing w:line="360" w:lineRule="auto"/>
        <w:ind w:firstLine="1200" w:firstLineChars="5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简称“殷都区公共资源交易平台”</w:t>
      </w:r>
      <w:r>
        <w:rPr>
          <w:rFonts w:hint="eastAsia" w:asciiTheme="minorEastAsia" w:hAnsiTheme="minorEastAsia" w:eastAsiaTheme="minorEastAsia" w:cstheme="minorEastAsia"/>
          <w:color w:val="auto"/>
          <w:sz w:val="24"/>
          <w:szCs w:val="24"/>
          <w:highlight w:val="none"/>
        </w:rPr>
        <w:tab/>
      </w:r>
    </w:p>
    <w:p w14:paraId="3BB77D6F">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制作软件：在殷都区公共资源交易平台进行下载、并安装</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制作工具，查看</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和制作电子</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w:t>
      </w:r>
    </w:p>
    <w:p w14:paraId="2D071B3B">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监督检查提示：政府采购监督管理部门将依据“双随机一公开”原则，定期或不定期随机抽取政府采购项目进行监督检查，审查供应商</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的真实性，重点审查中标、成交供应商，财政部门认为有必要的，可以对其他参加采购活动的供应商一并审查。如发现提供虚假材料谋取中标的情形，将按照政府采购法顶格给予处罚。</w:t>
      </w:r>
    </w:p>
    <w:p w14:paraId="3E1B3471">
      <w:pPr>
        <w:keepNext w:val="0"/>
        <w:keepLines w:val="0"/>
        <w:pageBreakBefore w:val="0"/>
        <w:widowControl w:val="0"/>
        <w:kinsoku/>
        <w:wordWrap/>
        <w:overflowPunct/>
        <w:topLinePunct w:val="0"/>
        <w:autoSpaceDE/>
        <w:autoSpaceDN/>
        <w:bidi w:val="0"/>
        <w:adjustRightInd/>
        <w:snapToGrid w:val="0"/>
        <w:spacing w:line="276" w:lineRule="auto"/>
        <w:jc w:val="left"/>
        <w:textAlignment w:val="baseline"/>
        <w:rPr>
          <w:rFonts w:hint="eastAsia" w:asciiTheme="minorEastAsia" w:hAnsiTheme="minorEastAsia" w:eastAsiaTheme="minorEastAsia" w:cstheme="minorEastAsia"/>
          <w:b/>
          <w:color w:val="auto"/>
          <w:sz w:val="24"/>
          <w:szCs w:val="24"/>
          <w:highlight w:val="none"/>
        </w:rPr>
      </w:pPr>
    </w:p>
    <w:p w14:paraId="2AFB6685">
      <w:pPr>
        <w:widowControl w:val="0"/>
        <w:snapToGrid w:val="0"/>
        <w:spacing w:line="360" w:lineRule="auto"/>
        <w:ind w:firstLine="562" w:firstLineChars="200"/>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8.对本次招标提出询问，请按以下方式联系</w:t>
      </w:r>
      <w:bookmarkEnd w:id="13"/>
      <w:bookmarkEnd w:id="14"/>
      <w:bookmarkEnd w:id="15"/>
      <w:bookmarkEnd w:id="16"/>
      <w:r>
        <w:rPr>
          <w:rFonts w:hint="eastAsia" w:ascii="黑体" w:hAnsi="黑体" w:eastAsia="黑体"/>
          <w:b/>
          <w:color w:val="auto"/>
          <w:sz w:val="28"/>
          <w:szCs w:val="28"/>
          <w:highlight w:val="none"/>
          <w:lang w:eastAsia="zh-CN"/>
        </w:rPr>
        <w:t>：</w:t>
      </w:r>
    </w:p>
    <w:p w14:paraId="4A5F4B4D">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8.1 采购人信息</w:t>
      </w:r>
      <w:r>
        <w:rPr>
          <w:rFonts w:hint="eastAsia" w:asciiTheme="minorEastAsia" w:hAnsiTheme="minorEastAsia" w:eastAsiaTheme="minorEastAsia" w:cstheme="minorEastAsia"/>
          <w:color w:val="auto"/>
          <w:sz w:val="24"/>
          <w:szCs w:val="24"/>
          <w:highlight w:val="none"/>
          <w:lang w:eastAsia="zh-CN"/>
        </w:rPr>
        <w:t>：</w:t>
      </w:r>
    </w:p>
    <w:p w14:paraId="404EAEAE">
      <w:pPr>
        <w:widowControl w:val="0"/>
        <w:adjustRightInd w:val="0"/>
        <w:snapToGrid w:val="0"/>
        <w:spacing w:line="360" w:lineRule="auto"/>
        <w:ind w:firstLine="1020" w:firstLineChars="425"/>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名称：</w:t>
      </w:r>
      <w:r>
        <w:rPr>
          <w:rFonts w:hint="eastAsia" w:asciiTheme="minorEastAsia" w:hAnsiTheme="minorEastAsia" w:eastAsiaTheme="minorEastAsia" w:cstheme="minorEastAsia"/>
          <w:color w:val="auto"/>
          <w:sz w:val="24"/>
          <w:szCs w:val="24"/>
          <w:highlight w:val="none"/>
          <w:lang w:eastAsia="zh-CN"/>
        </w:rPr>
        <w:t>安阳新型化工产业园区铜冶片区管理委员会</w:t>
      </w:r>
    </w:p>
    <w:p w14:paraId="46482CDB">
      <w:pPr>
        <w:widowControl w:val="0"/>
        <w:adjustRightInd w:val="0"/>
        <w:snapToGrid w:val="0"/>
        <w:spacing w:line="360" w:lineRule="auto"/>
        <w:ind w:firstLine="1020" w:firstLineChars="425"/>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lang w:eastAsia="zh-CN"/>
        </w:rPr>
        <w:t>安阳市殷都区</w:t>
      </w:r>
      <w:r>
        <w:rPr>
          <w:rFonts w:hint="eastAsia" w:asciiTheme="minorEastAsia" w:hAnsiTheme="minorEastAsia" w:eastAsiaTheme="minorEastAsia" w:cstheme="minorEastAsia"/>
          <w:color w:val="auto"/>
          <w:sz w:val="24"/>
          <w:szCs w:val="24"/>
          <w:highlight w:val="none"/>
          <w:lang w:val="en-US" w:eastAsia="zh-CN"/>
        </w:rPr>
        <w:t>221省道东50米</w:t>
      </w:r>
    </w:p>
    <w:p w14:paraId="7AD4C596">
      <w:pPr>
        <w:widowControl w:val="0"/>
        <w:adjustRightInd w:val="0"/>
        <w:snapToGrid w:val="0"/>
        <w:spacing w:line="360" w:lineRule="auto"/>
        <w:ind w:firstLine="1020" w:firstLineChars="425"/>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lang w:eastAsia="zh-CN"/>
        </w:rPr>
        <w:t>刘鹏飞</w:t>
      </w:r>
    </w:p>
    <w:p w14:paraId="34199605">
      <w:pPr>
        <w:widowControl w:val="0"/>
        <w:adjustRightInd w:val="0"/>
        <w:snapToGrid w:val="0"/>
        <w:spacing w:line="360" w:lineRule="auto"/>
        <w:ind w:firstLine="1020" w:firstLineChars="4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r>
        <w:rPr>
          <w:rFonts w:hint="eastAsia" w:asciiTheme="minorEastAsia" w:hAnsiTheme="minorEastAsia" w:eastAsiaTheme="minorEastAsia" w:cstheme="minorEastAsia"/>
          <w:color w:val="auto"/>
          <w:sz w:val="24"/>
          <w:szCs w:val="24"/>
          <w:highlight w:val="none"/>
          <w:lang w:val="en-US" w:eastAsia="zh-CN"/>
        </w:rPr>
        <w:t>18637216636</w:t>
      </w:r>
      <w:r>
        <w:rPr>
          <w:rFonts w:hint="eastAsia" w:asciiTheme="minorEastAsia" w:hAnsiTheme="minorEastAsia" w:eastAsiaTheme="minorEastAsia" w:cstheme="minorEastAsia"/>
          <w:color w:val="auto"/>
          <w:sz w:val="24"/>
          <w:szCs w:val="24"/>
          <w:highlight w:val="none"/>
        </w:rPr>
        <w:t xml:space="preserve">    </w:t>
      </w:r>
      <w:bookmarkStart w:id="17" w:name="_Toc28359009"/>
      <w:bookmarkStart w:id="18" w:name="_Toc28359086"/>
    </w:p>
    <w:p w14:paraId="2C973F74">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8.2 采购代理机构信息</w:t>
      </w:r>
      <w:bookmarkEnd w:id="17"/>
      <w:bookmarkEnd w:id="18"/>
      <w:r>
        <w:rPr>
          <w:rFonts w:hint="eastAsia" w:asciiTheme="minorEastAsia" w:hAnsiTheme="minorEastAsia" w:eastAsiaTheme="minorEastAsia" w:cstheme="minorEastAsia"/>
          <w:color w:val="auto"/>
          <w:sz w:val="24"/>
          <w:szCs w:val="24"/>
          <w:highlight w:val="none"/>
          <w:lang w:eastAsia="zh-CN"/>
        </w:rPr>
        <w:t>：</w:t>
      </w:r>
    </w:p>
    <w:p w14:paraId="61257BEF">
      <w:pPr>
        <w:widowControl w:val="0"/>
        <w:adjustRightInd w:val="0"/>
        <w:snapToGrid w:val="0"/>
        <w:spacing w:line="360" w:lineRule="auto"/>
        <w:ind w:firstLine="1020" w:firstLineChars="4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名称：安阳市方正招标采购服务有限责任公司</w:t>
      </w:r>
    </w:p>
    <w:p w14:paraId="2DA798F4">
      <w:pPr>
        <w:widowControl w:val="0"/>
        <w:adjustRightInd w:val="0"/>
        <w:snapToGrid w:val="0"/>
        <w:spacing w:line="360" w:lineRule="auto"/>
        <w:ind w:firstLine="1020" w:firstLineChars="4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地址：安阳市安钢大道39号（人民大道北地下道口南侧、安阳粮食产业集团-后院办公楼五楼）</w:t>
      </w:r>
    </w:p>
    <w:p w14:paraId="1821BCB8">
      <w:pPr>
        <w:widowControl w:val="0"/>
        <w:adjustRightInd w:val="0"/>
        <w:snapToGrid w:val="0"/>
        <w:spacing w:line="360" w:lineRule="auto"/>
        <w:ind w:firstLine="1020" w:firstLineChars="425"/>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lang w:eastAsia="zh-CN"/>
        </w:rPr>
        <w:t>彭亚松</w:t>
      </w:r>
    </w:p>
    <w:p w14:paraId="67D303C8">
      <w:pPr>
        <w:widowControl w:val="0"/>
        <w:adjustRightInd w:val="0"/>
        <w:snapToGrid w:val="0"/>
        <w:spacing w:line="360" w:lineRule="auto"/>
        <w:ind w:firstLine="1020" w:firstLineChars="4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bookmarkStart w:id="19" w:name="_Toc28359087"/>
      <w:bookmarkStart w:id="20" w:name="_Toc28359010"/>
      <w:r>
        <w:rPr>
          <w:rFonts w:hint="eastAsia" w:asciiTheme="minorEastAsia" w:hAnsiTheme="minorEastAsia" w:eastAsiaTheme="minorEastAsia" w:cstheme="minorEastAsia"/>
          <w:color w:val="auto"/>
          <w:sz w:val="24"/>
          <w:szCs w:val="24"/>
          <w:highlight w:val="none"/>
        </w:rPr>
        <w:t>0372-2283981、2283982   财务部咨询电话：0372-2283983　</w:t>
      </w:r>
    </w:p>
    <w:p w14:paraId="11B381B8">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8.3 项目联系方式</w:t>
      </w:r>
      <w:bookmarkEnd w:id="19"/>
      <w:bookmarkEnd w:id="20"/>
      <w:r>
        <w:rPr>
          <w:rFonts w:hint="eastAsia" w:asciiTheme="minorEastAsia" w:hAnsiTheme="minorEastAsia" w:eastAsiaTheme="minorEastAsia" w:cstheme="minorEastAsia"/>
          <w:color w:val="auto"/>
          <w:sz w:val="24"/>
          <w:szCs w:val="24"/>
          <w:highlight w:val="none"/>
          <w:lang w:eastAsia="zh-CN"/>
        </w:rPr>
        <w:t>：</w:t>
      </w:r>
    </w:p>
    <w:p w14:paraId="2779E686">
      <w:pPr>
        <w:widowControl w:val="0"/>
        <w:adjustRightInd w:val="0"/>
        <w:snapToGrid w:val="0"/>
        <w:spacing w:line="360" w:lineRule="auto"/>
        <w:ind w:firstLine="1020" w:firstLineChars="425"/>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项目联系人：</w:t>
      </w:r>
      <w:r>
        <w:rPr>
          <w:rFonts w:hint="eastAsia" w:asciiTheme="minorEastAsia" w:hAnsiTheme="minorEastAsia" w:eastAsiaTheme="minorEastAsia" w:cstheme="minorEastAsia"/>
          <w:color w:val="auto"/>
          <w:sz w:val="24"/>
          <w:szCs w:val="24"/>
          <w:highlight w:val="none"/>
          <w:lang w:eastAsia="zh-CN"/>
        </w:rPr>
        <w:t>彭亚松</w:t>
      </w:r>
    </w:p>
    <w:p w14:paraId="75C89997">
      <w:pPr>
        <w:widowControl w:val="0"/>
        <w:adjustRightInd w:val="0"/>
        <w:snapToGrid w:val="0"/>
        <w:spacing w:line="360" w:lineRule="auto"/>
        <w:ind w:firstLine="1020" w:firstLineChars="425"/>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联系方式：</w:t>
      </w:r>
      <w:r>
        <w:rPr>
          <w:rFonts w:hint="eastAsia" w:asciiTheme="minorEastAsia" w:hAnsiTheme="minorEastAsia" w:eastAsiaTheme="minorEastAsia" w:cstheme="minorEastAsia"/>
          <w:color w:val="auto"/>
          <w:sz w:val="24"/>
          <w:szCs w:val="24"/>
          <w:highlight w:val="none"/>
          <w:lang w:val="en-US" w:eastAsia="zh-CN"/>
        </w:rPr>
        <w:t>15670030799</w:t>
      </w:r>
    </w:p>
    <w:p w14:paraId="3A5809D3">
      <w:pPr>
        <w:keepNext w:val="0"/>
        <w:keepLines w:val="0"/>
        <w:pageBreakBefore w:val="0"/>
        <w:widowControl w:val="0"/>
        <w:kinsoku/>
        <w:wordWrap/>
        <w:overflowPunct/>
        <w:topLinePunct w:val="0"/>
        <w:autoSpaceDE/>
        <w:autoSpaceDN/>
        <w:bidi w:val="0"/>
        <w:adjustRightInd/>
        <w:snapToGrid w:val="0"/>
        <w:spacing w:line="276" w:lineRule="auto"/>
        <w:jc w:val="left"/>
        <w:textAlignment w:val="baseline"/>
        <w:rPr>
          <w:color w:val="auto"/>
          <w:sz w:val="24"/>
          <w:szCs w:val="24"/>
          <w:highlight w:val="none"/>
        </w:rPr>
      </w:pPr>
    </w:p>
    <w:p w14:paraId="58E81C9F">
      <w:pPr>
        <w:widowControl w:val="0"/>
        <w:snapToGrid w:val="0"/>
        <w:spacing w:line="360" w:lineRule="auto"/>
        <w:ind w:firstLine="562" w:firstLineChars="200"/>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9.网上电子交易提示：</w:t>
      </w:r>
    </w:p>
    <w:p w14:paraId="3114FAC8">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注册：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完成注册、办理数字证书后，方可获取</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、参加投标等网上电子交易。</w:t>
      </w:r>
    </w:p>
    <w:p w14:paraId="4555713B">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 获取</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：按本章第3条“获取</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”办理。</w:t>
      </w:r>
    </w:p>
    <w:p w14:paraId="156BF8BD">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9.3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的澄清与修改或延期的通知：按</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 xml:space="preserve">第三章“投标人须知”第2条“2.4 </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的澄清、修改、补充的通知，及相应时间变更”执行。</w:t>
      </w:r>
      <w:r>
        <w:rPr>
          <w:rFonts w:hint="eastAsia" w:asciiTheme="minorEastAsia" w:hAnsiTheme="minorEastAsia" w:eastAsiaTheme="minorEastAsia" w:cstheme="minorEastAsia"/>
          <w:b/>
          <w:bCs/>
          <w:color w:val="auto"/>
          <w:sz w:val="24"/>
          <w:szCs w:val="24"/>
          <w:highlight w:val="none"/>
          <w:lang w:val="zh-CN"/>
        </w:rPr>
        <w:t>不另行通知</w:t>
      </w:r>
      <w:r>
        <w:rPr>
          <w:rFonts w:hint="eastAsia" w:asciiTheme="minorEastAsia" w:hAnsiTheme="minorEastAsia" w:eastAsiaTheme="minorEastAsia" w:cstheme="minorEastAsia"/>
          <w:color w:val="auto"/>
          <w:sz w:val="24"/>
          <w:szCs w:val="24"/>
          <w:highlight w:val="none"/>
          <w:lang w:val="zh-CN"/>
        </w:rPr>
        <w:t>。</w:t>
      </w:r>
    </w:p>
    <w:p w14:paraId="0CC4BFB2">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9.4</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编制：在</w:t>
      </w:r>
      <w:r>
        <w:rPr>
          <w:rFonts w:hint="eastAsia" w:asciiTheme="minorEastAsia" w:hAnsiTheme="minorEastAsia" w:eastAsiaTheme="minorEastAsia" w:cstheme="minorEastAsia"/>
          <w:color w:val="auto"/>
          <w:sz w:val="24"/>
          <w:szCs w:val="24"/>
          <w:highlight w:val="none"/>
          <w:lang w:eastAsia="zh-CN"/>
        </w:rPr>
        <w:t>殷都区</w:t>
      </w:r>
      <w:r>
        <w:rPr>
          <w:rFonts w:hint="eastAsia" w:asciiTheme="minorEastAsia" w:hAnsiTheme="minorEastAsia" w:eastAsiaTheme="minorEastAsia" w:cstheme="minorEastAsia"/>
          <w:color w:val="auto"/>
          <w:sz w:val="24"/>
          <w:szCs w:val="24"/>
          <w:highlight w:val="none"/>
        </w:rPr>
        <w:t>公共资源交易中心网站下载并安装</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制作工具、进行编制，按</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第三章“投标人须知”第3条第7款“3.7</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的编制”执行，</w:t>
      </w:r>
      <w:r>
        <w:rPr>
          <w:rFonts w:hint="eastAsia" w:asciiTheme="minorEastAsia" w:hAnsiTheme="minorEastAsia" w:eastAsiaTheme="minorEastAsia" w:cstheme="minorEastAsia"/>
          <w:b/>
          <w:bCs/>
          <w:color w:val="auto"/>
          <w:sz w:val="24"/>
          <w:szCs w:val="24"/>
          <w:highlight w:val="none"/>
          <w:lang w:val="zh-CN"/>
        </w:rPr>
        <w:t>否则将会评定为无效投标</w:t>
      </w:r>
      <w:r>
        <w:rPr>
          <w:rFonts w:hint="eastAsia" w:asciiTheme="minorEastAsia" w:hAnsiTheme="minorEastAsia" w:eastAsiaTheme="minorEastAsia" w:cstheme="minorEastAsia"/>
          <w:color w:val="auto"/>
          <w:sz w:val="24"/>
          <w:szCs w:val="24"/>
          <w:highlight w:val="none"/>
          <w:lang w:val="zh-CN"/>
        </w:rPr>
        <w:t>。</w:t>
      </w:r>
    </w:p>
    <w:p w14:paraId="28B7CB9F">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9.5</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递交：</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应在投标截止时间前上传加密的电子</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（*.aytf）到</w:t>
      </w:r>
      <w:r>
        <w:rPr>
          <w:rFonts w:hint="eastAsia" w:asciiTheme="minorEastAsia" w:hAnsiTheme="minorEastAsia" w:eastAsiaTheme="minorEastAsia" w:cstheme="minorEastAsia"/>
          <w:color w:val="auto"/>
          <w:sz w:val="24"/>
          <w:szCs w:val="24"/>
          <w:highlight w:val="none"/>
          <w:lang w:eastAsia="zh-CN"/>
        </w:rPr>
        <w:t>殷都区</w:t>
      </w:r>
      <w:r>
        <w:rPr>
          <w:rFonts w:hint="eastAsia" w:asciiTheme="minorEastAsia" w:hAnsiTheme="minorEastAsia" w:eastAsiaTheme="minorEastAsia" w:cstheme="minorEastAsia"/>
          <w:color w:val="auto"/>
          <w:sz w:val="24"/>
          <w:szCs w:val="24"/>
          <w:highlight w:val="none"/>
        </w:rPr>
        <w:t>公共资源交易平台，按</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第三章“投标人须知”第4条“4.投标”执行，</w:t>
      </w:r>
      <w:r>
        <w:rPr>
          <w:rFonts w:hint="eastAsia" w:asciiTheme="minorEastAsia" w:hAnsiTheme="minorEastAsia" w:eastAsiaTheme="minorEastAsia" w:cstheme="minorEastAsia"/>
          <w:b/>
          <w:bCs/>
          <w:color w:val="auto"/>
          <w:sz w:val="24"/>
          <w:szCs w:val="24"/>
          <w:highlight w:val="none"/>
          <w:lang w:val="zh-CN"/>
        </w:rPr>
        <w:t>否则将会评定为无效投标</w:t>
      </w:r>
      <w:r>
        <w:rPr>
          <w:rFonts w:hint="eastAsia" w:asciiTheme="minorEastAsia" w:hAnsiTheme="minorEastAsia" w:eastAsiaTheme="minorEastAsia" w:cstheme="minorEastAsia"/>
          <w:color w:val="auto"/>
          <w:sz w:val="24"/>
          <w:szCs w:val="24"/>
          <w:highlight w:val="none"/>
          <w:lang w:val="zh-CN"/>
        </w:rPr>
        <w:t>。</w:t>
      </w:r>
    </w:p>
    <w:p w14:paraId="0A75FF4E">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9.6</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解密：本项目采用远程不见面交易的模式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开标当日，</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无需到开标现场参加开标会议，</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应当在投标截止时间前，使用IE浏览器登录到安阳市公共资源交易不见面开标大厅，点击右上方【登录】按钮进入，在线准时参加开标活动并进行</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解密等。按</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第三章“投标人须知”第5条“5.开标”执行，</w:t>
      </w:r>
      <w:r>
        <w:rPr>
          <w:rFonts w:hint="eastAsia" w:asciiTheme="minorEastAsia" w:hAnsiTheme="minorEastAsia" w:eastAsiaTheme="minorEastAsia" w:cstheme="minorEastAsia"/>
          <w:b/>
          <w:bCs/>
          <w:color w:val="auto"/>
          <w:sz w:val="24"/>
          <w:szCs w:val="24"/>
          <w:highlight w:val="none"/>
          <w:lang w:val="zh-CN"/>
        </w:rPr>
        <w:t>否则其投标将不能被接受</w:t>
      </w:r>
      <w:r>
        <w:rPr>
          <w:rFonts w:hint="eastAsia" w:asciiTheme="minorEastAsia" w:hAnsiTheme="minorEastAsia" w:eastAsiaTheme="minorEastAsia" w:cstheme="minorEastAsia"/>
          <w:color w:val="auto"/>
          <w:sz w:val="24"/>
          <w:szCs w:val="24"/>
          <w:highlight w:val="none"/>
          <w:lang w:val="zh-CN"/>
        </w:rPr>
        <w:t>。</w:t>
      </w:r>
    </w:p>
    <w:p w14:paraId="4439B2C5">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9.7</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zh-CN"/>
        </w:rPr>
        <w:t>锁名称变更或者延期可能会导致开标过程无法正常解密标书。开标过程中解密必须使用生成标书时使用的CA锁，丢失、变更、延期都会导致无法解密。如无待开标解密项目，变更或者延期不影响正常的业务操作，但需要注意如下事项：</w:t>
      </w:r>
    </w:p>
    <w:p w14:paraId="3163BEBE">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①锁名称变更前建议先在交易系统修改单位名称为最新的，变更完成后再变更锁名称，以免因名称不一致无法正常登录系统。</w:t>
      </w:r>
    </w:p>
    <w:p w14:paraId="3E069913">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②锁延期之后序列号可能会发生改变（视不同CA而定），变更后需要重新进行绑定。</w:t>
      </w:r>
    </w:p>
    <w:p w14:paraId="240F8169">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9.8</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政府采购电子交易中，</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网上电子交易的系统操作规则应以安阳市公共资源交易平台即时发布的相关规则为准。</w:t>
      </w:r>
    </w:p>
    <w:p w14:paraId="41A7C007">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9.9</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望</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充分熟悉网上电子交易操作流程、以便有效投标。</w:t>
      </w:r>
    </w:p>
    <w:p w14:paraId="35CFBA74">
      <w:pPr>
        <w:widowControl w:val="0"/>
        <w:adjustRightInd w:val="0"/>
        <w:snapToGrid w:val="0"/>
        <w:spacing w:line="360" w:lineRule="auto"/>
        <w:ind w:firstLine="540" w:firstLineChars="225"/>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9.10 如遇到网上系统操作等技术问题请咨询400-998-0000、0372-3387739。</w:t>
      </w:r>
    </w:p>
    <w:p w14:paraId="632339B9">
      <w:pPr>
        <w:widowControl w:val="0"/>
        <w:tabs>
          <w:tab w:val="left" w:pos="39"/>
          <w:tab w:val="left" w:pos="96"/>
        </w:tabs>
        <w:snapToGrid w:val="0"/>
        <w:spacing w:line="360" w:lineRule="auto"/>
        <w:ind w:firstLine="540" w:firstLineChars="225"/>
        <w:rPr>
          <w:rFonts w:ascii="宋体"/>
          <w:color w:val="auto"/>
          <w:sz w:val="24"/>
          <w:szCs w:val="24"/>
          <w:highlight w:val="none"/>
        </w:rPr>
      </w:pPr>
    </w:p>
    <w:p w14:paraId="3D4EAAAD">
      <w:pPr>
        <w:widowControl w:val="0"/>
        <w:tabs>
          <w:tab w:val="left" w:pos="39"/>
          <w:tab w:val="left" w:pos="96"/>
        </w:tabs>
        <w:snapToGrid w:val="0"/>
        <w:spacing w:line="360" w:lineRule="auto"/>
        <w:ind w:firstLine="5220" w:firstLineChars="2175"/>
        <w:jc w:val="right"/>
        <w:rPr>
          <w:rFonts w:ascii="宋体"/>
          <w:color w:val="auto"/>
          <w:sz w:val="24"/>
          <w:szCs w:val="24"/>
          <w:highlight w:val="none"/>
        </w:rPr>
      </w:pPr>
      <w:r>
        <w:rPr>
          <w:rFonts w:hint="eastAsia" w:ascii="宋体"/>
          <w:color w:val="auto"/>
          <w:sz w:val="24"/>
          <w:szCs w:val="24"/>
          <w:highlight w:val="none"/>
        </w:rPr>
        <w:t>安阳市方正招标采购服务有限责任公司</w:t>
      </w:r>
    </w:p>
    <w:p w14:paraId="692B1170">
      <w:pPr>
        <w:widowControl w:val="0"/>
        <w:tabs>
          <w:tab w:val="left" w:pos="39"/>
          <w:tab w:val="left" w:pos="96"/>
        </w:tabs>
        <w:snapToGrid w:val="0"/>
        <w:spacing w:line="360" w:lineRule="auto"/>
        <w:ind w:firstLine="540" w:firstLineChars="225"/>
        <w:jc w:val="right"/>
        <w:rPr>
          <w:rFonts w:ascii="宋体"/>
          <w:color w:val="auto"/>
          <w:sz w:val="24"/>
          <w:szCs w:val="24"/>
          <w:highlight w:val="none"/>
        </w:rPr>
      </w:pPr>
      <w:r>
        <w:rPr>
          <w:rFonts w:hint="eastAsia" w:ascii="宋体"/>
          <w:color w:val="auto"/>
          <w:sz w:val="24"/>
          <w:szCs w:val="24"/>
          <w:highlight w:val="none"/>
        </w:rPr>
        <w:t>二〇二六年</w:t>
      </w:r>
      <w:r>
        <w:rPr>
          <w:rFonts w:hint="eastAsia" w:ascii="宋体"/>
          <w:color w:val="auto"/>
          <w:sz w:val="24"/>
          <w:szCs w:val="24"/>
          <w:highlight w:val="none"/>
          <w:lang w:val="en-US" w:eastAsia="zh-CN"/>
        </w:rPr>
        <w:t>七</w:t>
      </w:r>
      <w:r>
        <w:rPr>
          <w:rFonts w:hint="eastAsia" w:ascii="宋体"/>
          <w:color w:val="auto"/>
          <w:sz w:val="24"/>
          <w:szCs w:val="24"/>
          <w:highlight w:val="none"/>
        </w:rPr>
        <w:t>月</w:t>
      </w:r>
      <w:r>
        <w:rPr>
          <w:rFonts w:hint="eastAsia" w:ascii="宋体"/>
          <w:color w:val="auto"/>
          <w:sz w:val="24"/>
          <w:szCs w:val="24"/>
          <w:highlight w:val="none"/>
          <w:lang w:val="en-US" w:eastAsia="zh-CN"/>
        </w:rPr>
        <w:t>二十四</w:t>
      </w:r>
      <w:r>
        <w:rPr>
          <w:rFonts w:hint="eastAsia" w:ascii="宋体"/>
          <w:color w:val="auto"/>
          <w:sz w:val="24"/>
          <w:szCs w:val="24"/>
          <w:highlight w:val="none"/>
        </w:rPr>
        <w:t>日</w:t>
      </w:r>
    </w:p>
    <w:p w14:paraId="44F487A2">
      <w:pPr>
        <w:keepNext w:val="0"/>
        <w:keepLines w:val="0"/>
        <w:pageBreakBefore w:val="0"/>
        <w:widowControl w:val="0"/>
        <w:kinsoku/>
        <w:wordWrap/>
        <w:overflowPunct/>
        <w:topLinePunct w:val="0"/>
        <w:autoSpaceDE/>
        <w:autoSpaceDN/>
        <w:bidi w:val="0"/>
        <w:adjustRightInd/>
        <w:snapToGrid w:val="0"/>
        <w:spacing w:line="276" w:lineRule="auto"/>
        <w:jc w:val="center"/>
        <w:textAlignment w:val="baseline"/>
        <w:rPr>
          <w:rFonts w:hint="eastAsia" w:asciiTheme="minorEastAsia" w:hAnsiTheme="minorEastAsia" w:eastAsiaTheme="minorEastAsia" w:cstheme="minorEastAsia"/>
          <w:color w:val="auto"/>
          <w:sz w:val="24"/>
          <w:szCs w:val="24"/>
          <w:highlight w:val="none"/>
        </w:rPr>
      </w:pPr>
      <w:r>
        <w:rPr>
          <w:rFonts w:eastAsia="方正黑体简体"/>
          <w:color w:val="auto"/>
          <w:sz w:val="28"/>
          <w:szCs w:val="28"/>
          <w:highlight w:val="none"/>
        </w:rPr>
        <w:br w:type="page"/>
      </w:r>
    </w:p>
    <w:p w14:paraId="5F5D884E">
      <w:pPr>
        <w:widowControl w:val="0"/>
        <w:snapToGrid w:val="0"/>
        <w:spacing w:line="560" w:lineRule="exact"/>
        <w:jc w:val="center"/>
        <w:outlineLvl w:val="0"/>
        <w:rPr>
          <w:rFonts w:hint="eastAsia" w:eastAsia="黑体"/>
          <w:b/>
          <w:color w:val="auto"/>
          <w:sz w:val="36"/>
          <w:szCs w:val="36"/>
          <w:highlight w:val="none"/>
        </w:rPr>
      </w:pPr>
      <w:bookmarkStart w:id="21" w:name="_Toc11217"/>
      <w:r>
        <w:rPr>
          <w:rFonts w:hint="eastAsia" w:eastAsia="黑体"/>
          <w:b/>
          <w:color w:val="auto"/>
          <w:sz w:val="36"/>
          <w:szCs w:val="36"/>
          <w:highlight w:val="none"/>
        </w:rPr>
        <w:t>第二章  招标项目要求及采购需求</w:t>
      </w:r>
      <w:bookmarkEnd w:id="21"/>
    </w:p>
    <w:p w14:paraId="65E9166D">
      <w:pPr>
        <w:keepNext w:val="0"/>
        <w:keepLines w:val="0"/>
        <w:pageBreakBefore w:val="0"/>
        <w:widowControl w:val="0"/>
        <w:kinsoku/>
        <w:wordWrap/>
        <w:overflowPunct/>
        <w:topLinePunct w:val="0"/>
        <w:autoSpaceDE/>
        <w:autoSpaceDN/>
        <w:bidi w:val="0"/>
        <w:adjustRightInd/>
        <w:snapToGrid w:val="0"/>
        <w:spacing w:line="276" w:lineRule="auto"/>
        <w:jc w:val="center"/>
        <w:textAlignment w:val="baseline"/>
        <w:rPr>
          <w:rFonts w:hint="eastAsia" w:asciiTheme="minorEastAsia" w:hAnsiTheme="minorEastAsia" w:eastAsiaTheme="minorEastAsia" w:cstheme="minorEastAsia"/>
          <w:b/>
          <w:color w:val="auto"/>
          <w:sz w:val="24"/>
          <w:szCs w:val="24"/>
          <w:highlight w:val="none"/>
        </w:rPr>
      </w:pPr>
    </w:p>
    <w:p w14:paraId="19332D2D">
      <w:pPr>
        <w:widowControl w:val="0"/>
        <w:snapToGrid w:val="0"/>
        <w:spacing w:line="360" w:lineRule="auto"/>
        <w:ind w:firstLine="422" w:firstLineChars="150"/>
        <w:jc w:val="left"/>
        <w:outlineLvl w:val="1"/>
        <w:rPr>
          <w:rFonts w:ascii="黑体" w:hAnsi="黑体" w:eastAsia="黑体"/>
          <w:b/>
          <w:color w:val="auto"/>
          <w:sz w:val="28"/>
          <w:highlight w:val="none"/>
        </w:rPr>
      </w:pPr>
      <w:bookmarkStart w:id="22" w:name="_Toc27548"/>
      <w:r>
        <w:rPr>
          <w:rFonts w:ascii="黑体" w:hAnsi="黑体" w:eastAsia="黑体"/>
          <w:b/>
          <w:color w:val="auto"/>
          <w:sz w:val="28"/>
          <w:highlight w:val="none"/>
        </w:rPr>
        <w:t xml:space="preserve">1. </w:t>
      </w:r>
      <w:r>
        <w:rPr>
          <w:rFonts w:hint="eastAsia" w:ascii="黑体" w:hAnsi="黑体" w:eastAsia="黑体"/>
          <w:b/>
          <w:color w:val="auto"/>
          <w:sz w:val="28"/>
          <w:highlight w:val="none"/>
        </w:rPr>
        <w:t>招标项目、标段（包）划分、投标报价</w:t>
      </w:r>
      <w:bookmarkEnd w:id="22"/>
    </w:p>
    <w:p w14:paraId="0F1F1944">
      <w:pPr>
        <w:widowControl w:val="0"/>
        <w:snapToGrid w:val="0"/>
        <w:spacing w:line="360" w:lineRule="auto"/>
        <w:ind w:firstLine="482" w:firstLineChars="200"/>
        <w:jc w:val="left"/>
        <w:rPr>
          <w:color w:val="auto"/>
          <w:sz w:val="24"/>
          <w:szCs w:val="24"/>
          <w:highlight w:val="none"/>
        </w:rPr>
      </w:pPr>
      <w:r>
        <w:rPr>
          <w:rFonts w:ascii="黑体" w:hAnsi="黑体" w:eastAsia="黑体"/>
          <w:b/>
          <w:color w:val="auto"/>
          <w:sz w:val="24"/>
          <w:szCs w:val="24"/>
          <w:highlight w:val="none"/>
        </w:rPr>
        <w:t>1.1</w:t>
      </w:r>
      <w:r>
        <w:rPr>
          <w:rFonts w:hint="eastAsia" w:ascii="黑体" w:hAnsi="黑体" w:eastAsia="黑体"/>
          <w:b/>
          <w:color w:val="auto"/>
          <w:sz w:val="24"/>
          <w:szCs w:val="24"/>
          <w:highlight w:val="none"/>
          <w:lang w:val="en-US" w:eastAsia="zh-CN"/>
        </w:rPr>
        <w:t xml:space="preserve"> </w:t>
      </w:r>
      <w:r>
        <w:rPr>
          <w:rFonts w:hint="eastAsia" w:ascii="黑体" w:hAnsi="黑体" w:eastAsia="黑体"/>
          <w:b/>
          <w:color w:val="auto"/>
          <w:sz w:val="24"/>
          <w:szCs w:val="24"/>
          <w:highlight w:val="none"/>
        </w:rPr>
        <w:t>招标项目名称</w:t>
      </w:r>
      <w:r>
        <w:rPr>
          <w:rFonts w:hint="eastAsia"/>
          <w:color w:val="auto"/>
          <w:sz w:val="24"/>
          <w:szCs w:val="24"/>
          <w:highlight w:val="none"/>
        </w:rPr>
        <w:t>：</w:t>
      </w:r>
      <w:r>
        <w:rPr>
          <w:rFonts w:hint="eastAsia"/>
          <w:color w:val="auto"/>
          <w:sz w:val="24"/>
          <w:szCs w:val="24"/>
          <w:highlight w:val="none"/>
          <w:lang w:eastAsia="zh-CN"/>
        </w:rPr>
        <w:t>安阳新型化工产业园区铜冶片区管理委员会安阳新型化工产业园区铜冶片区服务外包项目</w:t>
      </w:r>
    </w:p>
    <w:p w14:paraId="47627C05">
      <w:pPr>
        <w:widowControl w:val="0"/>
        <w:snapToGrid w:val="0"/>
        <w:spacing w:line="360" w:lineRule="auto"/>
        <w:ind w:firstLine="482" w:firstLineChars="200"/>
        <w:jc w:val="left"/>
        <w:rPr>
          <w:rFonts w:hint="eastAsia" w:asciiTheme="minorEastAsia" w:hAnsiTheme="minorEastAsia" w:eastAsiaTheme="minorEastAsia" w:cstheme="minorEastAsia"/>
          <w:color w:val="auto"/>
          <w:sz w:val="24"/>
          <w:szCs w:val="24"/>
          <w:highlight w:val="none"/>
        </w:rPr>
      </w:pPr>
      <w:r>
        <w:rPr>
          <w:rFonts w:ascii="黑体" w:hAnsi="黑体" w:eastAsia="黑体"/>
          <w:b/>
          <w:color w:val="auto"/>
          <w:sz w:val="24"/>
          <w:szCs w:val="24"/>
          <w:highlight w:val="none"/>
        </w:rPr>
        <w:t xml:space="preserve">1.2 </w:t>
      </w:r>
      <w:r>
        <w:rPr>
          <w:rFonts w:hint="eastAsia" w:ascii="黑体" w:hAnsi="黑体" w:eastAsia="黑体"/>
          <w:b/>
          <w:color w:val="auto"/>
          <w:sz w:val="24"/>
          <w:szCs w:val="24"/>
          <w:highlight w:val="none"/>
        </w:rPr>
        <w:t>标段（包）划分及其交付（实施）期</w:t>
      </w:r>
      <w:r>
        <w:rPr>
          <w:rFonts w:hint="eastAsia" w:ascii="黑体" w:hAnsi="黑体" w:eastAsia="黑体"/>
          <w:b/>
          <w:color w:val="auto"/>
          <w:sz w:val="24"/>
          <w:szCs w:val="24"/>
          <w:highlight w:val="none"/>
          <w:lang w:eastAsia="zh-CN"/>
        </w:rPr>
        <w:t>、</w:t>
      </w:r>
      <w:r>
        <w:rPr>
          <w:rFonts w:hint="eastAsia" w:ascii="黑体" w:hAnsi="黑体" w:eastAsia="黑体"/>
          <w:b/>
          <w:color w:val="auto"/>
          <w:sz w:val="24"/>
          <w:szCs w:val="24"/>
          <w:highlight w:val="none"/>
        </w:rPr>
        <w:t>交付（实施）地点</w:t>
      </w:r>
      <w:r>
        <w:rPr>
          <w:rFonts w:hint="eastAsia"/>
          <w:color w:val="auto"/>
          <w:sz w:val="24"/>
          <w:szCs w:val="24"/>
          <w:highlight w:val="none"/>
        </w:rPr>
        <w:t>：</w:t>
      </w:r>
      <w:r>
        <w:rPr>
          <w:rFonts w:hint="eastAsia" w:asciiTheme="minorEastAsia" w:hAnsiTheme="minorEastAsia" w:eastAsiaTheme="minorEastAsia" w:cstheme="minorEastAsia"/>
          <w:color w:val="auto"/>
          <w:sz w:val="24"/>
          <w:szCs w:val="24"/>
          <w:highlight w:val="none"/>
        </w:rPr>
        <w:t>本次招标项目划分为1个标段（包）</w:t>
      </w:r>
    </w:p>
    <w:tbl>
      <w:tblPr>
        <w:tblStyle w:val="20"/>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9"/>
        <w:gridCol w:w="1875"/>
        <w:gridCol w:w="2505"/>
        <w:gridCol w:w="2085"/>
        <w:gridCol w:w="1536"/>
      </w:tblGrid>
      <w:tr w14:paraId="78ED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940" w:type="dxa"/>
            <w:gridSpan w:val="5"/>
            <w:vAlign w:val="center"/>
          </w:tcPr>
          <w:p w14:paraId="48789392">
            <w:pPr>
              <w:widowControl w:val="0"/>
              <w:snapToGrid w:val="0"/>
              <w:spacing w:line="24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标段（包）一览表</w:t>
            </w:r>
          </w:p>
        </w:tc>
      </w:tr>
      <w:tr w14:paraId="6919E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1939" w:type="dxa"/>
            <w:vAlign w:val="center"/>
          </w:tcPr>
          <w:p w14:paraId="1A218270">
            <w:pPr>
              <w:widowControl w:val="0"/>
              <w:snapToGrid w:val="0"/>
              <w:spacing w:line="24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项目名称</w:t>
            </w:r>
          </w:p>
        </w:tc>
        <w:tc>
          <w:tcPr>
            <w:tcW w:w="1875" w:type="dxa"/>
            <w:vAlign w:val="center"/>
          </w:tcPr>
          <w:p w14:paraId="2B7D789B">
            <w:pPr>
              <w:widowControl w:val="0"/>
              <w:snapToGrid w:val="0"/>
              <w:spacing w:line="24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标段（包）名称</w:t>
            </w:r>
          </w:p>
        </w:tc>
        <w:tc>
          <w:tcPr>
            <w:tcW w:w="2505" w:type="dxa"/>
            <w:vAlign w:val="center"/>
          </w:tcPr>
          <w:p w14:paraId="03B466E0">
            <w:pPr>
              <w:widowControl w:val="0"/>
              <w:snapToGrid w:val="0"/>
              <w:spacing w:line="24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标段（包）内容（范围）</w:t>
            </w:r>
          </w:p>
        </w:tc>
        <w:tc>
          <w:tcPr>
            <w:tcW w:w="2085" w:type="dxa"/>
            <w:vAlign w:val="center"/>
          </w:tcPr>
          <w:p w14:paraId="50D064F7">
            <w:pPr>
              <w:widowControl w:val="0"/>
              <w:snapToGrid w:val="0"/>
              <w:spacing w:line="24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合同履行期限</w:t>
            </w:r>
          </w:p>
          <w:p w14:paraId="36C3166C">
            <w:pPr>
              <w:widowControl w:val="0"/>
              <w:snapToGrid w:val="0"/>
              <w:spacing w:line="24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（交付&lt;实施&gt;期）</w:t>
            </w:r>
          </w:p>
        </w:tc>
        <w:tc>
          <w:tcPr>
            <w:tcW w:w="1536" w:type="dxa"/>
            <w:vAlign w:val="center"/>
          </w:tcPr>
          <w:p w14:paraId="32FE96C0">
            <w:pPr>
              <w:widowControl w:val="0"/>
              <w:snapToGrid w:val="0"/>
              <w:spacing w:line="24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交付（实施）地点</w:t>
            </w:r>
          </w:p>
        </w:tc>
      </w:tr>
      <w:tr w14:paraId="3DD82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4" w:hRule="atLeast"/>
          <w:jc w:val="center"/>
        </w:trPr>
        <w:tc>
          <w:tcPr>
            <w:tcW w:w="1939" w:type="dxa"/>
            <w:vAlign w:val="center"/>
          </w:tcPr>
          <w:p w14:paraId="30FBE809">
            <w:pPr>
              <w:widowControl w:val="0"/>
              <w:adjustRightInd w:val="0"/>
              <w:snapToGrid w:val="0"/>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安阳新型化工产业园区铜冶片区管理委员会安阳新型化工产业园区铜冶片区服务外包项目</w:t>
            </w:r>
          </w:p>
        </w:tc>
        <w:tc>
          <w:tcPr>
            <w:tcW w:w="1875" w:type="dxa"/>
            <w:vAlign w:val="center"/>
          </w:tcPr>
          <w:p w14:paraId="1B15F47B">
            <w:pPr>
              <w:widowControl w:val="0"/>
              <w:adjustRightInd w:val="0"/>
              <w:snapToGrid w:val="0"/>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同项目名称</w:t>
            </w:r>
          </w:p>
        </w:tc>
        <w:tc>
          <w:tcPr>
            <w:tcW w:w="2505" w:type="dxa"/>
            <w:vAlign w:val="center"/>
          </w:tcPr>
          <w:p w14:paraId="4449B392">
            <w:pPr>
              <w:widowControl w:val="0"/>
              <w:adjustRightInd w:val="0"/>
              <w:snapToGrid w:val="0"/>
              <w:spacing w:line="24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见“第二章</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第2条：标段（包）内容（范围）及具体采购需求”</w:t>
            </w:r>
          </w:p>
        </w:tc>
        <w:tc>
          <w:tcPr>
            <w:tcW w:w="2085" w:type="dxa"/>
            <w:vAlign w:val="center"/>
          </w:tcPr>
          <w:p w14:paraId="4C7B16D9">
            <w:pPr>
              <w:widowControl w:val="0"/>
              <w:adjustRightInd w:val="0"/>
              <w:snapToGrid w:val="0"/>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见招标公告1.6</w:t>
            </w:r>
          </w:p>
        </w:tc>
        <w:tc>
          <w:tcPr>
            <w:tcW w:w="1536" w:type="dxa"/>
            <w:vAlign w:val="center"/>
          </w:tcPr>
          <w:p w14:paraId="61688F23">
            <w:pPr>
              <w:widowControl w:val="0"/>
              <w:adjustRightInd w:val="0"/>
              <w:snapToGrid w:val="0"/>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采购人指定地点</w:t>
            </w:r>
          </w:p>
        </w:tc>
      </w:tr>
    </w:tbl>
    <w:p w14:paraId="200BAB5B">
      <w:pPr>
        <w:spacing w:line="560" w:lineRule="exact"/>
        <w:ind w:firstLine="482" w:firstLineChars="200"/>
        <w:rPr>
          <w:rFonts w:ascii="黑体" w:hAnsi="黑体" w:eastAsia="黑体"/>
          <w:b/>
          <w:color w:val="auto"/>
          <w:sz w:val="24"/>
          <w:szCs w:val="24"/>
          <w:highlight w:val="none"/>
        </w:rPr>
      </w:pPr>
      <w:r>
        <w:rPr>
          <w:rFonts w:ascii="黑体" w:hAnsi="黑体" w:eastAsia="黑体"/>
          <w:b/>
          <w:color w:val="auto"/>
          <w:sz w:val="24"/>
          <w:szCs w:val="24"/>
          <w:highlight w:val="none"/>
        </w:rPr>
        <w:t xml:space="preserve">1.3 </w:t>
      </w:r>
      <w:r>
        <w:rPr>
          <w:rFonts w:hint="eastAsia" w:ascii="黑体" w:hAnsi="黑体" w:eastAsia="黑体"/>
          <w:b/>
          <w:color w:val="auto"/>
          <w:sz w:val="24"/>
          <w:szCs w:val="24"/>
          <w:highlight w:val="none"/>
        </w:rPr>
        <w:t>投标报价（价格构成）</w:t>
      </w:r>
    </w:p>
    <w:p w14:paraId="57C03F6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投标人的投标报价应为达到服务（技术）要求下的</w:t>
      </w:r>
      <w:r>
        <w:rPr>
          <w:rFonts w:hint="eastAsia" w:asciiTheme="minorEastAsia" w:hAnsiTheme="minorEastAsia" w:eastAsiaTheme="minorEastAsia" w:cstheme="minorEastAsia"/>
          <w:color w:val="auto"/>
          <w:sz w:val="24"/>
          <w:szCs w:val="24"/>
          <w:highlight w:val="none"/>
          <w:lang w:eastAsia="zh-CN"/>
        </w:rPr>
        <w:t>总包价</w:t>
      </w:r>
      <w:r>
        <w:rPr>
          <w:rFonts w:hint="eastAsia" w:asciiTheme="minorEastAsia" w:hAnsiTheme="minorEastAsia" w:eastAsiaTheme="minorEastAsia" w:cstheme="minorEastAsia"/>
          <w:color w:val="auto"/>
          <w:sz w:val="24"/>
          <w:szCs w:val="24"/>
          <w:highlight w:val="none"/>
        </w:rPr>
        <w:t>，包括</w:t>
      </w:r>
      <w:r>
        <w:rPr>
          <w:rFonts w:hint="eastAsia" w:asciiTheme="minorEastAsia" w:hAnsiTheme="minorEastAsia" w:eastAsiaTheme="minorEastAsia" w:cstheme="minorEastAsia"/>
          <w:color w:val="auto"/>
          <w:sz w:val="24"/>
          <w:szCs w:val="24"/>
          <w:highlight w:val="none"/>
          <w:lang w:val="en-US" w:eastAsia="zh-CN"/>
        </w:rPr>
        <w:t>：人员管理费、人员工资（不得低于安阳市最低工资标准）及各项福利待遇（五险）、制服及劳保用品、知识产权（如有）、保险、相关税费等</w:t>
      </w:r>
      <w:r>
        <w:rPr>
          <w:rFonts w:hint="eastAsia" w:asciiTheme="minorEastAsia" w:hAnsiTheme="minorEastAsia" w:eastAsiaTheme="minorEastAsia" w:cstheme="minorEastAsia"/>
          <w:color w:val="auto"/>
          <w:sz w:val="24"/>
          <w:szCs w:val="24"/>
          <w:highlight w:val="none"/>
        </w:rPr>
        <w:t>与招标项目（标段&lt;包&gt;）相关的、必须的款项及费用（包括未列明而</w:t>
      </w:r>
      <w:r>
        <w:rPr>
          <w:rFonts w:hint="eastAsia" w:asciiTheme="minorEastAsia" w:hAnsiTheme="minorEastAsia" w:eastAsiaTheme="minorEastAsia" w:cstheme="minorEastAsia"/>
          <w:color w:val="auto"/>
          <w:sz w:val="24"/>
          <w:szCs w:val="24"/>
          <w:highlight w:val="none"/>
          <w:lang w:eastAsia="zh-CN"/>
        </w:rPr>
        <w:t>为</w:t>
      </w:r>
      <w:r>
        <w:rPr>
          <w:rFonts w:hint="eastAsia" w:asciiTheme="minorEastAsia" w:hAnsiTheme="minorEastAsia" w:eastAsiaTheme="minorEastAsia" w:cstheme="minorEastAsia"/>
          <w:color w:val="auto"/>
          <w:sz w:val="24"/>
          <w:szCs w:val="24"/>
          <w:highlight w:val="none"/>
        </w:rPr>
        <w:t>完成</w:t>
      </w:r>
      <w:r>
        <w:rPr>
          <w:rFonts w:hint="eastAsia" w:asciiTheme="minorEastAsia" w:hAnsiTheme="minorEastAsia" w:eastAsiaTheme="minorEastAsia" w:cstheme="minorEastAsia"/>
          <w:color w:val="auto"/>
          <w:sz w:val="24"/>
          <w:szCs w:val="24"/>
          <w:highlight w:val="none"/>
          <w:lang w:eastAsia="zh-CN"/>
        </w:rPr>
        <w:t>服务</w:t>
      </w:r>
      <w:r>
        <w:rPr>
          <w:rFonts w:hint="eastAsia" w:asciiTheme="minorEastAsia" w:hAnsiTheme="minorEastAsia" w:eastAsiaTheme="minorEastAsia" w:cstheme="minorEastAsia"/>
          <w:color w:val="auto"/>
          <w:sz w:val="24"/>
          <w:szCs w:val="24"/>
          <w:highlight w:val="none"/>
        </w:rPr>
        <w:t>所必须的所有费用、材料、工具、设施）。中标价格在中标合同范围内固定不变。</w:t>
      </w:r>
    </w:p>
    <w:p w14:paraId="18AD7C61">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投标报价为一次性报价，报价时间截止后对投标报价的任何承诺、修改，除法定修正或</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规定修正情形外，评标委员会将不予考虑。</w:t>
      </w:r>
    </w:p>
    <w:p w14:paraId="5199A50F">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1.3.3 如投标人的投标报价未超过</w:t>
      </w:r>
      <w:r>
        <w:rPr>
          <w:rFonts w:hint="eastAsia" w:asciiTheme="minorEastAsia" w:hAnsiTheme="minorEastAsia" w:eastAsiaTheme="minorEastAsia" w:cstheme="minorEastAsia"/>
          <w:bCs/>
          <w:color w:val="auto"/>
          <w:sz w:val="24"/>
          <w:highlight w:val="none"/>
          <w:lang w:val="zh-CN"/>
        </w:rPr>
        <w:t>预算金额</w:t>
      </w:r>
      <w:r>
        <w:rPr>
          <w:rFonts w:hint="eastAsia" w:asciiTheme="minorEastAsia" w:hAnsiTheme="minorEastAsia" w:eastAsiaTheme="minorEastAsia" w:cstheme="minorEastAsia"/>
          <w:color w:val="auto"/>
          <w:sz w:val="24"/>
          <w:szCs w:val="24"/>
          <w:highlight w:val="none"/>
        </w:rPr>
        <w:t>（见招标公告1.4）的供应商不足三家的，该标段（包）做废标处理。</w:t>
      </w:r>
    </w:p>
    <w:p w14:paraId="62B04E7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1.3.4 遵循第三章</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投标人须知</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3.7.5项规定。</w:t>
      </w:r>
    </w:p>
    <w:p w14:paraId="1D47AF7A">
      <w:pPr>
        <w:spacing w:line="560" w:lineRule="exact"/>
        <w:ind w:firstLine="562" w:firstLineChars="200"/>
        <w:rPr>
          <w:rFonts w:ascii="黑体" w:hAnsi="黑体" w:eastAsia="黑体"/>
          <w:b/>
          <w:color w:val="auto"/>
          <w:sz w:val="28"/>
          <w:highlight w:val="none"/>
        </w:rPr>
      </w:pPr>
    </w:p>
    <w:p w14:paraId="4A7BB434">
      <w:pPr>
        <w:widowControl w:val="0"/>
        <w:snapToGrid w:val="0"/>
        <w:spacing w:line="360" w:lineRule="auto"/>
        <w:ind w:firstLine="422" w:firstLineChars="150"/>
        <w:jc w:val="left"/>
        <w:outlineLvl w:val="1"/>
        <w:rPr>
          <w:rFonts w:ascii="黑体" w:hAnsi="黑体" w:eastAsia="黑体"/>
          <w:b/>
          <w:color w:val="auto"/>
          <w:sz w:val="28"/>
          <w:highlight w:val="none"/>
        </w:rPr>
      </w:pPr>
      <w:bookmarkStart w:id="23" w:name="_Toc15431"/>
      <w:r>
        <w:rPr>
          <w:rFonts w:ascii="黑体" w:hAnsi="黑体" w:eastAsia="黑体"/>
          <w:b/>
          <w:color w:val="auto"/>
          <w:sz w:val="28"/>
          <w:highlight w:val="none"/>
        </w:rPr>
        <w:t xml:space="preserve">2. </w:t>
      </w:r>
      <w:r>
        <w:rPr>
          <w:rFonts w:hint="eastAsia" w:ascii="黑体" w:hAnsi="黑体" w:eastAsia="黑体"/>
          <w:b/>
          <w:color w:val="auto"/>
          <w:sz w:val="28"/>
          <w:highlight w:val="none"/>
        </w:rPr>
        <w:t>标段（包）内容（范围）及具体采购需求</w:t>
      </w:r>
      <w:bookmarkEnd w:id="23"/>
    </w:p>
    <w:p w14:paraId="22FFD75E">
      <w:pPr>
        <w:widowControl w:val="0"/>
        <w:snapToGrid w:val="0"/>
        <w:spacing w:line="360" w:lineRule="auto"/>
        <w:ind w:firstLine="482" w:firstLineChars="200"/>
        <w:jc w:val="left"/>
        <w:rPr>
          <w:color w:val="auto"/>
          <w:sz w:val="24"/>
          <w:szCs w:val="24"/>
          <w:highlight w:val="none"/>
        </w:rPr>
      </w:pPr>
      <w:r>
        <w:rPr>
          <w:rFonts w:ascii="黑体" w:hAnsi="黑体" w:eastAsia="黑体"/>
          <w:b/>
          <w:color w:val="auto"/>
          <w:sz w:val="24"/>
          <w:szCs w:val="24"/>
          <w:highlight w:val="none"/>
        </w:rPr>
        <w:t>2.1</w:t>
      </w:r>
      <w:r>
        <w:rPr>
          <w:rFonts w:hint="eastAsia" w:ascii="黑体" w:hAnsi="黑体" w:eastAsia="黑体"/>
          <w:b/>
          <w:color w:val="auto"/>
          <w:sz w:val="24"/>
          <w:szCs w:val="24"/>
          <w:highlight w:val="none"/>
          <w:lang w:val="en-US" w:eastAsia="zh-CN"/>
        </w:rPr>
        <w:t xml:space="preserve"> </w:t>
      </w:r>
      <w:r>
        <w:rPr>
          <w:rFonts w:hint="eastAsia" w:ascii="黑体" w:hAnsi="黑体" w:eastAsia="黑体"/>
          <w:b/>
          <w:color w:val="auto"/>
          <w:sz w:val="24"/>
          <w:szCs w:val="24"/>
          <w:highlight w:val="none"/>
        </w:rPr>
        <w:t>采购标的需实现的功能或者目标，标段（包）总体范围</w:t>
      </w:r>
    </w:p>
    <w:p w14:paraId="74CA83C0">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工作需要</w:t>
      </w:r>
      <w:r>
        <w:rPr>
          <w:rFonts w:hint="eastAsia" w:asciiTheme="minorEastAsia" w:hAnsiTheme="minorEastAsia" w:eastAsiaTheme="minorEastAsia" w:cstheme="minorEastAsia"/>
          <w:color w:val="auto"/>
          <w:sz w:val="24"/>
          <w:szCs w:val="24"/>
          <w:highlight w:val="none"/>
          <w:lang w:eastAsia="zh-CN"/>
        </w:rPr>
        <w:t>，将化工产业园区所需</w:t>
      </w:r>
      <w:r>
        <w:rPr>
          <w:rFonts w:hint="eastAsia" w:asciiTheme="minorEastAsia" w:hAnsiTheme="minorEastAsia" w:eastAsiaTheme="minorEastAsia" w:cstheme="minorEastAsia"/>
          <w:color w:val="auto"/>
          <w:sz w:val="24"/>
          <w:szCs w:val="24"/>
          <w:highlight w:val="none"/>
          <w:lang w:val="en-US" w:eastAsia="zh-CN"/>
        </w:rPr>
        <w:t>安保服务、安全风险智能化管控平台值守服务、消防执勤服务</w:t>
      </w:r>
      <w:r>
        <w:rPr>
          <w:rFonts w:hint="eastAsia" w:asciiTheme="minorEastAsia" w:hAnsiTheme="minorEastAsia" w:eastAsiaTheme="minorEastAsia" w:cstheme="minorEastAsia"/>
          <w:color w:val="auto"/>
          <w:sz w:val="24"/>
          <w:szCs w:val="24"/>
          <w:highlight w:val="none"/>
        </w:rPr>
        <w:t>整体外包</w:t>
      </w:r>
      <w:r>
        <w:rPr>
          <w:rFonts w:hint="eastAsia" w:asciiTheme="minorEastAsia" w:hAnsiTheme="minorEastAsia" w:eastAsiaTheme="minorEastAsia" w:cstheme="minorEastAsia"/>
          <w:color w:val="auto"/>
          <w:sz w:val="24"/>
          <w:szCs w:val="24"/>
          <w:highlight w:val="none"/>
          <w:lang w:eastAsia="zh-CN"/>
        </w:rPr>
        <w:t>。</w:t>
      </w:r>
    </w:p>
    <w:p w14:paraId="14F4FBFC">
      <w:pPr>
        <w:widowControl w:val="0"/>
        <w:snapToGrid w:val="0"/>
        <w:spacing w:line="360" w:lineRule="auto"/>
        <w:ind w:firstLine="482" w:firstLineChars="200"/>
        <w:jc w:val="left"/>
        <w:rPr>
          <w:rFonts w:ascii="黑体" w:hAnsi="黑体" w:eastAsia="黑体"/>
          <w:b/>
          <w:color w:val="auto"/>
          <w:sz w:val="24"/>
          <w:szCs w:val="24"/>
          <w:highlight w:val="none"/>
        </w:rPr>
      </w:pPr>
      <w:r>
        <w:rPr>
          <w:rFonts w:ascii="黑体" w:hAnsi="黑体" w:eastAsia="黑体"/>
          <w:b/>
          <w:color w:val="auto"/>
          <w:sz w:val="24"/>
          <w:szCs w:val="24"/>
          <w:highlight w:val="none"/>
        </w:rPr>
        <w:t xml:space="preserve">2.2 </w:t>
      </w:r>
      <w:r>
        <w:rPr>
          <w:rFonts w:hint="eastAsia" w:ascii="黑体" w:hAnsi="黑体" w:eastAsia="黑体"/>
          <w:b/>
          <w:color w:val="auto"/>
          <w:sz w:val="24"/>
          <w:szCs w:val="24"/>
          <w:highlight w:val="none"/>
        </w:rPr>
        <w:t>项目落实的政府采购政策（法规标准条款）</w:t>
      </w:r>
    </w:p>
    <w:p w14:paraId="1F72696E">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 政府采购节能产品、环境标志产品实施品目清单管理后，对本次采购产品属于“节能产品政府采购品目清单”中强制采购品目的，投标产品应当具有相应的认证证书（认证证书应当为国家确定的认证机构出具、且应处于有效期之内），</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中应当提供相应的认证证书（认证证书应当为国家确定的认证机构出具、且应处于有效期之内）。</w:t>
      </w:r>
    </w:p>
    <w:p w14:paraId="2EA051F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属于政府强制采购品目、而未按要求提供相应资料的，为无效投标。</w:t>
      </w:r>
    </w:p>
    <w:p w14:paraId="16C5EF99">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2.2.2 同等条件下，获得节能产品认证证书或环境标志产品认证证书的产品优先采购。(认证证书应当为国家确定的认证机构出具、且应处于有效期之内。)</w:t>
      </w:r>
    </w:p>
    <w:p w14:paraId="1DF7F42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本次采购产品如有列入《网络关键设备和网络安全专用产品目录》的网络安全专用产品，该产品应当按照《关于调整网络安全专用产品安全管理有关事项的公告》要求进行安全认证或安全检测、或已获得《计算机信息系统安全专用产品销售许可证》（应处于有效期内）。</w:t>
      </w:r>
    </w:p>
    <w:p w14:paraId="02A6D496">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2.2.4</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计算机产品须预装正版操作系统软件。</w:t>
      </w:r>
    </w:p>
    <w:p w14:paraId="33CD19F1">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2.2.5 本次采购不允许进口产品参加。</w:t>
      </w:r>
    </w:p>
    <w:p w14:paraId="507C73D0">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2.2.6</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如允许采购进口产品的，优先采购向我国企业转让技术、与我国企业签订消化吸收再创新方案的供应商的进口产品。</w:t>
      </w:r>
    </w:p>
    <w:p w14:paraId="561C5D5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2.2.7 促进中小企业发展扶持政策：见第四章“评标办法”第4条。</w:t>
      </w:r>
    </w:p>
    <w:p w14:paraId="4333540F">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2.2.8</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促进残疾人就业、支持监狱企业发展：见第四章“评标办法”第4条。</w:t>
      </w:r>
    </w:p>
    <w:p w14:paraId="2A5EC401">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2.2.9 所供产品有商品包装的应当使用绿色包装。所供产品有其他环保政策要求的，应符合相关环保法律政策要求。</w:t>
      </w:r>
    </w:p>
    <w:p w14:paraId="0A7B4CA6">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2.2.10 支持绿色建筑、绿色建材，支持使用低VOCs含量涂料和胶黏剂，支持不发达、少数民族地区的企业，促进自主创新产业发展，支持脱贫攻坚等；同等条件下，优先采购。</w:t>
      </w:r>
    </w:p>
    <w:p w14:paraId="77422FE8">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2.2.11 执行《国务院办公厅关于在政府采购中实施本国产品标准及相关政策的通知》。</w:t>
      </w:r>
    </w:p>
    <w:p w14:paraId="4679BAAE">
      <w:pPr>
        <w:widowControl w:val="0"/>
        <w:snapToGrid w:val="0"/>
        <w:spacing w:line="360" w:lineRule="auto"/>
        <w:ind w:firstLine="482" w:firstLineChars="200"/>
        <w:jc w:val="left"/>
        <w:rPr>
          <w:rFonts w:ascii="黑体" w:hAnsi="黑体" w:eastAsia="黑体"/>
          <w:b/>
          <w:color w:val="auto"/>
          <w:sz w:val="24"/>
          <w:szCs w:val="24"/>
          <w:highlight w:val="none"/>
        </w:rPr>
      </w:pPr>
      <w:r>
        <w:rPr>
          <w:rFonts w:ascii="黑体" w:hAnsi="黑体" w:eastAsia="黑体"/>
          <w:b/>
          <w:color w:val="auto"/>
          <w:sz w:val="24"/>
          <w:szCs w:val="24"/>
          <w:highlight w:val="none"/>
        </w:rPr>
        <w:t>2.3</w:t>
      </w:r>
      <w:r>
        <w:rPr>
          <w:rFonts w:hint="eastAsia" w:ascii="黑体" w:hAnsi="黑体" w:eastAsia="黑体"/>
          <w:b/>
          <w:color w:val="auto"/>
          <w:sz w:val="24"/>
          <w:szCs w:val="24"/>
          <w:highlight w:val="none"/>
          <w:lang w:val="en-US" w:eastAsia="zh-CN"/>
        </w:rPr>
        <w:t xml:space="preserve"> </w:t>
      </w:r>
      <w:r>
        <w:rPr>
          <w:rFonts w:hint="eastAsia" w:ascii="黑体" w:hAnsi="黑体" w:eastAsia="黑体"/>
          <w:b/>
          <w:color w:val="auto"/>
          <w:sz w:val="24"/>
          <w:szCs w:val="24"/>
          <w:highlight w:val="none"/>
        </w:rPr>
        <w:t>采购标的需执行的国家相关标准、行业标准、地方标准或者其他标准、规范</w:t>
      </w:r>
    </w:p>
    <w:p w14:paraId="439E607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所投服务（及所涉货物材料设施）应符合国家质量标准、部颁标准及行业规范的要求，符合国家各项强制性规范及安全标准，投标服务（及所涉货物材料设施）不应与第三方存在知识产权权属问题；投标人应本着服务客户、为客户着想的宗旨，来完善服务（及所涉货物材料设施）及技术要求未尽事宜，不得以</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未列明事项为由，来降低投标服务（及所涉货物材料设施）的质量。</w:t>
      </w:r>
    </w:p>
    <w:p w14:paraId="1155AD88">
      <w:pPr>
        <w:widowControl w:val="0"/>
        <w:snapToGrid w:val="0"/>
        <w:spacing w:line="360" w:lineRule="auto"/>
        <w:ind w:firstLine="482" w:firstLineChars="200"/>
        <w:jc w:val="left"/>
        <w:rPr>
          <w:rFonts w:ascii="黑体" w:hAnsi="黑体" w:eastAsia="黑体"/>
          <w:b/>
          <w:color w:val="auto"/>
          <w:sz w:val="24"/>
          <w:szCs w:val="24"/>
          <w:highlight w:val="none"/>
        </w:rPr>
      </w:pPr>
      <w:r>
        <w:rPr>
          <w:rFonts w:ascii="黑体" w:hAnsi="黑体" w:eastAsia="黑体"/>
          <w:b/>
          <w:color w:val="auto"/>
          <w:sz w:val="24"/>
          <w:szCs w:val="24"/>
          <w:highlight w:val="none"/>
        </w:rPr>
        <w:t>2.4</w:t>
      </w:r>
      <w:r>
        <w:rPr>
          <w:rFonts w:hint="eastAsia" w:ascii="黑体" w:hAnsi="黑体" w:eastAsia="黑体"/>
          <w:b/>
          <w:color w:val="auto"/>
          <w:sz w:val="24"/>
          <w:szCs w:val="24"/>
          <w:highlight w:val="none"/>
          <w:lang w:val="en-US" w:eastAsia="zh-CN"/>
        </w:rPr>
        <w:t xml:space="preserve"> </w:t>
      </w:r>
      <w:r>
        <w:rPr>
          <w:rFonts w:hint="eastAsia" w:ascii="黑体" w:hAnsi="黑体" w:eastAsia="黑体"/>
          <w:b/>
          <w:color w:val="auto"/>
          <w:sz w:val="24"/>
          <w:szCs w:val="24"/>
          <w:highlight w:val="none"/>
        </w:rPr>
        <w:t>标段（包）内容（具体范围、数量），具体服务（技术）要求</w:t>
      </w:r>
    </w:p>
    <w:p w14:paraId="36A963B8">
      <w:pPr>
        <w:widowControl w:val="0"/>
        <w:snapToGrid w:val="0"/>
        <w:spacing w:line="360" w:lineRule="auto"/>
        <w:ind w:firstLine="482" w:firstLineChars="200"/>
        <w:jc w:val="left"/>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一、项目概况</w:t>
      </w:r>
    </w:p>
    <w:p w14:paraId="3E1CBCDB">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工作需要</w:t>
      </w:r>
      <w:r>
        <w:rPr>
          <w:rFonts w:hint="eastAsia" w:asciiTheme="minorEastAsia" w:hAnsiTheme="minorEastAsia" w:eastAsiaTheme="minorEastAsia" w:cstheme="minorEastAsia"/>
          <w:color w:val="auto"/>
          <w:sz w:val="24"/>
          <w:szCs w:val="24"/>
          <w:highlight w:val="none"/>
          <w:lang w:eastAsia="zh-CN"/>
        </w:rPr>
        <w:t>，将化工产业园区所需</w:t>
      </w:r>
      <w:r>
        <w:rPr>
          <w:rFonts w:hint="eastAsia" w:asciiTheme="minorEastAsia" w:hAnsiTheme="minorEastAsia" w:eastAsiaTheme="minorEastAsia" w:cstheme="minorEastAsia"/>
          <w:color w:val="auto"/>
          <w:sz w:val="24"/>
          <w:szCs w:val="24"/>
          <w:highlight w:val="none"/>
          <w:lang w:val="en-US" w:eastAsia="zh-CN"/>
        </w:rPr>
        <w:t>安保服务、安全风险智能化管控平台值守服务、消防执勤服务</w:t>
      </w:r>
      <w:r>
        <w:rPr>
          <w:rFonts w:hint="eastAsia" w:asciiTheme="minorEastAsia" w:hAnsiTheme="minorEastAsia" w:eastAsiaTheme="minorEastAsia" w:cstheme="minorEastAsia"/>
          <w:color w:val="auto"/>
          <w:sz w:val="24"/>
          <w:szCs w:val="24"/>
          <w:highlight w:val="none"/>
        </w:rPr>
        <w:t>整体外包</w:t>
      </w:r>
      <w:r>
        <w:rPr>
          <w:rFonts w:hint="eastAsia" w:asciiTheme="minorEastAsia" w:hAnsiTheme="minorEastAsia" w:eastAsiaTheme="minorEastAsia" w:cstheme="minorEastAsia"/>
          <w:color w:val="auto"/>
          <w:sz w:val="24"/>
          <w:szCs w:val="24"/>
          <w:highlight w:val="none"/>
          <w:lang w:eastAsia="zh-CN"/>
        </w:rPr>
        <w:t>。</w:t>
      </w:r>
    </w:p>
    <w:p w14:paraId="7EBB2A7B">
      <w:pPr>
        <w:widowControl w:val="0"/>
        <w:snapToGrid w:val="0"/>
        <w:spacing w:line="360" w:lineRule="auto"/>
        <w:ind w:firstLine="482" w:firstLineChars="200"/>
        <w:jc w:val="left"/>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二、安保服务要求</w:t>
      </w:r>
    </w:p>
    <w:p w14:paraId="3B47D2B6">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严格落实化工产业园区封闭化、规范化、安全化管控要求，筑牢园区安全生产第一道防线，规范卡口值守、出入管控、安全巡查、应急处置等各项工作，结合化工产业园区综合卡口、普通卡口、危化品专用卡口、应急备用卡口的功能定位，制定岗位职责，所有卡口值守及管理人员必须严格遵照执行。</w:t>
      </w:r>
      <w:bookmarkStart w:id="24" w:name="heading_0"/>
    </w:p>
    <w:p w14:paraId="235B7B5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（一）总体核心职责</w:t>
      </w:r>
      <w:bookmarkEnd w:id="24"/>
      <w:r>
        <w:rPr>
          <w:rFonts w:hint="eastAsia" w:asciiTheme="minorEastAsia" w:hAnsiTheme="minorEastAsia" w:eastAsiaTheme="minorEastAsia" w:cstheme="minorEastAsia"/>
          <w:color w:val="auto"/>
          <w:sz w:val="24"/>
          <w:szCs w:val="24"/>
          <w:highlight w:val="none"/>
          <w:lang w:val="en-US" w:eastAsia="zh-CN"/>
        </w:rPr>
        <w:t>：</w:t>
      </w:r>
    </w:p>
    <w:p w14:paraId="6A82055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1.严格执行化工产业园区封闭化管理各项规章制度，落实24小时值守制度，全天候管控园区出入口，严禁无关人员、车辆、物资随意进出园区，守住园区安全准入关口。</w:t>
      </w:r>
    </w:p>
    <w:p w14:paraId="3C74F0C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2.负责所有入园、出园人员、车辆、物资的身份核验、资质审核、登记备案、放行管控工作，严格区分不同卡口通行权限，杜绝违规通行行为。</w:t>
      </w:r>
    </w:p>
    <w:p w14:paraId="779C412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3.开展卡口日常安全巡查、交通疏导、秩序维护工作，及时排查卡口及周边安全隐患，制止各类违规通行、违规操作行为。</w:t>
      </w:r>
    </w:p>
    <w:p w14:paraId="26514C36">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4.做好卡口设备运维、台账记录、信息上报工作，规范留存出入数据，保障卡口智能化管控系统正常运行。</w:t>
      </w:r>
    </w:p>
    <w:p w14:paraId="6989197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5.配合开展园区安全宣传、防疫管控、交通管理、应急联动工作，妥善处置卡口各类突发状况，保障卡口通行安全、有序、可控。</w:t>
      </w:r>
    </w:p>
    <w:p w14:paraId="0A75AB16">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bookmarkStart w:id="25" w:name="heading_1"/>
      <w:r>
        <w:rPr>
          <w:rFonts w:hint="eastAsia" w:asciiTheme="minorEastAsia" w:hAnsiTheme="minorEastAsia" w:eastAsiaTheme="minorEastAsia" w:cstheme="minorEastAsia"/>
          <w:color w:val="auto"/>
          <w:sz w:val="24"/>
          <w:szCs w:val="24"/>
          <w:highlight w:val="none"/>
          <w:lang w:val="en-US" w:eastAsia="zh-CN"/>
        </w:rPr>
        <w:t>（二）人员出入管控职责</w:t>
      </w:r>
      <w:bookmarkEnd w:id="25"/>
      <w:r>
        <w:rPr>
          <w:rFonts w:hint="eastAsia" w:asciiTheme="minorEastAsia" w:hAnsiTheme="minorEastAsia" w:eastAsiaTheme="minorEastAsia" w:cstheme="minorEastAsia"/>
          <w:color w:val="auto"/>
          <w:sz w:val="24"/>
          <w:szCs w:val="24"/>
          <w:highlight w:val="none"/>
          <w:lang w:val="en-US" w:eastAsia="zh-CN"/>
        </w:rPr>
        <w:t>：</w:t>
      </w:r>
    </w:p>
    <w:p w14:paraId="2927E72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1.严格核查入园人员身份信息，包括园区企业在职员工、施工人员、外来访客、运维人员等，核对人脸备案信息、工作证件、预约登记信息，无证、无备案、无预约人员一律禁止入园。</w:t>
      </w:r>
    </w:p>
    <w:p w14:paraId="2FCB983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2.规范外来人员入园流程，督促外来访客完成预约登记、信息报备、安全告知，登记来访事由、到访企业、停留时长、联系方式等信息，方可放行入园。</w:t>
      </w:r>
    </w:p>
    <w:p w14:paraId="2BB1B636">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3.严禁无关闲散人员、不明人员进入园区，对拒不配合核验、强行闯卡、扰乱卡口秩序的人员，及时劝阻、制止并上报园区管理部门及公安部门。</w:t>
      </w:r>
    </w:p>
    <w:p w14:paraId="3EE30A3F">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4.做好人员出园核查工作，重点核查施工、临时作业人员离岗信息，杜绝无关人员滞留园区封闭区域。</w:t>
      </w:r>
    </w:p>
    <w:p w14:paraId="1655E76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5.常态化开展入园安全宣教，提醒入园人员遵守园区封闭管理规定、安全生产及交通通行要求。</w:t>
      </w:r>
    </w:p>
    <w:p w14:paraId="1F358C08">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bookmarkStart w:id="26" w:name="heading_2"/>
      <w:r>
        <w:rPr>
          <w:rFonts w:hint="eastAsia" w:asciiTheme="minorEastAsia" w:hAnsiTheme="minorEastAsia" w:eastAsiaTheme="minorEastAsia" w:cstheme="minorEastAsia"/>
          <w:color w:val="auto"/>
          <w:sz w:val="24"/>
          <w:szCs w:val="24"/>
          <w:highlight w:val="none"/>
          <w:lang w:val="en-US" w:eastAsia="zh-CN"/>
        </w:rPr>
        <w:t>（三）车辆分类管控职责</w:t>
      </w:r>
      <w:bookmarkEnd w:id="26"/>
      <w:r>
        <w:rPr>
          <w:rFonts w:hint="eastAsia" w:asciiTheme="minorEastAsia" w:hAnsiTheme="minorEastAsia" w:eastAsiaTheme="minorEastAsia" w:cstheme="minorEastAsia"/>
          <w:color w:val="auto"/>
          <w:sz w:val="24"/>
          <w:szCs w:val="24"/>
          <w:highlight w:val="none"/>
          <w:lang w:val="en-US" w:eastAsia="zh-CN"/>
        </w:rPr>
        <w:t>：</w:t>
      </w:r>
    </w:p>
    <w:p w14:paraId="6A156A6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1.根据园区卡口功能划分，严格落实分类通行管控，区分综合卡口、普通卡口、危化品专用卡口、应急卡口通行权限，杜绝混行违规通行。</w:t>
      </w:r>
    </w:p>
    <w:p w14:paraId="75B9592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bookmarkStart w:id="27" w:name="heading_3"/>
      <w:r>
        <w:rPr>
          <w:rFonts w:hint="eastAsia" w:asciiTheme="minorEastAsia" w:hAnsiTheme="minorEastAsia" w:eastAsiaTheme="minorEastAsia" w:cstheme="minorEastAsia"/>
          <w:color w:val="auto"/>
          <w:sz w:val="24"/>
          <w:szCs w:val="24"/>
          <w:highlight w:val="none"/>
          <w:lang w:val="en-US" w:eastAsia="zh-CN"/>
        </w:rPr>
        <w:t>2.综合卡口管控</w:t>
      </w:r>
      <w:bookmarkEnd w:id="27"/>
      <w:r>
        <w:rPr>
          <w:rFonts w:hint="eastAsia" w:asciiTheme="minorEastAsia" w:hAnsiTheme="minorEastAsia" w:eastAsiaTheme="minorEastAsia" w:cstheme="minorEastAsia"/>
          <w:color w:val="auto"/>
          <w:sz w:val="24"/>
          <w:szCs w:val="24"/>
          <w:highlight w:val="none"/>
          <w:lang w:val="en-US" w:eastAsia="zh-CN"/>
        </w:rPr>
        <w:t>：负责园区小型私家车、企业通勤车、普通货运车、合规危化品运输车辆、外来预约车辆的出入管控，全面核验车辆备案信息、驾驶员资质、车辆年检手续，核查危化品车辆运输资质、押运资质、货物报备信息，严格落实一车一检、一车一登制度。</w:t>
      </w:r>
    </w:p>
    <w:p w14:paraId="0A06A74B">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bookmarkStart w:id="28" w:name="heading_4"/>
      <w:r>
        <w:rPr>
          <w:rFonts w:hint="eastAsia" w:asciiTheme="minorEastAsia" w:hAnsiTheme="minorEastAsia" w:eastAsiaTheme="minorEastAsia" w:cstheme="minorEastAsia"/>
          <w:color w:val="auto"/>
          <w:sz w:val="24"/>
          <w:szCs w:val="24"/>
          <w:highlight w:val="none"/>
          <w:lang w:val="en-US" w:eastAsia="zh-CN"/>
        </w:rPr>
        <w:t>3.普通卡口管控</w:t>
      </w:r>
      <w:bookmarkEnd w:id="28"/>
      <w:r>
        <w:rPr>
          <w:rFonts w:hint="eastAsia" w:asciiTheme="minorEastAsia" w:hAnsiTheme="minorEastAsia" w:eastAsiaTheme="minorEastAsia" w:cstheme="minorEastAsia"/>
          <w:color w:val="auto"/>
          <w:sz w:val="24"/>
          <w:szCs w:val="24"/>
          <w:highlight w:val="none"/>
          <w:lang w:val="en-US" w:eastAsia="zh-CN"/>
        </w:rPr>
        <w:t>：仅限小型车辆、企业通勤车、普通货运车辆、非机动车及人员通行，严禁一切危化品车辆、大型三轴及以上车辆驶入。严格核查通行车辆备案信息，劝离违规车辆，维护日常通行秩序。</w:t>
      </w:r>
    </w:p>
    <w:p w14:paraId="6ED7137E">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bookmarkStart w:id="29" w:name="heading_5"/>
      <w:r>
        <w:rPr>
          <w:rFonts w:hint="eastAsia" w:asciiTheme="minorEastAsia" w:hAnsiTheme="minorEastAsia" w:eastAsiaTheme="minorEastAsia" w:cstheme="minorEastAsia"/>
          <w:color w:val="auto"/>
          <w:sz w:val="24"/>
          <w:szCs w:val="24"/>
          <w:highlight w:val="none"/>
          <w:lang w:val="en-US" w:eastAsia="zh-CN"/>
        </w:rPr>
        <w:t>4.化品专用卡口管控</w:t>
      </w:r>
      <w:bookmarkEnd w:id="29"/>
      <w:r>
        <w:rPr>
          <w:rFonts w:hint="eastAsia" w:asciiTheme="minorEastAsia" w:hAnsiTheme="minorEastAsia" w:eastAsiaTheme="minorEastAsia" w:cstheme="minorEastAsia"/>
          <w:color w:val="auto"/>
          <w:sz w:val="24"/>
          <w:szCs w:val="24"/>
          <w:highlight w:val="none"/>
          <w:lang w:val="en-US" w:eastAsia="zh-CN"/>
        </w:rPr>
        <w:t>：为园区危化品车辆、危废运输车辆专属通行通道，禁止社会车辆、无关车辆通行。严格核验危化品运输车辆《道路运输证》、押运员资质、货物清单、入园报备审批手续，检查车辆防爆、防静电、消防设施完好性，严查超载、超限、无证运输、瞒报运输品类等违规行为，全程做好危化品车辆出入台账登记。</w:t>
      </w:r>
    </w:p>
    <w:p w14:paraId="5696F0B4">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bookmarkStart w:id="30" w:name="heading_6"/>
      <w:r>
        <w:rPr>
          <w:rFonts w:hint="eastAsia" w:asciiTheme="minorEastAsia" w:hAnsiTheme="minorEastAsia" w:eastAsiaTheme="minorEastAsia" w:cstheme="minorEastAsia"/>
          <w:color w:val="auto"/>
          <w:sz w:val="24"/>
          <w:szCs w:val="24"/>
          <w:highlight w:val="none"/>
          <w:lang w:val="en-US" w:eastAsia="zh-CN"/>
        </w:rPr>
        <w:t>5.应急卡口管控</w:t>
      </w:r>
      <w:bookmarkEnd w:id="30"/>
      <w:r>
        <w:rPr>
          <w:rFonts w:hint="eastAsia" w:asciiTheme="minorEastAsia" w:hAnsiTheme="minorEastAsia" w:eastAsiaTheme="minorEastAsia" w:cstheme="minorEastAsia"/>
          <w:color w:val="auto"/>
          <w:sz w:val="24"/>
          <w:szCs w:val="24"/>
          <w:highlight w:val="none"/>
          <w:lang w:val="en-US" w:eastAsia="zh-CN"/>
        </w:rPr>
        <w:t>：日常保持封闭锁定状态，仅在火灾、泄漏、抢险、应急救援、重大抢修等紧急情况下，经园区管理部门、应急管理部门审批后开启，专供应急救援车辆、抢险设备、应急人员通行，严禁私自开启、违规通行，开启后做好全程记录，事后及时封闭复位。</w:t>
      </w:r>
    </w:p>
    <w:p w14:paraId="206836F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bookmarkStart w:id="31" w:name="heading_7"/>
      <w:r>
        <w:rPr>
          <w:rFonts w:hint="eastAsia" w:asciiTheme="minorEastAsia" w:hAnsiTheme="minorEastAsia" w:eastAsiaTheme="minorEastAsia" w:cstheme="minorEastAsia"/>
          <w:color w:val="auto"/>
          <w:sz w:val="24"/>
          <w:szCs w:val="24"/>
          <w:highlight w:val="none"/>
          <w:lang w:val="en-US" w:eastAsia="zh-CN"/>
        </w:rPr>
        <w:t>（四）物资出入管控职责</w:t>
      </w:r>
      <w:bookmarkEnd w:id="31"/>
      <w:r>
        <w:rPr>
          <w:rFonts w:hint="eastAsia" w:asciiTheme="minorEastAsia" w:hAnsiTheme="minorEastAsia" w:eastAsiaTheme="minorEastAsia" w:cstheme="minorEastAsia"/>
          <w:color w:val="auto"/>
          <w:sz w:val="24"/>
          <w:szCs w:val="24"/>
          <w:highlight w:val="none"/>
          <w:lang w:val="en-US" w:eastAsia="zh-CN"/>
        </w:rPr>
        <w:t>：</w:t>
      </w:r>
    </w:p>
    <w:p w14:paraId="74C9902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1.严格管控园区物资进出，对入园生产物资、设备、施工材料，核对采购报备、企业签收信息，杜绝不明物资违规入园。</w:t>
      </w:r>
    </w:p>
    <w:p w14:paraId="1ED5113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2.对出园成品、废料、固废、危废等物资，核查出库手续、转运备案凭证，重点严查危废违规外运、偷盗园区物资等行为。</w:t>
      </w:r>
    </w:p>
    <w:p w14:paraId="0C17722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3.严禁易燃易爆、违禁危险品、管制器具等违规物品私自入园，发现违规物资立即截留、登记并上报处理。</w:t>
      </w:r>
    </w:p>
    <w:p w14:paraId="47973384">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bookmarkStart w:id="32" w:name="heading_8"/>
      <w:r>
        <w:rPr>
          <w:rFonts w:hint="eastAsia" w:asciiTheme="minorEastAsia" w:hAnsiTheme="minorEastAsia" w:eastAsiaTheme="minorEastAsia" w:cstheme="minorEastAsia"/>
          <w:color w:val="auto"/>
          <w:sz w:val="24"/>
          <w:szCs w:val="24"/>
          <w:highlight w:val="none"/>
          <w:lang w:val="en-US" w:eastAsia="zh-CN"/>
        </w:rPr>
        <w:t>（五）日常运维与台账管理职责</w:t>
      </w:r>
      <w:bookmarkEnd w:id="32"/>
      <w:r>
        <w:rPr>
          <w:rFonts w:hint="eastAsia" w:asciiTheme="minorEastAsia" w:hAnsiTheme="minorEastAsia" w:eastAsiaTheme="minorEastAsia" w:cstheme="minorEastAsia"/>
          <w:color w:val="auto"/>
          <w:sz w:val="24"/>
          <w:szCs w:val="24"/>
          <w:highlight w:val="none"/>
          <w:lang w:val="en-US" w:eastAsia="zh-CN"/>
        </w:rPr>
        <w:t>：</w:t>
      </w:r>
    </w:p>
    <w:p w14:paraId="5EEB2E1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1.严格落实24小时值班值守制度，坚守岗位，不得擅自脱岗、离岗、串岗，做好交接班记录，交接清晰值守情况、隐患问题、待办事项。</w:t>
      </w:r>
    </w:p>
    <w:p w14:paraId="6A34331D">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每日检查卡口道闸、门禁系统、人脸识别设备、车牌识别系统、监控摄像头、隔离设施、警示标识、防爆设施等软硬件设备，发现故障、损坏、失效问题立即上报报修，做好设备运维记录，确保智能化管控系统正常运行。</w:t>
      </w:r>
    </w:p>
    <w:p w14:paraId="30FA6AA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3.规范建立各类台账，详细记录人员出入、车辆通行、危化品车辆进出、设备故障、隐患排查、违规处置、上级检查等信息，台账内容真实、完整、规范，留存备查。</w:t>
      </w:r>
    </w:p>
    <w:p w14:paraId="7BA6AA5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4.保持卡口岗亭及周边环境卫生整洁，规范摆放执勤物资、消防器材、应急装备，保障卡口执勤环境规范有序。</w:t>
      </w:r>
    </w:p>
    <w:p w14:paraId="17277DF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bookmarkStart w:id="33" w:name="heading_9"/>
      <w:r>
        <w:rPr>
          <w:rFonts w:hint="eastAsia" w:asciiTheme="minorEastAsia" w:hAnsiTheme="minorEastAsia" w:eastAsiaTheme="minorEastAsia" w:cstheme="minorEastAsia"/>
          <w:color w:val="auto"/>
          <w:sz w:val="24"/>
          <w:szCs w:val="24"/>
          <w:highlight w:val="none"/>
          <w:lang w:val="en-US" w:eastAsia="zh-CN"/>
        </w:rPr>
        <w:t>（六）安全巡查与隐患排查职责</w:t>
      </w:r>
      <w:bookmarkEnd w:id="33"/>
      <w:r>
        <w:rPr>
          <w:rFonts w:hint="eastAsia" w:asciiTheme="minorEastAsia" w:hAnsiTheme="minorEastAsia" w:eastAsiaTheme="minorEastAsia" w:cstheme="minorEastAsia"/>
          <w:color w:val="auto"/>
          <w:sz w:val="24"/>
          <w:szCs w:val="24"/>
          <w:highlight w:val="none"/>
          <w:lang w:val="en-US" w:eastAsia="zh-CN"/>
        </w:rPr>
        <w:t>：</w:t>
      </w:r>
    </w:p>
    <w:p w14:paraId="63C8CA8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1.定时对卡口出入口、隔离围挡、防护设施、周边道路开展安全巡查，重点排查围挡破损、通道违规开口、设施损坏、私自翻墙闯卡、违规停车等隐患问题。</w:t>
      </w:r>
    </w:p>
    <w:p w14:paraId="66D6D77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2.严查园区出入口车辆超速、超限、超载、乱停乱放、不按规定通行等交通违规行为，及时疏导卡口拥堵车流、人流，保障通行顺畅安全。</w:t>
      </w:r>
    </w:p>
    <w:p w14:paraId="790774A1">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3.对排查发现的安全隐患、违规问题，立即现场整改；无法当场整改的，第一时间上报园区安监、运维部门，跟踪整改进度，做好闭环记录。</w:t>
      </w:r>
    </w:p>
    <w:p w14:paraId="253230A8">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bookmarkStart w:id="34" w:name="heading_10"/>
      <w:r>
        <w:rPr>
          <w:rFonts w:hint="eastAsia" w:asciiTheme="minorEastAsia" w:hAnsiTheme="minorEastAsia" w:eastAsiaTheme="minorEastAsia" w:cstheme="minorEastAsia"/>
          <w:color w:val="auto"/>
          <w:sz w:val="24"/>
          <w:szCs w:val="24"/>
          <w:highlight w:val="none"/>
          <w:lang w:val="en-US" w:eastAsia="zh-CN"/>
        </w:rPr>
        <w:t>（七）应急处置与联动职责</w:t>
      </w:r>
      <w:bookmarkEnd w:id="34"/>
      <w:r>
        <w:rPr>
          <w:rFonts w:hint="eastAsia" w:asciiTheme="minorEastAsia" w:hAnsiTheme="minorEastAsia" w:eastAsiaTheme="minorEastAsia" w:cstheme="minorEastAsia"/>
          <w:color w:val="auto"/>
          <w:sz w:val="24"/>
          <w:szCs w:val="24"/>
          <w:highlight w:val="none"/>
          <w:lang w:val="en-US" w:eastAsia="zh-CN"/>
        </w:rPr>
        <w:t>：</w:t>
      </w:r>
    </w:p>
    <w:p w14:paraId="49C5A41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1.熟悉园区各类突发事件应急处置流程，针对危化品车辆泄漏、闯卡冲突、火灾隐患、人员滞留、极端天气等突发情况，能够快速响应、规范处置。</w:t>
      </w:r>
    </w:p>
    <w:p w14:paraId="0FBC749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2.遇到车辆闯卡、暴力抗检、违规闹事等情况，第一时间制止、留存影像证据，上报园区管理处及公安机关，坚决维护卡口管控秩序。</w:t>
      </w:r>
    </w:p>
    <w:p w14:paraId="53CD5B5E">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3.园区发生安全生产事故、应急救援任务时，主动配合开启应急通道，引导应急车辆、救援人员快速通行，协助开展现场管控、人员疏散、秩序维护工作。</w:t>
      </w:r>
    </w:p>
    <w:p w14:paraId="198135A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4.严格落实极端天气、节假日、重点时段安保管控要求，加大巡查频次，强化出入核查力度，筑牢安全防线。</w:t>
      </w:r>
    </w:p>
    <w:p w14:paraId="68100ED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bookmarkStart w:id="35" w:name="heading_11"/>
      <w:r>
        <w:rPr>
          <w:rFonts w:hint="eastAsia" w:asciiTheme="minorEastAsia" w:hAnsiTheme="minorEastAsia" w:eastAsiaTheme="minorEastAsia" w:cstheme="minorEastAsia"/>
          <w:color w:val="auto"/>
          <w:sz w:val="24"/>
          <w:szCs w:val="24"/>
          <w:highlight w:val="none"/>
          <w:lang w:val="en-US" w:eastAsia="zh-CN"/>
        </w:rPr>
        <w:t>（八）工作纪律与保密职责</w:t>
      </w:r>
      <w:bookmarkEnd w:id="35"/>
      <w:r>
        <w:rPr>
          <w:rFonts w:hint="eastAsia" w:asciiTheme="minorEastAsia" w:hAnsiTheme="minorEastAsia" w:eastAsiaTheme="minorEastAsia" w:cstheme="minorEastAsia"/>
          <w:color w:val="auto"/>
          <w:sz w:val="24"/>
          <w:szCs w:val="24"/>
          <w:highlight w:val="none"/>
          <w:lang w:val="en-US" w:eastAsia="zh-CN"/>
        </w:rPr>
        <w:t>：</w:t>
      </w:r>
    </w:p>
    <w:p w14:paraId="4BE6BE79">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1.严格遵守工作纪律，文明执勤、规范执法，耐心做好政策解释、劝导工作，杜绝态度粗暴、推诿扯皮、徇私放行、违规放行等行为。</w:t>
      </w:r>
    </w:p>
    <w:p w14:paraId="079376D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2.坚守岗位底线，严禁私自放行无证人员、违规车辆、违禁物资，严禁利用职权谋取私利，对失职渎职、违规操作造成安全隐患的，承担相应责任。</w:t>
      </w:r>
    </w:p>
    <w:p w14:paraId="3A42EA3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3.做好园区出入数据、企业信息、监控影像等资料的保密工作，严禁私自泄露、外传园区管控数据及相关涉密信息。</w:t>
      </w:r>
    </w:p>
    <w:p w14:paraId="2B9444AF">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4.积极参加园区组织的安全培训、业务培训、应急演练，熟练掌握卡口管控流程、设备操作、应急处置技能，持续提升岗位履职能力。</w:t>
      </w:r>
    </w:p>
    <w:p w14:paraId="5DCA5BD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（九）人员要求：</w:t>
      </w:r>
    </w:p>
    <w:p w14:paraId="321AA529">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1.执行勤务时统一着装（着装统一、标识统一、符合安保要素，由中标人自行配备）、佩戴工作牌，配备必要的通讯设备（如：对讲机、手机等）。</w:t>
      </w:r>
    </w:p>
    <w:p w14:paraId="60EF35C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2.共五个卡口，每个卡口一班1人、三班倒。</w:t>
      </w:r>
    </w:p>
    <w:p w14:paraId="7459A77D">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3.人数：15人。要求：①男性，身高不低于1.7米，年龄18至50周岁；②身体健康，无传染性疾病，持健康证或体检合格证明上岗作业；③遵纪守法，接受过</w:t>
      </w:r>
      <w:r>
        <w:rPr>
          <w:rFonts w:hint="eastAsia" w:asciiTheme="minorEastAsia" w:hAnsiTheme="minorEastAsia" w:eastAsiaTheme="minorEastAsia" w:cstheme="minorEastAsia"/>
          <w:color w:val="auto"/>
          <w:sz w:val="24"/>
          <w:szCs w:val="24"/>
          <w:highlight w:val="none"/>
          <w:lang w:val="en-US" w:eastAsia="zh"/>
        </w:rPr>
        <w:t>相关</w:t>
      </w:r>
      <w:r>
        <w:rPr>
          <w:rFonts w:hint="eastAsia" w:asciiTheme="minorEastAsia" w:hAnsiTheme="minorEastAsia" w:eastAsiaTheme="minorEastAsia" w:cstheme="minorEastAsia"/>
          <w:color w:val="auto"/>
          <w:sz w:val="24"/>
          <w:szCs w:val="24"/>
          <w:highlight w:val="none"/>
          <w:lang w:val="en-US" w:eastAsia="zh-CN"/>
        </w:rPr>
        <w:t>训练；④热爱本职工作，认真履行职责，忠于职守，文明执勤，保守机密；⑤高中及以上文化程度（有巡防经验的可放宽至初中文化程度）。人员相关证件（证明）应于中标签订合同之日起5日内报采购人备案，否则视为虚假应标。</w:t>
      </w:r>
    </w:p>
    <w:p w14:paraId="4F6F8A4F">
      <w:pPr>
        <w:widowControl w:val="0"/>
        <w:snapToGrid w:val="0"/>
        <w:spacing w:line="360" w:lineRule="auto"/>
        <w:ind w:firstLine="482" w:firstLineChars="200"/>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三、安全风险智能化管控平台值守服务要求</w:t>
      </w:r>
    </w:p>
    <w:p w14:paraId="6410964D">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化工园区安全风险智能化管控平台共6大模块，包括：安全基础管理、重大危险源安全管理、双重预防机制、特殊作业管理、封闭化管理、敏捷应急；作业人员需熟练掌握各个模块及功能，实现对化工园区内重点场所、重点设施在线实时监测、动态评估和及时自动预警功能，信息化平台应急指挥中心需掌握实时监测情况、动态评估以及处理报警信号，发现问题及时处理。做好平台日常运行状态的监控、维护工作，并做好相关记录。规范安全风险智能化管控平台的值班工作，确保平台24小时不间断、高效稳定的运行，及时有效应对各类安全风险事件，保障企业安全平稳运营。</w:t>
      </w:r>
    </w:p>
    <w:p w14:paraId="67B13AAD">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（一）值班安排：</w:t>
      </w:r>
    </w:p>
    <w:p w14:paraId="1B23042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1.值班人员：根据实际工作需求，设立专职或轮值值班人员，确保平台每天24小时都有专人值守。</w:t>
      </w:r>
    </w:p>
    <w:p w14:paraId="38B902E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2.值班时间：实行7×24小时不间断值班制度，合理安排每日、每周、每月的值班表， 确保值班衔接有序。</w:t>
      </w:r>
    </w:p>
    <w:p w14:paraId="423F3D3F">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（二）值班职责：</w:t>
      </w:r>
    </w:p>
    <w:p w14:paraId="244062E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1.实时监控：值班人员需密切关注平台运行状态，实时监 控各类风险指标和报警信息，做到早发现、早报告、早处理。</w:t>
      </w:r>
    </w:p>
    <w:p w14:paraId="73280B4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2.应急处理：在收到预警信息或发生系统故障时，立即启动应急预案，进行初步诊断和处置，并及时上报给相关人员。</w:t>
      </w:r>
    </w:p>
    <w:p w14:paraId="07AAD7CF">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3.记录与报告：详细记录值班期间平台运行状况、处理事件的过程、结果等内容， 按要求撰写值班日志，并按时向上级领导汇报值班情况。</w:t>
      </w:r>
    </w:p>
    <w:p w14:paraId="6F25EBDD">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4.负责值班期间突发事件和重大事件的上报及协调处理。</w:t>
      </w:r>
    </w:p>
    <w:p w14:paraId="6218C540">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5.负责平台安全保卫、消防、防盗等工作。</w:t>
      </w:r>
    </w:p>
    <w:p w14:paraId="5C1718B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（三）交接班管理：</w:t>
      </w:r>
    </w:p>
    <w:p w14:paraId="60FE5E41">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1.交接流程：交接班时，交班人员应向接班人员详细说明当前平台运行状况、待处理事项以及注意事项，确保信息无缝对接。</w:t>
      </w:r>
    </w:p>
    <w:p w14:paraId="6EFF4DB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2.签到签退：严格执行签到签退制度，确保值班人员按时到岗、离岗，并认真填写交接班记录表。</w:t>
      </w:r>
    </w:p>
    <w:p w14:paraId="640E139D">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（四）值班纪律：</w:t>
      </w:r>
    </w:p>
    <w:p w14:paraId="7A17E55B">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1.按排定的值班表进行值班，如请假或有特殊情况，由采购人协调。</w:t>
      </w:r>
    </w:p>
    <w:p w14:paraId="7BF02C0E">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2.值班人员必须遵守值班纪律，坚守岗位，不允许迟到、早退、脱岗或无故不值班，不允许做与值班无关的事，杜绝值班期间饮酒。</w:t>
      </w:r>
    </w:p>
    <w:p w14:paraId="1D0D69B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3.值班人员工作时间内不得无故离开化工产业园区智慧化平台值班室，保持手机畅通，以便在紧急情况下能够迅速联系和调度。</w:t>
      </w:r>
    </w:p>
    <w:p w14:paraId="147248C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4.值班期间发现的智慧化平台异常情况要如实、全面的进行记录。</w:t>
      </w:r>
    </w:p>
    <w:p w14:paraId="54A1AFF9">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5.交接班期间，凡当班未处理好问题要认真做好记录，说明情况，移交处理。</w:t>
      </w:r>
    </w:p>
    <w:p w14:paraId="343D669D">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（五）人员培训：</w:t>
      </w:r>
    </w:p>
    <w:p w14:paraId="07F1E1FF">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1.培训内容：</w:t>
      </w:r>
    </w:p>
    <w:p w14:paraId="7E92775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 平台功能模块讲解：详细介绍平台的各项功能模块、操作流程及应用场景，确保熟知并掌握各个模块的使用方法。</w:t>
      </w:r>
    </w:p>
    <w:p w14:paraId="592F2246">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 系统操作培训：包括账户登录、数据录入、查询、分 析、预警等功能的实际操作演示及实操练习。</w:t>
      </w:r>
    </w:p>
    <w:p w14:paraId="387E9D69">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 应急处置培训：针对可能出现的系统故障、安全事件等情况，进行应急处置流程的培训，并组织应急演练。</w:t>
      </w:r>
    </w:p>
    <w:p w14:paraId="03929ED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2.培训形式：</w:t>
      </w:r>
    </w:p>
    <w:p w14:paraId="5E39517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2.1 新员工入职培训：新入职涉及平台使用的员工在入职初期必须参加统一的基础培训课程，通过考核后才能获得平台使用权限。</w:t>
      </w:r>
    </w:p>
    <w:p w14:paraId="2914213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2.2 定期再培训：根据平台更新、政策法规变化、业务发展需求等实际情况，定期组织专题培训和复习培训。</w:t>
      </w:r>
    </w:p>
    <w:p w14:paraId="0418913B">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2.3 自主学习：提供相关的线上教程、操作手册等学习资料，鼓励员工自主学习和提升。</w:t>
      </w:r>
    </w:p>
    <w:p w14:paraId="0902DBEF">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3.培训考核：</w:t>
      </w:r>
    </w:p>
    <w:p w14:paraId="2C5AB3C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3.1 培训结束后，组织实操考核，成绩合格者方能取得平台使用资格。</w:t>
      </w:r>
    </w:p>
    <w:p w14:paraId="26CF0C98">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 将平台使用表现和安全风险防控成效纳入员工绩效考核范畴，以此激励和督促员工持续提升平台使用技能。</w:t>
      </w:r>
    </w:p>
    <w:p w14:paraId="0EB8CD44">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（六）人员要求：</w:t>
      </w:r>
    </w:p>
    <w:p w14:paraId="100122DB">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1.执行勤务时统一着装（着装统一、标识统一、符合安保要素，由中标人自行配备）、佩戴工作牌，配备必要的通讯设备（如：对讲机、手机等）。</w:t>
      </w:r>
    </w:p>
    <w:p w14:paraId="11AB2E61">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2.24小时值班，一班2人，三班倒。</w:t>
      </w:r>
    </w:p>
    <w:p w14:paraId="1FF3DE80">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人数：6人。要求：①年龄22至40周岁；②身体健康，无传染性疾病，持健康证或体检合格证明上岗作业；③有良好的语言沟通能力及相关业务知识，具有较强的学习能力，能够刻苦钻研安全生产领域、信息化的专业知识，不断提升自身业务水平；④品行良好、作风端正、遵纪守法、服从组织安排；⑤高中及以上文化程度。人员相关证件（证明）应于中标签订合同之日起5日内报采购人备案，否则视为虚假应标。</w:t>
      </w:r>
    </w:p>
    <w:p w14:paraId="2FF767FA">
      <w:pPr>
        <w:widowControl w:val="0"/>
        <w:snapToGrid w:val="0"/>
        <w:spacing w:line="360" w:lineRule="auto"/>
        <w:ind w:firstLine="482" w:firstLineChars="200"/>
        <w:jc w:val="left"/>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四、消防执勤服务要求</w:t>
      </w:r>
    </w:p>
    <w:p w14:paraId="7ACED8AB">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规范化工产业园区消防救援工作，立足园区危化品储存、生产、输送、处置等高风险特性，筑牢园区消防安全防线，防范化解火灾、爆炸、泄漏、中毒等各类安全事故，依据《中华人民共和国消防法》、《化工园区消防救援站建设规范》及危化品应急处置相关标准，结合园区安全生产实际，制定岗位职责。园区消防队为园区专职应急消防救援力量，实行24小时全天候执勤战备制度，独立承担园区全域火灾扑救、危化品事故应急处置、消防安全巡查、应急保障、宣传培训等工作，接受属地消防救援机构统一调度、业务指导，联动园区应急、安监、环保、企业专职消防力量开展协同作业。</w:t>
      </w:r>
    </w:p>
    <w:p w14:paraId="788AF38E">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（一）核心岗位职责：</w:t>
      </w:r>
    </w:p>
    <w:p w14:paraId="63D67BF0">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1.执勤战备与值班值守职责：</w:t>
      </w:r>
    </w:p>
    <w:p w14:paraId="3833F0D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 严格落实24小时专人在岗、轮流值守、战备待命制度，无脱岗、漏岗、擅离职守情况，保证接警、出警指令秒级响应，全年常态化保持战备状态。</w:t>
      </w:r>
    </w:p>
    <w:p w14:paraId="5D87C9D9">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 规范值守台账管理，精准记录接警信息、出警处置、巡查情况、装备检修、值班交接等内容，做到台账完整、数据真实、有据可查。</w:t>
      </w:r>
    </w:p>
    <w:p w14:paraId="1167DC7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 常态化熟悉园区全域地形、消防管网、消防水源、消防通道、应急疏散场地，熟记园区各企业生产装置区、储罐区、危废暂存库、管廊通道、易燃易爆点位等重点风险区域分布。</w:t>
      </w:r>
    </w:p>
    <w:p w14:paraId="09C52700">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 严格执行值班交接制度，明确交接内容、战备状态、隐患点位、待办工作，确保执勤工作无缝衔接、不留空档。</w:t>
      </w:r>
    </w:p>
    <w:p w14:paraId="0F51193E">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2.火灾扑救与应急救援处置职责：</w:t>
      </w:r>
    </w:p>
    <w:p w14:paraId="5D8F4DFD">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2.1 负责园区全域范围内各类火灾事故处置，重点处置危化品火灾、储罐起火、装置爆炸、管道燃爆等化工类特殊火灾，科学实施灭火、降温、抑爆、隔离作业。</w:t>
      </w:r>
    </w:p>
    <w:p w14:paraId="00E026BE">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2.2 承担园区突发安全生产事故应急救援工作，精准开展危化品泄漏封堵、稀释中和、防爆隔离、有毒气体侦检、人员洗消等专项处置工作。</w:t>
      </w:r>
    </w:p>
    <w:p w14:paraId="0776CEDE">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2.3 负责事故现场人员搜救、伤员转移、被困人员疏散，划定警戒区域、管控现场秩序，防止次生火灾、爆炸、中毒、环境污染等衍生事故。</w:t>
      </w:r>
    </w:p>
    <w:p w14:paraId="5EE32016">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2.4 服从属地消防救援机构统一调度，主动参与周边区域联动救援任务，配合开展跨区域、跨部门应急协同处置工作。</w:t>
      </w:r>
    </w:p>
    <w:p w14:paraId="487835C1">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2.5 事故处置结束后，做好现场监护、余火清理、隐患复核工作，杜绝复燃、复泄风险，规范完成事故处置复盘总结。</w:t>
      </w:r>
    </w:p>
    <w:p w14:paraId="0100FA68">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3.消防安全巡查与隐患排查职责：</w:t>
      </w:r>
    </w:p>
    <w:p w14:paraId="48C8C3C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3.1 开展园区常态化消防巡查，每日对园区公共区域、主干道消防通道、消防栓、消防水池、管网阀门、应急照明、警示标识等公共消防设施进行全覆盖检查，确保完好有效、正常可用。</w:t>
      </w:r>
    </w:p>
    <w:p w14:paraId="63C857F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 重点对入园企业高危区域开展专项巡查，聚焦生产装置、储罐区、危化品仓库、危废堆放点、配电室、中控室等关键部位，排查违规动火、违规操作、堵塞通道、设施失效、违规存储等消防安全隐患。</w:t>
      </w:r>
    </w:p>
    <w:p w14:paraId="73FFC9D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3.3 建立隐患排查台账，对排查发现的一般隐患现场督促整改，重大隐患立即上报园区应急管理部门，下发整改提示，跟踪闭环整改，全程记录隐患发现、交办、整改、复核全过程。</w:t>
      </w:r>
    </w:p>
    <w:p w14:paraId="40C0D02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3.4 协助园区开展消防安全专项整治、节前安全检查、高危作业督查，重点管控动火作业、受限空间作业、检维修作业等高风险作业的消防安保工作。</w:t>
      </w:r>
    </w:p>
    <w:p w14:paraId="0449826F">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4.预案管理与实战演练职责：</w:t>
      </w:r>
    </w:p>
    <w:p w14:paraId="2F1849A6">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4.1 结合园区危化品风险特点，协助编制、修订园区火灾事故、危化品泄漏、爆炸事故等专项应急预案，指导入园企业完善内部消防应急处置预案。</w:t>
      </w:r>
    </w:p>
    <w:p w14:paraId="7264202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4.2 定期组织队伍内部实战化训练，针对性开展化工火灾扑救、危化品堵漏、侦检洗消、防爆处置、伤员救援等专业技能训练，提升化工场景专项救援能力。</w:t>
      </w:r>
    </w:p>
    <w:p w14:paraId="7BA9ABC7">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4.3 牵头或配合园区、入园企业开展月度、季度、年度消防应急演练，组织开展政企联动、多部门协同演练，检验预案可行性、队伍实战性、联动顺畅性。</w:t>
      </w:r>
    </w:p>
    <w:p w14:paraId="0F32C7E7">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4.4 每次演练、训练后开展复盘评估，梳理短板弱项，优化处置流程、改进战术战法，持续提升队伍应急处置专业化水平。</w:t>
      </w:r>
    </w:p>
    <w:p w14:paraId="03A085FE">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5.消防装备与物资管理职责：</w:t>
      </w:r>
    </w:p>
    <w:p w14:paraId="2D05510F">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5.1 负责园区所有消防车辆、灭火器材、空气呼吸器、侦检设备、破拆工具、堵漏装备、洗消设备、防护装备等救援物资的日常管护、定期检修、保养校验。</w:t>
      </w:r>
    </w:p>
    <w:p w14:paraId="70221C0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5.2 严格落实装备物资台账管理制度，分类登记、定点存放、专人管护，对损耗、过期、损坏装备及时报备、更换、补充，易损耗材按标准储备备用量，确保所有装备随时处于战备状态。</w:t>
      </w:r>
    </w:p>
    <w:p w14:paraId="1EA2C15B">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5.3 规范装备操作使用流程，组织队员开展装备实操培训，确保全员熟练掌握各类化工专用救援装备的操作、维护、应急使用方法。</w:t>
      </w:r>
    </w:p>
    <w:p w14:paraId="5212BB34">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5.4 定期检查园区消防水源、管网压力、应急泵站等固定消防设施，及时上报设施故障、管网破损、水压不足等问题，保障园区消防供水稳定可靠。</w:t>
      </w:r>
    </w:p>
    <w:p w14:paraId="38BD354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6.消防宣传与教育培训职责：</w:t>
      </w:r>
    </w:p>
    <w:p w14:paraId="35545D1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6.1 常态化开展园区消防安全宣传工作，通过现场宣讲、海报公示、警示教育、班前培训等形式，普及危化品防火、防爆、防泄漏、应急逃生、初期火灾处置等安全知识。</w:t>
      </w:r>
    </w:p>
    <w:p w14:paraId="0D67F717">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6.2 定期对入园企业员工、园区工作人员、物业人员开展消防实操培训，重点培训灭火器、消防栓使用方法、初期火情处置、海姆立克急救、疏散逃生、应急自救技能。</w:t>
      </w:r>
    </w:p>
    <w:p w14:paraId="7E6E8B0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6.3 针对化工行业高危特性，开展专项警示教育，普及危化品事故风险、违规作业危害、应急处置禁忌等专业知识，提升园区全员消防安全意识和自救互救能力。</w:t>
      </w:r>
    </w:p>
    <w:p w14:paraId="31E39B41">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7.政企联动与协同值守职责：</w:t>
      </w:r>
    </w:p>
    <w:p w14:paraId="5BC824F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7.1 建立与属地消防大队、园区应急办、安监、环保、公安、医疗等部门的常态化联动机制，畅通信息报送、指令传达、协同处置渠道。</w:t>
      </w:r>
    </w:p>
    <w:p w14:paraId="1ABD1A7E">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 对接各入园企业专职消防队伍、微型消防站，建立联防联控机制，明确分工、互通信息、协同作战，形成园区消防救援合力。</w:t>
      </w:r>
    </w:p>
    <w:p w14:paraId="6BD6BE68">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7.3 重大节假日、重大生产活动、高危施工期间，落实定点值守、动态巡查制度，提前排查风险、前置救援力量，保障园区安全生产形势稳定。</w:t>
      </w:r>
    </w:p>
    <w:p w14:paraId="3184712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（八）内务管理与应急保障职责：</w:t>
      </w:r>
    </w:p>
    <w:p w14:paraId="2DDCDAAD">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8.1 严格落实队伍内务管理制度，规范队员日常执勤、训练、作息、着装纪律，打造纪律严明、作风过硬、反应迅速的专业化消防队伍。</w:t>
      </w:r>
    </w:p>
    <w:p w14:paraId="7AA417F9">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8.2 做好队伍后勤保障工作，保障执勤、训练、救援物资供应，定期开展队员安全防护、应急救护培训，做好救援作业安全防护，杜绝作业伤亡事故。</w:t>
      </w:r>
    </w:p>
    <w:p w14:paraId="5498B04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8.3 及时整理、归档消防巡查、应急处置、训练演练、隐患整改、宣传培训等各类资料，建立完整的消防工作档案，为园区消防安全管理、风险研判、工作总结提供依据。</w:t>
      </w:r>
    </w:p>
    <w:p w14:paraId="723D7DF1">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（二）工作纪律与责任要求：</w:t>
      </w:r>
    </w:p>
    <w:p w14:paraId="21208957">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1.全体队员必须坚守岗位、履职尽责，严格遵守战备值守制度，杜绝脱岗、怠工、违规操作等行为，确保快速响应、科学处置、高效救援。</w:t>
      </w:r>
    </w:p>
    <w:p w14:paraId="5AEF88D9">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2.严格规范化工事故处置流程，杜绝盲目施救、违规处置，严格落实防爆、防毒、防灼伤安全防护措施，严守危化品应急处置操作规程。</w:t>
      </w:r>
    </w:p>
    <w:p w14:paraId="339DDD70">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3.对工作履职不到位、隐患排查漏报瞒报、处置不力、装备管护不当造成安全事故的，依规追究相关人员责任。</w:t>
      </w:r>
    </w:p>
    <w:p w14:paraId="48748BD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4.主动接受上级主管部门监督检查，持续优化工作流程，提升园区化工火灾、危化品事故专业化处置能力，全面保障园区安全生产稳定。</w:t>
      </w:r>
    </w:p>
    <w:p w14:paraId="7171D957">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（三）人员要求：</w:t>
      </w:r>
    </w:p>
    <w:p w14:paraId="3F5187FE">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执行勤务时</w:t>
      </w:r>
      <w:r>
        <w:rPr>
          <w:rFonts w:hint="eastAsia" w:asciiTheme="minorEastAsia" w:hAnsiTheme="minorEastAsia" w:eastAsiaTheme="minorEastAsia" w:cstheme="minorEastAsia"/>
          <w:color w:val="auto"/>
          <w:sz w:val="24"/>
          <w:szCs w:val="24"/>
          <w:highlight w:val="none"/>
          <w:lang w:val="en-US" w:eastAsia="zh-CN"/>
        </w:rPr>
        <w:t>统一着装</w:t>
      </w:r>
      <w:r>
        <w:rPr>
          <w:rFonts w:hint="eastAsia" w:ascii="宋体" w:hAnsi="宋体" w:eastAsia="宋体" w:cs="宋体"/>
          <w:b w:val="0"/>
          <w:bCs/>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着装统一、标识统一，</w:t>
      </w:r>
      <w:r>
        <w:rPr>
          <w:rFonts w:hint="eastAsia" w:ascii="宋体" w:hAnsi="宋体" w:eastAsia="宋体" w:cs="宋体"/>
          <w:b w:val="0"/>
          <w:bCs/>
          <w:color w:val="auto"/>
          <w:sz w:val="24"/>
          <w:szCs w:val="24"/>
          <w:highlight w:val="none"/>
          <w:lang w:eastAsia="zh-CN"/>
        </w:rPr>
        <w:t>由</w:t>
      </w:r>
      <w:r>
        <w:rPr>
          <w:rFonts w:hint="eastAsia" w:ascii="宋体" w:hAnsi="宋体" w:cs="宋体"/>
          <w:b w:val="0"/>
          <w:bCs/>
          <w:color w:val="auto"/>
          <w:sz w:val="24"/>
          <w:szCs w:val="24"/>
          <w:highlight w:val="none"/>
          <w:lang w:val="en-US" w:eastAsia="zh-CN"/>
        </w:rPr>
        <w:t>采购人提供</w:t>
      </w:r>
      <w:r>
        <w:rPr>
          <w:rFonts w:hint="eastAsia" w:ascii="宋体" w:hAnsi="宋体" w:eastAsia="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w:t>
      </w:r>
    </w:p>
    <w:p w14:paraId="18EB0D59">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宋体" w:hAnsi="宋体" w:eastAsia="宋体" w:cs="宋体"/>
          <w:b w:val="0"/>
          <w:bCs/>
          <w:color w:val="auto"/>
          <w:sz w:val="24"/>
          <w:szCs w:val="24"/>
          <w:highlight w:val="none"/>
          <w:lang w:eastAsia="zh-CN"/>
        </w:rPr>
        <w:t>24小时执勤战备</w:t>
      </w:r>
      <w:r>
        <w:rPr>
          <w:rFonts w:hint="eastAsia" w:asciiTheme="minorEastAsia" w:hAnsiTheme="minorEastAsia" w:eastAsiaTheme="minorEastAsia" w:cstheme="minorEastAsia"/>
          <w:color w:val="auto"/>
          <w:sz w:val="24"/>
          <w:szCs w:val="24"/>
          <w:highlight w:val="none"/>
          <w:lang w:val="en-US" w:eastAsia="zh-CN"/>
        </w:rPr>
        <w:t>。</w:t>
      </w:r>
    </w:p>
    <w:p w14:paraId="1D2AB3F7">
      <w:pPr>
        <w:widowControl w:val="0"/>
        <w:snapToGrid w:val="0"/>
        <w:spacing w:line="360" w:lineRule="auto"/>
        <w:ind w:firstLine="480" w:firstLineChars="200"/>
        <w:jc w:val="left"/>
        <w:rPr>
          <w:rFonts w:hint="eastAsia" w:ascii="宋体" w:hAnsi="宋体" w:cs="宋体"/>
          <w:b w:val="0"/>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人数：30人。要求：①男性，身高不低于1.65米，年龄18至35周岁；驾驶员须具有A1或A2或B2驾驶证，驾驶经验丰富，年龄可放宽至45周岁；②身体条件符合《消防员职业健康标准》，身心健康，五官端正，举止大方，谈吐清晰，无口吃、重听和其它传染性疾病，双眼视力正常，无色盲、色弱及影响视力的眼部疾病，无残疾；③具有中华人民共和国国籍，拥护中华人民共和国宪法，拥护中国共产党的基本路线、方针和政策，忠于祖国、热爱人民；④具有良好的品行，遵纪守法，保守秘密，政治素质高，遵守宪法和法律，具有较强的事业心和责任心，热爱消防事业，能够适应24小时执勤战备需要；⑤高中及以上文化程度。人员上岗前须经过采购人统一考核合格，人员相关证件（证明）应于中标签订合同之日起5日内报采购人备案，否则视为虚假应标。</w:t>
      </w:r>
    </w:p>
    <w:p w14:paraId="20DBDB6D">
      <w:pPr>
        <w:widowControl w:val="0"/>
        <w:snapToGrid w:val="0"/>
        <w:spacing w:line="360" w:lineRule="auto"/>
        <w:ind w:firstLine="482" w:firstLineChars="200"/>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五、其他要求</w:t>
      </w:r>
    </w:p>
    <w:p w14:paraId="30B3BC88">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1.中标人须配置专人作为项目负责人，负责项目对接、总体日常管理及监督检查工作；其他管理人员根据项目需要自行配置。</w:t>
      </w:r>
    </w:p>
    <w:p w14:paraId="64A4737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中标人应依法规范用工，与作业人员签订正式劳务合同，自主发放和缴纳作业人员的工资及各项福利待遇、制服及劳保用品、劳动保险等；因用工纠纷及劳动事故造成的一切责任及风险由中标人独立承担，采购人不承担任何连带责任。</w:t>
      </w:r>
    </w:p>
    <w:p w14:paraId="4EA64EC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3.严禁作业人员监守自盗，杜绝外盗现象发生，不得聘用品行不端、被刑事处罚、劳动教养、</w:t>
      </w:r>
      <w:r>
        <w:rPr>
          <w:rFonts w:hint="eastAsia" w:asciiTheme="minorEastAsia" w:hAnsiTheme="minorEastAsia" w:eastAsiaTheme="minorEastAsia" w:cstheme="minorEastAsia"/>
          <w:color w:val="auto"/>
          <w:sz w:val="24"/>
          <w:szCs w:val="24"/>
          <w:highlight w:val="none"/>
          <w:lang w:val="en-US" w:eastAsia="zh-CN"/>
        </w:rPr>
        <w:fldChar w:fldCharType="begin"/>
      </w:r>
      <w:r>
        <w:rPr>
          <w:rFonts w:hint="eastAsia" w:asciiTheme="minorEastAsia" w:hAnsiTheme="minorEastAsia" w:eastAsiaTheme="minorEastAsia" w:cstheme="minorEastAsia"/>
          <w:color w:val="auto"/>
          <w:sz w:val="24"/>
          <w:szCs w:val="24"/>
          <w:highlight w:val="none"/>
          <w:lang w:val="en-US" w:eastAsia="zh-CN"/>
        </w:rPr>
        <w:instrText xml:space="preserve"> HYPERLINK "http://www.so.com/s?q=%E6%94%B6%E5%AE%B9%E6%95%99%E8%82%B2&amp;ie=utf-8&amp;src=wenda_link" \t "_blank" </w:instrText>
      </w:r>
      <w:r>
        <w:rPr>
          <w:rFonts w:hint="eastAsia" w:asciiTheme="minorEastAsia" w:hAnsiTheme="minorEastAsia" w:eastAsiaTheme="minorEastAsia" w:cstheme="minorEastAsia"/>
          <w:color w:val="auto"/>
          <w:sz w:val="24"/>
          <w:szCs w:val="24"/>
          <w:highlight w:val="none"/>
          <w:lang w:val="en-US" w:eastAsia="zh-CN"/>
        </w:rPr>
        <w:fldChar w:fldCharType="separate"/>
      </w:r>
      <w:r>
        <w:rPr>
          <w:rFonts w:hint="eastAsia" w:asciiTheme="minorEastAsia" w:hAnsiTheme="minorEastAsia" w:eastAsiaTheme="minorEastAsia" w:cstheme="minorEastAsia"/>
          <w:color w:val="auto"/>
          <w:sz w:val="24"/>
          <w:szCs w:val="24"/>
          <w:highlight w:val="none"/>
          <w:lang w:val="en-US" w:eastAsia="zh-CN"/>
        </w:rPr>
        <w:t>收容教育</w:t>
      </w:r>
      <w:r>
        <w:rPr>
          <w:rFonts w:hint="eastAsia" w:asciiTheme="minorEastAsia" w:hAnsiTheme="minorEastAsia" w:eastAsiaTheme="minorEastAsia" w:cstheme="minorEastAsia"/>
          <w:color w:val="auto"/>
          <w:sz w:val="24"/>
          <w:szCs w:val="24"/>
          <w:highlight w:val="none"/>
          <w:lang w:val="en-US" w:eastAsia="zh-CN"/>
        </w:rPr>
        <w:fldChar w:fldCharType="end"/>
      </w:r>
      <w:r>
        <w:rPr>
          <w:rFonts w:hint="eastAsia" w:asciiTheme="minorEastAsia" w:hAnsiTheme="minorEastAsia" w:eastAsiaTheme="minorEastAsia" w:cstheme="minorEastAsia"/>
          <w:color w:val="auto"/>
          <w:sz w:val="24"/>
          <w:szCs w:val="24"/>
          <w:highlight w:val="none"/>
          <w:lang w:val="en-US" w:eastAsia="zh-CN"/>
        </w:rPr>
        <w:t>、强制隔离戒毒或者被开除公职、开除军籍、法轮功及其他邪教人员等人员。不得聘用公益性岗位、退休职工、劳务派遣等人员。</w:t>
      </w:r>
    </w:p>
    <w:p w14:paraId="01DE04F6">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作业人员由中标人统一进行岗前培训、定期考核及管理，作业人员应熟知岗位职责，建立人员工作规范、质量管理目标、考核评估制度和奖惩办法。自觉服从采购人管理，遵守和执行行业制度及采购人有关制度规定。</w:t>
      </w:r>
    </w:p>
    <w:p w14:paraId="0C2248F7">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5.任何作业人员的更换须征得采购人管理人员同意，未经采购人同意不得更换。采购人有权对违规或不称职人员向中标人提出处罚、调换或辞退请求，中标人应当接受并执行。</w:t>
      </w:r>
    </w:p>
    <w:p w14:paraId="5CBC515C">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6.对采购人反映的任何服务问题及时做出整改直至达到采购人要求，多次整改不到位或拒绝整改的、采购人有权单方面解除合同。</w:t>
      </w:r>
    </w:p>
    <w:p w14:paraId="53364E97">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7.服务过程中应保证人员及设备安全，如在服务过程中出现人员及设备安全事故，中标人应自行承担相应责任。</w:t>
      </w:r>
    </w:p>
    <w:p w14:paraId="7396E985">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8.服务过程中产生重大安全事故或因安全问题造成恶劣舆情，采购人有权单方面解除合同。</w:t>
      </w:r>
    </w:p>
    <w:p w14:paraId="72635E88">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9.采购人有权视中标人的违约情况，依据合同约定对中标人进行处罚、要求中标人承担违约责任，直至解除合同。</w:t>
      </w:r>
    </w:p>
    <w:p w14:paraId="13BDB6C2">
      <w:pPr>
        <w:keepNext w:val="0"/>
        <w:keepLines w:val="0"/>
        <w:pageBreakBefore w:val="0"/>
        <w:widowControl w:val="0"/>
        <w:kinsoku/>
        <w:wordWrap/>
        <w:overflowPunct/>
        <w:topLinePunct w:val="0"/>
        <w:autoSpaceDE/>
        <w:autoSpaceDN/>
        <w:bidi w:val="0"/>
        <w:adjustRightInd/>
        <w:snapToGrid w:val="0"/>
        <w:spacing w:before="313" w:beforeLines="100" w:line="360" w:lineRule="auto"/>
        <w:ind w:firstLine="482" w:firstLineChars="200"/>
        <w:jc w:val="left"/>
        <w:textAlignment w:val="baseline"/>
        <w:rPr>
          <w:rFonts w:ascii="黑体" w:hAnsi="黑体" w:eastAsia="黑体"/>
          <w:b/>
          <w:color w:val="auto"/>
          <w:sz w:val="24"/>
          <w:szCs w:val="24"/>
          <w:highlight w:val="none"/>
        </w:rPr>
      </w:pPr>
      <w:r>
        <w:rPr>
          <w:rFonts w:ascii="黑体" w:hAnsi="黑体" w:eastAsia="黑体"/>
          <w:b/>
          <w:color w:val="auto"/>
          <w:sz w:val="24"/>
          <w:szCs w:val="24"/>
          <w:highlight w:val="none"/>
        </w:rPr>
        <w:t>2.</w:t>
      </w:r>
      <w:r>
        <w:rPr>
          <w:rFonts w:hint="eastAsia" w:ascii="黑体" w:hAnsi="黑体" w:eastAsia="黑体"/>
          <w:b/>
          <w:color w:val="auto"/>
          <w:sz w:val="24"/>
          <w:szCs w:val="24"/>
          <w:highlight w:val="none"/>
        </w:rPr>
        <w:t>5</w:t>
      </w:r>
      <w:r>
        <w:rPr>
          <w:rFonts w:ascii="黑体" w:hAnsi="黑体" w:eastAsia="黑体"/>
          <w:b/>
          <w:color w:val="auto"/>
          <w:sz w:val="24"/>
          <w:szCs w:val="24"/>
          <w:highlight w:val="none"/>
        </w:rPr>
        <w:t xml:space="preserve"> </w:t>
      </w:r>
      <w:r>
        <w:rPr>
          <w:rFonts w:hint="eastAsia" w:ascii="黑体" w:hAnsi="黑体" w:eastAsia="黑体"/>
          <w:b/>
          <w:color w:val="auto"/>
          <w:sz w:val="24"/>
          <w:szCs w:val="24"/>
          <w:highlight w:val="none"/>
        </w:rPr>
        <w:t>安</w:t>
      </w:r>
      <w:r>
        <w:rPr>
          <w:rFonts w:ascii="黑体" w:hAnsi="黑体" w:eastAsia="黑体"/>
          <w:b/>
          <w:color w:val="auto"/>
          <w:sz w:val="24"/>
          <w:szCs w:val="24"/>
          <w:highlight w:val="none"/>
        </w:rPr>
        <w:t>全</w:t>
      </w:r>
    </w:p>
    <w:p w14:paraId="174EE95A">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服务（及所涉货物材料设施）应符合国家、行业的各项安全标准，投标人对投标服务（及所涉货物材料设施）的安全性承担全部责任。服务期内不符合保障人身、财产安全的国家标准、行业标准的服务（及所涉货物材料设施），将依法承担民事及相应刑事责任。合同履行中的安全责任由中标人承担全部责任。</w:t>
      </w:r>
    </w:p>
    <w:p w14:paraId="136B23AE">
      <w:pPr>
        <w:widowControl w:val="0"/>
        <w:snapToGrid w:val="0"/>
        <w:spacing w:line="360" w:lineRule="auto"/>
        <w:ind w:firstLine="482" w:firstLineChars="200"/>
        <w:jc w:val="left"/>
        <w:rPr>
          <w:rFonts w:ascii="黑体" w:hAnsi="黑体" w:eastAsia="黑体"/>
          <w:b/>
          <w:color w:val="auto"/>
          <w:sz w:val="24"/>
          <w:szCs w:val="24"/>
          <w:highlight w:val="none"/>
        </w:rPr>
      </w:pPr>
      <w:r>
        <w:rPr>
          <w:rFonts w:ascii="黑体" w:hAnsi="黑体" w:eastAsia="黑体"/>
          <w:b/>
          <w:color w:val="auto"/>
          <w:sz w:val="24"/>
          <w:szCs w:val="24"/>
          <w:highlight w:val="none"/>
        </w:rPr>
        <w:t>2.</w:t>
      </w:r>
      <w:r>
        <w:rPr>
          <w:rFonts w:hint="eastAsia" w:ascii="黑体" w:hAnsi="黑体" w:eastAsia="黑体"/>
          <w:b/>
          <w:color w:val="auto"/>
          <w:sz w:val="24"/>
          <w:szCs w:val="24"/>
          <w:highlight w:val="none"/>
        </w:rPr>
        <w:t>6</w:t>
      </w:r>
      <w:r>
        <w:rPr>
          <w:rFonts w:ascii="黑体" w:hAnsi="黑体" w:eastAsia="黑体"/>
          <w:b/>
          <w:color w:val="auto"/>
          <w:sz w:val="24"/>
          <w:szCs w:val="24"/>
          <w:highlight w:val="none"/>
        </w:rPr>
        <w:t xml:space="preserve"> </w:t>
      </w:r>
      <w:r>
        <w:rPr>
          <w:rFonts w:hint="eastAsia" w:ascii="黑体" w:hAnsi="黑体" w:eastAsia="黑体"/>
          <w:b/>
          <w:color w:val="auto"/>
          <w:sz w:val="24"/>
          <w:szCs w:val="24"/>
          <w:highlight w:val="none"/>
          <w:lang w:eastAsia="zh-CN"/>
        </w:rPr>
        <w:t>《投标文件》</w:t>
      </w:r>
      <w:r>
        <w:rPr>
          <w:rFonts w:hint="eastAsia" w:ascii="黑体" w:hAnsi="黑体" w:eastAsia="黑体"/>
          <w:b/>
          <w:color w:val="auto"/>
          <w:sz w:val="24"/>
          <w:szCs w:val="24"/>
          <w:highlight w:val="none"/>
        </w:rPr>
        <w:t>对“具体服务（技术）要求”的</w:t>
      </w:r>
      <w:r>
        <w:rPr>
          <w:rFonts w:ascii="黑体" w:hAnsi="黑体" w:eastAsia="黑体"/>
          <w:b/>
          <w:color w:val="auto"/>
          <w:sz w:val="24"/>
          <w:szCs w:val="24"/>
          <w:highlight w:val="none"/>
        </w:rPr>
        <w:t>响应</w:t>
      </w:r>
    </w:p>
    <w:p w14:paraId="0665B5F8">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“2.4 标段（包）内容（具体范围、数量），具体服务（技术）要求”为采购需求的基础性要求，服务内容应当明确。《投标文件》技术参数抄袭《招标文件》“具体服务（技术）要求”，投标服务内容不明确的、或与采购需求不一致的，评标委员会有权按照实质性判断原则评定其为无效投标。</w:t>
      </w:r>
    </w:p>
    <w:p w14:paraId="2ECEBFF6">
      <w:pPr>
        <w:widowControl w:val="0"/>
        <w:snapToGrid w:val="0"/>
        <w:spacing w:line="360" w:lineRule="auto"/>
        <w:ind w:firstLine="482" w:firstLineChars="200"/>
        <w:jc w:val="left"/>
        <w:rPr>
          <w:rFonts w:ascii="黑体" w:hAnsi="黑体" w:eastAsia="黑体"/>
          <w:b/>
          <w:color w:val="auto"/>
          <w:sz w:val="24"/>
          <w:szCs w:val="24"/>
          <w:highlight w:val="none"/>
        </w:rPr>
      </w:pPr>
      <w:r>
        <w:rPr>
          <w:rFonts w:ascii="黑体" w:hAnsi="黑体" w:eastAsia="黑体"/>
          <w:b/>
          <w:color w:val="auto"/>
          <w:sz w:val="24"/>
          <w:szCs w:val="24"/>
          <w:highlight w:val="none"/>
        </w:rPr>
        <w:t>2.</w:t>
      </w:r>
      <w:r>
        <w:rPr>
          <w:rFonts w:hint="eastAsia" w:ascii="黑体" w:hAnsi="黑体" w:eastAsia="黑体"/>
          <w:b/>
          <w:color w:val="auto"/>
          <w:sz w:val="24"/>
          <w:szCs w:val="24"/>
          <w:highlight w:val="none"/>
        </w:rPr>
        <w:t>7</w:t>
      </w:r>
      <w:r>
        <w:rPr>
          <w:rFonts w:hint="eastAsia" w:ascii="黑体" w:hAnsi="黑体" w:eastAsia="黑体"/>
          <w:b/>
          <w:color w:val="auto"/>
          <w:sz w:val="24"/>
          <w:szCs w:val="24"/>
          <w:highlight w:val="none"/>
          <w:lang w:val="en-US" w:eastAsia="zh-CN"/>
        </w:rPr>
        <w:t xml:space="preserve"> </w:t>
      </w:r>
      <w:r>
        <w:rPr>
          <w:rFonts w:hint="eastAsia" w:ascii="黑体" w:hAnsi="黑体" w:eastAsia="黑体"/>
          <w:b/>
          <w:color w:val="auto"/>
          <w:sz w:val="24"/>
          <w:szCs w:val="24"/>
          <w:highlight w:val="none"/>
        </w:rPr>
        <w:t>技术偏离</w:t>
      </w:r>
    </w:p>
    <w:p w14:paraId="5A021FEE">
      <w:pPr>
        <w:widowControl w:val="0"/>
        <w:snapToGrid w:val="0"/>
        <w:spacing w:line="360" w:lineRule="auto"/>
        <w:ind w:firstLine="482" w:firstLineChars="200"/>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2.7.1 ★不接受负偏差，低于“具体服务（技术）要求”的、为无效投标。</w:t>
      </w:r>
    </w:p>
    <w:p w14:paraId="39CD1643">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2.7.2 《投标文件》对技术偏差的描述要求：见第三章“投标人须知”3.7.3项。</w:t>
      </w:r>
    </w:p>
    <w:p w14:paraId="2998C682">
      <w:pPr>
        <w:widowControl w:val="0"/>
        <w:snapToGrid w:val="0"/>
        <w:spacing w:line="360" w:lineRule="auto"/>
        <w:ind w:firstLine="482" w:firstLineChars="200"/>
        <w:jc w:val="left"/>
        <w:rPr>
          <w:rFonts w:ascii="黑体" w:hAnsi="黑体" w:eastAsia="黑体"/>
          <w:b/>
          <w:color w:val="auto"/>
          <w:sz w:val="24"/>
          <w:szCs w:val="24"/>
          <w:highlight w:val="none"/>
        </w:rPr>
      </w:pPr>
      <w:r>
        <w:rPr>
          <w:rFonts w:ascii="黑体" w:hAnsi="黑体" w:eastAsia="黑体"/>
          <w:b/>
          <w:color w:val="auto"/>
          <w:sz w:val="24"/>
          <w:szCs w:val="24"/>
          <w:highlight w:val="none"/>
        </w:rPr>
        <w:t>2.</w:t>
      </w:r>
      <w:r>
        <w:rPr>
          <w:rFonts w:hint="eastAsia" w:ascii="黑体" w:hAnsi="黑体" w:eastAsia="黑体"/>
          <w:b/>
          <w:color w:val="auto"/>
          <w:sz w:val="24"/>
          <w:szCs w:val="24"/>
          <w:highlight w:val="none"/>
          <w:lang w:val="en-US" w:eastAsia="zh-CN"/>
        </w:rPr>
        <w:t xml:space="preserve">8 </w:t>
      </w:r>
      <w:r>
        <w:rPr>
          <w:rFonts w:hint="eastAsia" w:ascii="黑体" w:hAnsi="黑体" w:eastAsia="黑体"/>
          <w:b/>
          <w:color w:val="auto"/>
          <w:sz w:val="24"/>
          <w:szCs w:val="24"/>
          <w:highlight w:val="none"/>
        </w:rPr>
        <w:t>保险</w:t>
      </w:r>
    </w:p>
    <w:p w14:paraId="0B413C32">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人应遵循国家相关保险的规定，依照法规规定，根据项目属性需要，办理货物设施等的财产保险、危险作业人员的工伤和意外伤害保险、设计和工程保险、第三方责任险，相关保险费用及相应责任由中标人承担。</w:t>
      </w:r>
    </w:p>
    <w:p w14:paraId="21FE9829">
      <w:pPr>
        <w:widowControl w:val="0"/>
        <w:snapToGrid w:val="0"/>
        <w:spacing w:line="360" w:lineRule="auto"/>
        <w:ind w:firstLine="482" w:firstLineChars="200"/>
        <w:jc w:val="left"/>
        <w:rPr>
          <w:rFonts w:ascii="黑体" w:hAnsi="黑体" w:eastAsia="黑体"/>
          <w:b/>
          <w:color w:val="auto"/>
          <w:sz w:val="24"/>
          <w:szCs w:val="24"/>
          <w:highlight w:val="none"/>
        </w:rPr>
      </w:pPr>
      <w:r>
        <w:rPr>
          <w:rFonts w:ascii="黑体" w:hAnsi="黑体" w:eastAsia="黑体"/>
          <w:b/>
          <w:color w:val="auto"/>
          <w:sz w:val="24"/>
          <w:szCs w:val="24"/>
          <w:highlight w:val="none"/>
        </w:rPr>
        <w:t>2.</w:t>
      </w:r>
      <w:r>
        <w:rPr>
          <w:rFonts w:hint="eastAsia" w:ascii="黑体" w:hAnsi="黑体" w:eastAsia="黑体"/>
          <w:b/>
          <w:color w:val="auto"/>
          <w:sz w:val="24"/>
          <w:szCs w:val="24"/>
          <w:highlight w:val="none"/>
          <w:lang w:val="en-US" w:eastAsia="zh-CN"/>
        </w:rPr>
        <w:t>9</w:t>
      </w:r>
      <w:r>
        <w:rPr>
          <w:rFonts w:ascii="黑体" w:hAnsi="黑体" w:eastAsia="黑体"/>
          <w:b/>
          <w:color w:val="auto"/>
          <w:sz w:val="24"/>
          <w:szCs w:val="24"/>
          <w:highlight w:val="none"/>
        </w:rPr>
        <w:t xml:space="preserve"> </w:t>
      </w:r>
      <w:r>
        <w:rPr>
          <w:rFonts w:hint="eastAsia" w:ascii="黑体" w:hAnsi="黑体" w:eastAsia="黑体"/>
          <w:b/>
          <w:color w:val="auto"/>
          <w:sz w:val="24"/>
          <w:szCs w:val="24"/>
          <w:highlight w:val="none"/>
        </w:rPr>
        <w:t>采购标的的验收标准</w:t>
      </w:r>
    </w:p>
    <w:p w14:paraId="500FC084">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见第三章“投标人须知”第9条“验收”条款。</w:t>
      </w:r>
    </w:p>
    <w:p w14:paraId="22394F23">
      <w:pPr>
        <w:pStyle w:val="8"/>
        <w:ind w:left="0" w:leftChars="0" w:firstLine="0" w:firstLineChars="0"/>
        <w:rPr>
          <w:rFonts w:hint="default"/>
          <w:color w:val="auto"/>
          <w:highlight w:val="none"/>
          <w:lang w:val="en-US" w:eastAsia="zh-CN"/>
        </w:rPr>
      </w:pPr>
    </w:p>
    <w:p w14:paraId="4C1C671A">
      <w:pPr>
        <w:widowControl w:val="0"/>
        <w:snapToGrid w:val="0"/>
        <w:spacing w:line="360" w:lineRule="auto"/>
        <w:ind w:firstLine="422" w:firstLineChars="150"/>
        <w:jc w:val="left"/>
        <w:outlineLvl w:val="1"/>
        <w:rPr>
          <w:rFonts w:ascii="黑体" w:hAnsi="黑体" w:eastAsia="黑体"/>
          <w:b/>
          <w:color w:val="auto"/>
          <w:sz w:val="28"/>
          <w:highlight w:val="none"/>
        </w:rPr>
      </w:pPr>
      <w:bookmarkStart w:id="36" w:name="_Toc20305"/>
      <w:bookmarkStart w:id="37" w:name="_Toc65676676"/>
      <w:r>
        <w:rPr>
          <w:rFonts w:hint="eastAsia" w:ascii="黑体" w:hAnsi="黑体" w:eastAsia="黑体"/>
          <w:b/>
          <w:color w:val="auto"/>
          <w:sz w:val="28"/>
          <w:highlight w:val="none"/>
        </w:rPr>
        <w:t>3</w:t>
      </w:r>
      <w:r>
        <w:rPr>
          <w:rFonts w:ascii="黑体" w:hAnsi="黑体" w:eastAsia="黑体"/>
          <w:b/>
          <w:color w:val="auto"/>
          <w:sz w:val="28"/>
          <w:highlight w:val="none"/>
        </w:rPr>
        <w:t xml:space="preserve">. </w:t>
      </w:r>
      <w:r>
        <w:rPr>
          <w:rFonts w:hint="eastAsia" w:ascii="黑体" w:hAnsi="黑体" w:eastAsia="黑体"/>
          <w:b/>
          <w:color w:val="auto"/>
          <w:sz w:val="28"/>
          <w:highlight w:val="none"/>
        </w:rPr>
        <w:t>项目其他要求</w:t>
      </w:r>
      <w:bookmarkEnd w:id="36"/>
      <w:bookmarkEnd w:id="37"/>
    </w:p>
    <w:p w14:paraId="550F9BD6">
      <w:pPr>
        <w:widowControl w:val="0"/>
        <w:snapToGrid w:val="0"/>
        <w:spacing w:line="360" w:lineRule="auto"/>
        <w:ind w:firstLine="482" w:firstLineChars="200"/>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3.1 安阳新型化工产业园区铜冶片区管理委员会安阳新型化工产业园区铜冶片区服务外包项目的中小企业划分标准所属行业为：租赁和商务服务业。</w:t>
      </w:r>
    </w:p>
    <w:p w14:paraId="00FAA947">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提醒：投标人按照《招标文件》中标明的服务项目的所属行业、按该行业所对应的中小企业划分标准，作为服务的承接商（供应商）是否属于中小企业的判断标准。</w:t>
      </w:r>
    </w:p>
    <w:p w14:paraId="51B39CB8">
      <w:pPr>
        <w:widowControl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投标人不应按照自身的行业属性作为中小企业的判断标准（应按《招标文件》标明的所属行业进行判断）。</w:t>
      </w:r>
    </w:p>
    <w:p w14:paraId="611C2984">
      <w:pPr>
        <w:keepNext w:val="0"/>
        <w:keepLines w:val="0"/>
        <w:pageBreakBefore w:val="0"/>
        <w:widowControl/>
        <w:kinsoku/>
        <w:wordWrap/>
        <w:overflowPunct/>
        <w:topLinePunct w:val="0"/>
        <w:autoSpaceDE/>
        <w:autoSpaceDN/>
        <w:bidi w:val="0"/>
        <w:adjustRightInd/>
        <w:snapToGrid/>
        <w:spacing w:line="276" w:lineRule="auto"/>
        <w:ind w:right="0"/>
        <w:jc w:val="center"/>
        <w:textAlignment w:val="baseline"/>
        <w:outlineLvl w:val="9"/>
        <w:rPr>
          <w:rFonts w:hint="eastAsia" w:asciiTheme="minorEastAsia" w:hAnsiTheme="minorEastAsia" w:eastAsiaTheme="minorEastAsia" w:cstheme="minorEastAsia"/>
          <w:b/>
          <w:color w:val="auto"/>
          <w:sz w:val="24"/>
          <w:szCs w:val="24"/>
          <w:highlight w:val="none"/>
        </w:rPr>
      </w:pPr>
      <w:r>
        <w:rPr>
          <w:rFonts w:ascii="黑体" w:hAnsi="黑体" w:eastAsia="黑体"/>
          <w:b/>
          <w:color w:val="auto"/>
          <w:sz w:val="24"/>
          <w:szCs w:val="24"/>
          <w:highlight w:val="none"/>
        </w:rPr>
        <w:br w:type="page"/>
      </w:r>
    </w:p>
    <w:p w14:paraId="66F588FE">
      <w:pPr>
        <w:widowControl w:val="0"/>
        <w:snapToGrid w:val="0"/>
        <w:spacing w:line="560" w:lineRule="exact"/>
        <w:jc w:val="center"/>
        <w:outlineLvl w:val="0"/>
        <w:rPr>
          <w:rFonts w:hint="eastAsia" w:eastAsia="黑体"/>
          <w:b/>
          <w:color w:val="auto"/>
          <w:sz w:val="36"/>
          <w:szCs w:val="36"/>
          <w:highlight w:val="none"/>
        </w:rPr>
      </w:pPr>
      <w:bookmarkStart w:id="38" w:name="_Toc10107"/>
      <w:r>
        <w:rPr>
          <w:rFonts w:hint="eastAsia" w:eastAsia="黑体"/>
          <w:b/>
          <w:color w:val="auto"/>
          <w:sz w:val="36"/>
          <w:szCs w:val="36"/>
          <w:highlight w:val="none"/>
        </w:rPr>
        <w:t>第三章  投标人须知</w:t>
      </w:r>
      <w:bookmarkEnd w:id="38"/>
    </w:p>
    <w:p w14:paraId="54B8C639">
      <w:pPr>
        <w:keepNext w:val="0"/>
        <w:keepLines w:val="0"/>
        <w:pageBreakBefore w:val="0"/>
        <w:widowControl/>
        <w:kinsoku/>
        <w:wordWrap/>
        <w:overflowPunct/>
        <w:topLinePunct w:val="0"/>
        <w:autoSpaceDE/>
        <w:autoSpaceDN/>
        <w:bidi w:val="0"/>
        <w:adjustRightInd/>
        <w:snapToGrid/>
        <w:spacing w:line="276" w:lineRule="auto"/>
        <w:ind w:right="0"/>
        <w:jc w:val="center"/>
        <w:textAlignment w:val="baseline"/>
        <w:outlineLvl w:val="9"/>
        <w:rPr>
          <w:rFonts w:hint="eastAsia" w:asciiTheme="minorEastAsia" w:hAnsiTheme="minorEastAsia" w:eastAsiaTheme="minorEastAsia" w:cstheme="minorEastAsia"/>
          <w:b/>
          <w:color w:val="auto"/>
          <w:spacing w:val="36"/>
          <w:sz w:val="24"/>
          <w:szCs w:val="24"/>
          <w:highlight w:val="none"/>
        </w:rPr>
      </w:pPr>
    </w:p>
    <w:p w14:paraId="708CF984">
      <w:pPr>
        <w:spacing w:line="360" w:lineRule="auto"/>
        <w:ind w:right="238"/>
        <w:jc w:val="left"/>
        <w:outlineLvl w:val="1"/>
        <w:rPr>
          <w:rFonts w:eastAsia="黑体"/>
          <w:b/>
          <w:color w:val="auto"/>
          <w:sz w:val="28"/>
          <w:szCs w:val="28"/>
          <w:highlight w:val="none"/>
        </w:rPr>
      </w:pPr>
      <w:bookmarkStart w:id="39" w:name="_Toc18902"/>
      <w:r>
        <w:rPr>
          <w:rFonts w:hint="eastAsia" w:eastAsia="黑体"/>
          <w:b/>
          <w:color w:val="auto"/>
          <w:sz w:val="28"/>
          <w:szCs w:val="28"/>
          <w:highlight w:val="none"/>
        </w:rPr>
        <w:t>投标人须知前附表</w:t>
      </w:r>
      <w:bookmarkEnd w:id="39"/>
    </w:p>
    <w:tbl>
      <w:tblPr>
        <w:tblStyle w:val="20"/>
        <w:tblW w:w="994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03"/>
        <w:gridCol w:w="1012"/>
        <w:gridCol w:w="2520"/>
        <w:gridCol w:w="5910"/>
      </w:tblGrid>
      <w:tr w14:paraId="4975E7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71" w:hRule="atLeast"/>
          <w:jc w:val="center"/>
        </w:trPr>
        <w:tc>
          <w:tcPr>
            <w:tcW w:w="503" w:type="dxa"/>
            <w:tcBorders>
              <w:tl2br w:val="nil"/>
              <w:tr2bl w:val="nil"/>
            </w:tcBorders>
          </w:tcPr>
          <w:p w14:paraId="4834474A">
            <w:pPr>
              <w:autoSpaceDE w:val="0"/>
              <w:autoSpaceDN w:val="0"/>
              <w:adjustRightInd w:val="0"/>
              <w:spacing w:line="240" w:lineRule="auto"/>
              <w:rPr>
                <w:rFonts w:ascii="宋体" w:cs="楷体_GB2312"/>
                <w:b/>
                <w:bCs/>
                <w:color w:val="auto"/>
                <w:sz w:val="24"/>
                <w:highlight w:val="none"/>
                <w:lang w:val="zh-CN"/>
              </w:rPr>
            </w:pPr>
            <w:r>
              <w:rPr>
                <w:rFonts w:hint="eastAsia" w:ascii="宋体" w:hAnsi="宋体" w:cs="楷体_GB2312"/>
                <w:b/>
                <w:bCs/>
                <w:color w:val="auto"/>
                <w:sz w:val="24"/>
                <w:highlight w:val="none"/>
                <w:lang w:val="zh-CN"/>
              </w:rPr>
              <w:t>章节</w:t>
            </w:r>
          </w:p>
        </w:tc>
        <w:tc>
          <w:tcPr>
            <w:tcW w:w="1012" w:type="dxa"/>
            <w:tcBorders>
              <w:tl2br w:val="nil"/>
              <w:tr2bl w:val="nil"/>
            </w:tcBorders>
            <w:vAlign w:val="center"/>
          </w:tcPr>
          <w:p w14:paraId="3DFE260F">
            <w:pPr>
              <w:autoSpaceDE w:val="0"/>
              <w:autoSpaceDN w:val="0"/>
              <w:adjustRightInd w:val="0"/>
              <w:spacing w:line="240" w:lineRule="auto"/>
              <w:rPr>
                <w:rFonts w:ascii="宋体" w:cs="楷体_GB2312"/>
                <w:b/>
                <w:bCs/>
                <w:color w:val="auto"/>
                <w:sz w:val="24"/>
                <w:highlight w:val="none"/>
                <w:lang w:val="zh-CN"/>
              </w:rPr>
            </w:pPr>
            <w:r>
              <w:rPr>
                <w:rFonts w:hint="eastAsia" w:ascii="宋体" w:hAnsi="宋体" w:cs="楷体_GB2312"/>
                <w:b/>
                <w:bCs/>
                <w:color w:val="auto"/>
                <w:sz w:val="24"/>
                <w:highlight w:val="none"/>
                <w:lang w:val="zh-CN"/>
              </w:rPr>
              <w:t>条款号</w:t>
            </w:r>
          </w:p>
        </w:tc>
        <w:tc>
          <w:tcPr>
            <w:tcW w:w="2520" w:type="dxa"/>
            <w:tcBorders>
              <w:tl2br w:val="nil"/>
              <w:tr2bl w:val="nil"/>
            </w:tcBorders>
            <w:vAlign w:val="center"/>
          </w:tcPr>
          <w:p w14:paraId="781AF192">
            <w:pPr>
              <w:autoSpaceDE w:val="0"/>
              <w:autoSpaceDN w:val="0"/>
              <w:adjustRightInd w:val="0"/>
              <w:spacing w:line="240" w:lineRule="auto"/>
              <w:jc w:val="center"/>
              <w:rPr>
                <w:rFonts w:ascii="宋体" w:cs="楷体_GB2312"/>
                <w:b/>
                <w:bCs/>
                <w:color w:val="auto"/>
                <w:sz w:val="24"/>
                <w:highlight w:val="none"/>
                <w:lang w:val="zh-CN"/>
              </w:rPr>
            </w:pPr>
            <w:r>
              <w:rPr>
                <w:rFonts w:hint="eastAsia" w:ascii="宋体" w:hAnsi="宋体" w:cs="楷体_GB2312"/>
                <w:b/>
                <w:bCs/>
                <w:color w:val="auto"/>
                <w:sz w:val="24"/>
                <w:highlight w:val="none"/>
                <w:lang w:val="zh-CN"/>
              </w:rPr>
              <w:t>条款名称</w:t>
            </w:r>
          </w:p>
        </w:tc>
        <w:tc>
          <w:tcPr>
            <w:tcW w:w="5910" w:type="dxa"/>
            <w:tcBorders>
              <w:tl2br w:val="nil"/>
              <w:tr2bl w:val="nil"/>
            </w:tcBorders>
            <w:vAlign w:val="center"/>
          </w:tcPr>
          <w:p w14:paraId="1DA8D8B9">
            <w:pPr>
              <w:autoSpaceDE w:val="0"/>
              <w:autoSpaceDN w:val="0"/>
              <w:adjustRightInd w:val="0"/>
              <w:spacing w:line="240" w:lineRule="auto"/>
              <w:jc w:val="center"/>
              <w:rPr>
                <w:rFonts w:ascii="宋体" w:cs="楷体_GB2312"/>
                <w:b/>
                <w:bCs/>
                <w:color w:val="auto"/>
                <w:sz w:val="24"/>
                <w:highlight w:val="none"/>
                <w:lang w:val="zh-CN"/>
              </w:rPr>
            </w:pPr>
            <w:r>
              <w:rPr>
                <w:rFonts w:hint="eastAsia" w:ascii="宋体" w:hAnsi="宋体" w:cs="楷体_GB2312"/>
                <w:b/>
                <w:bCs/>
                <w:color w:val="auto"/>
                <w:sz w:val="24"/>
                <w:highlight w:val="none"/>
                <w:lang w:val="zh-CN"/>
              </w:rPr>
              <w:t>编列内容</w:t>
            </w:r>
          </w:p>
        </w:tc>
      </w:tr>
      <w:tr w14:paraId="64FF3C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2" w:hRule="atLeast"/>
          <w:jc w:val="center"/>
        </w:trPr>
        <w:tc>
          <w:tcPr>
            <w:tcW w:w="503" w:type="dxa"/>
            <w:vMerge w:val="restart"/>
            <w:tcBorders>
              <w:tl2br w:val="nil"/>
              <w:tr2bl w:val="nil"/>
            </w:tcBorders>
            <w:vAlign w:val="center"/>
          </w:tcPr>
          <w:p w14:paraId="0C8DD1AF">
            <w:pPr>
              <w:autoSpaceDE w:val="0"/>
              <w:autoSpaceDN w:val="0"/>
              <w:adjustRightInd w:val="0"/>
              <w:snapToGrid w:val="0"/>
              <w:spacing w:line="240" w:lineRule="auto"/>
              <w:jc w:val="center"/>
              <w:rPr>
                <w:rFonts w:ascii="宋体" w:cs="楷体_GB2312"/>
                <w:b/>
                <w:bCs/>
                <w:color w:val="auto"/>
                <w:sz w:val="24"/>
                <w:highlight w:val="none"/>
              </w:rPr>
            </w:pPr>
            <w:r>
              <w:rPr>
                <w:rFonts w:hint="eastAsia" w:ascii="宋体" w:hAnsi="宋体" w:cs="楷体_GB2312"/>
                <w:b/>
                <w:bCs/>
                <w:color w:val="auto"/>
                <w:sz w:val="24"/>
                <w:highlight w:val="none"/>
              </w:rPr>
              <w:t>第一章</w:t>
            </w:r>
          </w:p>
        </w:tc>
        <w:tc>
          <w:tcPr>
            <w:tcW w:w="1012" w:type="dxa"/>
            <w:tcBorders>
              <w:tl2br w:val="nil"/>
              <w:tr2bl w:val="nil"/>
            </w:tcBorders>
            <w:vAlign w:val="center"/>
          </w:tcPr>
          <w:p w14:paraId="7D88EA27">
            <w:pPr>
              <w:autoSpaceDE w:val="0"/>
              <w:autoSpaceDN w:val="0"/>
              <w:adjustRightInd w:val="0"/>
              <w:snapToGrid w:val="0"/>
              <w:spacing w:line="240" w:lineRule="auto"/>
              <w:jc w:val="center"/>
              <w:rPr>
                <w:rFonts w:ascii="宋体" w:cs="楷体_GB2312"/>
                <w:b/>
                <w:bCs/>
                <w:color w:val="auto"/>
                <w:szCs w:val="21"/>
                <w:highlight w:val="none"/>
              </w:rPr>
            </w:pPr>
            <w:r>
              <w:rPr>
                <w:rFonts w:ascii="宋体" w:hAnsi="宋体" w:cs="楷体_GB2312"/>
                <w:b/>
                <w:bCs/>
                <w:color w:val="auto"/>
                <w:szCs w:val="21"/>
                <w:highlight w:val="none"/>
              </w:rPr>
              <w:t>1.</w:t>
            </w:r>
            <w:r>
              <w:rPr>
                <w:rFonts w:hint="eastAsia" w:ascii="宋体" w:hAnsi="宋体" w:cs="楷体_GB2312"/>
                <w:b/>
                <w:bCs/>
                <w:color w:val="auto"/>
                <w:szCs w:val="21"/>
                <w:highlight w:val="none"/>
              </w:rPr>
              <w:t>2</w:t>
            </w:r>
          </w:p>
        </w:tc>
        <w:tc>
          <w:tcPr>
            <w:tcW w:w="2520" w:type="dxa"/>
            <w:tcBorders>
              <w:tl2br w:val="nil"/>
              <w:tr2bl w:val="nil"/>
            </w:tcBorders>
            <w:vAlign w:val="center"/>
          </w:tcPr>
          <w:p w14:paraId="332DCC53">
            <w:pPr>
              <w:autoSpaceDE w:val="0"/>
              <w:autoSpaceDN w:val="0"/>
              <w:adjustRightInd w:val="0"/>
              <w:snapToGrid w:val="0"/>
              <w:spacing w:line="240" w:lineRule="auto"/>
              <w:jc w:val="center"/>
              <w:rPr>
                <w:rFonts w:ascii="宋体" w:cs="楷体_GB2312"/>
                <w:color w:val="auto"/>
                <w:sz w:val="24"/>
                <w:highlight w:val="none"/>
                <w:lang w:val="zh-CN"/>
              </w:rPr>
            </w:pPr>
            <w:r>
              <w:rPr>
                <w:rFonts w:hint="eastAsia" w:ascii="宋体" w:hAnsi="宋体" w:cs="楷体_GB2312"/>
                <w:b/>
                <w:bCs/>
                <w:color w:val="auto"/>
                <w:sz w:val="24"/>
                <w:highlight w:val="none"/>
              </w:rPr>
              <w:t>招标项目名称</w:t>
            </w:r>
          </w:p>
        </w:tc>
        <w:tc>
          <w:tcPr>
            <w:tcW w:w="5910" w:type="dxa"/>
            <w:tcBorders>
              <w:tl2br w:val="nil"/>
              <w:tr2bl w:val="nil"/>
            </w:tcBorders>
            <w:vAlign w:val="center"/>
          </w:tcPr>
          <w:p w14:paraId="0307C949">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color w:val="auto"/>
                <w:sz w:val="24"/>
                <w:szCs w:val="24"/>
                <w:highlight w:val="none"/>
              </w:rPr>
              <w:t>见“第一章</w:t>
            </w:r>
            <w:r>
              <w:rPr>
                <w:rFonts w:hint="eastAsia"/>
                <w:color w:val="auto"/>
                <w:sz w:val="24"/>
                <w:szCs w:val="24"/>
                <w:highlight w:val="none"/>
                <w:lang w:val="en-US" w:eastAsia="zh-CN"/>
              </w:rPr>
              <w:t xml:space="preserve"> </w:t>
            </w:r>
            <w:r>
              <w:rPr>
                <w:rFonts w:hint="eastAsia"/>
                <w:color w:val="auto"/>
                <w:sz w:val="24"/>
                <w:szCs w:val="24"/>
                <w:highlight w:val="none"/>
              </w:rPr>
              <w:t>招标公告”相应条款</w:t>
            </w:r>
          </w:p>
        </w:tc>
      </w:tr>
      <w:tr w14:paraId="4C9FB0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2" w:hRule="atLeast"/>
          <w:jc w:val="center"/>
        </w:trPr>
        <w:tc>
          <w:tcPr>
            <w:tcW w:w="503" w:type="dxa"/>
            <w:vMerge w:val="continue"/>
            <w:tcBorders>
              <w:tl2br w:val="nil"/>
              <w:tr2bl w:val="nil"/>
            </w:tcBorders>
            <w:vAlign w:val="center"/>
          </w:tcPr>
          <w:p w14:paraId="670BC0F0">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027743EB">
            <w:pPr>
              <w:autoSpaceDE w:val="0"/>
              <w:autoSpaceDN w:val="0"/>
              <w:adjustRightInd w:val="0"/>
              <w:snapToGrid w:val="0"/>
              <w:spacing w:line="240" w:lineRule="auto"/>
              <w:jc w:val="center"/>
              <w:rPr>
                <w:rFonts w:ascii="宋体" w:hAnsi="宋体" w:eastAsia="宋体" w:cs="楷体_GB2312"/>
                <w:b/>
                <w:bCs/>
                <w:color w:val="auto"/>
                <w:szCs w:val="21"/>
                <w:highlight w:val="none"/>
              </w:rPr>
            </w:pPr>
            <w:r>
              <w:rPr>
                <w:rFonts w:ascii="宋体" w:hAnsi="宋体" w:eastAsia="宋体" w:cs="楷体_GB2312"/>
                <w:b/>
                <w:bCs/>
                <w:color w:val="auto"/>
                <w:szCs w:val="21"/>
                <w:highlight w:val="none"/>
              </w:rPr>
              <w:t>1.</w:t>
            </w:r>
            <w:r>
              <w:rPr>
                <w:rFonts w:hint="eastAsia" w:ascii="宋体" w:hAnsi="宋体" w:eastAsia="宋体" w:cs="楷体_GB2312"/>
                <w:b/>
                <w:bCs/>
                <w:color w:val="auto"/>
                <w:szCs w:val="21"/>
                <w:highlight w:val="none"/>
              </w:rPr>
              <w:t>1</w:t>
            </w:r>
          </w:p>
        </w:tc>
        <w:tc>
          <w:tcPr>
            <w:tcW w:w="2520" w:type="dxa"/>
            <w:tcBorders>
              <w:tl2br w:val="nil"/>
              <w:tr2bl w:val="nil"/>
            </w:tcBorders>
            <w:vAlign w:val="center"/>
          </w:tcPr>
          <w:p w14:paraId="30285177">
            <w:pPr>
              <w:autoSpaceDE w:val="0"/>
              <w:autoSpaceDN w:val="0"/>
              <w:adjustRightInd w:val="0"/>
              <w:snapToGrid w:val="0"/>
              <w:spacing w:line="240" w:lineRule="auto"/>
              <w:jc w:val="center"/>
              <w:rPr>
                <w:rFonts w:hint="eastAsia" w:ascii="宋体" w:hAnsi="宋体" w:eastAsia="宋体" w:cs="楷体_GB2312"/>
                <w:b/>
                <w:bCs/>
                <w:color w:val="auto"/>
                <w:sz w:val="24"/>
                <w:highlight w:val="none"/>
              </w:rPr>
            </w:pPr>
            <w:r>
              <w:rPr>
                <w:rFonts w:hint="eastAsia" w:ascii="宋体" w:hAnsi="宋体" w:eastAsia="宋体" w:cs="楷体_GB2312"/>
                <w:b/>
                <w:bCs/>
                <w:color w:val="auto"/>
                <w:sz w:val="24"/>
                <w:highlight w:val="none"/>
              </w:rPr>
              <w:t>项目编号</w:t>
            </w:r>
          </w:p>
        </w:tc>
        <w:tc>
          <w:tcPr>
            <w:tcW w:w="5910" w:type="dxa"/>
            <w:tcBorders>
              <w:tl2br w:val="nil"/>
              <w:tr2bl w:val="nil"/>
            </w:tcBorders>
            <w:vAlign w:val="center"/>
          </w:tcPr>
          <w:p w14:paraId="5FF03D1A">
            <w:pPr>
              <w:autoSpaceDE w:val="0"/>
              <w:autoSpaceDN w:val="0"/>
              <w:adjustRightInd w:val="0"/>
              <w:snapToGrid w:val="0"/>
              <w:spacing w:before="156" w:beforeLines="50" w:line="240" w:lineRule="auto"/>
              <w:rPr>
                <w:color w:val="auto"/>
                <w:sz w:val="24"/>
                <w:szCs w:val="24"/>
                <w:highlight w:val="none"/>
              </w:rPr>
            </w:pPr>
            <w:r>
              <w:rPr>
                <w:rFonts w:hint="eastAsia"/>
                <w:color w:val="auto"/>
                <w:sz w:val="24"/>
                <w:szCs w:val="24"/>
                <w:highlight w:val="none"/>
              </w:rPr>
              <w:t>见“第一章</w:t>
            </w:r>
            <w:r>
              <w:rPr>
                <w:rFonts w:hint="eastAsia"/>
                <w:color w:val="auto"/>
                <w:sz w:val="24"/>
                <w:szCs w:val="24"/>
                <w:highlight w:val="none"/>
                <w:lang w:val="en-US" w:eastAsia="zh-CN"/>
              </w:rPr>
              <w:t xml:space="preserve"> </w:t>
            </w:r>
            <w:r>
              <w:rPr>
                <w:rFonts w:hint="eastAsia"/>
                <w:color w:val="auto"/>
                <w:sz w:val="24"/>
                <w:szCs w:val="24"/>
                <w:highlight w:val="none"/>
              </w:rPr>
              <w:t>招标公告”相应条款</w:t>
            </w:r>
          </w:p>
        </w:tc>
      </w:tr>
      <w:tr w14:paraId="7485AF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2" w:hRule="atLeast"/>
          <w:jc w:val="center"/>
        </w:trPr>
        <w:tc>
          <w:tcPr>
            <w:tcW w:w="503" w:type="dxa"/>
            <w:vMerge w:val="continue"/>
            <w:tcBorders>
              <w:tl2br w:val="nil"/>
              <w:tr2bl w:val="nil"/>
            </w:tcBorders>
            <w:vAlign w:val="center"/>
          </w:tcPr>
          <w:p w14:paraId="0B0E2791">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29CBD2A4">
            <w:pPr>
              <w:autoSpaceDE w:val="0"/>
              <w:autoSpaceDN w:val="0"/>
              <w:adjustRightInd w:val="0"/>
              <w:snapToGrid w:val="0"/>
              <w:spacing w:line="240" w:lineRule="auto"/>
              <w:jc w:val="center"/>
              <w:rPr>
                <w:rFonts w:ascii="宋体" w:hAnsi="宋体" w:eastAsia="宋体" w:cs="楷体_GB2312"/>
                <w:b/>
                <w:bCs/>
                <w:color w:val="auto"/>
                <w:szCs w:val="21"/>
                <w:highlight w:val="none"/>
              </w:rPr>
            </w:pPr>
            <w:r>
              <w:rPr>
                <w:rFonts w:ascii="宋体" w:hAnsi="宋体" w:eastAsia="宋体" w:cs="楷体_GB2312"/>
                <w:b/>
                <w:bCs/>
                <w:color w:val="auto"/>
                <w:szCs w:val="21"/>
                <w:highlight w:val="none"/>
              </w:rPr>
              <w:t>1.3</w:t>
            </w:r>
          </w:p>
        </w:tc>
        <w:tc>
          <w:tcPr>
            <w:tcW w:w="2520" w:type="dxa"/>
            <w:tcBorders>
              <w:tl2br w:val="nil"/>
              <w:tr2bl w:val="nil"/>
            </w:tcBorders>
            <w:vAlign w:val="center"/>
          </w:tcPr>
          <w:p w14:paraId="30D436CE">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采购方式</w:t>
            </w:r>
          </w:p>
        </w:tc>
        <w:tc>
          <w:tcPr>
            <w:tcW w:w="5910" w:type="dxa"/>
            <w:tcBorders>
              <w:tl2br w:val="nil"/>
              <w:tr2bl w:val="nil"/>
            </w:tcBorders>
            <w:vAlign w:val="center"/>
          </w:tcPr>
          <w:p w14:paraId="21936DEC">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color w:val="auto"/>
                <w:sz w:val="24"/>
                <w:szCs w:val="24"/>
                <w:highlight w:val="none"/>
              </w:rPr>
              <w:t>公开</w:t>
            </w:r>
            <w:r>
              <w:rPr>
                <w:color w:val="auto"/>
                <w:sz w:val="24"/>
                <w:szCs w:val="24"/>
                <w:highlight w:val="none"/>
              </w:rPr>
              <w:t>招标</w:t>
            </w:r>
          </w:p>
        </w:tc>
      </w:tr>
      <w:tr w14:paraId="2CBC4C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0" w:hRule="atLeast"/>
          <w:jc w:val="center"/>
        </w:trPr>
        <w:tc>
          <w:tcPr>
            <w:tcW w:w="503" w:type="dxa"/>
            <w:vMerge w:val="continue"/>
            <w:tcBorders>
              <w:tl2br w:val="nil"/>
              <w:tr2bl w:val="nil"/>
            </w:tcBorders>
            <w:vAlign w:val="center"/>
          </w:tcPr>
          <w:p w14:paraId="710E0DE9">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35DA8BA9">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ascii="宋体" w:hAnsi="宋体" w:eastAsia="宋体" w:cs="楷体_GB2312"/>
                <w:b/>
                <w:bCs/>
                <w:color w:val="auto"/>
                <w:szCs w:val="21"/>
                <w:highlight w:val="none"/>
                <w:lang w:val="zh-CN"/>
              </w:rPr>
              <w:t>1.</w:t>
            </w:r>
            <w:r>
              <w:rPr>
                <w:rFonts w:hint="eastAsia" w:ascii="宋体" w:hAnsi="宋体" w:eastAsia="宋体" w:cs="楷体_GB2312"/>
                <w:b/>
                <w:bCs/>
                <w:color w:val="auto"/>
                <w:szCs w:val="21"/>
                <w:highlight w:val="none"/>
                <w:lang w:val="zh-CN"/>
              </w:rPr>
              <w:t>4</w:t>
            </w:r>
          </w:p>
        </w:tc>
        <w:tc>
          <w:tcPr>
            <w:tcW w:w="2520" w:type="dxa"/>
            <w:tcBorders>
              <w:tl2br w:val="nil"/>
              <w:tr2bl w:val="nil"/>
            </w:tcBorders>
            <w:vAlign w:val="center"/>
          </w:tcPr>
          <w:p w14:paraId="7E41ABC7">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预算金额</w:t>
            </w:r>
          </w:p>
        </w:tc>
        <w:tc>
          <w:tcPr>
            <w:tcW w:w="5910" w:type="dxa"/>
            <w:tcBorders>
              <w:tl2br w:val="nil"/>
              <w:tr2bl w:val="nil"/>
            </w:tcBorders>
            <w:vAlign w:val="center"/>
          </w:tcPr>
          <w:p w14:paraId="700BAB7C">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color w:val="auto"/>
                <w:sz w:val="24"/>
                <w:szCs w:val="24"/>
                <w:highlight w:val="none"/>
              </w:rPr>
              <w:t>见“第一章</w:t>
            </w:r>
            <w:r>
              <w:rPr>
                <w:rFonts w:hint="eastAsia"/>
                <w:color w:val="auto"/>
                <w:sz w:val="24"/>
                <w:szCs w:val="24"/>
                <w:highlight w:val="none"/>
                <w:lang w:val="en-US" w:eastAsia="zh-CN"/>
              </w:rPr>
              <w:t xml:space="preserve"> </w:t>
            </w:r>
            <w:r>
              <w:rPr>
                <w:rFonts w:hint="eastAsia"/>
                <w:color w:val="auto"/>
                <w:sz w:val="24"/>
                <w:szCs w:val="24"/>
                <w:highlight w:val="none"/>
              </w:rPr>
              <w:t>招标公告”相应条款。</w:t>
            </w:r>
            <w:r>
              <w:rPr>
                <w:rFonts w:hint="eastAsia" w:ascii="宋体" w:hAnsi="宋体" w:cs="楷体_GB2312"/>
                <w:b/>
                <w:color w:val="auto"/>
                <w:sz w:val="24"/>
                <w:highlight w:val="none"/>
                <w:lang w:val="zh-CN"/>
              </w:rPr>
              <w:t>注：投标人的投标报价未超过</w:t>
            </w:r>
            <w:r>
              <w:rPr>
                <w:rFonts w:hint="eastAsia" w:ascii="宋体" w:hAnsi="宋体" w:cs="楷体_GB2312"/>
                <w:b/>
                <w:bCs/>
                <w:color w:val="auto"/>
                <w:sz w:val="24"/>
                <w:highlight w:val="none"/>
                <w:lang w:val="zh-CN"/>
              </w:rPr>
              <w:t>预算金额</w:t>
            </w:r>
            <w:r>
              <w:rPr>
                <w:rFonts w:hint="eastAsia" w:ascii="宋体" w:hAnsi="宋体" w:cs="楷体_GB2312"/>
                <w:b/>
                <w:color w:val="auto"/>
                <w:sz w:val="24"/>
                <w:highlight w:val="none"/>
                <w:lang w:val="zh-CN"/>
              </w:rPr>
              <w:t>的不足三家时，该标段（包）废标。</w:t>
            </w:r>
          </w:p>
        </w:tc>
      </w:tr>
      <w:tr w14:paraId="53B506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03" w:type="dxa"/>
            <w:vMerge w:val="continue"/>
            <w:tcBorders>
              <w:tl2br w:val="nil"/>
              <w:tr2bl w:val="nil"/>
            </w:tcBorders>
            <w:vAlign w:val="center"/>
          </w:tcPr>
          <w:p w14:paraId="49E99971">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1FD686C1">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ascii="宋体" w:hAnsi="宋体" w:eastAsia="宋体" w:cs="楷体_GB2312"/>
                <w:b/>
                <w:bCs/>
                <w:color w:val="auto"/>
                <w:szCs w:val="21"/>
                <w:highlight w:val="none"/>
                <w:lang w:val="zh-CN"/>
              </w:rPr>
              <w:t>2</w:t>
            </w:r>
          </w:p>
        </w:tc>
        <w:tc>
          <w:tcPr>
            <w:tcW w:w="2520" w:type="dxa"/>
            <w:tcBorders>
              <w:tl2br w:val="nil"/>
              <w:tr2bl w:val="nil"/>
            </w:tcBorders>
            <w:vAlign w:val="center"/>
          </w:tcPr>
          <w:p w14:paraId="0CA2264F">
            <w:pPr>
              <w:autoSpaceDE w:val="0"/>
              <w:autoSpaceDN w:val="0"/>
              <w:adjustRightInd w:val="0"/>
              <w:snapToGrid w:val="0"/>
              <w:spacing w:line="240" w:lineRule="auto"/>
              <w:jc w:val="center"/>
              <w:rPr>
                <w:rFonts w:hint="eastAsia" w:ascii="宋体" w:hAnsi="宋体" w:eastAsia="宋体" w:cs="楷体_GB2312"/>
                <w:b/>
                <w:bCs/>
                <w:color w:val="auto"/>
                <w:sz w:val="24"/>
                <w:highlight w:val="none"/>
              </w:rPr>
            </w:pPr>
            <w:r>
              <w:rPr>
                <w:rFonts w:hint="eastAsia" w:ascii="宋体" w:hAnsi="宋体" w:eastAsia="宋体" w:cs="楷体_GB2312"/>
                <w:b/>
                <w:bCs/>
                <w:color w:val="auto"/>
                <w:sz w:val="24"/>
                <w:highlight w:val="none"/>
              </w:rPr>
              <w:t>申请人的资格要求及相关证明材料要求</w:t>
            </w:r>
          </w:p>
        </w:tc>
        <w:tc>
          <w:tcPr>
            <w:tcW w:w="5910" w:type="dxa"/>
            <w:tcBorders>
              <w:tl2br w:val="nil"/>
              <w:tr2bl w:val="nil"/>
            </w:tcBorders>
            <w:vAlign w:val="center"/>
          </w:tcPr>
          <w:p w14:paraId="035B47FD">
            <w:pPr>
              <w:autoSpaceDE w:val="0"/>
              <w:autoSpaceDN w:val="0"/>
              <w:adjustRightInd w:val="0"/>
              <w:snapToGrid w:val="0"/>
              <w:spacing w:before="156" w:beforeLines="50" w:line="240" w:lineRule="auto"/>
              <w:rPr>
                <w:color w:val="auto"/>
                <w:sz w:val="24"/>
                <w:szCs w:val="24"/>
                <w:highlight w:val="none"/>
              </w:rPr>
            </w:pPr>
            <w:r>
              <w:rPr>
                <w:rFonts w:hint="eastAsia"/>
                <w:color w:val="auto"/>
                <w:sz w:val="24"/>
                <w:szCs w:val="24"/>
                <w:highlight w:val="none"/>
              </w:rPr>
              <w:t>见“第一章</w:t>
            </w:r>
            <w:r>
              <w:rPr>
                <w:rFonts w:hint="eastAsia"/>
                <w:color w:val="auto"/>
                <w:sz w:val="24"/>
                <w:szCs w:val="24"/>
                <w:highlight w:val="none"/>
                <w:lang w:val="en-US" w:eastAsia="zh-CN"/>
              </w:rPr>
              <w:t xml:space="preserve"> </w:t>
            </w:r>
            <w:r>
              <w:rPr>
                <w:rFonts w:hint="eastAsia"/>
                <w:color w:val="auto"/>
                <w:sz w:val="24"/>
                <w:szCs w:val="24"/>
                <w:highlight w:val="none"/>
              </w:rPr>
              <w:t>招标公告”相应条款</w:t>
            </w:r>
          </w:p>
        </w:tc>
      </w:tr>
      <w:tr w14:paraId="0E7678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03" w:type="dxa"/>
            <w:vMerge w:val="continue"/>
            <w:tcBorders>
              <w:tl2br w:val="nil"/>
              <w:tr2bl w:val="nil"/>
            </w:tcBorders>
            <w:vAlign w:val="center"/>
          </w:tcPr>
          <w:p w14:paraId="7CAA2871">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22D546BA">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8.1</w:t>
            </w:r>
          </w:p>
        </w:tc>
        <w:tc>
          <w:tcPr>
            <w:tcW w:w="2520" w:type="dxa"/>
            <w:tcBorders>
              <w:tl2br w:val="nil"/>
              <w:tr2bl w:val="nil"/>
            </w:tcBorders>
            <w:vAlign w:val="center"/>
          </w:tcPr>
          <w:p w14:paraId="056B1D42">
            <w:pPr>
              <w:autoSpaceDE w:val="0"/>
              <w:autoSpaceDN w:val="0"/>
              <w:adjustRightInd w:val="0"/>
              <w:snapToGrid w:val="0"/>
              <w:spacing w:line="240" w:lineRule="auto"/>
              <w:jc w:val="center"/>
              <w:rPr>
                <w:rFonts w:hint="eastAsia" w:ascii="宋体" w:hAnsi="宋体" w:eastAsia="宋体" w:cs="楷体_GB2312"/>
                <w:b/>
                <w:bCs/>
                <w:color w:val="auto"/>
                <w:sz w:val="24"/>
                <w:highlight w:val="none"/>
              </w:rPr>
            </w:pPr>
            <w:r>
              <w:rPr>
                <w:rFonts w:hint="eastAsia" w:ascii="宋体" w:hAnsi="宋体" w:eastAsia="宋体" w:cs="楷体_GB2312"/>
                <w:b/>
                <w:bCs/>
                <w:color w:val="auto"/>
                <w:sz w:val="24"/>
                <w:highlight w:val="none"/>
              </w:rPr>
              <w:t>采购人</w:t>
            </w:r>
          </w:p>
        </w:tc>
        <w:tc>
          <w:tcPr>
            <w:tcW w:w="5910" w:type="dxa"/>
            <w:tcBorders>
              <w:tl2br w:val="nil"/>
              <w:tr2bl w:val="nil"/>
            </w:tcBorders>
            <w:vAlign w:val="center"/>
          </w:tcPr>
          <w:p w14:paraId="1AA3EF83">
            <w:pPr>
              <w:autoSpaceDE w:val="0"/>
              <w:autoSpaceDN w:val="0"/>
              <w:adjustRightInd w:val="0"/>
              <w:snapToGrid w:val="0"/>
              <w:spacing w:before="156" w:beforeLines="50" w:line="240" w:lineRule="auto"/>
              <w:rPr>
                <w:color w:val="auto"/>
                <w:sz w:val="24"/>
                <w:szCs w:val="24"/>
                <w:highlight w:val="none"/>
              </w:rPr>
            </w:pPr>
            <w:r>
              <w:rPr>
                <w:rFonts w:hint="eastAsia"/>
                <w:color w:val="auto"/>
                <w:sz w:val="24"/>
                <w:szCs w:val="24"/>
                <w:highlight w:val="none"/>
              </w:rPr>
              <w:t>见“第一章</w:t>
            </w:r>
            <w:r>
              <w:rPr>
                <w:rFonts w:hint="eastAsia"/>
                <w:color w:val="auto"/>
                <w:sz w:val="24"/>
                <w:szCs w:val="24"/>
                <w:highlight w:val="none"/>
                <w:lang w:val="en-US" w:eastAsia="zh-CN"/>
              </w:rPr>
              <w:t xml:space="preserve"> </w:t>
            </w:r>
            <w:r>
              <w:rPr>
                <w:rFonts w:hint="eastAsia"/>
                <w:color w:val="auto"/>
                <w:sz w:val="24"/>
                <w:szCs w:val="24"/>
                <w:highlight w:val="none"/>
              </w:rPr>
              <w:t>招标公告”相应条款</w:t>
            </w:r>
          </w:p>
        </w:tc>
      </w:tr>
      <w:tr w14:paraId="14239E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03" w:type="dxa"/>
            <w:vMerge w:val="continue"/>
            <w:tcBorders>
              <w:tl2br w:val="nil"/>
              <w:tr2bl w:val="nil"/>
            </w:tcBorders>
            <w:vAlign w:val="center"/>
          </w:tcPr>
          <w:p w14:paraId="0F574160">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20D79031">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8.2</w:t>
            </w:r>
          </w:p>
        </w:tc>
        <w:tc>
          <w:tcPr>
            <w:tcW w:w="2520" w:type="dxa"/>
            <w:tcBorders>
              <w:tl2br w:val="nil"/>
              <w:tr2bl w:val="nil"/>
            </w:tcBorders>
            <w:vAlign w:val="center"/>
          </w:tcPr>
          <w:p w14:paraId="0FC1304A">
            <w:pPr>
              <w:autoSpaceDE w:val="0"/>
              <w:autoSpaceDN w:val="0"/>
              <w:adjustRightInd w:val="0"/>
              <w:snapToGrid w:val="0"/>
              <w:spacing w:line="240" w:lineRule="auto"/>
              <w:jc w:val="center"/>
              <w:rPr>
                <w:rFonts w:hint="eastAsia" w:ascii="宋体" w:hAnsi="宋体" w:eastAsia="宋体" w:cs="楷体_GB2312"/>
                <w:b/>
                <w:bCs/>
                <w:color w:val="auto"/>
                <w:sz w:val="24"/>
                <w:highlight w:val="none"/>
              </w:rPr>
            </w:pPr>
            <w:r>
              <w:rPr>
                <w:rFonts w:hint="eastAsia" w:ascii="宋体" w:hAnsi="宋体" w:eastAsia="宋体" w:cs="楷体_GB2312"/>
                <w:b/>
                <w:bCs/>
                <w:color w:val="auto"/>
                <w:sz w:val="24"/>
                <w:highlight w:val="none"/>
              </w:rPr>
              <w:t>采购代理机构</w:t>
            </w:r>
          </w:p>
        </w:tc>
        <w:tc>
          <w:tcPr>
            <w:tcW w:w="5910" w:type="dxa"/>
            <w:tcBorders>
              <w:tl2br w:val="nil"/>
              <w:tr2bl w:val="nil"/>
            </w:tcBorders>
            <w:vAlign w:val="center"/>
          </w:tcPr>
          <w:p w14:paraId="2454721A">
            <w:pPr>
              <w:autoSpaceDE w:val="0"/>
              <w:autoSpaceDN w:val="0"/>
              <w:adjustRightInd w:val="0"/>
              <w:snapToGrid w:val="0"/>
              <w:spacing w:before="156" w:beforeLines="50" w:line="240" w:lineRule="auto"/>
              <w:rPr>
                <w:color w:val="auto"/>
                <w:sz w:val="24"/>
                <w:szCs w:val="24"/>
                <w:highlight w:val="none"/>
              </w:rPr>
            </w:pPr>
            <w:r>
              <w:rPr>
                <w:rFonts w:hint="eastAsia"/>
                <w:color w:val="auto"/>
                <w:sz w:val="24"/>
                <w:szCs w:val="24"/>
                <w:highlight w:val="none"/>
              </w:rPr>
              <w:t>见“第一章</w:t>
            </w:r>
            <w:r>
              <w:rPr>
                <w:rFonts w:hint="eastAsia"/>
                <w:color w:val="auto"/>
                <w:sz w:val="24"/>
                <w:szCs w:val="24"/>
                <w:highlight w:val="none"/>
                <w:lang w:val="en-US" w:eastAsia="zh-CN"/>
              </w:rPr>
              <w:t xml:space="preserve"> </w:t>
            </w:r>
            <w:r>
              <w:rPr>
                <w:rFonts w:hint="eastAsia"/>
                <w:color w:val="auto"/>
                <w:sz w:val="24"/>
                <w:szCs w:val="24"/>
                <w:highlight w:val="none"/>
              </w:rPr>
              <w:t>招标公告”相应条款</w:t>
            </w:r>
          </w:p>
        </w:tc>
      </w:tr>
      <w:tr w14:paraId="070267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03" w:type="dxa"/>
            <w:vMerge w:val="restart"/>
            <w:tcBorders>
              <w:tl2br w:val="nil"/>
              <w:tr2bl w:val="nil"/>
            </w:tcBorders>
            <w:vAlign w:val="center"/>
          </w:tcPr>
          <w:p w14:paraId="0A452FEA">
            <w:pPr>
              <w:autoSpaceDE w:val="0"/>
              <w:autoSpaceDN w:val="0"/>
              <w:adjustRightInd w:val="0"/>
              <w:snapToGrid w:val="0"/>
              <w:spacing w:line="240" w:lineRule="auto"/>
              <w:jc w:val="center"/>
              <w:rPr>
                <w:rFonts w:ascii="宋体" w:cs="楷体_GB2312"/>
                <w:b/>
                <w:bCs/>
                <w:color w:val="auto"/>
                <w:sz w:val="24"/>
                <w:highlight w:val="none"/>
                <w:lang w:val="zh-CN"/>
              </w:rPr>
            </w:pPr>
            <w:r>
              <w:rPr>
                <w:rFonts w:hint="eastAsia" w:ascii="宋体" w:hAnsi="宋体" w:cs="楷体_GB2312"/>
                <w:b/>
                <w:bCs/>
                <w:color w:val="auto"/>
                <w:sz w:val="24"/>
                <w:highlight w:val="none"/>
                <w:lang w:val="zh-CN"/>
              </w:rPr>
              <w:t>第二章</w:t>
            </w:r>
          </w:p>
        </w:tc>
        <w:tc>
          <w:tcPr>
            <w:tcW w:w="1012" w:type="dxa"/>
            <w:tcBorders>
              <w:tl2br w:val="nil"/>
              <w:tr2bl w:val="nil"/>
            </w:tcBorders>
            <w:vAlign w:val="center"/>
          </w:tcPr>
          <w:p w14:paraId="7425F0B7">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ascii="宋体" w:hAnsi="宋体" w:eastAsia="宋体" w:cs="楷体_GB2312"/>
                <w:b/>
                <w:bCs/>
                <w:color w:val="auto"/>
                <w:szCs w:val="21"/>
                <w:highlight w:val="none"/>
                <w:lang w:val="zh-CN"/>
              </w:rPr>
              <w:t>1.2</w:t>
            </w:r>
          </w:p>
        </w:tc>
        <w:tc>
          <w:tcPr>
            <w:tcW w:w="2520" w:type="dxa"/>
            <w:tcBorders>
              <w:tl2br w:val="nil"/>
              <w:tr2bl w:val="nil"/>
            </w:tcBorders>
            <w:vAlign w:val="center"/>
          </w:tcPr>
          <w:p w14:paraId="34C512BA">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rPr>
              <w:t>标段（包）划分</w:t>
            </w:r>
          </w:p>
        </w:tc>
        <w:tc>
          <w:tcPr>
            <w:tcW w:w="5910" w:type="dxa"/>
            <w:tcBorders>
              <w:tl2br w:val="nil"/>
              <w:tr2bl w:val="nil"/>
            </w:tcBorders>
            <w:vAlign w:val="center"/>
          </w:tcPr>
          <w:p w14:paraId="133C2F22">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color w:val="auto"/>
                <w:sz w:val="24"/>
                <w:szCs w:val="24"/>
                <w:highlight w:val="none"/>
              </w:rPr>
              <w:t>见“第二章</w:t>
            </w:r>
            <w:r>
              <w:rPr>
                <w:rFonts w:hint="eastAsia"/>
                <w:color w:val="auto"/>
                <w:sz w:val="24"/>
                <w:szCs w:val="24"/>
                <w:highlight w:val="none"/>
                <w:lang w:val="en-US" w:eastAsia="zh-CN"/>
              </w:rPr>
              <w:t xml:space="preserve"> </w:t>
            </w:r>
            <w:r>
              <w:rPr>
                <w:rFonts w:hint="eastAsia"/>
                <w:color w:val="auto"/>
                <w:sz w:val="24"/>
                <w:szCs w:val="24"/>
                <w:highlight w:val="none"/>
              </w:rPr>
              <w:t>招标项目要求及采购需求”相应条款</w:t>
            </w:r>
          </w:p>
        </w:tc>
      </w:tr>
      <w:tr w14:paraId="4C4EBD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03" w:type="dxa"/>
            <w:vMerge w:val="continue"/>
            <w:tcBorders>
              <w:tl2br w:val="nil"/>
              <w:tr2bl w:val="nil"/>
            </w:tcBorders>
            <w:vAlign w:val="center"/>
          </w:tcPr>
          <w:p w14:paraId="2434A7F1">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63E40C85">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ascii="宋体" w:hAnsi="宋体" w:eastAsia="宋体" w:cs="楷体_GB2312"/>
                <w:b/>
                <w:bCs/>
                <w:color w:val="auto"/>
                <w:szCs w:val="21"/>
                <w:highlight w:val="none"/>
                <w:lang w:val="zh-CN"/>
              </w:rPr>
              <w:t>1.2</w:t>
            </w:r>
          </w:p>
        </w:tc>
        <w:tc>
          <w:tcPr>
            <w:tcW w:w="2520" w:type="dxa"/>
            <w:tcBorders>
              <w:tl2br w:val="nil"/>
              <w:tr2bl w:val="nil"/>
            </w:tcBorders>
            <w:vAlign w:val="center"/>
          </w:tcPr>
          <w:p w14:paraId="13637D45">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rPr>
              <w:t>交付&lt;实施&gt;期</w:t>
            </w:r>
          </w:p>
        </w:tc>
        <w:tc>
          <w:tcPr>
            <w:tcW w:w="5910" w:type="dxa"/>
            <w:tcBorders>
              <w:tl2br w:val="nil"/>
              <w:tr2bl w:val="nil"/>
            </w:tcBorders>
            <w:vAlign w:val="center"/>
          </w:tcPr>
          <w:p w14:paraId="650FB743">
            <w:pPr>
              <w:autoSpaceDE w:val="0"/>
              <w:autoSpaceDN w:val="0"/>
              <w:adjustRightInd w:val="0"/>
              <w:snapToGrid w:val="0"/>
              <w:spacing w:before="156" w:beforeLines="50" w:line="240" w:lineRule="auto"/>
              <w:rPr>
                <w:rFonts w:ascii="宋体" w:cs="楷体_GB2312"/>
                <w:bCs/>
                <w:color w:val="auto"/>
                <w:sz w:val="24"/>
                <w:highlight w:val="none"/>
                <w:lang w:val="zh-CN"/>
              </w:rPr>
            </w:pPr>
            <w:r>
              <w:rPr>
                <w:rFonts w:hint="eastAsia" w:ascii="宋体" w:hAnsi="宋体"/>
                <w:color w:val="auto"/>
                <w:sz w:val="24"/>
                <w:highlight w:val="none"/>
              </w:rPr>
              <w:t>见“第二章</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招标项目要求及采购需求”</w:t>
            </w:r>
            <w:r>
              <w:rPr>
                <w:rFonts w:hint="eastAsia"/>
                <w:color w:val="auto"/>
                <w:sz w:val="24"/>
                <w:szCs w:val="24"/>
                <w:highlight w:val="none"/>
              </w:rPr>
              <w:t>相应条款</w:t>
            </w:r>
          </w:p>
        </w:tc>
      </w:tr>
      <w:tr w14:paraId="11B53E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03" w:type="dxa"/>
            <w:vMerge w:val="continue"/>
            <w:tcBorders>
              <w:tl2br w:val="nil"/>
              <w:tr2bl w:val="nil"/>
            </w:tcBorders>
            <w:vAlign w:val="center"/>
          </w:tcPr>
          <w:p w14:paraId="068E3B3B">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22B32EF8">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ascii="宋体" w:hAnsi="宋体" w:eastAsia="宋体" w:cs="楷体_GB2312"/>
                <w:b/>
                <w:bCs/>
                <w:color w:val="auto"/>
                <w:szCs w:val="21"/>
                <w:highlight w:val="none"/>
                <w:lang w:val="zh-CN"/>
              </w:rPr>
              <w:t>1.2</w:t>
            </w:r>
          </w:p>
        </w:tc>
        <w:tc>
          <w:tcPr>
            <w:tcW w:w="2520" w:type="dxa"/>
            <w:tcBorders>
              <w:tl2br w:val="nil"/>
              <w:tr2bl w:val="nil"/>
            </w:tcBorders>
            <w:vAlign w:val="center"/>
          </w:tcPr>
          <w:p w14:paraId="09FDAF54">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rPr>
              <w:t>交付（实施）</w:t>
            </w:r>
            <w:r>
              <w:rPr>
                <w:rFonts w:hint="eastAsia" w:ascii="宋体" w:hAnsi="宋体" w:eastAsia="宋体" w:cs="楷体_GB2312"/>
                <w:b/>
                <w:bCs/>
                <w:color w:val="auto"/>
                <w:sz w:val="24"/>
                <w:highlight w:val="none"/>
                <w:lang w:val="zh-CN"/>
              </w:rPr>
              <w:t>地</w:t>
            </w:r>
          </w:p>
        </w:tc>
        <w:tc>
          <w:tcPr>
            <w:tcW w:w="5910" w:type="dxa"/>
            <w:tcBorders>
              <w:tl2br w:val="nil"/>
              <w:tr2bl w:val="nil"/>
            </w:tcBorders>
            <w:vAlign w:val="center"/>
          </w:tcPr>
          <w:p w14:paraId="08C6B603">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见“第二章</w:t>
            </w:r>
            <w:r>
              <w:rPr>
                <w:rFonts w:hint="eastAsia" w:ascii="宋体" w:hAnsi="宋体" w:cs="楷体_GB2312"/>
                <w:color w:val="auto"/>
                <w:sz w:val="24"/>
                <w:highlight w:val="none"/>
                <w:lang w:val="en-US" w:eastAsia="zh-CN"/>
              </w:rPr>
              <w:t xml:space="preserve"> </w:t>
            </w:r>
            <w:r>
              <w:rPr>
                <w:rFonts w:hint="eastAsia" w:ascii="宋体" w:hAnsi="宋体" w:cs="楷体_GB2312"/>
                <w:color w:val="auto"/>
                <w:sz w:val="24"/>
                <w:highlight w:val="none"/>
                <w:lang w:val="zh-CN"/>
              </w:rPr>
              <w:t>招标项目要求及采购需求”</w:t>
            </w:r>
            <w:r>
              <w:rPr>
                <w:rFonts w:hint="eastAsia"/>
                <w:color w:val="auto"/>
                <w:sz w:val="24"/>
                <w:szCs w:val="24"/>
                <w:highlight w:val="none"/>
              </w:rPr>
              <w:t>相应条款</w:t>
            </w:r>
          </w:p>
        </w:tc>
      </w:tr>
      <w:tr w14:paraId="1B5A1D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03" w:type="dxa"/>
            <w:vMerge w:val="continue"/>
            <w:tcBorders>
              <w:tl2br w:val="nil"/>
              <w:tr2bl w:val="nil"/>
            </w:tcBorders>
            <w:vAlign w:val="center"/>
          </w:tcPr>
          <w:p w14:paraId="43689FB3">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71B08391">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ascii="宋体" w:hAnsi="宋体" w:eastAsia="宋体" w:cs="楷体_GB2312"/>
                <w:b/>
                <w:bCs/>
                <w:color w:val="auto"/>
                <w:szCs w:val="21"/>
                <w:highlight w:val="none"/>
                <w:lang w:val="zh-CN"/>
              </w:rPr>
              <w:t>1.3</w:t>
            </w:r>
          </w:p>
        </w:tc>
        <w:tc>
          <w:tcPr>
            <w:tcW w:w="2520" w:type="dxa"/>
            <w:tcBorders>
              <w:tl2br w:val="nil"/>
              <w:tr2bl w:val="nil"/>
            </w:tcBorders>
            <w:vAlign w:val="center"/>
          </w:tcPr>
          <w:p w14:paraId="2E8DAE18">
            <w:pPr>
              <w:autoSpaceDE w:val="0"/>
              <w:autoSpaceDN w:val="0"/>
              <w:adjustRightInd w:val="0"/>
              <w:snapToGrid w:val="0"/>
              <w:spacing w:line="240" w:lineRule="auto"/>
              <w:jc w:val="center"/>
              <w:rPr>
                <w:rFonts w:hint="eastAsia" w:ascii="宋体" w:hAnsi="宋体" w:eastAsia="宋体" w:cs="楷体_GB2312"/>
                <w:b/>
                <w:bCs/>
                <w:color w:val="auto"/>
                <w:sz w:val="24"/>
                <w:highlight w:val="none"/>
              </w:rPr>
            </w:pPr>
            <w:r>
              <w:rPr>
                <w:rFonts w:hint="eastAsia" w:ascii="宋体" w:hAnsi="宋体" w:eastAsia="宋体" w:cs="楷体_GB2312"/>
                <w:b/>
                <w:bCs/>
                <w:color w:val="auto"/>
                <w:sz w:val="24"/>
                <w:highlight w:val="none"/>
              </w:rPr>
              <w:t>投标报价</w:t>
            </w:r>
          </w:p>
        </w:tc>
        <w:tc>
          <w:tcPr>
            <w:tcW w:w="5910" w:type="dxa"/>
            <w:tcBorders>
              <w:tl2br w:val="nil"/>
              <w:tr2bl w:val="nil"/>
            </w:tcBorders>
            <w:vAlign w:val="center"/>
          </w:tcPr>
          <w:p w14:paraId="3F1B8EC2">
            <w:pPr>
              <w:autoSpaceDE w:val="0"/>
              <w:autoSpaceDN w:val="0"/>
              <w:adjustRightInd w:val="0"/>
              <w:snapToGrid w:val="0"/>
              <w:spacing w:before="156" w:beforeLines="50" w:line="240" w:lineRule="auto"/>
              <w:rPr>
                <w:color w:val="auto"/>
                <w:sz w:val="24"/>
                <w:szCs w:val="24"/>
                <w:highlight w:val="none"/>
              </w:rPr>
            </w:pPr>
            <w:r>
              <w:rPr>
                <w:rFonts w:hint="eastAsia"/>
                <w:color w:val="auto"/>
                <w:sz w:val="24"/>
                <w:szCs w:val="24"/>
                <w:highlight w:val="none"/>
              </w:rPr>
              <w:t>见“第二章</w:t>
            </w:r>
            <w:r>
              <w:rPr>
                <w:rFonts w:hint="eastAsia"/>
                <w:color w:val="auto"/>
                <w:sz w:val="24"/>
                <w:szCs w:val="24"/>
                <w:highlight w:val="none"/>
                <w:lang w:val="en-US" w:eastAsia="zh-CN"/>
              </w:rPr>
              <w:t xml:space="preserve"> </w:t>
            </w:r>
            <w:r>
              <w:rPr>
                <w:rFonts w:hint="eastAsia"/>
                <w:color w:val="auto"/>
                <w:sz w:val="24"/>
                <w:szCs w:val="24"/>
                <w:highlight w:val="none"/>
              </w:rPr>
              <w:t>招标项目要求及采购需求”相应条款</w:t>
            </w:r>
          </w:p>
        </w:tc>
      </w:tr>
      <w:tr w14:paraId="49E2E9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21" w:hRule="atLeast"/>
          <w:jc w:val="center"/>
        </w:trPr>
        <w:tc>
          <w:tcPr>
            <w:tcW w:w="503" w:type="dxa"/>
            <w:vMerge w:val="continue"/>
            <w:tcBorders>
              <w:tl2br w:val="nil"/>
              <w:tr2bl w:val="nil"/>
            </w:tcBorders>
            <w:vAlign w:val="center"/>
          </w:tcPr>
          <w:p w14:paraId="168D19BD">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3D1C59D2">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ascii="宋体" w:hAnsi="宋体" w:eastAsia="宋体" w:cs="楷体_GB2312"/>
                <w:b/>
                <w:bCs/>
                <w:color w:val="auto"/>
                <w:szCs w:val="21"/>
                <w:highlight w:val="none"/>
                <w:lang w:val="zh-CN"/>
              </w:rPr>
              <w:t>2</w:t>
            </w:r>
          </w:p>
        </w:tc>
        <w:tc>
          <w:tcPr>
            <w:tcW w:w="2520" w:type="dxa"/>
            <w:tcBorders>
              <w:tl2br w:val="nil"/>
              <w:tr2bl w:val="nil"/>
            </w:tcBorders>
            <w:vAlign w:val="center"/>
          </w:tcPr>
          <w:p w14:paraId="4DF7D709">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标段（包）内容（范围）及具体采购需求</w:t>
            </w:r>
          </w:p>
        </w:tc>
        <w:tc>
          <w:tcPr>
            <w:tcW w:w="5910" w:type="dxa"/>
            <w:tcBorders>
              <w:tl2br w:val="nil"/>
              <w:tr2bl w:val="nil"/>
            </w:tcBorders>
            <w:vAlign w:val="center"/>
          </w:tcPr>
          <w:p w14:paraId="17177E4C">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见“第二章</w:t>
            </w:r>
            <w:r>
              <w:rPr>
                <w:rFonts w:hint="eastAsia" w:ascii="宋体" w:hAnsi="宋体" w:cs="楷体_GB2312"/>
                <w:color w:val="auto"/>
                <w:sz w:val="24"/>
                <w:highlight w:val="none"/>
                <w:lang w:val="en-US" w:eastAsia="zh-CN"/>
              </w:rPr>
              <w:t xml:space="preserve"> </w:t>
            </w:r>
            <w:r>
              <w:rPr>
                <w:rFonts w:hint="eastAsia" w:ascii="宋体" w:hAnsi="宋体" w:cs="楷体_GB2312"/>
                <w:color w:val="auto"/>
                <w:sz w:val="24"/>
                <w:highlight w:val="none"/>
                <w:lang w:val="zh-CN"/>
              </w:rPr>
              <w:t>招标项目要求及采购需求”</w:t>
            </w:r>
            <w:r>
              <w:rPr>
                <w:rFonts w:hint="eastAsia"/>
                <w:color w:val="auto"/>
                <w:sz w:val="24"/>
                <w:szCs w:val="24"/>
                <w:highlight w:val="none"/>
              </w:rPr>
              <w:t>相应条款</w:t>
            </w:r>
          </w:p>
        </w:tc>
      </w:tr>
      <w:tr w14:paraId="1439CB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6" w:hRule="atLeast"/>
          <w:jc w:val="center"/>
        </w:trPr>
        <w:tc>
          <w:tcPr>
            <w:tcW w:w="503" w:type="dxa"/>
            <w:vMerge w:val="restart"/>
            <w:tcBorders>
              <w:tl2br w:val="nil"/>
              <w:tr2bl w:val="nil"/>
            </w:tcBorders>
            <w:vAlign w:val="center"/>
          </w:tcPr>
          <w:p w14:paraId="364C7CD2">
            <w:pPr>
              <w:autoSpaceDE w:val="0"/>
              <w:autoSpaceDN w:val="0"/>
              <w:adjustRightInd w:val="0"/>
              <w:snapToGrid w:val="0"/>
              <w:spacing w:line="240" w:lineRule="auto"/>
              <w:jc w:val="center"/>
              <w:rPr>
                <w:rFonts w:ascii="宋体" w:cs="楷体_GB2312"/>
                <w:b/>
                <w:bCs/>
                <w:color w:val="auto"/>
                <w:sz w:val="24"/>
                <w:highlight w:val="none"/>
                <w:lang w:val="zh-CN"/>
              </w:rPr>
            </w:pPr>
            <w:r>
              <w:rPr>
                <w:rFonts w:hint="eastAsia" w:ascii="宋体" w:hAnsi="宋体" w:cs="楷体_GB2312"/>
                <w:b/>
                <w:bCs/>
                <w:color w:val="auto"/>
                <w:sz w:val="24"/>
                <w:highlight w:val="none"/>
                <w:lang w:val="zh-CN"/>
              </w:rPr>
              <w:t>第三章</w:t>
            </w:r>
          </w:p>
        </w:tc>
        <w:tc>
          <w:tcPr>
            <w:tcW w:w="1012" w:type="dxa"/>
            <w:tcBorders>
              <w:tl2br w:val="nil"/>
              <w:tr2bl w:val="nil"/>
            </w:tcBorders>
            <w:vAlign w:val="center"/>
          </w:tcPr>
          <w:p w14:paraId="44E3C262">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ascii="宋体" w:hAnsi="宋体" w:eastAsia="宋体" w:cs="楷体_GB2312"/>
                <w:b/>
                <w:bCs/>
                <w:color w:val="auto"/>
                <w:szCs w:val="21"/>
                <w:highlight w:val="none"/>
                <w:lang w:val="zh-CN"/>
              </w:rPr>
              <w:t>1.4</w:t>
            </w:r>
          </w:p>
        </w:tc>
        <w:tc>
          <w:tcPr>
            <w:tcW w:w="2520" w:type="dxa"/>
            <w:tcBorders>
              <w:tl2br w:val="nil"/>
              <w:tr2bl w:val="nil"/>
            </w:tcBorders>
            <w:vAlign w:val="center"/>
          </w:tcPr>
          <w:p w14:paraId="2ED41044">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联合体投标</w:t>
            </w:r>
          </w:p>
        </w:tc>
        <w:tc>
          <w:tcPr>
            <w:tcW w:w="5910" w:type="dxa"/>
            <w:tcBorders>
              <w:tl2br w:val="nil"/>
              <w:tr2bl w:val="nil"/>
            </w:tcBorders>
            <w:vAlign w:val="center"/>
          </w:tcPr>
          <w:p w14:paraId="76ADC02A">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color w:val="auto"/>
                <w:sz w:val="24"/>
                <w:szCs w:val="24"/>
                <w:highlight w:val="none"/>
              </w:rPr>
              <w:t>见“第一章</w:t>
            </w:r>
            <w:r>
              <w:rPr>
                <w:rFonts w:hint="eastAsia"/>
                <w:color w:val="auto"/>
                <w:sz w:val="24"/>
                <w:szCs w:val="24"/>
                <w:highlight w:val="none"/>
                <w:lang w:val="en-US" w:eastAsia="zh-CN"/>
              </w:rPr>
              <w:t xml:space="preserve"> </w:t>
            </w:r>
            <w:r>
              <w:rPr>
                <w:rFonts w:hint="eastAsia"/>
                <w:color w:val="auto"/>
                <w:sz w:val="24"/>
                <w:szCs w:val="24"/>
                <w:highlight w:val="none"/>
              </w:rPr>
              <w:t>招标公告”相应条款。</w:t>
            </w:r>
          </w:p>
        </w:tc>
      </w:tr>
      <w:tr w14:paraId="64F868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47" w:hRule="atLeast"/>
          <w:jc w:val="center"/>
        </w:trPr>
        <w:tc>
          <w:tcPr>
            <w:tcW w:w="503" w:type="dxa"/>
            <w:vMerge w:val="continue"/>
            <w:tcBorders>
              <w:tl2br w:val="nil"/>
              <w:tr2bl w:val="nil"/>
            </w:tcBorders>
            <w:vAlign w:val="center"/>
          </w:tcPr>
          <w:p w14:paraId="57793953">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5481D357">
            <w:pPr>
              <w:autoSpaceDE w:val="0"/>
              <w:autoSpaceDN w:val="0"/>
              <w:adjustRightInd w:val="0"/>
              <w:snapToGrid w:val="0"/>
              <w:spacing w:line="240" w:lineRule="auto"/>
              <w:jc w:val="center"/>
              <w:rPr>
                <w:rFonts w:ascii="宋体" w:hAnsi="宋体" w:eastAsia="宋体" w:cs="楷体_GB2312"/>
                <w:b/>
                <w:bCs/>
                <w:color w:val="auto"/>
                <w:szCs w:val="21"/>
                <w:highlight w:val="none"/>
              </w:rPr>
            </w:pPr>
            <w:r>
              <w:rPr>
                <w:rFonts w:ascii="宋体" w:hAnsi="宋体" w:eastAsia="宋体" w:cs="楷体_GB2312"/>
                <w:b/>
                <w:bCs/>
                <w:color w:val="auto"/>
                <w:szCs w:val="21"/>
                <w:highlight w:val="none"/>
              </w:rPr>
              <w:t>1.</w:t>
            </w:r>
            <w:r>
              <w:rPr>
                <w:rFonts w:hint="eastAsia" w:ascii="宋体" w:hAnsi="宋体" w:eastAsia="宋体" w:cs="楷体_GB2312"/>
                <w:b/>
                <w:bCs/>
                <w:color w:val="auto"/>
                <w:szCs w:val="21"/>
                <w:highlight w:val="none"/>
              </w:rPr>
              <w:t>10</w:t>
            </w:r>
          </w:p>
        </w:tc>
        <w:tc>
          <w:tcPr>
            <w:tcW w:w="2520" w:type="dxa"/>
            <w:tcBorders>
              <w:tl2br w:val="nil"/>
              <w:tr2bl w:val="nil"/>
            </w:tcBorders>
            <w:vAlign w:val="center"/>
          </w:tcPr>
          <w:p w14:paraId="0D39096A">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踏勘现场</w:t>
            </w:r>
          </w:p>
        </w:tc>
        <w:tc>
          <w:tcPr>
            <w:tcW w:w="5910" w:type="dxa"/>
            <w:tcBorders>
              <w:tl2br w:val="nil"/>
              <w:tr2bl w:val="nil"/>
            </w:tcBorders>
            <w:vAlign w:val="center"/>
          </w:tcPr>
          <w:p w14:paraId="6B9634D7">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不组织</w:t>
            </w:r>
          </w:p>
        </w:tc>
      </w:tr>
      <w:tr w14:paraId="488027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47" w:hRule="atLeast"/>
          <w:jc w:val="center"/>
        </w:trPr>
        <w:tc>
          <w:tcPr>
            <w:tcW w:w="503" w:type="dxa"/>
            <w:vMerge w:val="continue"/>
            <w:tcBorders>
              <w:tl2br w:val="nil"/>
              <w:tr2bl w:val="nil"/>
            </w:tcBorders>
            <w:vAlign w:val="center"/>
          </w:tcPr>
          <w:p w14:paraId="73F8C889">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2C160440">
            <w:pPr>
              <w:autoSpaceDE w:val="0"/>
              <w:autoSpaceDN w:val="0"/>
              <w:adjustRightInd w:val="0"/>
              <w:snapToGrid w:val="0"/>
              <w:spacing w:line="240" w:lineRule="auto"/>
              <w:jc w:val="center"/>
              <w:rPr>
                <w:rFonts w:ascii="宋体" w:hAnsi="宋体" w:eastAsia="宋体" w:cs="楷体_GB2312"/>
                <w:b/>
                <w:bCs/>
                <w:color w:val="auto"/>
                <w:szCs w:val="21"/>
                <w:highlight w:val="none"/>
              </w:rPr>
            </w:pPr>
            <w:r>
              <w:rPr>
                <w:rFonts w:ascii="宋体" w:hAnsi="宋体" w:eastAsia="宋体" w:cs="楷体_GB2312"/>
                <w:b/>
                <w:bCs/>
                <w:color w:val="auto"/>
                <w:szCs w:val="21"/>
                <w:highlight w:val="none"/>
              </w:rPr>
              <w:t>1.1</w:t>
            </w:r>
            <w:r>
              <w:rPr>
                <w:rFonts w:hint="eastAsia" w:ascii="宋体" w:hAnsi="宋体" w:eastAsia="宋体" w:cs="楷体_GB2312"/>
                <w:b/>
                <w:bCs/>
                <w:color w:val="auto"/>
                <w:szCs w:val="21"/>
                <w:highlight w:val="none"/>
              </w:rPr>
              <w:t>1</w:t>
            </w:r>
          </w:p>
        </w:tc>
        <w:tc>
          <w:tcPr>
            <w:tcW w:w="2520" w:type="dxa"/>
            <w:tcBorders>
              <w:tl2br w:val="nil"/>
              <w:tr2bl w:val="nil"/>
            </w:tcBorders>
            <w:vAlign w:val="center"/>
          </w:tcPr>
          <w:p w14:paraId="10DE6485">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开标前答疑会</w:t>
            </w:r>
          </w:p>
        </w:tc>
        <w:tc>
          <w:tcPr>
            <w:tcW w:w="5910" w:type="dxa"/>
            <w:tcBorders>
              <w:tl2br w:val="nil"/>
              <w:tr2bl w:val="nil"/>
            </w:tcBorders>
            <w:vAlign w:val="center"/>
          </w:tcPr>
          <w:p w14:paraId="7C2C6E50">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不召开</w:t>
            </w:r>
          </w:p>
        </w:tc>
      </w:tr>
      <w:tr w14:paraId="2DDF83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47" w:hRule="atLeast"/>
          <w:jc w:val="center"/>
        </w:trPr>
        <w:tc>
          <w:tcPr>
            <w:tcW w:w="503" w:type="dxa"/>
            <w:vMerge w:val="continue"/>
            <w:tcBorders>
              <w:tl2br w:val="nil"/>
              <w:tr2bl w:val="nil"/>
            </w:tcBorders>
            <w:vAlign w:val="center"/>
          </w:tcPr>
          <w:p w14:paraId="63E53C8E">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105ACF95">
            <w:pPr>
              <w:autoSpaceDE w:val="0"/>
              <w:autoSpaceDN w:val="0"/>
              <w:adjustRightInd w:val="0"/>
              <w:snapToGrid w:val="0"/>
              <w:spacing w:line="240" w:lineRule="auto"/>
              <w:jc w:val="center"/>
              <w:rPr>
                <w:rFonts w:ascii="宋体" w:hAnsi="宋体" w:eastAsia="宋体" w:cs="楷体_GB2312"/>
                <w:b/>
                <w:bCs/>
                <w:color w:val="auto"/>
                <w:szCs w:val="21"/>
                <w:highlight w:val="none"/>
              </w:rPr>
            </w:pPr>
            <w:r>
              <w:rPr>
                <w:rFonts w:ascii="宋体" w:hAnsi="宋体" w:eastAsia="宋体" w:cs="楷体_GB2312"/>
                <w:b/>
                <w:bCs/>
                <w:color w:val="auto"/>
                <w:szCs w:val="21"/>
                <w:highlight w:val="none"/>
              </w:rPr>
              <w:t>1.1</w:t>
            </w:r>
            <w:r>
              <w:rPr>
                <w:rFonts w:hint="eastAsia" w:ascii="宋体" w:hAnsi="宋体" w:eastAsia="宋体" w:cs="楷体_GB2312"/>
                <w:b/>
                <w:bCs/>
                <w:color w:val="auto"/>
                <w:szCs w:val="21"/>
                <w:highlight w:val="none"/>
              </w:rPr>
              <w:t>2</w:t>
            </w:r>
          </w:p>
        </w:tc>
        <w:tc>
          <w:tcPr>
            <w:tcW w:w="2520" w:type="dxa"/>
            <w:tcBorders>
              <w:tl2br w:val="nil"/>
              <w:tr2bl w:val="nil"/>
            </w:tcBorders>
            <w:vAlign w:val="center"/>
          </w:tcPr>
          <w:p w14:paraId="41415110">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分包</w:t>
            </w:r>
          </w:p>
        </w:tc>
        <w:tc>
          <w:tcPr>
            <w:tcW w:w="5910" w:type="dxa"/>
            <w:tcBorders>
              <w:tl2br w:val="nil"/>
              <w:tr2bl w:val="nil"/>
            </w:tcBorders>
            <w:vAlign w:val="center"/>
          </w:tcPr>
          <w:p w14:paraId="2DA5DC4F">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 xml:space="preserve">不允许   </w:t>
            </w:r>
          </w:p>
        </w:tc>
      </w:tr>
      <w:tr w14:paraId="34A732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47" w:hRule="atLeast"/>
          <w:jc w:val="center"/>
        </w:trPr>
        <w:tc>
          <w:tcPr>
            <w:tcW w:w="503" w:type="dxa"/>
            <w:vMerge w:val="continue"/>
            <w:tcBorders>
              <w:tl2br w:val="nil"/>
              <w:tr2bl w:val="nil"/>
            </w:tcBorders>
            <w:vAlign w:val="center"/>
          </w:tcPr>
          <w:p w14:paraId="40905866">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3FC3692B">
            <w:pPr>
              <w:autoSpaceDE w:val="0"/>
              <w:autoSpaceDN w:val="0"/>
              <w:adjustRightInd w:val="0"/>
              <w:snapToGrid w:val="0"/>
              <w:spacing w:line="240" w:lineRule="auto"/>
              <w:jc w:val="center"/>
              <w:rPr>
                <w:rFonts w:ascii="宋体" w:hAnsi="宋体" w:eastAsia="宋体" w:cs="楷体_GB2312"/>
                <w:b/>
                <w:bCs/>
                <w:color w:val="auto"/>
                <w:szCs w:val="21"/>
                <w:highlight w:val="none"/>
              </w:rPr>
            </w:pPr>
            <w:r>
              <w:rPr>
                <w:rFonts w:ascii="宋体" w:hAnsi="宋体" w:eastAsia="宋体" w:cs="楷体_GB2312"/>
                <w:b/>
                <w:bCs/>
                <w:color w:val="auto"/>
                <w:szCs w:val="21"/>
                <w:highlight w:val="none"/>
              </w:rPr>
              <w:t>2.1</w:t>
            </w:r>
          </w:p>
        </w:tc>
        <w:tc>
          <w:tcPr>
            <w:tcW w:w="2520" w:type="dxa"/>
            <w:tcBorders>
              <w:tl2br w:val="nil"/>
              <w:tr2bl w:val="nil"/>
            </w:tcBorders>
            <w:vAlign w:val="center"/>
          </w:tcPr>
          <w:p w14:paraId="6F0E646D">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构成《招标文件》的其他材料</w:t>
            </w:r>
          </w:p>
        </w:tc>
        <w:tc>
          <w:tcPr>
            <w:tcW w:w="5910" w:type="dxa"/>
            <w:tcBorders>
              <w:tl2br w:val="nil"/>
              <w:tr2bl w:val="nil"/>
            </w:tcBorders>
            <w:vAlign w:val="center"/>
          </w:tcPr>
          <w:p w14:paraId="352AF106">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见“第三章</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投标人须知”相应条款</w:t>
            </w:r>
          </w:p>
        </w:tc>
      </w:tr>
      <w:tr w14:paraId="2E58CF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4" w:hRule="atLeast"/>
          <w:jc w:val="center"/>
        </w:trPr>
        <w:tc>
          <w:tcPr>
            <w:tcW w:w="503" w:type="dxa"/>
            <w:vMerge w:val="continue"/>
            <w:tcBorders>
              <w:tl2br w:val="nil"/>
              <w:tr2bl w:val="nil"/>
            </w:tcBorders>
            <w:vAlign w:val="center"/>
          </w:tcPr>
          <w:p w14:paraId="75C43014">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0F1D6FD5">
            <w:pPr>
              <w:autoSpaceDE w:val="0"/>
              <w:autoSpaceDN w:val="0"/>
              <w:adjustRightInd w:val="0"/>
              <w:snapToGrid w:val="0"/>
              <w:spacing w:line="240" w:lineRule="auto"/>
              <w:jc w:val="center"/>
              <w:rPr>
                <w:rFonts w:ascii="宋体" w:hAnsi="宋体" w:eastAsia="宋体" w:cs="楷体_GB2312"/>
                <w:b/>
                <w:bCs/>
                <w:color w:val="auto"/>
                <w:szCs w:val="21"/>
                <w:highlight w:val="none"/>
              </w:rPr>
            </w:pPr>
            <w:r>
              <w:rPr>
                <w:rFonts w:ascii="宋体" w:hAnsi="宋体" w:eastAsia="宋体" w:cs="楷体_GB2312"/>
                <w:b/>
                <w:bCs/>
                <w:color w:val="auto"/>
                <w:szCs w:val="21"/>
                <w:highlight w:val="none"/>
              </w:rPr>
              <w:t>2.2.1</w:t>
            </w:r>
          </w:p>
        </w:tc>
        <w:tc>
          <w:tcPr>
            <w:tcW w:w="2520" w:type="dxa"/>
            <w:tcBorders>
              <w:tl2br w:val="nil"/>
              <w:tr2bl w:val="nil"/>
            </w:tcBorders>
            <w:vAlign w:val="center"/>
          </w:tcPr>
          <w:p w14:paraId="6E37110B">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投标人提出问题的截止时间</w:t>
            </w:r>
          </w:p>
        </w:tc>
        <w:tc>
          <w:tcPr>
            <w:tcW w:w="5910" w:type="dxa"/>
            <w:tcBorders>
              <w:tl2br w:val="nil"/>
              <w:tr2bl w:val="nil"/>
            </w:tcBorders>
            <w:vAlign w:val="center"/>
          </w:tcPr>
          <w:p w14:paraId="6031DAFA">
            <w:pPr>
              <w:autoSpaceDE w:val="0"/>
              <w:autoSpaceDN w:val="0"/>
              <w:adjustRightInd w:val="0"/>
              <w:snapToGrid w:val="0"/>
              <w:spacing w:before="156" w:beforeLines="50" w:line="240" w:lineRule="auto"/>
              <w:rPr>
                <w:rFonts w:ascii="宋体" w:hAnsi="宋体" w:cs="楷体_GB2312"/>
                <w:color w:val="auto"/>
                <w:sz w:val="24"/>
                <w:highlight w:val="none"/>
                <w:lang w:val="zh-CN"/>
              </w:rPr>
            </w:pPr>
            <w:r>
              <w:rPr>
                <w:rFonts w:hint="eastAsia" w:ascii="宋体" w:hAnsi="宋体" w:cs="楷体_GB2312"/>
                <w:color w:val="auto"/>
                <w:sz w:val="24"/>
                <w:highlight w:val="none"/>
                <w:lang w:val="zh-CN"/>
              </w:rPr>
              <w:t>公告期结束或获取《招标文件》</w:t>
            </w:r>
            <w:r>
              <w:rPr>
                <w:rFonts w:ascii="宋体" w:hAnsi="宋体" w:cs="楷体_GB2312"/>
                <w:color w:val="auto"/>
                <w:sz w:val="24"/>
                <w:highlight w:val="none"/>
                <w:lang w:val="zh-CN"/>
              </w:rPr>
              <w:t>7</w:t>
            </w:r>
            <w:r>
              <w:rPr>
                <w:rFonts w:hint="eastAsia" w:ascii="宋体" w:hAnsi="宋体" w:cs="楷体_GB2312"/>
                <w:color w:val="auto"/>
                <w:sz w:val="24"/>
                <w:highlight w:val="none"/>
                <w:lang w:val="zh-CN"/>
              </w:rPr>
              <w:t>个工作日内</w:t>
            </w:r>
          </w:p>
        </w:tc>
      </w:tr>
      <w:tr w14:paraId="5948E1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4" w:hRule="atLeast"/>
          <w:jc w:val="center"/>
        </w:trPr>
        <w:tc>
          <w:tcPr>
            <w:tcW w:w="503" w:type="dxa"/>
            <w:vMerge w:val="continue"/>
            <w:tcBorders>
              <w:tl2br w:val="nil"/>
              <w:tr2bl w:val="nil"/>
            </w:tcBorders>
            <w:vAlign w:val="center"/>
          </w:tcPr>
          <w:p w14:paraId="71CAEC01">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242FB95B">
            <w:pPr>
              <w:autoSpaceDE w:val="0"/>
              <w:autoSpaceDN w:val="0"/>
              <w:adjustRightInd w:val="0"/>
              <w:snapToGrid w:val="0"/>
              <w:spacing w:line="240" w:lineRule="auto"/>
              <w:jc w:val="center"/>
              <w:rPr>
                <w:rFonts w:ascii="宋体" w:hAnsi="宋体" w:eastAsia="宋体" w:cs="楷体_GB2312"/>
                <w:b/>
                <w:bCs/>
                <w:color w:val="auto"/>
                <w:szCs w:val="21"/>
                <w:highlight w:val="none"/>
              </w:rPr>
            </w:pPr>
            <w:r>
              <w:rPr>
                <w:rFonts w:ascii="宋体" w:hAnsi="宋体" w:eastAsia="宋体" w:cs="楷体_GB2312"/>
                <w:b/>
                <w:bCs/>
                <w:color w:val="auto"/>
                <w:szCs w:val="21"/>
                <w:highlight w:val="none"/>
              </w:rPr>
              <w:t>2.</w:t>
            </w:r>
            <w:r>
              <w:rPr>
                <w:rFonts w:hint="eastAsia" w:ascii="宋体" w:hAnsi="宋体" w:eastAsia="宋体" w:cs="楷体_GB2312"/>
                <w:b/>
                <w:bCs/>
                <w:color w:val="auto"/>
                <w:szCs w:val="21"/>
                <w:highlight w:val="none"/>
              </w:rPr>
              <w:t>4</w:t>
            </w:r>
          </w:p>
        </w:tc>
        <w:tc>
          <w:tcPr>
            <w:tcW w:w="2520" w:type="dxa"/>
            <w:tcBorders>
              <w:tl2br w:val="nil"/>
              <w:tr2bl w:val="nil"/>
            </w:tcBorders>
            <w:vAlign w:val="center"/>
          </w:tcPr>
          <w:p w14:paraId="656ECAD8">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《招标文件》的澄清修改补充告知方式</w:t>
            </w:r>
          </w:p>
        </w:tc>
        <w:tc>
          <w:tcPr>
            <w:tcW w:w="5910" w:type="dxa"/>
            <w:tcBorders>
              <w:tl2br w:val="nil"/>
              <w:tr2bl w:val="nil"/>
            </w:tcBorders>
            <w:vAlign w:val="center"/>
          </w:tcPr>
          <w:p w14:paraId="6E145581">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见“第三章</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投标人须知”相应条款</w:t>
            </w:r>
          </w:p>
        </w:tc>
      </w:tr>
      <w:tr w14:paraId="49BD46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00" w:hRule="atLeast"/>
          <w:jc w:val="center"/>
        </w:trPr>
        <w:tc>
          <w:tcPr>
            <w:tcW w:w="503" w:type="dxa"/>
            <w:vMerge w:val="continue"/>
            <w:tcBorders>
              <w:tl2br w:val="nil"/>
              <w:tr2bl w:val="nil"/>
            </w:tcBorders>
            <w:vAlign w:val="center"/>
          </w:tcPr>
          <w:p w14:paraId="733DC279">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342272BF">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ascii="宋体" w:hAnsi="宋体" w:eastAsia="宋体" w:cs="楷体_GB2312"/>
                <w:b/>
                <w:bCs/>
                <w:color w:val="auto"/>
                <w:szCs w:val="21"/>
                <w:highlight w:val="none"/>
                <w:lang w:val="zh-CN"/>
              </w:rPr>
              <w:t>2.</w:t>
            </w:r>
            <w:r>
              <w:rPr>
                <w:rFonts w:hint="eastAsia" w:ascii="宋体" w:hAnsi="宋体" w:eastAsia="宋体" w:cs="楷体_GB2312"/>
                <w:b/>
                <w:bCs/>
                <w:color w:val="auto"/>
                <w:szCs w:val="21"/>
                <w:highlight w:val="none"/>
                <w:lang w:val="zh-CN"/>
              </w:rPr>
              <w:t>4</w:t>
            </w:r>
          </w:p>
        </w:tc>
        <w:tc>
          <w:tcPr>
            <w:tcW w:w="2520" w:type="dxa"/>
            <w:tcBorders>
              <w:tl2br w:val="nil"/>
              <w:tr2bl w:val="nil"/>
            </w:tcBorders>
            <w:vAlign w:val="center"/>
          </w:tcPr>
          <w:p w14:paraId="02C95C8D">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《招标文件》澄清修改补充时间</w:t>
            </w:r>
          </w:p>
        </w:tc>
        <w:tc>
          <w:tcPr>
            <w:tcW w:w="5910" w:type="dxa"/>
            <w:tcBorders>
              <w:tl2br w:val="nil"/>
              <w:tr2bl w:val="nil"/>
            </w:tcBorders>
            <w:vAlign w:val="center"/>
          </w:tcPr>
          <w:p w14:paraId="13F04588">
            <w:pPr>
              <w:autoSpaceDE w:val="0"/>
              <w:autoSpaceDN w:val="0"/>
              <w:adjustRightInd w:val="0"/>
              <w:snapToGrid w:val="0"/>
              <w:spacing w:before="156" w:beforeLines="50" w:line="240" w:lineRule="auto"/>
              <w:rPr>
                <w:rFonts w:ascii="宋体" w:hAnsi="宋体" w:cs="楷体_GB2312"/>
                <w:color w:val="auto"/>
                <w:sz w:val="24"/>
                <w:highlight w:val="none"/>
                <w:lang w:val="zh-CN"/>
              </w:rPr>
            </w:pPr>
            <w:r>
              <w:rPr>
                <w:rFonts w:hint="eastAsia" w:ascii="宋体" w:hAnsi="宋体" w:cs="楷体_GB2312"/>
                <w:color w:val="auto"/>
                <w:sz w:val="24"/>
                <w:highlight w:val="none"/>
                <w:lang w:val="zh-CN"/>
              </w:rPr>
              <w:t>投标截止时间</w:t>
            </w:r>
            <w:r>
              <w:rPr>
                <w:rFonts w:ascii="宋体" w:hAnsi="宋体" w:cs="楷体_GB2312"/>
                <w:color w:val="auto"/>
                <w:sz w:val="24"/>
                <w:highlight w:val="none"/>
              </w:rPr>
              <w:t>15</w:t>
            </w:r>
            <w:r>
              <w:rPr>
                <w:rFonts w:hint="eastAsia" w:ascii="宋体" w:hAnsi="宋体" w:cs="楷体_GB2312"/>
                <w:color w:val="auto"/>
                <w:sz w:val="24"/>
                <w:highlight w:val="none"/>
                <w:lang w:val="zh-CN"/>
              </w:rPr>
              <w:t>日前</w:t>
            </w:r>
          </w:p>
        </w:tc>
      </w:tr>
      <w:tr w14:paraId="318D56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35" w:hRule="atLeast"/>
          <w:jc w:val="center"/>
        </w:trPr>
        <w:tc>
          <w:tcPr>
            <w:tcW w:w="503" w:type="dxa"/>
            <w:vMerge w:val="continue"/>
            <w:tcBorders>
              <w:tl2br w:val="nil"/>
              <w:tr2bl w:val="nil"/>
            </w:tcBorders>
            <w:vAlign w:val="center"/>
          </w:tcPr>
          <w:p w14:paraId="5D3C2892">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379187E9">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ascii="宋体" w:hAnsi="宋体" w:eastAsia="宋体" w:cs="楷体_GB2312"/>
                <w:b/>
                <w:bCs/>
                <w:color w:val="auto"/>
                <w:szCs w:val="21"/>
                <w:highlight w:val="none"/>
                <w:lang w:val="zh-CN"/>
              </w:rPr>
              <w:t>3.2</w:t>
            </w:r>
          </w:p>
        </w:tc>
        <w:tc>
          <w:tcPr>
            <w:tcW w:w="2520" w:type="dxa"/>
            <w:tcBorders>
              <w:tl2br w:val="nil"/>
              <w:tr2bl w:val="nil"/>
            </w:tcBorders>
            <w:vAlign w:val="center"/>
          </w:tcPr>
          <w:p w14:paraId="0C268730">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构成《投标文件》的其他材料</w:t>
            </w:r>
          </w:p>
        </w:tc>
        <w:tc>
          <w:tcPr>
            <w:tcW w:w="5910" w:type="dxa"/>
            <w:tcBorders>
              <w:tl2br w:val="nil"/>
              <w:tr2bl w:val="nil"/>
            </w:tcBorders>
            <w:vAlign w:val="center"/>
          </w:tcPr>
          <w:p w14:paraId="6A043DB3">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见“第三章</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投标人须知”相应条款</w:t>
            </w:r>
          </w:p>
        </w:tc>
      </w:tr>
      <w:tr w14:paraId="65588C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35" w:hRule="atLeast"/>
          <w:jc w:val="center"/>
        </w:trPr>
        <w:tc>
          <w:tcPr>
            <w:tcW w:w="503" w:type="dxa"/>
            <w:vMerge w:val="restart"/>
            <w:tcBorders>
              <w:tl2br w:val="nil"/>
              <w:tr2bl w:val="nil"/>
            </w:tcBorders>
            <w:vAlign w:val="center"/>
          </w:tcPr>
          <w:p w14:paraId="3ED4A8C4">
            <w:pPr>
              <w:autoSpaceDE w:val="0"/>
              <w:autoSpaceDN w:val="0"/>
              <w:adjustRightInd w:val="0"/>
              <w:snapToGrid w:val="0"/>
              <w:spacing w:line="240" w:lineRule="auto"/>
              <w:jc w:val="center"/>
              <w:rPr>
                <w:rFonts w:ascii="宋体" w:hAnsi="宋体" w:cs="楷体_GB2312"/>
                <w:b/>
                <w:bCs/>
                <w:color w:val="auto"/>
                <w:sz w:val="24"/>
                <w:highlight w:val="none"/>
                <w:lang w:val="zh-CN"/>
              </w:rPr>
            </w:pPr>
            <w:r>
              <w:rPr>
                <w:rFonts w:hint="eastAsia" w:ascii="宋体" w:hAnsi="宋体" w:cs="楷体_GB2312"/>
                <w:b/>
                <w:bCs/>
                <w:color w:val="auto"/>
                <w:sz w:val="24"/>
                <w:highlight w:val="none"/>
                <w:lang w:val="zh-CN"/>
              </w:rPr>
              <w:t>第三章</w:t>
            </w:r>
          </w:p>
          <w:p w14:paraId="0C4E2E12">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4077ABE5">
            <w:pPr>
              <w:autoSpaceDE w:val="0"/>
              <w:autoSpaceDN w:val="0"/>
              <w:adjustRightInd w:val="0"/>
              <w:snapToGrid w:val="0"/>
              <w:spacing w:line="240" w:lineRule="auto"/>
              <w:jc w:val="center"/>
              <w:rPr>
                <w:rFonts w:ascii="宋体" w:hAnsi="宋体" w:eastAsia="宋体" w:cs="楷体_GB2312"/>
                <w:b/>
                <w:bCs/>
                <w:color w:val="auto"/>
                <w:szCs w:val="21"/>
                <w:highlight w:val="none"/>
                <w:lang w:val="zh-CN"/>
              </w:rPr>
            </w:pPr>
            <w:r>
              <w:rPr>
                <w:rFonts w:ascii="宋体" w:hAnsi="宋体" w:eastAsia="宋体" w:cs="楷体_GB2312"/>
                <w:b/>
                <w:bCs/>
                <w:color w:val="auto"/>
                <w:szCs w:val="21"/>
                <w:highlight w:val="none"/>
                <w:lang w:val="zh-CN"/>
              </w:rPr>
              <w:t>3.4.1</w:t>
            </w:r>
          </w:p>
        </w:tc>
        <w:tc>
          <w:tcPr>
            <w:tcW w:w="2520" w:type="dxa"/>
            <w:tcBorders>
              <w:tl2br w:val="nil"/>
              <w:tr2bl w:val="nil"/>
            </w:tcBorders>
            <w:vAlign w:val="center"/>
          </w:tcPr>
          <w:p w14:paraId="235B12C6">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投标有效期</w:t>
            </w:r>
          </w:p>
        </w:tc>
        <w:tc>
          <w:tcPr>
            <w:tcW w:w="5910" w:type="dxa"/>
            <w:tcBorders>
              <w:tl2br w:val="nil"/>
              <w:tr2bl w:val="nil"/>
            </w:tcBorders>
            <w:vAlign w:val="center"/>
          </w:tcPr>
          <w:p w14:paraId="12BB8E09">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从开标之日起，投标有效期为</w:t>
            </w:r>
            <w:r>
              <w:rPr>
                <w:rFonts w:ascii="宋体" w:hAnsi="宋体" w:cs="楷体_GB2312"/>
                <w:color w:val="auto"/>
                <w:sz w:val="24"/>
                <w:highlight w:val="none"/>
                <w:lang w:val="zh-CN"/>
              </w:rPr>
              <w:t>90</w:t>
            </w:r>
            <w:r>
              <w:rPr>
                <w:rFonts w:hint="eastAsia" w:ascii="宋体" w:hAnsi="宋体" w:cs="楷体_GB2312"/>
                <w:color w:val="auto"/>
                <w:sz w:val="24"/>
                <w:highlight w:val="none"/>
                <w:lang w:val="zh-CN"/>
              </w:rPr>
              <w:t>日历天</w:t>
            </w:r>
          </w:p>
        </w:tc>
      </w:tr>
      <w:tr w14:paraId="34511B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0" w:hRule="atLeast"/>
          <w:jc w:val="center"/>
        </w:trPr>
        <w:tc>
          <w:tcPr>
            <w:tcW w:w="503" w:type="dxa"/>
            <w:vMerge w:val="continue"/>
            <w:tcBorders>
              <w:tl2br w:val="nil"/>
              <w:tr2bl w:val="nil"/>
            </w:tcBorders>
            <w:vAlign w:val="center"/>
          </w:tcPr>
          <w:p w14:paraId="52AE0170">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6C9E91A0">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3.5</w:t>
            </w:r>
          </w:p>
        </w:tc>
        <w:tc>
          <w:tcPr>
            <w:tcW w:w="2520" w:type="dxa"/>
            <w:tcBorders>
              <w:tl2br w:val="nil"/>
              <w:tr2bl w:val="nil"/>
            </w:tcBorders>
            <w:vAlign w:val="center"/>
          </w:tcPr>
          <w:p w14:paraId="114E4777">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投标承诺函</w:t>
            </w:r>
          </w:p>
          <w:p w14:paraId="404629A5">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（替代投标保证金）</w:t>
            </w:r>
          </w:p>
        </w:tc>
        <w:tc>
          <w:tcPr>
            <w:tcW w:w="5910" w:type="dxa"/>
            <w:tcBorders>
              <w:tl2br w:val="nil"/>
              <w:tr2bl w:val="nil"/>
            </w:tcBorders>
            <w:vAlign w:val="center"/>
          </w:tcPr>
          <w:p w14:paraId="4ACCBB10">
            <w:pPr>
              <w:widowControl w:val="0"/>
              <w:snapToGrid w:val="0"/>
              <w:spacing w:before="156" w:beforeLines="50" w:line="240" w:lineRule="auto"/>
              <w:rPr>
                <w:color w:val="auto"/>
                <w:sz w:val="24"/>
                <w:szCs w:val="24"/>
                <w:highlight w:val="none"/>
              </w:rPr>
            </w:pPr>
            <w:r>
              <w:rPr>
                <w:rFonts w:hint="eastAsia"/>
                <w:color w:val="auto"/>
                <w:sz w:val="24"/>
                <w:szCs w:val="24"/>
                <w:highlight w:val="none"/>
              </w:rPr>
              <w:t>以投标承诺函形式替代投标保证金。</w:t>
            </w:r>
          </w:p>
          <w:p w14:paraId="64F2A904">
            <w:pPr>
              <w:pStyle w:val="54"/>
              <w:snapToGrid w:val="0"/>
              <w:spacing w:before="156" w:beforeLines="50" w:beforeAutospacing="0" w:after="0" w:afterAutospacing="0"/>
              <w:jc w:val="both"/>
              <w:rPr>
                <w:rFonts w:cs="楷体_GB2312"/>
                <w:b/>
                <w:color w:val="auto"/>
                <w:sz w:val="24"/>
                <w:highlight w:val="none"/>
                <w:lang w:val="zh-CN"/>
              </w:rPr>
            </w:pPr>
            <w:r>
              <w:rPr>
                <w:rFonts w:hint="eastAsia"/>
                <w:color w:val="auto"/>
                <w:sz w:val="24"/>
                <w:szCs w:val="24"/>
                <w:highlight w:val="none"/>
              </w:rPr>
              <w:t>供应商应按附件格式进行投标承诺、违背承诺的责任追究。</w:t>
            </w:r>
          </w:p>
        </w:tc>
      </w:tr>
      <w:tr w14:paraId="51C922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77" w:hRule="atLeast"/>
          <w:jc w:val="center"/>
        </w:trPr>
        <w:tc>
          <w:tcPr>
            <w:tcW w:w="503" w:type="dxa"/>
            <w:vMerge w:val="continue"/>
            <w:tcBorders>
              <w:tl2br w:val="nil"/>
              <w:tr2bl w:val="nil"/>
            </w:tcBorders>
            <w:vAlign w:val="center"/>
          </w:tcPr>
          <w:p w14:paraId="16EEC4AD">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00C2E571">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3.7.3</w:t>
            </w:r>
          </w:p>
        </w:tc>
        <w:tc>
          <w:tcPr>
            <w:tcW w:w="2520" w:type="dxa"/>
            <w:tcBorders>
              <w:tl2br w:val="nil"/>
              <w:tr2bl w:val="nil"/>
            </w:tcBorders>
            <w:vAlign w:val="center"/>
          </w:tcPr>
          <w:p w14:paraId="13AB2513">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偏差描述</w:t>
            </w:r>
          </w:p>
        </w:tc>
        <w:tc>
          <w:tcPr>
            <w:tcW w:w="5910" w:type="dxa"/>
            <w:tcBorders>
              <w:tl2br w:val="nil"/>
              <w:tr2bl w:val="nil"/>
            </w:tcBorders>
            <w:vAlign w:val="center"/>
          </w:tcPr>
          <w:p w14:paraId="57743AC1">
            <w:pPr>
              <w:widowControl w:val="0"/>
              <w:snapToGrid w:val="0"/>
              <w:spacing w:before="156" w:beforeLines="50" w:line="240" w:lineRule="auto"/>
              <w:rPr>
                <w:b/>
                <w:color w:val="auto"/>
                <w:sz w:val="24"/>
                <w:szCs w:val="24"/>
                <w:highlight w:val="none"/>
              </w:rPr>
            </w:pPr>
            <w:r>
              <w:rPr>
                <w:rFonts w:hint="eastAsia" w:ascii="宋体" w:hAnsi="宋体" w:cs="楷体_GB2312"/>
                <w:color w:val="auto"/>
                <w:sz w:val="24"/>
                <w:highlight w:val="none"/>
                <w:lang w:val="zh-CN"/>
              </w:rPr>
              <w:t>见“第三章</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投标人须知”相应条款</w:t>
            </w:r>
          </w:p>
        </w:tc>
      </w:tr>
      <w:tr w14:paraId="413ACA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5" w:hRule="atLeast"/>
          <w:jc w:val="center"/>
        </w:trPr>
        <w:tc>
          <w:tcPr>
            <w:tcW w:w="503" w:type="dxa"/>
            <w:vMerge w:val="continue"/>
            <w:tcBorders>
              <w:tl2br w:val="nil"/>
              <w:tr2bl w:val="nil"/>
            </w:tcBorders>
            <w:vAlign w:val="center"/>
          </w:tcPr>
          <w:p w14:paraId="164C6EF1">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0D28B0CB">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3.7.4</w:t>
            </w:r>
          </w:p>
        </w:tc>
        <w:tc>
          <w:tcPr>
            <w:tcW w:w="2520" w:type="dxa"/>
            <w:tcBorders>
              <w:tl2br w:val="nil"/>
              <w:tr2bl w:val="nil"/>
            </w:tcBorders>
            <w:vAlign w:val="center"/>
          </w:tcPr>
          <w:p w14:paraId="784E48E9">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签字或盖章要求</w:t>
            </w:r>
          </w:p>
        </w:tc>
        <w:tc>
          <w:tcPr>
            <w:tcW w:w="5910" w:type="dxa"/>
            <w:tcBorders>
              <w:tl2br w:val="nil"/>
              <w:tr2bl w:val="nil"/>
            </w:tcBorders>
            <w:vAlign w:val="center"/>
          </w:tcPr>
          <w:p w14:paraId="52F1636E">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见“第三章</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投标人须知”相应条款</w:t>
            </w:r>
          </w:p>
        </w:tc>
      </w:tr>
      <w:tr w14:paraId="7CD989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3" w:hRule="atLeast"/>
          <w:jc w:val="center"/>
        </w:trPr>
        <w:tc>
          <w:tcPr>
            <w:tcW w:w="503" w:type="dxa"/>
            <w:vMerge w:val="continue"/>
            <w:tcBorders>
              <w:tl2br w:val="nil"/>
              <w:tr2bl w:val="nil"/>
            </w:tcBorders>
            <w:vAlign w:val="center"/>
          </w:tcPr>
          <w:p w14:paraId="528AA73B">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25B99665">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4.2.4</w:t>
            </w:r>
          </w:p>
        </w:tc>
        <w:tc>
          <w:tcPr>
            <w:tcW w:w="2520" w:type="dxa"/>
            <w:tcBorders>
              <w:tl2br w:val="nil"/>
              <w:tr2bl w:val="nil"/>
            </w:tcBorders>
            <w:vAlign w:val="center"/>
          </w:tcPr>
          <w:p w14:paraId="6FA4E5BC">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是否退还《投标文件》</w:t>
            </w:r>
          </w:p>
        </w:tc>
        <w:tc>
          <w:tcPr>
            <w:tcW w:w="5910" w:type="dxa"/>
            <w:tcBorders>
              <w:tl2br w:val="nil"/>
              <w:tr2bl w:val="nil"/>
            </w:tcBorders>
            <w:vAlign w:val="center"/>
          </w:tcPr>
          <w:p w14:paraId="34EBC523">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否</w:t>
            </w:r>
          </w:p>
        </w:tc>
      </w:tr>
      <w:tr w14:paraId="0D0594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jc w:val="center"/>
        </w:trPr>
        <w:tc>
          <w:tcPr>
            <w:tcW w:w="503" w:type="dxa"/>
            <w:vMerge w:val="continue"/>
            <w:tcBorders>
              <w:tl2br w:val="nil"/>
              <w:tr2bl w:val="nil"/>
            </w:tcBorders>
            <w:vAlign w:val="center"/>
          </w:tcPr>
          <w:p w14:paraId="60DFCCB0">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4E5657C3">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7.1</w:t>
            </w:r>
          </w:p>
        </w:tc>
        <w:tc>
          <w:tcPr>
            <w:tcW w:w="2520" w:type="dxa"/>
            <w:tcBorders>
              <w:tl2br w:val="nil"/>
              <w:tr2bl w:val="nil"/>
            </w:tcBorders>
            <w:vAlign w:val="center"/>
          </w:tcPr>
          <w:p w14:paraId="2FC53CA5">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评标委员会的组建</w:t>
            </w:r>
          </w:p>
        </w:tc>
        <w:tc>
          <w:tcPr>
            <w:tcW w:w="5910" w:type="dxa"/>
            <w:tcBorders>
              <w:tl2br w:val="nil"/>
              <w:tr2bl w:val="nil"/>
            </w:tcBorders>
            <w:vAlign w:val="center"/>
          </w:tcPr>
          <w:p w14:paraId="029639CF">
            <w:pPr>
              <w:autoSpaceDE w:val="0"/>
              <w:autoSpaceDN w:val="0"/>
              <w:adjustRightInd w:val="0"/>
              <w:snapToGrid w:val="0"/>
              <w:spacing w:before="156" w:beforeLines="50" w:line="240" w:lineRule="auto"/>
              <w:rPr>
                <w:rFonts w:ascii="宋体" w:cs="楷体_GB2312"/>
                <w:color w:val="auto"/>
                <w:sz w:val="24"/>
                <w:highlight w:val="none"/>
                <w:lang w:val="zh-CN"/>
              </w:rPr>
            </w:pPr>
            <w:r>
              <w:rPr>
                <w:rFonts w:hint="eastAsia" w:ascii="宋体" w:hAnsi="宋体" w:cs="楷体_GB2312"/>
                <w:color w:val="auto"/>
                <w:sz w:val="24"/>
                <w:highlight w:val="none"/>
                <w:lang w:val="zh-CN"/>
              </w:rPr>
              <w:t>见“第三章</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投标人须知”相应条款</w:t>
            </w:r>
          </w:p>
        </w:tc>
      </w:tr>
      <w:tr w14:paraId="2EC814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43" w:hRule="atLeast"/>
          <w:jc w:val="center"/>
        </w:trPr>
        <w:tc>
          <w:tcPr>
            <w:tcW w:w="503" w:type="dxa"/>
            <w:vMerge w:val="restart"/>
            <w:tcBorders>
              <w:tl2br w:val="nil"/>
              <w:tr2bl w:val="nil"/>
            </w:tcBorders>
            <w:vAlign w:val="center"/>
          </w:tcPr>
          <w:p w14:paraId="0D70408D">
            <w:pPr>
              <w:autoSpaceDE w:val="0"/>
              <w:autoSpaceDN w:val="0"/>
              <w:adjustRightInd w:val="0"/>
              <w:snapToGrid w:val="0"/>
              <w:spacing w:line="240" w:lineRule="auto"/>
              <w:jc w:val="center"/>
              <w:rPr>
                <w:rFonts w:ascii="宋体" w:cs="楷体_GB2312"/>
                <w:b/>
                <w:bCs/>
                <w:color w:val="auto"/>
                <w:sz w:val="24"/>
                <w:highlight w:val="none"/>
              </w:rPr>
            </w:pPr>
            <w:r>
              <w:rPr>
                <w:rFonts w:hint="eastAsia" w:ascii="宋体" w:hAnsi="宋体" w:cs="楷体_GB2312"/>
                <w:b/>
                <w:bCs/>
                <w:color w:val="auto"/>
                <w:sz w:val="24"/>
                <w:highlight w:val="none"/>
              </w:rPr>
              <w:t>第三章</w:t>
            </w:r>
          </w:p>
        </w:tc>
        <w:tc>
          <w:tcPr>
            <w:tcW w:w="1012" w:type="dxa"/>
            <w:tcBorders>
              <w:tl2br w:val="nil"/>
              <w:tr2bl w:val="nil"/>
            </w:tcBorders>
            <w:vAlign w:val="center"/>
          </w:tcPr>
          <w:p w14:paraId="7CA0E0D1">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8.1</w:t>
            </w:r>
          </w:p>
        </w:tc>
        <w:tc>
          <w:tcPr>
            <w:tcW w:w="2520" w:type="dxa"/>
            <w:tcBorders>
              <w:tl2br w:val="nil"/>
              <w:tr2bl w:val="nil"/>
            </w:tcBorders>
            <w:vAlign w:val="center"/>
          </w:tcPr>
          <w:p w14:paraId="70150907">
            <w:pPr>
              <w:autoSpaceDE w:val="0"/>
              <w:autoSpaceDN w:val="0"/>
              <w:adjustRightInd w:val="0"/>
              <w:snapToGrid w:val="0"/>
              <w:spacing w:line="240" w:lineRule="auto"/>
              <w:jc w:val="center"/>
              <w:rPr>
                <w:rFonts w:hint="eastAsia" w:ascii="宋体" w:hAnsi="宋体" w:eastAsia="宋体" w:cs="楷体_GB2312"/>
                <w:b/>
                <w:bCs/>
                <w:color w:val="auto"/>
                <w:sz w:val="24"/>
                <w:highlight w:val="none"/>
              </w:rPr>
            </w:pPr>
            <w:r>
              <w:rPr>
                <w:rFonts w:hint="eastAsia" w:ascii="宋体" w:hAnsi="宋体" w:eastAsia="宋体" w:cs="楷体_GB2312"/>
                <w:b/>
                <w:bCs/>
                <w:color w:val="auto"/>
                <w:sz w:val="24"/>
                <w:highlight w:val="none"/>
              </w:rPr>
              <w:t>是否授权评标委员会确定中标人</w:t>
            </w:r>
          </w:p>
        </w:tc>
        <w:tc>
          <w:tcPr>
            <w:tcW w:w="5910" w:type="dxa"/>
            <w:tcBorders>
              <w:tl2br w:val="nil"/>
              <w:tr2bl w:val="nil"/>
            </w:tcBorders>
            <w:vAlign w:val="center"/>
          </w:tcPr>
          <w:p w14:paraId="62D5BCA2">
            <w:pPr>
              <w:adjustRightInd w:val="0"/>
              <w:snapToGrid w:val="0"/>
              <w:spacing w:before="156" w:beforeLines="50" w:line="240" w:lineRule="auto"/>
              <w:rPr>
                <w:rFonts w:ascii="宋体"/>
                <w:color w:val="auto"/>
                <w:sz w:val="24"/>
                <w:highlight w:val="none"/>
              </w:rPr>
            </w:pPr>
            <w:r>
              <w:rPr>
                <w:rFonts w:hint="eastAsia" w:ascii="宋体" w:hAnsi="宋体"/>
                <w:color w:val="auto"/>
                <w:sz w:val="24"/>
                <w:highlight w:val="none"/>
              </w:rPr>
              <w:t>是。评标委员会按照综合得分由高到低的顺序提出</w:t>
            </w:r>
            <w:r>
              <w:rPr>
                <w:rFonts w:ascii="宋体" w:hAnsi="宋体"/>
                <w:color w:val="auto"/>
                <w:sz w:val="24"/>
                <w:highlight w:val="none"/>
              </w:rPr>
              <w:t>3</w:t>
            </w:r>
            <w:r>
              <w:rPr>
                <w:rFonts w:hint="eastAsia" w:ascii="宋体" w:hAnsi="宋体"/>
                <w:color w:val="auto"/>
                <w:sz w:val="24"/>
                <w:highlight w:val="none"/>
              </w:rPr>
              <w:t>名中标候选人，并确定排名第一的中标候选人为中标人。</w:t>
            </w:r>
          </w:p>
        </w:tc>
      </w:tr>
      <w:tr w14:paraId="72D5D3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3" w:hRule="atLeast"/>
          <w:jc w:val="center"/>
        </w:trPr>
        <w:tc>
          <w:tcPr>
            <w:tcW w:w="503" w:type="dxa"/>
            <w:vMerge w:val="continue"/>
            <w:tcBorders>
              <w:tl2br w:val="nil"/>
              <w:tr2bl w:val="nil"/>
            </w:tcBorders>
            <w:vAlign w:val="center"/>
          </w:tcPr>
          <w:p w14:paraId="108A0E99">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58452A6A">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8.2</w:t>
            </w:r>
          </w:p>
        </w:tc>
        <w:tc>
          <w:tcPr>
            <w:tcW w:w="2520" w:type="dxa"/>
            <w:tcBorders>
              <w:tl2br w:val="nil"/>
              <w:tr2bl w:val="nil"/>
            </w:tcBorders>
            <w:vAlign w:val="center"/>
          </w:tcPr>
          <w:p w14:paraId="2E29022B">
            <w:pPr>
              <w:autoSpaceDE w:val="0"/>
              <w:autoSpaceDN w:val="0"/>
              <w:adjustRightInd w:val="0"/>
              <w:snapToGrid w:val="0"/>
              <w:spacing w:line="240" w:lineRule="auto"/>
              <w:jc w:val="center"/>
              <w:rPr>
                <w:rFonts w:hint="eastAsia" w:ascii="宋体" w:hAnsi="宋体" w:eastAsia="宋体" w:cs="楷体_GB2312"/>
                <w:b/>
                <w:bCs/>
                <w:color w:val="auto"/>
                <w:sz w:val="24"/>
                <w:highlight w:val="none"/>
              </w:rPr>
            </w:pPr>
            <w:r>
              <w:rPr>
                <w:rFonts w:hint="eastAsia" w:ascii="宋体" w:hAnsi="宋体" w:eastAsia="宋体" w:cs="楷体_GB2312"/>
                <w:b/>
                <w:bCs/>
                <w:color w:val="auto"/>
                <w:sz w:val="24"/>
                <w:highlight w:val="none"/>
              </w:rPr>
              <w:t>中标结果公告</w:t>
            </w:r>
          </w:p>
        </w:tc>
        <w:tc>
          <w:tcPr>
            <w:tcW w:w="5910" w:type="dxa"/>
            <w:tcBorders>
              <w:tl2br w:val="nil"/>
              <w:tr2bl w:val="nil"/>
            </w:tcBorders>
            <w:vAlign w:val="center"/>
          </w:tcPr>
          <w:p w14:paraId="2AEE538E">
            <w:pPr>
              <w:adjustRightInd w:val="0"/>
              <w:snapToGrid w:val="0"/>
              <w:spacing w:before="156" w:beforeLines="50" w:line="240" w:lineRule="auto"/>
              <w:rPr>
                <w:rFonts w:ascii="宋体"/>
                <w:color w:val="auto"/>
                <w:sz w:val="24"/>
                <w:highlight w:val="none"/>
              </w:rPr>
            </w:pPr>
            <w:r>
              <w:rPr>
                <w:rFonts w:hint="eastAsia" w:ascii="宋体" w:hAnsi="宋体"/>
                <w:color w:val="auto"/>
                <w:sz w:val="24"/>
                <w:highlight w:val="none"/>
              </w:rPr>
              <w:t>本次公开招标的中标结果将在中标人确定之日起</w:t>
            </w:r>
            <w:r>
              <w:rPr>
                <w:rFonts w:hint="eastAsia" w:ascii="宋体" w:hAnsi="宋体"/>
                <w:color w:val="auto"/>
                <w:sz w:val="24"/>
                <w:highlight w:val="none"/>
                <w:lang w:val="en-US" w:eastAsia="zh-CN"/>
              </w:rPr>
              <w:t>规定时间内</w:t>
            </w:r>
            <w:r>
              <w:rPr>
                <w:rFonts w:hint="eastAsia" w:ascii="宋体" w:hAnsi="宋体"/>
                <w:color w:val="auto"/>
                <w:sz w:val="24"/>
                <w:highlight w:val="none"/>
              </w:rPr>
              <w:t>，在招标公告所述媒介公告</w:t>
            </w:r>
            <w:r>
              <w:rPr>
                <w:rFonts w:ascii="宋体" w:hAnsi="宋体"/>
                <w:color w:val="auto"/>
                <w:sz w:val="24"/>
                <w:highlight w:val="none"/>
              </w:rPr>
              <w:t>1</w:t>
            </w:r>
            <w:r>
              <w:rPr>
                <w:rFonts w:hint="eastAsia" w:ascii="宋体" w:hAnsi="宋体"/>
                <w:color w:val="auto"/>
                <w:sz w:val="24"/>
                <w:highlight w:val="none"/>
              </w:rPr>
              <w:t>个工作日。</w:t>
            </w:r>
          </w:p>
        </w:tc>
      </w:tr>
      <w:tr w14:paraId="454FAF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3" w:hRule="atLeast"/>
          <w:jc w:val="center"/>
        </w:trPr>
        <w:tc>
          <w:tcPr>
            <w:tcW w:w="503" w:type="dxa"/>
            <w:vMerge w:val="continue"/>
            <w:tcBorders>
              <w:tl2br w:val="nil"/>
              <w:tr2bl w:val="nil"/>
            </w:tcBorders>
            <w:vAlign w:val="center"/>
          </w:tcPr>
          <w:p w14:paraId="6E0B92D6">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42CA05FD">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8.3</w:t>
            </w:r>
          </w:p>
        </w:tc>
        <w:tc>
          <w:tcPr>
            <w:tcW w:w="2520" w:type="dxa"/>
            <w:tcBorders>
              <w:tl2br w:val="nil"/>
              <w:tr2bl w:val="nil"/>
            </w:tcBorders>
            <w:vAlign w:val="center"/>
          </w:tcPr>
          <w:p w14:paraId="5372A791">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质疑、投诉</w:t>
            </w:r>
          </w:p>
        </w:tc>
        <w:tc>
          <w:tcPr>
            <w:tcW w:w="5910" w:type="dxa"/>
            <w:tcBorders>
              <w:tl2br w:val="nil"/>
              <w:tr2bl w:val="nil"/>
            </w:tcBorders>
            <w:vAlign w:val="center"/>
          </w:tcPr>
          <w:p w14:paraId="2DE8A02F">
            <w:pPr>
              <w:rPr>
                <w:rFonts w:ascii="宋体" w:hAnsi="宋体"/>
                <w:color w:val="auto"/>
                <w:sz w:val="24"/>
                <w:highlight w:val="none"/>
              </w:rPr>
            </w:pPr>
            <w:r>
              <w:rPr>
                <w:rFonts w:hint="eastAsia" w:ascii="宋体" w:hAnsi="宋体"/>
                <w:color w:val="auto"/>
                <w:sz w:val="24"/>
                <w:highlight w:val="none"/>
              </w:rPr>
              <w:t>参与本次采购活动的供应商如有异议，可在各环节法定质疑期内向采购代理机构一次性提出针对该采购程序环节的书面质疑函，书面原件送达至</w:t>
            </w:r>
            <w:r>
              <w:rPr>
                <w:rFonts w:hint="eastAsia" w:ascii="宋体" w:hAnsi="宋体"/>
                <w:color w:val="auto"/>
                <w:sz w:val="24"/>
                <w:highlight w:val="none"/>
                <w:lang w:eastAsia="zh-CN"/>
              </w:rPr>
              <w:t>《招标文件》</w:t>
            </w:r>
            <w:r>
              <w:rPr>
                <w:rFonts w:hint="eastAsia" w:ascii="宋体" w:hAnsi="宋体"/>
                <w:color w:val="auto"/>
                <w:sz w:val="24"/>
                <w:highlight w:val="none"/>
              </w:rPr>
              <w:t>列示的采购代理机构及采购</w:t>
            </w:r>
            <w:r>
              <w:rPr>
                <w:rFonts w:hint="eastAsia" w:ascii="宋体" w:hAnsi="宋体"/>
                <w:color w:val="auto"/>
                <w:sz w:val="24"/>
                <w:highlight w:val="none"/>
                <w:lang w:eastAsia="zh-CN"/>
              </w:rPr>
              <w:t>人</w:t>
            </w:r>
            <w:r>
              <w:rPr>
                <w:rFonts w:hint="eastAsia" w:ascii="宋体" w:hAnsi="宋体"/>
                <w:color w:val="auto"/>
                <w:sz w:val="24"/>
                <w:highlight w:val="none"/>
              </w:rPr>
              <w:t>联系人处；依据法规规定，质疑函应当有明确的请求和必要的证明材料，应当包括下列内容：1、供应商的姓名或者名称、地址、邮编、联系人及联系电话；2、质疑项目的名称、编号；3、具体、明确的质疑事项和与质疑事项相关的请求；4、事实依据；5、必要的法律依据；6、提出质</w:t>
            </w:r>
            <w:r>
              <w:rPr>
                <w:rFonts w:hint="eastAsia" w:ascii="宋体" w:hAnsi="宋体"/>
                <w:bCs/>
                <w:color w:val="auto"/>
                <w:sz w:val="24"/>
                <w:szCs w:val="24"/>
                <w:highlight w:val="none"/>
              </w:rPr>
              <w:t>疑的日期。供应商为自然人的，应当由本人签字；供应商为法人或者其他组织的，应当由法定代表人、主要负责人，或者其授权代表签字或者盖章，并加盖公章。</w:t>
            </w:r>
            <w:r>
              <w:rPr>
                <w:rFonts w:hint="eastAsia" w:ascii="宋体" w:hAnsi="宋体"/>
                <w:color w:val="auto"/>
                <w:sz w:val="24"/>
                <w:highlight w:val="none"/>
              </w:rPr>
              <w:t>如对采购代理机构的答复仍有异议的，可向同级财政局政府采购监督管理办公室提出书面投诉。（具体程序按照《政府采购质疑和投诉办法》执行）。</w:t>
            </w:r>
          </w:p>
        </w:tc>
      </w:tr>
      <w:tr w14:paraId="7D9963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3" w:hRule="atLeast"/>
          <w:jc w:val="center"/>
        </w:trPr>
        <w:tc>
          <w:tcPr>
            <w:tcW w:w="503" w:type="dxa"/>
            <w:vMerge w:val="continue"/>
            <w:tcBorders>
              <w:tl2br w:val="nil"/>
              <w:tr2bl w:val="nil"/>
            </w:tcBorders>
            <w:vAlign w:val="center"/>
          </w:tcPr>
          <w:p w14:paraId="03CF39AF">
            <w:pPr>
              <w:autoSpaceDE w:val="0"/>
              <w:autoSpaceDN w:val="0"/>
              <w:adjustRightInd w:val="0"/>
              <w:snapToGri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0FCC0E4C">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8.4</w:t>
            </w:r>
          </w:p>
        </w:tc>
        <w:tc>
          <w:tcPr>
            <w:tcW w:w="2520" w:type="dxa"/>
            <w:tcBorders>
              <w:tl2br w:val="nil"/>
              <w:tr2bl w:val="nil"/>
            </w:tcBorders>
            <w:vAlign w:val="center"/>
          </w:tcPr>
          <w:p w14:paraId="678E5558">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中标通知书</w:t>
            </w:r>
          </w:p>
        </w:tc>
        <w:tc>
          <w:tcPr>
            <w:tcW w:w="5910" w:type="dxa"/>
            <w:tcBorders>
              <w:tl2br w:val="nil"/>
              <w:tr2bl w:val="nil"/>
            </w:tcBorders>
            <w:vAlign w:val="center"/>
          </w:tcPr>
          <w:p w14:paraId="778B183B">
            <w:pPr>
              <w:adjustRightInd w:val="0"/>
              <w:snapToGrid w:val="0"/>
              <w:spacing w:before="156" w:beforeLines="50" w:line="240" w:lineRule="auto"/>
              <w:rPr>
                <w:rFonts w:hint="eastAsia" w:ascii="宋体" w:hAnsi="宋体" w:cs="楷体_GB2312"/>
                <w:color w:val="auto"/>
                <w:sz w:val="24"/>
                <w:highlight w:val="none"/>
                <w:lang w:val="zh-CN"/>
              </w:rPr>
            </w:pPr>
            <w:r>
              <w:rPr>
                <w:rFonts w:hint="eastAsia" w:ascii="宋体" w:hAnsi="宋体" w:cs="楷体_GB2312"/>
                <w:color w:val="auto"/>
                <w:sz w:val="24"/>
                <w:highlight w:val="none"/>
                <w:lang w:val="zh-CN"/>
              </w:rPr>
              <w:t>采购代理机构在公告中标结果</w:t>
            </w:r>
            <w:r>
              <w:rPr>
                <w:rFonts w:hint="eastAsia" w:ascii="宋体" w:hAnsi="宋体" w:cs="楷体_GB2312"/>
                <w:color w:val="auto"/>
                <w:sz w:val="24"/>
                <w:highlight w:val="none"/>
                <w:lang w:val="en-US" w:eastAsia="zh-CN"/>
              </w:rPr>
              <w:t>之日起</w:t>
            </w:r>
            <w:r>
              <w:rPr>
                <w:rFonts w:hint="eastAsia" w:ascii="宋体" w:hAnsi="宋体"/>
                <w:color w:val="auto"/>
                <w:sz w:val="24"/>
                <w:highlight w:val="none"/>
                <w:lang w:val="en-US" w:eastAsia="zh-CN"/>
              </w:rPr>
              <w:t>规定时间内</w:t>
            </w:r>
            <w:r>
              <w:rPr>
                <w:rFonts w:hint="eastAsia" w:ascii="宋体" w:hAnsi="宋体" w:cs="楷体_GB2312"/>
                <w:color w:val="auto"/>
                <w:sz w:val="24"/>
                <w:highlight w:val="none"/>
                <w:lang w:val="zh-CN"/>
              </w:rPr>
              <w:t>，向中标人发出中标通知书。中标人应凭缴费凭证及时领取中标通知书。</w:t>
            </w:r>
          </w:p>
        </w:tc>
      </w:tr>
      <w:tr w14:paraId="116AF4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3" w:hRule="atLeast"/>
          <w:jc w:val="center"/>
        </w:trPr>
        <w:tc>
          <w:tcPr>
            <w:tcW w:w="503" w:type="dxa"/>
            <w:vMerge w:val="restart"/>
            <w:tcBorders>
              <w:tl2br w:val="nil"/>
              <w:tr2bl w:val="nil"/>
            </w:tcBorders>
            <w:vAlign w:val="center"/>
          </w:tcPr>
          <w:p w14:paraId="7BDD2A2A">
            <w:pPr>
              <w:autoSpaceDE w:val="0"/>
              <w:autoSpaceDN w:val="0"/>
              <w:adjustRightInd w:val="0"/>
              <w:snapToGrid w:val="0"/>
              <w:spacing w:line="240" w:lineRule="auto"/>
              <w:jc w:val="center"/>
              <w:rPr>
                <w:rFonts w:ascii="宋体" w:cs="楷体_GB2312"/>
                <w:b/>
                <w:bCs/>
                <w:color w:val="auto"/>
                <w:sz w:val="24"/>
                <w:highlight w:val="none"/>
                <w:lang w:val="zh-CN"/>
              </w:rPr>
            </w:pPr>
            <w:r>
              <w:rPr>
                <w:rFonts w:hint="eastAsia" w:ascii="宋体" w:hAnsi="宋体" w:cs="楷体_GB2312"/>
                <w:b/>
                <w:bCs/>
                <w:color w:val="auto"/>
                <w:sz w:val="24"/>
                <w:highlight w:val="none"/>
                <w:lang w:val="zh-CN"/>
              </w:rPr>
              <w:t>第三章</w:t>
            </w:r>
          </w:p>
        </w:tc>
        <w:tc>
          <w:tcPr>
            <w:tcW w:w="1012" w:type="dxa"/>
            <w:tcBorders>
              <w:tl2br w:val="nil"/>
              <w:tr2bl w:val="nil"/>
            </w:tcBorders>
            <w:vAlign w:val="center"/>
          </w:tcPr>
          <w:p w14:paraId="76FF59C8">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8.5</w:t>
            </w:r>
          </w:p>
        </w:tc>
        <w:tc>
          <w:tcPr>
            <w:tcW w:w="2520" w:type="dxa"/>
            <w:tcBorders>
              <w:tl2br w:val="nil"/>
              <w:tr2bl w:val="nil"/>
            </w:tcBorders>
            <w:vAlign w:val="center"/>
          </w:tcPr>
          <w:p w14:paraId="2E1D69A6">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履约保证金</w:t>
            </w:r>
          </w:p>
        </w:tc>
        <w:tc>
          <w:tcPr>
            <w:tcW w:w="5910" w:type="dxa"/>
            <w:tcBorders>
              <w:tl2br w:val="nil"/>
              <w:tr2bl w:val="nil"/>
            </w:tcBorders>
            <w:vAlign w:val="center"/>
          </w:tcPr>
          <w:p w14:paraId="2FAED3C3">
            <w:pPr>
              <w:widowControl w:val="0"/>
              <w:snapToGrid w:val="0"/>
              <w:spacing w:before="156" w:beforeLines="50" w:line="240" w:lineRule="auto"/>
              <w:rPr>
                <w:color w:val="auto"/>
                <w:sz w:val="24"/>
                <w:szCs w:val="24"/>
                <w:highlight w:val="none"/>
              </w:rPr>
            </w:pPr>
            <w:r>
              <w:rPr>
                <w:rFonts w:hint="eastAsia"/>
                <w:color w:val="auto"/>
                <w:sz w:val="24"/>
                <w:szCs w:val="24"/>
                <w:highlight w:val="none"/>
              </w:rPr>
              <w:t>不需缴纳</w:t>
            </w:r>
          </w:p>
        </w:tc>
      </w:tr>
      <w:tr w14:paraId="0F7A8F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3" w:hRule="atLeast"/>
          <w:jc w:val="center"/>
        </w:trPr>
        <w:tc>
          <w:tcPr>
            <w:tcW w:w="503" w:type="dxa"/>
            <w:vMerge w:val="continue"/>
            <w:tcBorders>
              <w:tl2br w:val="nil"/>
              <w:tr2bl w:val="nil"/>
            </w:tcBorders>
            <w:vAlign w:val="center"/>
          </w:tcPr>
          <w:p w14:paraId="104965A1">
            <w:pPr>
              <w:autoSpaceDE w:val="0"/>
              <w:autoSpaceDN w:val="0"/>
              <w:adjustRightInd w:val="0"/>
              <w:snapToGrid w:val="0"/>
              <w:spacing w:line="240" w:lineRule="auto"/>
              <w:jc w:val="center"/>
              <w:rPr>
                <w:rFonts w:ascii="宋体" w:cs="楷体_GB2312"/>
                <w:b/>
                <w:bCs/>
                <w:color w:val="auto"/>
                <w:sz w:val="24"/>
                <w:highlight w:val="none"/>
                <w:lang w:val="zh-CN"/>
              </w:rPr>
            </w:pPr>
          </w:p>
        </w:tc>
        <w:tc>
          <w:tcPr>
            <w:tcW w:w="1012" w:type="dxa"/>
            <w:tcBorders>
              <w:tl2br w:val="nil"/>
              <w:tr2bl w:val="nil"/>
            </w:tcBorders>
            <w:vAlign w:val="center"/>
          </w:tcPr>
          <w:p w14:paraId="46CF6116">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9</w:t>
            </w:r>
          </w:p>
        </w:tc>
        <w:tc>
          <w:tcPr>
            <w:tcW w:w="2520" w:type="dxa"/>
            <w:tcBorders>
              <w:tl2br w:val="nil"/>
              <w:tr2bl w:val="nil"/>
            </w:tcBorders>
            <w:vAlign w:val="center"/>
          </w:tcPr>
          <w:p w14:paraId="7CD67F4D">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验收</w:t>
            </w:r>
          </w:p>
        </w:tc>
        <w:tc>
          <w:tcPr>
            <w:tcW w:w="5910" w:type="dxa"/>
            <w:tcBorders>
              <w:tl2br w:val="nil"/>
              <w:tr2bl w:val="nil"/>
            </w:tcBorders>
            <w:vAlign w:val="center"/>
          </w:tcPr>
          <w:p w14:paraId="1931C72D">
            <w:pPr>
              <w:widowControl w:val="0"/>
              <w:snapToGrid w:val="0"/>
              <w:spacing w:before="156" w:beforeLines="50" w:line="240" w:lineRule="auto"/>
              <w:rPr>
                <w:color w:val="auto"/>
                <w:sz w:val="24"/>
                <w:szCs w:val="24"/>
                <w:highlight w:val="none"/>
              </w:rPr>
            </w:pPr>
            <w:r>
              <w:rPr>
                <w:rFonts w:hint="eastAsia"/>
                <w:color w:val="auto"/>
                <w:sz w:val="24"/>
                <w:szCs w:val="24"/>
                <w:highlight w:val="none"/>
              </w:rPr>
              <w:t>见“第三章</w:t>
            </w:r>
            <w:r>
              <w:rPr>
                <w:rFonts w:hint="eastAsia"/>
                <w:color w:val="auto"/>
                <w:sz w:val="24"/>
                <w:szCs w:val="24"/>
                <w:highlight w:val="none"/>
                <w:lang w:val="en-US" w:eastAsia="zh-CN"/>
              </w:rPr>
              <w:t xml:space="preserve"> </w:t>
            </w:r>
            <w:r>
              <w:rPr>
                <w:rFonts w:hint="eastAsia"/>
                <w:color w:val="auto"/>
                <w:sz w:val="24"/>
                <w:szCs w:val="24"/>
                <w:highlight w:val="none"/>
              </w:rPr>
              <w:t>投标人须知”相应条款</w:t>
            </w:r>
          </w:p>
        </w:tc>
      </w:tr>
      <w:tr w14:paraId="5A1958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3" w:hRule="atLeast"/>
          <w:jc w:val="center"/>
        </w:trPr>
        <w:tc>
          <w:tcPr>
            <w:tcW w:w="503" w:type="dxa"/>
            <w:vMerge w:val="continue"/>
            <w:tcBorders>
              <w:tl2br w:val="nil"/>
              <w:tr2bl w:val="nil"/>
            </w:tcBorders>
            <w:vAlign w:val="center"/>
          </w:tcPr>
          <w:p w14:paraId="2EE7E2B5">
            <w:pPr>
              <w:autoSpaceDE w:val="0"/>
              <w:autoSpaceDN w:val="0"/>
              <w:adjustRightIn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4C37BE28">
            <w:pPr>
              <w:autoSpaceDE w:val="0"/>
              <w:autoSpaceDN w:val="0"/>
              <w:adjustRightInd w:val="0"/>
              <w:snapToGrid w:val="0"/>
              <w:spacing w:line="240" w:lineRule="auto"/>
              <w:jc w:val="center"/>
              <w:rPr>
                <w:rFonts w:hint="eastAsia" w:ascii="宋体" w:hAnsi="宋体" w:eastAsia="宋体" w:cs="楷体_GB2312"/>
                <w:b/>
                <w:bCs/>
                <w:color w:val="auto"/>
                <w:szCs w:val="21"/>
                <w:highlight w:val="none"/>
                <w:lang w:val="zh-CN"/>
              </w:rPr>
            </w:pPr>
            <w:r>
              <w:rPr>
                <w:rFonts w:hint="eastAsia" w:ascii="宋体" w:hAnsi="宋体" w:eastAsia="宋体" w:cs="楷体_GB2312"/>
                <w:b/>
                <w:bCs/>
                <w:color w:val="auto"/>
                <w:szCs w:val="21"/>
                <w:highlight w:val="none"/>
                <w:lang w:val="zh-CN"/>
              </w:rPr>
              <w:t>10</w:t>
            </w:r>
          </w:p>
        </w:tc>
        <w:tc>
          <w:tcPr>
            <w:tcW w:w="2520" w:type="dxa"/>
            <w:tcBorders>
              <w:tl2br w:val="nil"/>
              <w:tr2bl w:val="nil"/>
            </w:tcBorders>
            <w:vAlign w:val="center"/>
          </w:tcPr>
          <w:p w14:paraId="685D154A">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付款</w:t>
            </w:r>
          </w:p>
        </w:tc>
        <w:tc>
          <w:tcPr>
            <w:tcW w:w="5910" w:type="dxa"/>
            <w:tcBorders>
              <w:tl2br w:val="nil"/>
              <w:tr2bl w:val="nil"/>
            </w:tcBorders>
            <w:vAlign w:val="center"/>
          </w:tcPr>
          <w:p w14:paraId="4C586DEA">
            <w:pPr>
              <w:rPr>
                <w:rFonts w:hint="eastAsia" w:ascii="宋体" w:eastAsia="宋体" w:cs="楷体_GB2312"/>
                <w:color w:val="auto"/>
                <w:sz w:val="24"/>
                <w:highlight w:val="none"/>
                <w:lang w:val="zh-CN" w:eastAsia="zh-CN"/>
              </w:rPr>
            </w:pPr>
            <w:bookmarkStart w:id="40" w:name="OLE_LINK11"/>
            <w:r>
              <w:rPr>
                <w:rFonts w:hint="eastAsia" w:ascii="宋体" w:hAnsi="宋体" w:eastAsia="宋体"/>
                <w:color w:val="auto"/>
                <w:sz w:val="24"/>
                <w:highlight w:val="none"/>
              </w:rPr>
              <w:t>网上提交支付申请后，凭借网上打印的《殷都区政府采购资金申请表》，经采购人盖章后，作为付款依据，</w:t>
            </w:r>
            <w:bookmarkEnd w:id="40"/>
            <w:r>
              <w:rPr>
                <w:rFonts w:hint="eastAsia" w:ascii="宋体" w:hAnsi="宋体" w:eastAsia="宋体"/>
                <w:color w:val="auto"/>
                <w:sz w:val="24"/>
                <w:highlight w:val="none"/>
              </w:rPr>
              <w:t>由采购人</w:t>
            </w:r>
            <w:r>
              <w:rPr>
                <w:rFonts w:hint="eastAsia" w:ascii="宋体" w:hAnsi="宋体"/>
                <w:color w:val="auto"/>
                <w:sz w:val="24"/>
                <w:highlight w:val="none"/>
                <w:lang w:val="en-US" w:eastAsia="zh-CN"/>
              </w:rPr>
              <w:t>进行</w:t>
            </w:r>
            <w:r>
              <w:rPr>
                <w:rFonts w:hint="eastAsia" w:ascii="宋体" w:hAnsi="宋体" w:eastAsia="宋体"/>
                <w:color w:val="auto"/>
                <w:sz w:val="24"/>
                <w:highlight w:val="none"/>
                <w:lang w:eastAsia="zh-CN"/>
              </w:rPr>
              <w:t>支付</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本项目按月分期支付。</w:t>
            </w:r>
          </w:p>
        </w:tc>
      </w:tr>
      <w:tr w14:paraId="4D5CD3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3" w:hRule="atLeast"/>
          <w:jc w:val="center"/>
        </w:trPr>
        <w:tc>
          <w:tcPr>
            <w:tcW w:w="503" w:type="dxa"/>
            <w:tcBorders>
              <w:tl2br w:val="nil"/>
              <w:tr2bl w:val="nil"/>
            </w:tcBorders>
            <w:vAlign w:val="center"/>
          </w:tcPr>
          <w:p w14:paraId="41930DA9">
            <w:pPr>
              <w:autoSpaceDE w:val="0"/>
              <w:autoSpaceDN w:val="0"/>
              <w:adjustRightInd w:val="0"/>
              <w:spacing w:line="240" w:lineRule="auto"/>
              <w:jc w:val="center"/>
              <w:rPr>
                <w:rFonts w:ascii="宋体" w:cs="楷体_GB2312"/>
                <w:b/>
                <w:bCs/>
                <w:color w:val="auto"/>
                <w:sz w:val="24"/>
                <w:highlight w:val="none"/>
              </w:rPr>
            </w:pPr>
          </w:p>
        </w:tc>
        <w:tc>
          <w:tcPr>
            <w:tcW w:w="1012" w:type="dxa"/>
            <w:tcBorders>
              <w:tl2br w:val="nil"/>
              <w:tr2bl w:val="nil"/>
            </w:tcBorders>
            <w:vAlign w:val="center"/>
          </w:tcPr>
          <w:p w14:paraId="51874711">
            <w:pPr>
              <w:autoSpaceDE w:val="0"/>
              <w:autoSpaceDN w:val="0"/>
              <w:adjustRightInd w:val="0"/>
              <w:snapToGrid w:val="0"/>
              <w:spacing w:line="240" w:lineRule="auto"/>
              <w:jc w:val="center"/>
              <w:rPr>
                <w:rFonts w:ascii="宋体" w:hAnsi="宋体" w:cs="楷体_GB2312"/>
                <w:b/>
                <w:bCs/>
                <w:color w:val="auto"/>
                <w:sz w:val="24"/>
                <w:highlight w:val="none"/>
              </w:rPr>
            </w:pPr>
            <w:r>
              <w:rPr>
                <w:rFonts w:hint="eastAsia" w:ascii="宋体" w:hAnsi="宋体" w:eastAsia="宋体" w:cs="楷体_GB2312"/>
                <w:b/>
                <w:bCs/>
                <w:color w:val="auto"/>
                <w:szCs w:val="21"/>
                <w:highlight w:val="none"/>
                <w:lang w:val="zh-CN"/>
              </w:rPr>
              <w:t>11</w:t>
            </w:r>
          </w:p>
        </w:tc>
        <w:tc>
          <w:tcPr>
            <w:tcW w:w="2520" w:type="dxa"/>
            <w:tcBorders>
              <w:tl2br w:val="nil"/>
              <w:tr2bl w:val="nil"/>
            </w:tcBorders>
            <w:vAlign w:val="center"/>
          </w:tcPr>
          <w:p w14:paraId="2AA29E49">
            <w:pPr>
              <w:autoSpaceDE w:val="0"/>
              <w:autoSpaceDN w:val="0"/>
              <w:adjustRightInd w:val="0"/>
              <w:snapToGrid w:val="0"/>
              <w:spacing w:line="240" w:lineRule="auto"/>
              <w:jc w:val="center"/>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代理服务费</w:t>
            </w:r>
          </w:p>
        </w:tc>
        <w:tc>
          <w:tcPr>
            <w:tcW w:w="5910" w:type="dxa"/>
            <w:tcBorders>
              <w:tl2br w:val="nil"/>
              <w:tr2bl w:val="nil"/>
            </w:tcBorders>
            <w:vAlign w:val="center"/>
          </w:tcPr>
          <w:p w14:paraId="5A5FD5DD">
            <w:pPr>
              <w:adjustRightInd w:val="0"/>
              <w:snapToGrid w:val="0"/>
              <w:spacing w:before="156" w:beforeLines="50" w:line="240" w:lineRule="auto"/>
              <w:rPr>
                <w:rFonts w:ascii="宋体" w:hAnsi="宋体"/>
                <w:b/>
                <w:color w:val="auto"/>
                <w:sz w:val="24"/>
                <w:highlight w:val="none"/>
              </w:rPr>
            </w:pPr>
            <w:r>
              <w:rPr>
                <w:rFonts w:hint="eastAsia" w:ascii="宋体" w:hAnsi="宋体"/>
                <w:color w:val="auto"/>
                <w:sz w:val="24"/>
                <w:highlight w:val="none"/>
              </w:rPr>
              <w:t>参照国家计委《招标代理服务收费管理暂行办法》（计价格【</w:t>
            </w:r>
            <w:r>
              <w:rPr>
                <w:rFonts w:ascii="宋体" w:hAnsi="宋体"/>
                <w:color w:val="auto"/>
                <w:sz w:val="24"/>
                <w:highlight w:val="none"/>
              </w:rPr>
              <w:t>2002</w:t>
            </w:r>
            <w:r>
              <w:rPr>
                <w:rFonts w:hint="eastAsia" w:ascii="宋体" w:hAnsi="宋体"/>
                <w:color w:val="auto"/>
                <w:sz w:val="24"/>
                <w:highlight w:val="none"/>
              </w:rPr>
              <w:t>】</w:t>
            </w:r>
            <w:r>
              <w:rPr>
                <w:rFonts w:ascii="宋体" w:hAnsi="宋体"/>
                <w:color w:val="auto"/>
                <w:sz w:val="24"/>
                <w:highlight w:val="none"/>
              </w:rPr>
              <w:t>1980</w:t>
            </w:r>
            <w:r>
              <w:rPr>
                <w:rFonts w:hint="eastAsia" w:ascii="宋体" w:hAnsi="宋体"/>
                <w:color w:val="auto"/>
                <w:sz w:val="24"/>
                <w:highlight w:val="none"/>
              </w:rPr>
              <w:t>号）、《国家发展和改革委员会办公厅关于招标代理服务费有关问题的通知》（发改办价格【</w:t>
            </w:r>
            <w:r>
              <w:rPr>
                <w:rFonts w:ascii="宋体" w:hAnsi="宋体"/>
                <w:color w:val="auto"/>
                <w:sz w:val="24"/>
                <w:highlight w:val="none"/>
              </w:rPr>
              <w:t>2003</w:t>
            </w:r>
            <w:r>
              <w:rPr>
                <w:rFonts w:hint="eastAsia" w:ascii="宋体" w:hAnsi="宋体"/>
                <w:color w:val="auto"/>
                <w:sz w:val="24"/>
                <w:highlight w:val="none"/>
              </w:rPr>
              <w:t>】</w:t>
            </w:r>
            <w:r>
              <w:rPr>
                <w:rFonts w:ascii="宋体" w:hAnsi="宋体"/>
                <w:color w:val="auto"/>
                <w:sz w:val="24"/>
                <w:highlight w:val="none"/>
              </w:rPr>
              <w:t>857</w:t>
            </w:r>
            <w:r>
              <w:rPr>
                <w:rFonts w:hint="eastAsia" w:ascii="宋体" w:hAnsi="宋体"/>
                <w:color w:val="auto"/>
                <w:sz w:val="24"/>
                <w:highlight w:val="none"/>
              </w:rPr>
              <w:t>号）及发改价格【</w:t>
            </w:r>
            <w:r>
              <w:rPr>
                <w:rFonts w:ascii="宋体" w:hAnsi="宋体"/>
                <w:color w:val="auto"/>
                <w:sz w:val="24"/>
                <w:highlight w:val="none"/>
              </w:rPr>
              <w:t>2011</w:t>
            </w:r>
            <w:r>
              <w:rPr>
                <w:rFonts w:hint="eastAsia" w:ascii="宋体" w:hAnsi="宋体"/>
                <w:color w:val="auto"/>
                <w:sz w:val="24"/>
                <w:highlight w:val="none"/>
              </w:rPr>
              <w:t>】</w:t>
            </w:r>
            <w:r>
              <w:rPr>
                <w:rFonts w:ascii="宋体" w:hAnsi="宋体"/>
                <w:color w:val="auto"/>
                <w:sz w:val="24"/>
                <w:highlight w:val="none"/>
              </w:rPr>
              <w:t>534</w:t>
            </w:r>
            <w:r>
              <w:rPr>
                <w:rFonts w:hint="eastAsia" w:ascii="宋体" w:hAnsi="宋体"/>
                <w:color w:val="auto"/>
                <w:sz w:val="24"/>
                <w:highlight w:val="none"/>
              </w:rPr>
              <w:t>号文件的规定</w:t>
            </w:r>
            <w:r>
              <w:rPr>
                <w:rFonts w:hint="eastAsia" w:ascii="宋体" w:hAnsi="宋体"/>
                <w:color w:val="auto"/>
                <w:sz w:val="24"/>
                <w:highlight w:val="none"/>
                <w:lang w:eastAsia="zh-CN"/>
              </w:rPr>
              <w:t>，</w:t>
            </w:r>
            <w:r>
              <w:rPr>
                <w:rFonts w:hint="eastAsia" w:ascii="宋体" w:hAnsi="宋体"/>
                <w:color w:val="auto"/>
                <w:sz w:val="24"/>
                <w:highlight w:val="none"/>
              </w:rPr>
              <w:t>招标代理服务费由中标供应商支付。</w:t>
            </w:r>
          </w:p>
        </w:tc>
      </w:tr>
    </w:tbl>
    <w:p w14:paraId="2061B19A">
      <w:pPr>
        <w:keepNext w:val="0"/>
        <w:keepLines w:val="0"/>
        <w:pageBreakBefore w:val="0"/>
        <w:widowControl/>
        <w:kinsoku/>
        <w:wordWrap/>
        <w:overflowPunct/>
        <w:topLinePunct w:val="0"/>
        <w:autoSpaceDE w:val="0"/>
        <w:autoSpaceDN w:val="0"/>
        <w:bidi w:val="0"/>
        <w:adjustRightInd w:val="0"/>
        <w:spacing w:line="360" w:lineRule="auto"/>
        <w:textAlignment w:val="baseline"/>
        <w:outlineLvl w:val="9"/>
        <w:rPr>
          <w:color w:val="auto"/>
          <w:highlight w:val="none"/>
        </w:rPr>
      </w:pPr>
    </w:p>
    <w:p w14:paraId="2684D4C1">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63FF42A1">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662F21BF">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4C19DA33">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58076107">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2C0D677A">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38AFDEA2">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11B53E75">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3FC1AB92">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40D89BCD">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7771118C">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5C8DCA34">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399F4F84">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763B774B">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4EF8E2F6">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74338CD5">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19063F9A">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3D3F7425">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3A42FF34">
      <w:pPr>
        <w:keepNext w:val="0"/>
        <w:keepLines w:val="0"/>
        <w:pageBreakBefore w:val="0"/>
        <w:widowControl/>
        <w:kinsoku/>
        <w:wordWrap/>
        <w:overflowPunct/>
        <w:topLinePunct w:val="0"/>
        <w:autoSpaceDE w:val="0"/>
        <w:autoSpaceDN w:val="0"/>
        <w:bidi w:val="0"/>
        <w:adjustRightInd w:val="0"/>
        <w:snapToGrid w:val="0"/>
        <w:spacing w:line="300" w:lineRule="auto"/>
        <w:ind w:firstLine="539"/>
        <w:textAlignment w:val="baseline"/>
        <w:outlineLvl w:val="9"/>
        <w:rPr>
          <w:rFonts w:ascii="黑体" w:hAnsi="黑体" w:eastAsia="黑体" w:cs="楷体_GB2312"/>
          <w:b/>
          <w:bCs/>
          <w:color w:val="auto"/>
          <w:sz w:val="28"/>
          <w:szCs w:val="28"/>
          <w:highlight w:val="none"/>
          <w:lang w:val="zh-CN"/>
        </w:rPr>
      </w:pPr>
    </w:p>
    <w:p w14:paraId="01FF677B">
      <w:pPr>
        <w:keepNext w:val="0"/>
        <w:keepLines w:val="0"/>
        <w:pageBreakBefore w:val="0"/>
        <w:widowControl/>
        <w:kinsoku/>
        <w:wordWrap/>
        <w:overflowPunct/>
        <w:topLinePunct w:val="0"/>
        <w:autoSpaceDE w:val="0"/>
        <w:autoSpaceDN w:val="0"/>
        <w:bidi w:val="0"/>
        <w:adjustRightInd w:val="0"/>
        <w:snapToGrid w:val="0"/>
        <w:spacing w:line="300" w:lineRule="auto"/>
        <w:textAlignment w:val="baseline"/>
        <w:outlineLvl w:val="9"/>
        <w:rPr>
          <w:rFonts w:ascii="黑体" w:hAnsi="黑体" w:eastAsia="黑体" w:cs="楷体_GB2312"/>
          <w:b/>
          <w:bCs/>
          <w:color w:val="auto"/>
          <w:sz w:val="28"/>
          <w:szCs w:val="28"/>
          <w:highlight w:val="none"/>
          <w:lang w:val="zh-CN"/>
        </w:rPr>
      </w:pPr>
    </w:p>
    <w:p w14:paraId="5453E196">
      <w:pPr>
        <w:keepNext w:val="0"/>
        <w:keepLines w:val="0"/>
        <w:pageBreakBefore w:val="0"/>
        <w:widowControl/>
        <w:kinsoku/>
        <w:wordWrap/>
        <w:overflowPunct/>
        <w:topLinePunct w:val="0"/>
        <w:autoSpaceDE w:val="0"/>
        <w:autoSpaceDN w:val="0"/>
        <w:bidi w:val="0"/>
        <w:adjustRightInd w:val="0"/>
        <w:snapToGrid w:val="0"/>
        <w:spacing w:line="300" w:lineRule="auto"/>
        <w:textAlignment w:val="baseline"/>
        <w:outlineLvl w:val="9"/>
        <w:rPr>
          <w:rFonts w:ascii="黑体" w:hAnsi="黑体" w:eastAsia="黑体" w:cs="楷体_GB2312"/>
          <w:b/>
          <w:bCs/>
          <w:color w:val="auto"/>
          <w:sz w:val="28"/>
          <w:szCs w:val="28"/>
          <w:highlight w:val="none"/>
          <w:lang w:val="zh-CN"/>
        </w:rPr>
      </w:pPr>
    </w:p>
    <w:p w14:paraId="10B74BDF">
      <w:pPr>
        <w:keepNext w:val="0"/>
        <w:keepLines w:val="0"/>
        <w:pageBreakBefore w:val="0"/>
        <w:widowControl/>
        <w:kinsoku/>
        <w:wordWrap/>
        <w:overflowPunct/>
        <w:topLinePunct w:val="0"/>
        <w:autoSpaceDE w:val="0"/>
        <w:autoSpaceDN w:val="0"/>
        <w:bidi w:val="0"/>
        <w:adjustRightInd w:val="0"/>
        <w:snapToGrid w:val="0"/>
        <w:spacing w:line="300" w:lineRule="auto"/>
        <w:textAlignment w:val="baseline"/>
        <w:outlineLvl w:val="9"/>
        <w:rPr>
          <w:rFonts w:ascii="黑体" w:hAnsi="黑体" w:eastAsia="黑体" w:cs="楷体_GB2312"/>
          <w:b/>
          <w:bCs/>
          <w:color w:val="auto"/>
          <w:sz w:val="28"/>
          <w:szCs w:val="28"/>
          <w:highlight w:val="none"/>
          <w:lang w:val="zh-CN"/>
        </w:rPr>
      </w:pPr>
    </w:p>
    <w:p w14:paraId="0149FE67">
      <w:pPr>
        <w:keepNext w:val="0"/>
        <w:keepLines w:val="0"/>
        <w:pageBreakBefore w:val="0"/>
        <w:widowControl/>
        <w:kinsoku/>
        <w:wordWrap/>
        <w:overflowPunct/>
        <w:topLinePunct w:val="0"/>
        <w:autoSpaceDE w:val="0"/>
        <w:autoSpaceDN w:val="0"/>
        <w:bidi w:val="0"/>
        <w:adjustRightInd w:val="0"/>
        <w:snapToGrid w:val="0"/>
        <w:spacing w:line="300" w:lineRule="auto"/>
        <w:textAlignment w:val="baseline"/>
        <w:outlineLvl w:val="9"/>
        <w:rPr>
          <w:rFonts w:ascii="黑体" w:hAnsi="黑体" w:eastAsia="黑体" w:cs="楷体_GB2312"/>
          <w:b/>
          <w:bCs/>
          <w:color w:val="auto"/>
          <w:sz w:val="28"/>
          <w:szCs w:val="28"/>
          <w:highlight w:val="none"/>
          <w:lang w:val="zh-CN"/>
        </w:rPr>
      </w:pPr>
    </w:p>
    <w:p w14:paraId="36A60931">
      <w:pPr>
        <w:keepNext w:val="0"/>
        <w:keepLines w:val="0"/>
        <w:pageBreakBefore w:val="0"/>
        <w:widowControl/>
        <w:kinsoku/>
        <w:wordWrap/>
        <w:overflowPunct/>
        <w:topLinePunct w:val="0"/>
        <w:autoSpaceDE w:val="0"/>
        <w:autoSpaceDN w:val="0"/>
        <w:bidi w:val="0"/>
        <w:adjustRightInd w:val="0"/>
        <w:snapToGrid w:val="0"/>
        <w:spacing w:line="300" w:lineRule="auto"/>
        <w:textAlignment w:val="baseline"/>
        <w:outlineLvl w:val="9"/>
        <w:rPr>
          <w:rFonts w:ascii="黑体" w:hAnsi="黑体" w:eastAsia="黑体" w:cs="楷体_GB2312"/>
          <w:b/>
          <w:bCs/>
          <w:color w:val="auto"/>
          <w:sz w:val="28"/>
          <w:szCs w:val="28"/>
          <w:highlight w:val="none"/>
          <w:lang w:val="zh-CN"/>
        </w:rPr>
      </w:pPr>
    </w:p>
    <w:p w14:paraId="3C4E35D7">
      <w:pPr>
        <w:keepNext w:val="0"/>
        <w:keepLines w:val="0"/>
        <w:pageBreakBefore w:val="0"/>
        <w:widowControl/>
        <w:kinsoku/>
        <w:wordWrap/>
        <w:overflowPunct/>
        <w:topLinePunct w:val="0"/>
        <w:autoSpaceDE w:val="0"/>
        <w:autoSpaceDN w:val="0"/>
        <w:bidi w:val="0"/>
        <w:adjustRightInd w:val="0"/>
        <w:snapToGrid w:val="0"/>
        <w:spacing w:line="300" w:lineRule="auto"/>
        <w:textAlignment w:val="baseline"/>
        <w:outlineLvl w:val="9"/>
        <w:rPr>
          <w:rFonts w:ascii="黑体" w:hAnsi="黑体" w:eastAsia="黑体" w:cs="楷体_GB2312"/>
          <w:b/>
          <w:bCs/>
          <w:color w:val="auto"/>
          <w:sz w:val="28"/>
          <w:szCs w:val="28"/>
          <w:highlight w:val="none"/>
          <w:lang w:val="zh-CN"/>
        </w:rPr>
      </w:pPr>
    </w:p>
    <w:p w14:paraId="3A7B785A">
      <w:pPr>
        <w:keepNext w:val="0"/>
        <w:keepLines w:val="0"/>
        <w:pageBreakBefore w:val="0"/>
        <w:widowControl/>
        <w:kinsoku/>
        <w:wordWrap/>
        <w:overflowPunct/>
        <w:topLinePunct w:val="0"/>
        <w:autoSpaceDE w:val="0"/>
        <w:autoSpaceDN w:val="0"/>
        <w:bidi w:val="0"/>
        <w:adjustRightInd w:val="0"/>
        <w:snapToGrid w:val="0"/>
        <w:spacing w:line="300" w:lineRule="auto"/>
        <w:textAlignment w:val="baseline"/>
        <w:outlineLvl w:val="9"/>
        <w:rPr>
          <w:rFonts w:ascii="黑体" w:hAnsi="黑体" w:eastAsia="黑体" w:cs="楷体_GB2312"/>
          <w:b/>
          <w:bCs/>
          <w:color w:val="auto"/>
          <w:sz w:val="28"/>
          <w:szCs w:val="28"/>
          <w:highlight w:val="none"/>
          <w:lang w:val="zh-CN"/>
        </w:rPr>
      </w:pPr>
    </w:p>
    <w:p w14:paraId="00A2A7BE">
      <w:pPr>
        <w:keepNext w:val="0"/>
        <w:keepLines w:val="0"/>
        <w:pageBreakBefore w:val="0"/>
        <w:widowControl/>
        <w:kinsoku/>
        <w:wordWrap/>
        <w:overflowPunct/>
        <w:topLinePunct w:val="0"/>
        <w:autoSpaceDE w:val="0"/>
        <w:autoSpaceDN w:val="0"/>
        <w:bidi w:val="0"/>
        <w:adjustRightInd w:val="0"/>
        <w:snapToGrid w:val="0"/>
        <w:spacing w:line="300" w:lineRule="auto"/>
        <w:textAlignment w:val="baseline"/>
        <w:outlineLvl w:val="9"/>
        <w:rPr>
          <w:rFonts w:ascii="黑体" w:hAnsi="黑体" w:eastAsia="黑体" w:cs="楷体_GB2312"/>
          <w:b/>
          <w:bCs/>
          <w:color w:val="auto"/>
          <w:sz w:val="28"/>
          <w:szCs w:val="28"/>
          <w:highlight w:val="none"/>
          <w:lang w:val="zh-CN"/>
        </w:rPr>
      </w:pPr>
    </w:p>
    <w:p w14:paraId="2748B912">
      <w:pPr>
        <w:keepNext w:val="0"/>
        <w:keepLines w:val="0"/>
        <w:pageBreakBefore w:val="0"/>
        <w:widowControl/>
        <w:kinsoku/>
        <w:wordWrap/>
        <w:overflowPunct/>
        <w:topLinePunct w:val="0"/>
        <w:autoSpaceDE w:val="0"/>
        <w:autoSpaceDN w:val="0"/>
        <w:bidi w:val="0"/>
        <w:adjustRightInd w:val="0"/>
        <w:snapToGrid w:val="0"/>
        <w:spacing w:line="300" w:lineRule="auto"/>
        <w:textAlignment w:val="baseline"/>
        <w:outlineLvl w:val="9"/>
        <w:rPr>
          <w:rFonts w:ascii="黑体" w:hAnsi="黑体" w:eastAsia="黑体" w:cs="楷体_GB2312"/>
          <w:b/>
          <w:bCs/>
          <w:color w:val="auto"/>
          <w:sz w:val="28"/>
          <w:szCs w:val="28"/>
          <w:highlight w:val="none"/>
          <w:lang w:val="zh-CN"/>
        </w:rPr>
      </w:pPr>
    </w:p>
    <w:p w14:paraId="0C84079D">
      <w:pPr>
        <w:keepNext w:val="0"/>
        <w:keepLines w:val="0"/>
        <w:pageBreakBefore w:val="0"/>
        <w:widowControl/>
        <w:kinsoku/>
        <w:wordWrap/>
        <w:overflowPunct/>
        <w:topLinePunct w:val="0"/>
        <w:autoSpaceDE w:val="0"/>
        <w:autoSpaceDN w:val="0"/>
        <w:bidi w:val="0"/>
        <w:adjustRightInd w:val="0"/>
        <w:snapToGrid w:val="0"/>
        <w:spacing w:line="300" w:lineRule="auto"/>
        <w:textAlignment w:val="baseline"/>
        <w:outlineLvl w:val="9"/>
        <w:rPr>
          <w:rFonts w:ascii="黑体" w:hAnsi="黑体" w:eastAsia="黑体" w:cs="楷体_GB2312"/>
          <w:b/>
          <w:bCs/>
          <w:color w:val="auto"/>
          <w:sz w:val="28"/>
          <w:szCs w:val="28"/>
          <w:highlight w:val="none"/>
          <w:lang w:val="zh-CN"/>
        </w:rPr>
      </w:pPr>
    </w:p>
    <w:p w14:paraId="1C1F7066">
      <w:pPr>
        <w:autoSpaceDE w:val="0"/>
        <w:autoSpaceDN w:val="0"/>
        <w:adjustRightInd w:val="0"/>
        <w:snapToGrid w:val="0"/>
        <w:spacing w:before="156" w:beforeLines="50" w:line="300" w:lineRule="auto"/>
        <w:ind w:firstLine="539"/>
        <w:outlineLvl w:val="1"/>
        <w:rPr>
          <w:rFonts w:ascii="黑体" w:hAnsi="黑体" w:eastAsia="黑体"/>
          <w:color w:val="auto"/>
          <w:sz w:val="28"/>
          <w:szCs w:val="28"/>
          <w:highlight w:val="none"/>
          <w:lang w:val="zh-CN"/>
        </w:rPr>
      </w:pPr>
      <w:bookmarkStart w:id="41" w:name="_Toc1582"/>
      <w:r>
        <w:rPr>
          <w:rFonts w:ascii="黑体" w:hAnsi="黑体" w:eastAsia="黑体" w:cs="楷体_GB2312"/>
          <w:b/>
          <w:bCs/>
          <w:color w:val="auto"/>
          <w:sz w:val="28"/>
          <w:szCs w:val="28"/>
          <w:highlight w:val="none"/>
          <w:lang w:val="zh-CN"/>
        </w:rPr>
        <w:t xml:space="preserve">1. </w:t>
      </w:r>
      <w:r>
        <w:rPr>
          <w:rFonts w:hint="eastAsia" w:ascii="黑体" w:hAnsi="黑体" w:eastAsia="黑体" w:cs="楷体_GB2312"/>
          <w:b/>
          <w:bCs/>
          <w:color w:val="auto"/>
          <w:sz w:val="28"/>
          <w:szCs w:val="28"/>
          <w:highlight w:val="none"/>
          <w:lang w:val="zh-CN"/>
        </w:rPr>
        <w:t>总则</w:t>
      </w:r>
      <w:bookmarkEnd w:id="41"/>
    </w:p>
    <w:p w14:paraId="56F25CFA">
      <w:pPr>
        <w:autoSpaceDE w:val="0"/>
        <w:autoSpaceDN w:val="0"/>
        <w:adjustRightInd w:val="0"/>
        <w:snapToGrid w:val="0"/>
        <w:spacing w:before="156" w:beforeLines="50" w:line="300" w:lineRule="auto"/>
        <w:ind w:firstLine="539"/>
        <w:rPr>
          <w:rFonts w:ascii="宋体"/>
          <w:color w:val="auto"/>
          <w:sz w:val="24"/>
          <w:szCs w:val="24"/>
          <w:highlight w:val="none"/>
        </w:rPr>
      </w:pPr>
      <w:r>
        <w:rPr>
          <w:rFonts w:ascii="黑体" w:hAnsi="黑体" w:eastAsia="黑体" w:cs="楷体_GB2312"/>
          <w:b/>
          <w:color w:val="auto"/>
          <w:sz w:val="24"/>
          <w:highlight w:val="none"/>
          <w:lang w:val="zh-CN"/>
        </w:rPr>
        <w:t>1.1</w:t>
      </w:r>
      <w:r>
        <w:rPr>
          <w:rFonts w:hint="eastAsia" w:ascii="黑体" w:hAnsi="黑体" w:eastAsia="黑体" w:cs="楷体_GB2312"/>
          <w:b/>
          <w:color w:val="auto"/>
          <w:sz w:val="24"/>
          <w:highlight w:val="none"/>
          <w:lang w:val="zh-CN"/>
        </w:rPr>
        <w:t xml:space="preserve"> </w:t>
      </w:r>
      <w:r>
        <w:rPr>
          <w:rFonts w:hint="eastAsia" w:ascii="宋体" w:hAnsi="宋体"/>
          <w:color w:val="auto"/>
          <w:sz w:val="24"/>
          <w:szCs w:val="24"/>
          <w:highlight w:val="none"/>
        </w:rPr>
        <w:t>根据《中华人民共和国政府采购法》、《中华人民共和国政府采购法实施条例》、《政府采购货物和服务招标投标管理办法》及相关政府采购法律法规等制定本文件。</w:t>
      </w:r>
    </w:p>
    <w:p w14:paraId="475CE1AF">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1.2</w:t>
      </w:r>
      <w:r>
        <w:rPr>
          <w:rFonts w:hint="eastAsia" w:ascii="黑体" w:hAnsi="黑体" w:eastAsia="黑体" w:cs="楷体_GB2312"/>
          <w:b/>
          <w:color w:val="auto"/>
          <w:sz w:val="24"/>
          <w:highlight w:val="none"/>
          <w:lang w:val="en-US" w:eastAsia="zh-CN"/>
        </w:rPr>
        <w:t xml:space="preserve"> </w:t>
      </w:r>
      <w:r>
        <w:rPr>
          <w:rFonts w:hint="eastAsia" w:ascii="黑体" w:hAnsi="黑体" w:eastAsia="黑体" w:cs="楷体_GB2312"/>
          <w:b/>
          <w:color w:val="auto"/>
          <w:sz w:val="24"/>
          <w:highlight w:val="none"/>
          <w:lang w:val="zh-CN"/>
        </w:rPr>
        <w:t>《招标文件》的法律适用及法律效力</w:t>
      </w:r>
    </w:p>
    <w:p w14:paraId="4F092391">
      <w:pPr>
        <w:adjustRightInd w:val="0"/>
        <w:snapToGrid w:val="0"/>
        <w:spacing w:before="156" w:beforeLines="50" w:line="300" w:lineRule="auto"/>
        <w:ind w:right="240" w:firstLine="547" w:firstLineChars="228"/>
        <w:rPr>
          <w:rFonts w:ascii="宋体"/>
          <w:color w:val="auto"/>
          <w:sz w:val="24"/>
          <w:szCs w:val="24"/>
          <w:highlight w:val="none"/>
        </w:rPr>
      </w:pPr>
      <w:r>
        <w:rPr>
          <w:rFonts w:ascii="宋体" w:hAnsi="宋体"/>
          <w:color w:val="auto"/>
          <w:sz w:val="24"/>
          <w:szCs w:val="24"/>
          <w:highlight w:val="none"/>
        </w:rPr>
        <w:t>1.2.1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本</w:t>
      </w:r>
      <w:r>
        <w:rPr>
          <w:rFonts w:hint="eastAsia" w:ascii="宋体" w:hAnsi="宋体" w:cs="宋体"/>
          <w:color w:val="auto"/>
          <w:sz w:val="24"/>
          <w:szCs w:val="24"/>
          <w:highlight w:val="none"/>
          <w:lang w:eastAsia="zh-CN"/>
        </w:rPr>
        <w:t>《招标文件》</w:t>
      </w:r>
      <w:r>
        <w:rPr>
          <w:rFonts w:hint="eastAsia" w:ascii="宋体" w:hAnsi="宋体"/>
          <w:color w:val="auto"/>
          <w:sz w:val="24"/>
          <w:szCs w:val="24"/>
          <w:highlight w:val="none"/>
        </w:rPr>
        <w:t>所述内容，仅适用于本次项目采购。</w:t>
      </w:r>
    </w:p>
    <w:p w14:paraId="412B75D0">
      <w:pPr>
        <w:adjustRightInd w:val="0"/>
        <w:snapToGrid w:val="0"/>
        <w:spacing w:before="156" w:beforeLines="50" w:line="300" w:lineRule="auto"/>
        <w:ind w:right="240" w:firstLine="547" w:firstLineChars="228"/>
        <w:rPr>
          <w:rFonts w:ascii="宋体" w:hAnsi="宋体" w:eastAsia="宋体"/>
          <w:color w:val="auto"/>
          <w:sz w:val="24"/>
          <w:szCs w:val="24"/>
          <w:highlight w:val="none"/>
        </w:rPr>
      </w:pPr>
      <w:r>
        <w:rPr>
          <w:rFonts w:ascii="宋体" w:hAnsi="宋体" w:eastAsia="宋体"/>
          <w:color w:val="auto"/>
          <w:sz w:val="24"/>
          <w:szCs w:val="24"/>
          <w:highlight w:val="none"/>
        </w:rPr>
        <w:t xml:space="preserve">1.2.2 </w:t>
      </w:r>
      <w:r>
        <w:rPr>
          <w:rFonts w:hint="eastAsia" w:ascii="宋体" w:hAnsi="宋体" w:eastAsia="宋体"/>
          <w:color w:val="auto"/>
          <w:sz w:val="24"/>
          <w:szCs w:val="24"/>
          <w:highlight w:val="none"/>
          <w:lang w:eastAsia="zh-CN"/>
        </w:rPr>
        <w:t>《招标文件》</w:t>
      </w:r>
      <w:r>
        <w:rPr>
          <w:rFonts w:hint="eastAsia" w:ascii="宋体" w:hAnsi="宋体" w:eastAsia="宋体"/>
          <w:color w:val="auto"/>
          <w:sz w:val="24"/>
          <w:szCs w:val="24"/>
          <w:highlight w:val="none"/>
        </w:rPr>
        <w:t>的修改性文件、补充文件、澄清文件或说明具有同等法律效力。</w:t>
      </w:r>
    </w:p>
    <w:p w14:paraId="19ABB966">
      <w:pPr>
        <w:adjustRightInd w:val="0"/>
        <w:snapToGrid w:val="0"/>
        <w:spacing w:before="156" w:beforeLines="50" w:line="300" w:lineRule="auto"/>
        <w:ind w:right="240" w:firstLine="547" w:firstLineChars="228"/>
        <w:rPr>
          <w:rFonts w:ascii="宋体" w:hAnsi="宋体" w:eastAsia="宋体"/>
          <w:color w:val="auto"/>
          <w:sz w:val="24"/>
          <w:szCs w:val="24"/>
          <w:highlight w:val="none"/>
        </w:rPr>
      </w:pPr>
      <w:r>
        <w:rPr>
          <w:rFonts w:ascii="宋体" w:hAnsi="宋体" w:eastAsia="宋体"/>
          <w:color w:val="auto"/>
          <w:sz w:val="24"/>
          <w:szCs w:val="24"/>
          <w:highlight w:val="none"/>
        </w:rPr>
        <w:t xml:space="preserve">1.2.3 </w:t>
      </w:r>
      <w:r>
        <w:rPr>
          <w:rFonts w:hint="eastAsia" w:ascii="宋体" w:hAnsi="宋体" w:eastAsia="宋体"/>
          <w:color w:val="auto"/>
          <w:sz w:val="24"/>
          <w:szCs w:val="24"/>
          <w:highlight w:val="none"/>
        </w:rPr>
        <w:t>本</w:t>
      </w:r>
      <w:r>
        <w:rPr>
          <w:rFonts w:hint="eastAsia" w:ascii="宋体" w:hAnsi="宋体" w:eastAsia="宋体"/>
          <w:color w:val="auto"/>
          <w:sz w:val="24"/>
          <w:szCs w:val="24"/>
          <w:highlight w:val="none"/>
          <w:lang w:eastAsia="zh-CN"/>
        </w:rPr>
        <w:t>《招标文件》</w:t>
      </w:r>
      <w:r>
        <w:rPr>
          <w:rFonts w:hint="eastAsia" w:ascii="宋体" w:hAnsi="宋体" w:eastAsia="宋体"/>
          <w:color w:val="auto"/>
          <w:sz w:val="24"/>
          <w:szCs w:val="24"/>
          <w:highlight w:val="none"/>
        </w:rPr>
        <w:t>适用于并执行《政府采购法》和其它相关的法律、法规。</w:t>
      </w:r>
    </w:p>
    <w:p w14:paraId="028E82A8">
      <w:pPr>
        <w:adjustRightInd w:val="0"/>
        <w:snapToGrid w:val="0"/>
        <w:spacing w:before="156" w:beforeLines="50" w:line="300" w:lineRule="auto"/>
        <w:ind w:right="240" w:firstLine="547" w:firstLineChars="228"/>
        <w:rPr>
          <w:rFonts w:ascii="宋体" w:hAnsi="宋体" w:eastAsia="宋体"/>
          <w:color w:val="auto"/>
          <w:sz w:val="24"/>
          <w:szCs w:val="24"/>
          <w:highlight w:val="none"/>
        </w:rPr>
      </w:pPr>
      <w:r>
        <w:rPr>
          <w:rFonts w:ascii="宋体" w:hAnsi="宋体" w:eastAsia="宋体"/>
          <w:color w:val="auto"/>
          <w:sz w:val="24"/>
          <w:szCs w:val="24"/>
          <w:highlight w:val="none"/>
        </w:rPr>
        <w:t xml:space="preserve">1.2.4 </w:t>
      </w:r>
      <w:r>
        <w:rPr>
          <w:rFonts w:hint="eastAsia" w:ascii="宋体" w:hAnsi="宋体" w:eastAsia="宋体"/>
          <w:color w:val="auto"/>
          <w:sz w:val="24"/>
          <w:szCs w:val="24"/>
          <w:highlight w:val="none"/>
        </w:rPr>
        <w:t>本</w:t>
      </w:r>
      <w:r>
        <w:rPr>
          <w:rFonts w:hint="eastAsia" w:ascii="宋体" w:hAnsi="宋体" w:eastAsia="宋体"/>
          <w:color w:val="auto"/>
          <w:sz w:val="24"/>
          <w:szCs w:val="24"/>
          <w:highlight w:val="none"/>
          <w:lang w:eastAsia="zh-CN"/>
        </w:rPr>
        <w:t>《招标文件》</w:t>
      </w:r>
      <w:r>
        <w:rPr>
          <w:rFonts w:hint="eastAsia" w:ascii="宋体" w:hAnsi="宋体" w:eastAsia="宋体"/>
          <w:color w:val="auto"/>
          <w:sz w:val="24"/>
          <w:szCs w:val="24"/>
          <w:highlight w:val="none"/>
        </w:rPr>
        <w:t>的解释权属采购人及代理机构。</w:t>
      </w:r>
    </w:p>
    <w:p w14:paraId="52EB0452">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1.3</w:t>
      </w:r>
      <w:r>
        <w:rPr>
          <w:rFonts w:hint="eastAsia" w:ascii="黑体" w:hAnsi="黑体" w:eastAsia="黑体" w:cs="楷体_GB2312"/>
          <w:b/>
          <w:color w:val="auto"/>
          <w:sz w:val="24"/>
          <w:highlight w:val="none"/>
          <w:lang w:val="zh-CN"/>
        </w:rPr>
        <w:t xml:space="preserve"> 合格的投标人</w:t>
      </w:r>
    </w:p>
    <w:p w14:paraId="676CF400">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1.3.1 </w:t>
      </w:r>
      <w:r>
        <w:rPr>
          <w:rFonts w:hint="eastAsia" w:ascii="宋体" w:hAnsi="宋体" w:cs="楷体_GB2312"/>
          <w:color w:val="auto"/>
          <w:sz w:val="24"/>
          <w:highlight w:val="none"/>
          <w:lang w:val="zh-CN"/>
        </w:rPr>
        <w:t>凡符合《招标文件》规定，承认本《招标文件》所有内容的投标人为合格的投标人。</w:t>
      </w:r>
    </w:p>
    <w:p w14:paraId="7F0ED47A">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1.3.2 </w:t>
      </w:r>
      <w:r>
        <w:rPr>
          <w:rFonts w:hint="eastAsia" w:ascii="宋体" w:hAnsi="宋体" w:cs="楷体_GB2312"/>
          <w:color w:val="auto"/>
          <w:sz w:val="24"/>
          <w:highlight w:val="none"/>
          <w:lang w:val="zh-CN"/>
        </w:rPr>
        <w:t>单位负责人为同一人或者存在直接控股、管理关系的不同供应商，不得参加同一合同项下的政府采购活动。</w:t>
      </w:r>
    </w:p>
    <w:p w14:paraId="2B11C942">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1.3.3 </w:t>
      </w:r>
      <w:r>
        <w:rPr>
          <w:rFonts w:hint="eastAsia" w:ascii="宋体" w:hAnsi="宋体" w:cs="楷体_GB2312"/>
          <w:color w:val="auto"/>
          <w:sz w:val="24"/>
          <w:highlight w:val="none"/>
          <w:lang w:val="zh-CN"/>
        </w:rPr>
        <w:t>为招标项目提供整体设计、规范编制或者项目管理、监理、检测等服务的供应商，不得再参加该招标项目的其他采购活动。</w:t>
      </w:r>
    </w:p>
    <w:p w14:paraId="3D5AFF7A">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1.3.4 </w:t>
      </w:r>
      <w:r>
        <w:rPr>
          <w:rFonts w:hint="eastAsia" w:ascii="宋体" w:hAnsi="宋体" w:cs="楷体_GB2312"/>
          <w:color w:val="auto"/>
          <w:sz w:val="24"/>
          <w:highlight w:val="none"/>
          <w:lang w:val="zh-CN"/>
        </w:rPr>
        <w:t>投标人应遵守国家法律、法规和《招标文件》的规定。不得违背国家利益、社会公众利益。</w:t>
      </w:r>
    </w:p>
    <w:p w14:paraId="5BDE3041">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1.4</w:t>
      </w:r>
      <w:r>
        <w:rPr>
          <w:rFonts w:hint="eastAsia" w:ascii="黑体" w:hAnsi="黑体" w:eastAsia="黑体" w:cs="楷体_GB2312"/>
          <w:b/>
          <w:color w:val="auto"/>
          <w:sz w:val="24"/>
          <w:highlight w:val="none"/>
          <w:lang w:val="en-US" w:eastAsia="zh-CN"/>
        </w:rPr>
        <w:t xml:space="preserve"> </w:t>
      </w:r>
      <w:r>
        <w:rPr>
          <w:rFonts w:hint="eastAsia" w:ascii="黑体" w:hAnsi="黑体" w:eastAsia="黑体" w:cs="楷体_GB2312"/>
          <w:b/>
          <w:color w:val="auto"/>
          <w:sz w:val="24"/>
          <w:highlight w:val="none"/>
          <w:lang w:val="zh-CN"/>
        </w:rPr>
        <w:t>联合体</w:t>
      </w:r>
    </w:p>
    <w:p w14:paraId="2F58FFA9">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投标人须知前附表规定接受联合体投标的，应遵守以下规定：</w:t>
      </w:r>
    </w:p>
    <w:p w14:paraId="5CE40E26">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1</w:t>
      </w:r>
      <w:r>
        <w:rPr>
          <w:rFonts w:hint="eastAsia" w:ascii="宋体" w:hAnsi="宋体" w:cs="楷体_GB2312"/>
          <w:color w:val="auto"/>
          <w:sz w:val="24"/>
          <w:highlight w:val="none"/>
          <w:lang w:val="zh-CN"/>
        </w:rPr>
        <w:t>）两个以上供应商可以组成一个投标联合体，以一个投标人的身份投标，但必须确定其中一个单位为投标的全权代表参加投标活动，并承担投标及履约中应承担的全部责任和义务。</w:t>
      </w:r>
    </w:p>
    <w:p w14:paraId="665B2F91">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cs="楷体_GB2312"/>
          <w:color w:val="auto"/>
          <w:sz w:val="24"/>
          <w:highlight w:val="none"/>
          <w:lang w:val="zh-CN"/>
        </w:rPr>
        <w:t>（</w:t>
      </w:r>
      <w:r>
        <w:rPr>
          <w:rFonts w:ascii="宋体" w:cs="楷体_GB2312"/>
          <w:color w:val="auto"/>
          <w:sz w:val="24"/>
          <w:highlight w:val="none"/>
          <w:lang w:val="zh-CN"/>
        </w:rPr>
        <w:t>2</w:t>
      </w:r>
      <w:r>
        <w:rPr>
          <w:rFonts w:hint="eastAsia" w:ascii="宋体" w:cs="楷体_GB2312"/>
          <w:color w:val="auto"/>
          <w:sz w:val="24"/>
          <w:highlight w:val="none"/>
          <w:lang w:val="zh-CN"/>
        </w:rPr>
        <w:t>）</w:t>
      </w:r>
      <w:r>
        <w:rPr>
          <w:rFonts w:hint="eastAsia" w:ascii="宋体" w:hAnsi="宋体" w:cs="楷体_GB2312"/>
          <w:color w:val="auto"/>
          <w:sz w:val="24"/>
          <w:highlight w:val="none"/>
          <w:lang w:val="zh-CN"/>
        </w:rPr>
        <w:t>以联合体形式参加投标的</w:t>
      </w:r>
      <w:r>
        <w:rPr>
          <w:rFonts w:hint="eastAsia" w:ascii="宋体" w:cs="楷体_GB2312"/>
          <w:color w:val="auto"/>
          <w:sz w:val="24"/>
          <w:highlight w:val="none"/>
          <w:lang w:val="zh-CN"/>
        </w:rPr>
        <w:t>，将对所有的联合体成员进行信用记录查询，联合体成员存在不良信用记录的，视同联合体存在不良信用记录，为无效投标。</w:t>
      </w:r>
    </w:p>
    <w:p w14:paraId="37586215">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3</w:t>
      </w:r>
      <w:r>
        <w:rPr>
          <w:rFonts w:hint="eastAsia" w:ascii="宋体" w:hAnsi="宋体" w:cs="楷体_GB2312"/>
          <w:color w:val="auto"/>
          <w:sz w:val="24"/>
          <w:highlight w:val="none"/>
          <w:lang w:val="zh-CN"/>
        </w:rPr>
        <w:t>）以联合体形式参加投标的，应符投标人须知前附表的要求，联合体各方均应当符合政府采购法第二十二条第一款规定的条件，联合体各方均应当具备承担招标项目（标段&lt;包&gt;）的相应能力、具备规定的相应资格条件。</w:t>
      </w:r>
    </w:p>
    <w:p w14:paraId="48C57463">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4</w:t>
      </w:r>
      <w:r>
        <w:rPr>
          <w:rFonts w:hint="eastAsia" w:ascii="宋体" w:hAnsi="宋体" w:cs="楷体_GB2312"/>
          <w:color w:val="auto"/>
          <w:sz w:val="24"/>
          <w:highlight w:val="none"/>
          <w:lang w:val="zh-CN"/>
        </w:rPr>
        <w:t>）联合体中有同类资质的供应商按照联合体分工承担相同工作的，应当按照资质等级较低的供应商确定资质等级。</w:t>
      </w:r>
    </w:p>
    <w:p w14:paraId="2AD93024">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5</w:t>
      </w:r>
      <w:r>
        <w:rPr>
          <w:rFonts w:hint="eastAsia" w:ascii="宋体" w:hAnsi="宋体" w:cs="楷体_GB2312"/>
          <w:color w:val="auto"/>
          <w:sz w:val="24"/>
          <w:highlight w:val="none"/>
          <w:lang w:val="zh-CN"/>
        </w:rPr>
        <w:t>）联合体各方之间应当签订联合投标协议，明确约定联合体各方承担的工作和相应的责任，并将联合投标协议连同《投标文件》一并提交采购代理机构。</w:t>
      </w:r>
    </w:p>
    <w:p w14:paraId="17ED5E18">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6</w:t>
      </w:r>
      <w:r>
        <w:rPr>
          <w:rFonts w:hint="eastAsia" w:ascii="宋体" w:hAnsi="宋体" w:cs="楷体_GB2312"/>
          <w:color w:val="auto"/>
          <w:sz w:val="24"/>
          <w:highlight w:val="none"/>
          <w:lang w:val="zh-CN"/>
        </w:rPr>
        <w:t>）联合体各方签订联合投标协议后，不得再以自己名义单独在同一项目中投标，也不得组成新的联合体参加同一项目投标。</w:t>
      </w:r>
    </w:p>
    <w:p w14:paraId="67DA28F3">
      <w:pPr>
        <w:autoSpaceDE w:val="0"/>
        <w:autoSpaceDN w:val="0"/>
        <w:adjustRightInd w:val="0"/>
        <w:snapToGrid w:val="0"/>
        <w:spacing w:before="156" w:beforeLines="50" w:line="300" w:lineRule="auto"/>
        <w:ind w:firstLine="539"/>
        <w:rPr>
          <w:rFonts w:ascii="宋体" w:hAns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7</w:t>
      </w:r>
      <w:r>
        <w:rPr>
          <w:rFonts w:hint="eastAsia" w:ascii="宋体" w:hAnsi="宋体" w:cs="楷体_GB2312"/>
          <w:color w:val="auto"/>
          <w:sz w:val="24"/>
          <w:highlight w:val="none"/>
          <w:lang w:val="zh-CN"/>
        </w:rPr>
        <w:t>）联合体中标的，联合体各方应当共同与采购人签订合同，就中标项目（标段&lt;包&gt;）向采购人承担连带责任。</w:t>
      </w:r>
    </w:p>
    <w:p w14:paraId="6D1259C4">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（8）预留中小企业份额项目中，</w:t>
      </w:r>
      <w:r>
        <w:rPr>
          <w:rFonts w:hint="eastAsia" w:ascii="宋体" w:hAnsi="宋体"/>
          <w:color w:val="auto"/>
          <w:sz w:val="24"/>
          <w:szCs w:val="24"/>
          <w:highlight w:val="none"/>
        </w:rPr>
        <w:t>组成联合体的中小企业与联合体内其他企业不得存在直接控股、管理关系。</w:t>
      </w:r>
    </w:p>
    <w:p w14:paraId="3AFD5163">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hint="eastAsia" w:ascii="黑体" w:hAnsi="黑体" w:eastAsia="黑体" w:cs="楷体_GB2312"/>
          <w:b/>
          <w:color w:val="auto"/>
          <w:sz w:val="24"/>
          <w:highlight w:val="none"/>
          <w:lang w:val="zh-CN"/>
        </w:rPr>
        <w:t>1.5</w:t>
      </w:r>
      <w:r>
        <w:rPr>
          <w:rFonts w:hint="eastAsia" w:ascii="黑体" w:hAnsi="黑体" w:eastAsia="黑体" w:cs="楷体_GB2312"/>
          <w:b/>
          <w:color w:val="auto"/>
          <w:sz w:val="24"/>
          <w:highlight w:val="none"/>
          <w:lang w:val="en-US" w:eastAsia="zh-CN"/>
        </w:rPr>
        <w:t xml:space="preserve"> </w:t>
      </w:r>
      <w:r>
        <w:rPr>
          <w:rFonts w:hint="eastAsia" w:ascii="黑体" w:hAnsi="黑体" w:eastAsia="黑体" w:cs="楷体_GB2312"/>
          <w:b/>
          <w:color w:val="auto"/>
          <w:sz w:val="24"/>
          <w:highlight w:val="none"/>
          <w:lang w:val="zh-CN"/>
        </w:rPr>
        <w:t>知识产权</w:t>
      </w:r>
    </w:p>
    <w:p w14:paraId="3BDB62B3">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1.5.1 供应商须保证采购人使用投标货物、资料、技术、服务或其任何一部分时，享有不受限制的无偿使用权，不会产生因第三方提出侵犯其专利权、商标权或其它知识产权而引起的法律或经济纠纷。如因专利权、商标权或其它知识产权而引起法律和经济纠纷，由供应商承担所有相关责任。</w:t>
      </w:r>
    </w:p>
    <w:p w14:paraId="26C4F6A5">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如供应商不拥有相应的知识产权，则在投标报价中必须包括合法获取该知识产权的一切相关费用。如因此导致采购人损失的，供应商须承担全部赔偿责任。</w:t>
      </w:r>
    </w:p>
    <w:p w14:paraId="4F610356">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1.5.2</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供应商将在采购项目实施过程中采用自有或者第三方知识成果的，应当在</w:t>
      </w:r>
      <w:r>
        <w:rPr>
          <w:rFonts w:hint="eastAsia" w:ascii="宋体" w:hAnsi="宋体" w:eastAsia="宋体" w:cs="楷体_GB2312"/>
          <w:color w:val="auto"/>
          <w:sz w:val="24"/>
          <w:highlight w:val="none"/>
          <w:lang w:val="zh-CN" w:eastAsia="zh-CN"/>
        </w:rPr>
        <w:t>《投标文件》</w:t>
      </w:r>
      <w:r>
        <w:rPr>
          <w:rFonts w:hint="eastAsia" w:ascii="宋体" w:hAnsi="宋体" w:eastAsia="宋体" w:cs="楷体_GB2312"/>
          <w:color w:val="auto"/>
          <w:sz w:val="24"/>
          <w:highlight w:val="none"/>
          <w:lang w:val="zh-CN"/>
        </w:rPr>
        <w:t>中载明，并提供相关知识产权证明文件。使用该知识成果后，供应商需提供开发接口和开发手册等技术资料，并承诺提供无限期支持，采购人享有使用权（含采购人委托第三方在该项目后续开发的使用权）。</w:t>
      </w:r>
    </w:p>
    <w:p w14:paraId="2DF6EC1E">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1.5.3 除非</w:t>
      </w:r>
      <w:r>
        <w:rPr>
          <w:rFonts w:hint="eastAsia" w:ascii="宋体" w:hAnsi="宋体" w:eastAsia="宋体" w:cs="楷体_GB2312"/>
          <w:color w:val="auto"/>
          <w:sz w:val="24"/>
          <w:highlight w:val="none"/>
          <w:lang w:val="zh-CN" w:eastAsia="zh-CN"/>
        </w:rPr>
        <w:t>《招标文件》</w:t>
      </w:r>
      <w:r>
        <w:rPr>
          <w:rFonts w:hint="eastAsia" w:ascii="宋体" w:hAnsi="宋体" w:eastAsia="宋体" w:cs="楷体_GB2312"/>
          <w:color w:val="auto"/>
          <w:sz w:val="24"/>
          <w:highlight w:val="none"/>
          <w:lang w:val="zh-CN"/>
        </w:rPr>
        <w:t>特别规定，采购人享有本项目实施过程中产生的知识成果及知识产权。</w:t>
      </w:r>
    </w:p>
    <w:p w14:paraId="5B024DF0">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1.</w:t>
      </w:r>
      <w:r>
        <w:rPr>
          <w:rFonts w:hint="eastAsia" w:ascii="黑体" w:hAnsi="黑体" w:eastAsia="黑体" w:cs="楷体_GB2312"/>
          <w:b/>
          <w:color w:val="auto"/>
          <w:sz w:val="24"/>
          <w:highlight w:val="none"/>
          <w:lang w:val="zh-CN"/>
        </w:rPr>
        <w:t>6</w:t>
      </w:r>
      <w:r>
        <w:rPr>
          <w:rFonts w:ascii="黑体" w:hAnsi="黑体" w:eastAsia="黑体" w:cs="楷体_GB2312"/>
          <w:b/>
          <w:color w:val="auto"/>
          <w:sz w:val="24"/>
          <w:highlight w:val="none"/>
          <w:lang w:val="zh-CN"/>
        </w:rPr>
        <w:t xml:space="preserve"> </w:t>
      </w:r>
      <w:r>
        <w:rPr>
          <w:rFonts w:hint="eastAsia" w:ascii="黑体" w:hAnsi="黑体" w:eastAsia="黑体" w:cs="楷体_GB2312"/>
          <w:b/>
          <w:color w:val="auto"/>
          <w:sz w:val="24"/>
          <w:highlight w:val="none"/>
          <w:lang w:val="zh-CN"/>
        </w:rPr>
        <w:t>投标费用</w:t>
      </w:r>
    </w:p>
    <w:p w14:paraId="4875C53F">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无论投标过程中的做法和结果如何，无论何种原因的招标失败废标，投标人应自行承担所有与准备和参加投标有关的全部费用（类比商业采购中的客户洽谈费用），采购代理机构在任何情况下均无义务和责任承担投标人的任何费用。</w:t>
      </w:r>
    </w:p>
    <w:p w14:paraId="62554543">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1.</w:t>
      </w:r>
      <w:r>
        <w:rPr>
          <w:rFonts w:hint="eastAsia" w:ascii="黑体" w:hAnsi="黑体" w:eastAsia="黑体" w:cs="楷体_GB2312"/>
          <w:b/>
          <w:color w:val="auto"/>
          <w:sz w:val="24"/>
          <w:highlight w:val="none"/>
          <w:lang w:val="zh-CN"/>
        </w:rPr>
        <w:t>7</w:t>
      </w:r>
      <w:r>
        <w:rPr>
          <w:rFonts w:hint="eastAsia" w:ascii="黑体" w:hAnsi="黑体" w:eastAsia="黑体" w:cs="楷体_GB2312"/>
          <w:b/>
          <w:color w:val="auto"/>
          <w:sz w:val="24"/>
          <w:highlight w:val="none"/>
          <w:lang w:val="en-US" w:eastAsia="zh-CN"/>
        </w:rPr>
        <w:t xml:space="preserve"> </w:t>
      </w:r>
      <w:r>
        <w:rPr>
          <w:rFonts w:hint="eastAsia" w:ascii="黑体" w:hAnsi="黑体" w:eastAsia="黑体" w:cs="楷体_GB2312"/>
          <w:b/>
          <w:color w:val="auto"/>
          <w:sz w:val="24"/>
          <w:highlight w:val="none"/>
          <w:lang w:val="zh-CN"/>
        </w:rPr>
        <w:t>保密</w:t>
      </w:r>
    </w:p>
    <w:p w14:paraId="3539DB3B">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1.</w:t>
      </w:r>
      <w:r>
        <w:rPr>
          <w:rFonts w:hint="eastAsia" w:ascii="宋体" w:hAnsi="宋体" w:cs="楷体_GB2312"/>
          <w:color w:val="auto"/>
          <w:sz w:val="24"/>
          <w:highlight w:val="none"/>
          <w:lang w:val="zh-CN"/>
        </w:rPr>
        <w:t>7</w:t>
      </w:r>
      <w:r>
        <w:rPr>
          <w:rFonts w:ascii="宋体" w:hAnsi="宋体" w:cs="楷体_GB2312"/>
          <w:color w:val="auto"/>
          <w:sz w:val="24"/>
          <w:highlight w:val="none"/>
          <w:lang w:val="zh-CN"/>
        </w:rPr>
        <w:t xml:space="preserve">.1 </w:t>
      </w:r>
      <w:r>
        <w:rPr>
          <w:rFonts w:hint="eastAsia" w:ascii="宋体" w:hAnsi="宋体" w:cs="楷体_GB2312"/>
          <w:color w:val="auto"/>
          <w:sz w:val="24"/>
          <w:highlight w:val="none"/>
          <w:lang w:val="zh-CN"/>
        </w:rPr>
        <w:t>参与公开招标活动的各方应对《招标文件》和《投标文件》中的商业和技术等秘密保密，投标人应在《投标文件》中对需保密事项予以书面声明，否则视为非保密事项。</w:t>
      </w:r>
    </w:p>
    <w:p w14:paraId="3C5EBC06">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1.</w:t>
      </w:r>
      <w:r>
        <w:rPr>
          <w:rFonts w:hint="eastAsia" w:ascii="宋体" w:hAnsi="宋体" w:cs="楷体_GB2312"/>
          <w:color w:val="auto"/>
          <w:sz w:val="24"/>
          <w:highlight w:val="none"/>
          <w:lang w:val="zh-CN"/>
        </w:rPr>
        <w:t>7</w:t>
      </w:r>
      <w:r>
        <w:rPr>
          <w:rFonts w:ascii="宋体" w:hAnsi="宋体" w:cs="楷体_GB2312"/>
          <w:color w:val="auto"/>
          <w:sz w:val="24"/>
          <w:highlight w:val="none"/>
          <w:lang w:val="zh-CN"/>
        </w:rPr>
        <w:t xml:space="preserve">.2 </w:t>
      </w:r>
      <w:r>
        <w:rPr>
          <w:rFonts w:hint="eastAsia" w:ascii="宋体" w:hAnsi="宋体" w:cs="楷体_GB2312"/>
          <w:color w:val="auto"/>
          <w:sz w:val="24"/>
          <w:highlight w:val="none"/>
          <w:lang w:val="zh-CN"/>
        </w:rPr>
        <w:t>依据政府采购中标结果及合同公告规定，中标（合同）标的名称、规格型号、单价及中标（合同）金额等内容不得作为商业秘密。</w:t>
      </w:r>
    </w:p>
    <w:p w14:paraId="28BE8C95">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1.</w:t>
      </w:r>
      <w:r>
        <w:rPr>
          <w:rFonts w:hint="eastAsia" w:ascii="黑体" w:hAnsi="黑体" w:eastAsia="黑体" w:cs="楷体_GB2312"/>
          <w:b/>
          <w:color w:val="auto"/>
          <w:sz w:val="24"/>
          <w:highlight w:val="none"/>
          <w:lang w:val="zh-CN"/>
        </w:rPr>
        <w:t>8</w:t>
      </w:r>
      <w:r>
        <w:rPr>
          <w:rFonts w:hint="eastAsia" w:ascii="黑体" w:hAnsi="黑体" w:eastAsia="黑体" w:cs="楷体_GB2312"/>
          <w:b/>
          <w:color w:val="auto"/>
          <w:sz w:val="24"/>
          <w:highlight w:val="none"/>
          <w:lang w:val="en-US" w:eastAsia="zh-CN"/>
        </w:rPr>
        <w:t xml:space="preserve"> </w:t>
      </w:r>
      <w:r>
        <w:rPr>
          <w:rFonts w:hint="eastAsia" w:ascii="黑体" w:hAnsi="黑体" w:eastAsia="黑体" w:cs="楷体_GB2312"/>
          <w:b/>
          <w:color w:val="auto"/>
          <w:sz w:val="24"/>
          <w:highlight w:val="none"/>
          <w:lang w:val="zh-CN"/>
        </w:rPr>
        <w:t>语言文字</w:t>
      </w:r>
    </w:p>
    <w:p w14:paraId="5D9511A5">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除专用术语外，与公开招标有关的语言均使用中文。必要时专用术语应附有中文注释。如果《投标文件》或与投标有关的其它文件、信件及来往函电以其它语言书写，投标人应将其译成中文，并对中文译稿的真实、准确、完整承担责任。</w:t>
      </w:r>
    </w:p>
    <w:p w14:paraId="3CA81197">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1.</w:t>
      </w:r>
      <w:r>
        <w:rPr>
          <w:rFonts w:hint="eastAsia" w:ascii="黑体" w:hAnsi="黑体" w:eastAsia="黑体" w:cs="楷体_GB2312"/>
          <w:b/>
          <w:color w:val="auto"/>
          <w:sz w:val="24"/>
          <w:highlight w:val="none"/>
          <w:lang w:val="zh-CN"/>
        </w:rPr>
        <w:t>9</w:t>
      </w:r>
      <w:r>
        <w:rPr>
          <w:rFonts w:ascii="黑体" w:hAnsi="黑体" w:eastAsia="黑体" w:cs="楷体_GB2312"/>
          <w:b/>
          <w:color w:val="auto"/>
          <w:sz w:val="24"/>
          <w:highlight w:val="none"/>
          <w:lang w:val="zh-CN"/>
        </w:rPr>
        <w:t xml:space="preserve"> </w:t>
      </w:r>
      <w:r>
        <w:rPr>
          <w:rFonts w:hint="eastAsia" w:ascii="黑体" w:hAnsi="黑体" w:eastAsia="黑体" w:cs="楷体_GB2312"/>
          <w:b/>
          <w:color w:val="auto"/>
          <w:sz w:val="24"/>
          <w:highlight w:val="none"/>
          <w:lang w:val="zh-CN"/>
        </w:rPr>
        <w:t>计量单位</w:t>
      </w:r>
    </w:p>
    <w:p w14:paraId="564D20EF">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所有计量均采用中华人民共和国法定计量单位。</w:t>
      </w:r>
    </w:p>
    <w:p w14:paraId="349CA10D">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1.</w:t>
      </w:r>
      <w:r>
        <w:rPr>
          <w:rFonts w:hint="eastAsia" w:ascii="黑体" w:hAnsi="黑体" w:eastAsia="黑体" w:cs="楷体_GB2312"/>
          <w:b/>
          <w:color w:val="auto"/>
          <w:sz w:val="24"/>
          <w:highlight w:val="none"/>
          <w:lang w:val="zh-CN"/>
        </w:rPr>
        <w:t>10</w:t>
      </w:r>
      <w:r>
        <w:rPr>
          <w:rFonts w:ascii="黑体" w:hAnsi="黑体" w:eastAsia="黑体" w:cs="楷体_GB2312"/>
          <w:b/>
          <w:color w:val="auto"/>
          <w:sz w:val="24"/>
          <w:highlight w:val="none"/>
          <w:lang w:val="zh-CN"/>
        </w:rPr>
        <w:t xml:space="preserve"> </w:t>
      </w:r>
      <w:r>
        <w:rPr>
          <w:rFonts w:hint="eastAsia" w:ascii="黑体" w:hAnsi="黑体" w:eastAsia="黑体" w:cs="楷体_GB2312"/>
          <w:b/>
          <w:color w:val="auto"/>
          <w:sz w:val="24"/>
          <w:highlight w:val="none"/>
          <w:lang w:val="zh-CN"/>
        </w:rPr>
        <w:t>踏勘现场</w:t>
      </w:r>
    </w:p>
    <w:p w14:paraId="4CDE8876">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1.</w:t>
      </w:r>
      <w:r>
        <w:rPr>
          <w:rFonts w:hint="eastAsia" w:ascii="宋体" w:hAnsi="宋体" w:eastAsia="宋体" w:cs="楷体_GB2312"/>
          <w:color w:val="auto"/>
          <w:sz w:val="24"/>
          <w:highlight w:val="none"/>
          <w:lang w:val="zh-CN"/>
        </w:rPr>
        <w:t>10</w:t>
      </w:r>
      <w:r>
        <w:rPr>
          <w:rFonts w:ascii="宋体" w:hAnsi="宋体" w:eastAsia="宋体" w:cs="楷体_GB2312"/>
          <w:color w:val="auto"/>
          <w:sz w:val="24"/>
          <w:highlight w:val="none"/>
          <w:lang w:val="zh-CN"/>
        </w:rPr>
        <w:t xml:space="preserve">.1 </w:t>
      </w:r>
      <w:r>
        <w:rPr>
          <w:rFonts w:hint="eastAsia" w:ascii="宋体" w:hAnsi="宋体" w:eastAsia="宋体" w:cs="楷体_GB2312"/>
          <w:color w:val="auto"/>
          <w:sz w:val="24"/>
          <w:highlight w:val="none"/>
          <w:lang w:val="zh-CN"/>
        </w:rPr>
        <w:t>投标人踏勘现场发生的费用自理，投标人自行负责在踏勘现场中所发生的人员伤亡和财产损失。</w:t>
      </w:r>
    </w:p>
    <w:p w14:paraId="2181517C">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1.</w:t>
      </w:r>
      <w:r>
        <w:rPr>
          <w:rFonts w:hint="eastAsia" w:ascii="宋体" w:hAnsi="宋体" w:eastAsia="宋体" w:cs="楷体_GB2312"/>
          <w:color w:val="auto"/>
          <w:sz w:val="24"/>
          <w:highlight w:val="none"/>
          <w:lang w:val="zh-CN"/>
        </w:rPr>
        <w:t>10</w:t>
      </w:r>
      <w:r>
        <w:rPr>
          <w:rFonts w:ascii="宋体" w:hAnsi="宋体" w:eastAsia="宋体" w:cs="楷体_GB2312"/>
          <w:color w:val="auto"/>
          <w:sz w:val="24"/>
          <w:highlight w:val="none"/>
          <w:lang w:val="zh-CN"/>
        </w:rPr>
        <w:t xml:space="preserve">.2 </w:t>
      </w:r>
      <w:r>
        <w:rPr>
          <w:rFonts w:hint="eastAsia" w:ascii="宋体" w:hAnsi="宋体" w:eastAsia="宋体" w:cs="楷体_GB2312"/>
          <w:color w:val="auto"/>
          <w:sz w:val="24"/>
          <w:highlight w:val="none"/>
          <w:lang w:val="zh-CN"/>
        </w:rPr>
        <w:t>投标人须知前附表规定组织踏勘现场的，采购人及代理机构按投标人须知前附表规定的时间、地点组织投标人踏勘项目现场。或者在《招标文件》提供期限截止后以书面形式通知所有获取《招标文件》的潜在投标人。采购人及代理机构在踏勘现场中介绍的交验安装条件和相关的周边环境情况，供投标人在编制《投标文件》时参考，采购人及代理机构不对投标人据此作出的判断和决策负责。</w:t>
      </w:r>
    </w:p>
    <w:p w14:paraId="2A797BFC">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1.</w:t>
      </w:r>
      <w:r>
        <w:rPr>
          <w:rFonts w:hint="eastAsia" w:ascii="宋体" w:hAnsi="宋体" w:eastAsia="宋体" w:cs="楷体_GB2312"/>
          <w:color w:val="auto"/>
          <w:sz w:val="24"/>
          <w:highlight w:val="none"/>
          <w:lang w:val="zh-CN"/>
        </w:rPr>
        <w:t>10</w:t>
      </w:r>
      <w:r>
        <w:rPr>
          <w:rFonts w:ascii="宋体" w:hAnsi="宋体" w:eastAsia="宋体" w:cs="楷体_GB2312"/>
          <w:color w:val="auto"/>
          <w:sz w:val="24"/>
          <w:highlight w:val="none"/>
          <w:lang w:val="zh-CN"/>
        </w:rPr>
        <w:t xml:space="preserve">.3 </w:t>
      </w:r>
      <w:r>
        <w:rPr>
          <w:rFonts w:hint="eastAsia" w:ascii="宋体" w:hAnsi="宋体" w:eastAsia="宋体" w:cs="楷体_GB2312"/>
          <w:color w:val="auto"/>
          <w:sz w:val="24"/>
          <w:highlight w:val="none"/>
          <w:lang w:val="zh-CN"/>
        </w:rPr>
        <w:t>不组织踏勘现场的，《招标文件》不单独提供交付（实施）地自然环境、气候条件、交验安装条件等情况说明，投标人被视为熟悉前述与履行合同有关的一切情况，投标人可自行踏勘现场并自行了解相关情况。</w:t>
      </w:r>
    </w:p>
    <w:p w14:paraId="699C1788">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1.1</w:t>
      </w:r>
      <w:r>
        <w:rPr>
          <w:rFonts w:hint="eastAsia" w:ascii="黑体" w:hAnsi="黑体" w:eastAsia="黑体" w:cs="楷体_GB2312"/>
          <w:b/>
          <w:color w:val="auto"/>
          <w:sz w:val="24"/>
          <w:highlight w:val="none"/>
          <w:lang w:val="zh-CN"/>
        </w:rPr>
        <w:t>1</w:t>
      </w:r>
      <w:r>
        <w:rPr>
          <w:rFonts w:ascii="黑体" w:hAnsi="黑体" w:eastAsia="黑体" w:cs="楷体_GB2312"/>
          <w:b/>
          <w:color w:val="auto"/>
          <w:sz w:val="24"/>
          <w:highlight w:val="none"/>
          <w:lang w:val="zh-CN"/>
        </w:rPr>
        <w:t xml:space="preserve"> </w:t>
      </w:r>
      <w:r>
        <w:rPr>
          <w:rFonts w:hint="eastAsia" w:ascii="黑体" w:hAnsi="黑体" w:eastAsia="黑体" w:cs="楷体_GB2312"/>
          <w:b/>
          <w:color w:val="auto"/>
          <w:sz w:val="24"/>
          <w:highlight w:val="none"/>
          <w:lang w:val="zh-CN"/>
        </w:rPr>
        <w:t>开标前答疑会</w:t>
      </w:r>
    </w:p>
    <w:p w14:paraId="6F2A924A">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1.1</w:t>
      </w:r>
      <w:r>
        <w:rPr>
          <w:rFonts w:hint="eastAsia" w:ascii="宋体" w:hAnsi="宋体" w:eastAsia="宋体" w:cs="楷体_GB2312"/>
          <w:color w:val="auto"/>
          <w:sz w:val="24"/>
          <w:highlight w:val="none"/>
          <w:lang w:val="zh-CN"/>
        </w:rPr>
        <w:t>1</w:t>
      </w:r>
      <w:r>
        <w:rPr>
          <w:rFonts w:ascii="宋体" w:hAnsi="宋体" w:eastAsia="宋体" w:cs="楷体_GB2312"/>
          <w:color w:val="auto"/>
          <w:sz w:val="24"/>
          <w:highlight w:val="none"/>
          <w:lang w:val="zh-CN"/>
        </w:rPr>
        <w:t xml:space="preserve">.1 </w:t>
      </w:r>
      <w:r>
        <w:rPr>
          <w:rFonts w:hint="eastAsia" w:ascii="宋体" w:hAnsi="宋体" w:eastAsia="宋体" w:cs="楷体_GB2312"/>
          <w:color w:val="auto"/>
          <w:sz w:val="24"/>
          <w:highlight w:val="none"/>
          <w:lang w:val="zh-CN"/>
        </w:rPr>
        <w:t>采购人或者采购代理机构可以在《招标文件》提供期限截止后，组织已获取《招标文件》的潜在投标人召开开标前答疑会。</w:t>
      </w:r>
    </w:p>
    <w:p w14:paraId="56943654">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召开答疑会的，将在《招标文件》中载明，或者在《招标文件》提供期限截止后以书面形式通知所有获取《招标文件》的潜在投标人。</w:t>
      </w:r>
    </w:p>
    <w:p w14:paraId="2AC7A2D6">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1.1</w:t>
      </w:r>
      <w:r>
        <w:rPr>
          <w:rFonts w:hint="eastAsia" w:ascii="宋体" w:hAnsi="宋体" w:eastAsia="宋体" w:cs="楷体_GB2312"/>
          <w:color w:val="auto"/>
          <w:sz w:val="24"/>
          <w:highlight w:val="none"/>
          <w:lang w:val="zh-CN"/>
        </w:rPr>
        <w:t>1</w:t>
      </w:r>
      <w:r>
        <w:rPr>
          <w:rFonts w:ascii="宋体" w:hAnsi="宋体" w:eastAsia="宋体" w:cs="楷体_GB2312"/>
          <w:color w:val="auto"/>
          <w:sz w:val="24"/>
          <w:highlight w:val="none"/>
          <w:lang w:val="zh-CN"/>
        </w:rPr>
        <w:t xml:space="preserve">.2 </w:t>
      </w:r>
      <w:r>
        <w:rPr>
          <w:rFonts w:hint="eastAsia" w:ascii="宋体" w:hAnsi="宋体" w:eastAsia="宋体" w:cs="楷体_GB2312"/>
          <w:color w:val="auto"/>
          <w:sz w:val="24"/>
          <w:highlight w:val="none"/>
          <w:lang w:val="zh-CN"/>
        </w:rPr>
        <w:t>投标人应在投标人须知前附表或书面通知规定的时间前，以书面形式将提出的问题送达采购人及代理机构，以便采购人及代理机构在会议期间答疑说明。投标人需要采购人或者采购代理机构书面澄清的问题，应当书面明确标注。</w:t>
      </w:r>
    </w:p>
    <w:p w14:paraId="043E41F1">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1.1</w:t>
      </w:r>
      <w:r>
        <w:rPr>
          <w:rFonts w:hint="eastAsia" w:ascii="宋体" w:hAnsi="宋体" w:eastAsia="宋体" w:cs="楷体_GB2312"/>
          <w:color w:val="auto"/>
          <w:sz w:val="24"/>
          <w:highlight w:val="none"/>
          <w:lang w:val="zh-CN"/>
        </w:rPr>
        <w:t>1</w:t>
      </w:r>
      <w:r>
        <w:rPr>
          <w:rFonts w:ascii="宋体" w:hAnsi="宋体" w:eastAsia="宋体" w:cs="楷体_GB2312"/>
          <w:color w:val="auto"/>
          <w:sz w:val="24"/>
          <w:highlight w:val="none"/>
          <w:lang w:val="zh-CN"/>
        </w:rPr>
        <w:t xml:space="preserve">.3 </w:t>
      </w:r>
      <w:r>
        <w:rPr>
          <w:rFonts w:hint="eastAsia" w:ascii="宋体" w:hAnsi="宋体" w:eastAsia="宋体" w:cs="楷体_GB2312"/>
          <w:color w:val="auto"/>
          <w:sz w:val="24"/>
          <w:highlight w:val="none"/>
          <w:lang w:val="zh-CN"/>
        </w:rPr>
        <w:t>答疑会后，采购人及代理机构在投标人须知前附表规定的时间内，将对投标人依法提出的重要问题的澄清，以本章</w:t>
      </w:r>
      <w:r>
        <w:rPr>
          <w:rFonts w:ascii="宋体" w:hAnsi="宋体" w:eastAsia="宋体" w:cs="楷体_GB2312"/>
          <w:color w:val="auto"/>
          <w:sz w:val="24"/>
          <w:highlight w:val="none"/>
          <w:lang w:val="zh-CN"/>
        </w:rPr>
        <w:t>2.</w:t>
      </w:r>
      <w:r>
        <w:rPr>
          <w:rFonts w:hint="eastAsia" w:ascii="宋体" w:hAnsi="宋体" w:eastAsia="宋体" w:cs="楷体_GB2312"/>
          <w:color w:val="auto"/>
          <w:sz w:val="24"/>
          <w:highlight w:val="none"/>
          <w:lang w:val="zh-CN"/>
        </w:rPr>
        <w:t>4</w:t>
      </w:r>
      <w:r>
        <w:rPr>
          <w:rFonts w:ascii="宋体" w:hAnsi="宋体" w:eastAsia="宋体" w:cs="楷体_GB2312"/>
          <w:color w:val="auto"/>
          <w:sz w:val="24"/>
          <w:highlight w:val="none"/>
          <w:lang w:val="zh-CN"/>
        </w:rPr>
        <w:t>.</w:t>
      </w:r>
      <w:r>
        <w:rPr>
          <w:rFonts w:hint="eastAsia" w:ascii="宋体" w:hAnsi="宋体" w:eastAsia="宋体" w:cs="楷体_GB2312"/>
          <w:color w:val="auto"/>
          <w:sz w:val="24"/>
          <w:highlight w:val="none"/>
          <w:lang w:val="zh-CN"/>
        </w:rPr>
        <w:t>1项方式通告潜在投标人。该澄清内容为《招标文件》的组成部分。</w:t>
      </w:r>
    </w:p>
    <w:p w14:paraId="08A7BB73">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1.1</w:t>
      </w:r>
      <w:r>
        <w:rPr>
          <w:rFonts w:hint="eastAsia" w:ascii="黑体" w:hAnsi="黑体" w:eastAsia="黑体" w:cs="楷体_GB2312"/>
          <w:b/>
          <w:color w:val="auto"/>
          <w:sz w:val="24"/>
          <w:highlight w:val="none"/>
          <w:lang w:val="zh-CN"/>
        </w:rPr>
        <w:t>2</w:t>
      </w:r>
      <w:r>
        <w:rPr>
          <w:rFonts w:ascii="黑体" w:hAnsi="黑体" w:eastAsia="黑体" w:cs="楷体_GB2312"/>
          <w:b/>
          <w:color w:val="auto"/>
          <w:sz w:val="24"/>
          <w:highlight w:val="none"/>
          <w:lang w:val="zh-CN"/>
        </w:rPr>
        <w:t xml:space="preserve"> </w:t>
      </w:r>
      <w:r>
        <w:rPr>
          <w:rFonts w:hint="eastAsia" w:ascii="黑体" w:hAnsi="黑体" w:eastAsia="黑体" w:cs="楷体_GB2312"/>
          <w:b/>
          <w:color w:val="auto"/>
          <w:sz w:val="24"/>
          <w:highlight w:val="none"/>
          <w:lang w:val="zh-CN"/>
        </w:rPr>
        <w:t>分包</w:t>
      </w:r>
    </w:p>
    <w:p w14:paraId="1ED8A15C">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en-US" w:eastAsia="zh-CN"/>
        </w:rPr>
        <w:t xml:space="preserve">1.12.1 </w:t>
      </w:r>
      <w:r>
        <w:rPr>
          <w:rFonts w:hint="eastAsia" w:ascii="宋体" w:hAnsi="宋体" w:eastAsia="宋体" w:cs="楷体_GB2312"/>
          <w:color w:val="auto"/>
          <w:sz w:val="24"/>
          <w:highlight w:val="none"/>
          <w:lang w:val="zh-CN"/>
        </w:rPr>
        <w:t>投标人拟中标后将中标项目（标段&lt;包&gt;）的部分非主体、非关键性工作进行分包的，应符合投标人须知前附表规定的分包内容、分包金额和接受分包的第三人资质要求等限制性条件。投标人应当在</w:t>
      </w:r>
      <w:r>
        <w:rPr>
          <w:rFonts w:hint="eastAsia" w:ascii="宋体" w:hAnsi="宋体" w:eastAsia="宋体" w:cs="楷体_GB2312"/>
          <w:color w:val="auto"/>
          <w:sz w:val="24"/>
          <w:highlight w:val="none"/>
          <w:lang w:val="zh-CN" w:eastAsia="zh-CN"/>
        </w:rPr>
        <w:t>《投标文件》</w:t>
      </w:r>
      <w:r>
        <w:rPr>
          <w:rFonts w:hint="eastAsia" w:ascii="宋体" w:hAnsi="宋体" w:eastAsia="宋体" w:cs="楷体_GB2312"/>
          <w:color w:val="auto"/>
          <w:sz w:val="24"/>
          <w:highlight w:val="none"/>
          <w:lang w:val="zh-CN"/>
        </w:rPr>
        <w:t>中载明分包承担主体，分包承担主体应当具备相应资质条件且不得再次分包。</w:t>
      </w:r>
    </w:p>
    <w:p w14:paraId="3751DBBE">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en-US" w:eastAsia="zh-CN"/>
        </w:rPr>
        <w:t xml:space="preserve">1.12.2 </w:t>
      </w:r>
      <w:r>
        <w:rPr>
          <w:rFonts w:hint="eastAsia" w:ascii="宋体" w:hAnsi="宋体" w:eastAsia="宋体" w:cs="楷体_GB2312"/>
          <w:color w:val="auto"/>
          <w:sz w:val="24"/>
          <w:highlight w:val="none"/>
          <w:lang w:val="zh-CN"/>
        </w:rPr>
        <w:t>预留中小企业份额项目中，接受分包合同的中小企业与分包企业之间不得存在直接控股、管理关系</w:t>
      </w:r>
    </w:p>
    <w:p w14:paraId="7C71F7AD">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en-US" w:eastAsia="zh-CN"/>
        </w:rPr>
        <w:t xml:space="preserve">1.12.3 </w:t>
      </w:r>
      <w:r>
        <w:rPr>
          <w:rFonts w:hint="eastAsia" w:ascii="宋体" w:hAnsi="宋体" w:eastAsia="宋体" w:cs="楷体_GB2312"/>
          <w:color w:val="auto"/>
          <w:sz w:val="24"/>
          <w:highlight w:val="none"/>
          <w:lang w:val="zh-CN"/>
        </w:rPr>
        <w:t>依法享受扶持政策获得政府采购合同的，小微企业不得将合同分包给大中型企业，中型企业不得将合同分包给大型企业。</w:t>
      </w:r>
    </w:p>
    <w:p w14:paraId="74CB1F9F">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1.1</w:t>
      </w:r>
      <w:r>
        <w:rPr>
          <w:rFonts w:hint="eastAsia" w:ascii="黑体" w:hAnsi="黑体" w:eastAsia="黑体" w:cs="楷体_GB2312"/>
          <w:b/>
          <w:color w:val="auto"/>
          <w:sz w:val="24"/>
          <w:highlight w:val="none"/>
          <w:lang w:val="zh-CN"/>
        </w:rPr>
        <w:t>3 偏离</w:t>
      </w:r>
    </w:p>
    <w:p w14:paraId="2AC47D8D">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《招标文件》允许《投标文件》偏离《招标文件》某些要求的，偏离应当符合《招标文件》规定的偏离范围和幅度。</w:t>
      </w:r>
    </w:p>
    <w:p w14:paraId="2DD47CFA">
      <w:pPr>
        <w:autoSpaceDE w:val="0"/>
        <w:autoSpaceDN w:val="0"/>
        <w:adjustRightInd w:val="0"/>
        <w:snapToGrid w:val="0"/>
        <w:spacing w:before="156" w:beforeLines="50" w:line="300" w:lineRule="auto"/>
        <w:ind w:firstLine="539"/>
        <w:rPr>
          <w:rFonts w:ascii="黑体" w:hAnsi="黑体" w:eastAsia="黑体" w:cs="楷体_GB2312"/>
          <w:b/>
          <w:bCs/>
          <w:color w:val="auto"/>
          <w:sz w:val="28"/>
          <w:szCs w:val="28"/>
          <w:highlight w:val="none"/>
          <w:lang w:val="zh-CN"/>
        </w:rPr>
      </w:pPr>
    </w:p>
    <w:p w14:paraId="4005577E">
      <w:pPr>
        <w:autoSpaceDE w:val="0"/>
        <w:autoSpaceDN w:val="0"/>
        <w:adjustRightInd w:val="0"/>
        <w:snapToGrid w:val="0"/>
        <w:spacing w:before="156" w:beforeLines="50" w:line="300" w:lineRule="auto"/>
        <w:ind w:firstLine="539"/>
        <w:outlineLvl w:val="1"/>
        <w:rPr>
          <w:rFonts w:ascii="黑体" w:hAnsi="黑体" w:eastAsia="黑体" w:cs="楷体_GB2312"/>
          <w:b/>
          <w:bCs/>
          <w:color w:val="auto"/>
          <w:sz w:val="28"/>
          <w:szCs w:val="28"/>
          <w:highlight w:val="none"/>
          <w:lang w:val="zh-CN"/>
        </w:rPr>
      </w:pPr>
      <w:bookmarkStart w:id="42" w:name="_Toc15135"/>
      <w:r>
        <w:rPr>
          <w:rFonts w:ascii="黑体" w:hAnsi="黑体" w:eastAsia="黑体" w:cs="楷体_GB2312"/>
          <w:b/>
          <w:bCs/>
          <w:color w:val="auto"/>
          <w:sz w:val="28"/>
          <w:szCs w:val="28"/>
          <w:highlight w:val="none"/>
          <w:lang w:val="zh-CN"/>
        </w:rPr>
        <w:t>2.</w:t>
      </w:r>
      <w:r>
        <w:rPr>
          <w:rFonts w:hint="eastAsia" w:ascii="黑体" w:hAnsi="黑体" w:eastAsia="黑体" w:cs="楷体_GB2312"/>
          <w:b/>
          <w:bCs/>
          <w:color w:val="auto"/>
          <w:sz w:val="28"/>
          <w:szCs w:val="28"/>
          <w:highlight w:val="none"/>
          <w:lang w:val="zh-CN"/>
        </w:rPr>
        <w:t>《招标文件》</w:t>
      </w:r>
      <w:bookmarkEnd w:id="42"/>
    </w:p>
    <w:p w14:paraId="6D0E8C42">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黑体" w:hAnsi="黑体" w:eastAsia="黑体" w:cs="楷体_GB2312"/>
          <w:b/>
          <w:color w:val="auto"/>
          <w:sz w:val="24"/>
          <w:highlight w:val="none"/>
          <w:lang w:val="zh-CN"/>
        </w:rPr>
        <w:t xml:space="preserve">2.1 </w:t>
      </w:r>
      <w:r>
        <w:rPr>
          <w:rFonts w:hint="eastAsia" w:ascii="黑体" w:hAnsi="黑体" w:eastAsia="黑体" w:cs="楷体_GB2312"/>
          <w:b/>
          <w:color w:val="auto"/>
          <w:sz w:val="24"/>
          <w:highlight w:val="none"/>
          <w:lang w:val="zh-CN"/>
        </w:rPr>
        <w:t>《招标文件》的组成</w:t>
      </w:r>
    </w:p>
    <w:p w14:paraId="1F1F9DF8">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2.1.1 </w:t>
      </w:r>
      <w:r>
        <w:rPr>
          <w:rFonts w:hint="eastAsia" w:ascii="宋体" w:hAnsi="宋体" w:cs="楷体_GB2312"/>
          <w:color w:val="auto"/>
          <w:sz w:val="24"/>
          <w:highlight w:val="none"/>
          <w:lang w:val="zh-CN"/>
        </w:rPr>
        <w:t>《招标文件》用以阐明招标项目的内容、程序和合同主要条款。《招标文件》由下述部分组成：</w:t>
      </w:r>
    </w:p>
    <w:p w14:paraId="2D19F106">
      <w:pPr>
        <w:autoSpaceDE w:val="0"/>
        <w:autoSpaceDN w:val="0"/>
        <w:adjustRightInd w:val="0"/>
        <w:snapToGrid w:val="0"/>
        <w:spacing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1</w:t>
      </w:r>
      <w:r>
        <w:rPr>
          <w:rFonts w:hint="eastAsia" w:ascii="宋体" w:hAnsi="宋体" w:cs="楷体_GB2312"/>
          <w:color w:val="auto"/>
          <w:sz w:val="24"/>
          <w:highlight w:val="none"/>
          <w:lang w:val="zh-CN"/>
        </w:rPr>
        <w:t>）招标公告</w:t>
      </w:r>
    </w:p>
    <w:p w14:paraId="7EEFAC62">
      <w:pPr>
        <w:autoSpaceDE w:val="0"/>
        <w:autoSpaceDN w:val="0"/>
        <w:adjustRightInd w:val="0"/>
        <w:snapToGrid w:val="0"/>
        <w:spacing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2</w:t>
      </w:r>
      <w:r>
        <w:rPr>
          <w:rFonts w:hint="eastAsia" w:ascii="宋体" w:hAnsi="宋体" w:cs="楷体_GB2312"/>
          <w:color w:val="auto"/>
          <w:sz w:val="24"/>
          <w:highlight w:val="none"/>
          <w:lang w:val="zh-CN"/>
        </w:rPr>
        <w:t>）招标项目要求及采购需求</w:t>
      </w:r>
    </w:p>
    <w:p w14:paraId="6111DE50">
      <w:pPr>
        <w:autoSpaceDE w:val="0"/>
        <w:autoSpaceDN w:val="0"/>
        <w:adjustRightInd w:val="0"/>
        <w:snapToGrid w:val="0"/>
        <w:spacing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3</w:t>
      </w:r>
      <w:r>
        <w:rPr>
          <w:rFonts w:hint="eastAsia" w:ascii="宋体" w:hAnsi="宋体" w:cs="楷体_GB2312"/>
          <w:color w:val="auto"/>
          <w:sz w:val="24"/>
          <w:highlight w:val="none"/>
          <w:lang w:val="zh-CN"/>
        </w:rPr>
        <w:t>）投标人须知</w:t>
      </w:r>
    </w:p>
    <w:p w14:paraId="0328D60C">
      <w:pPr>
        <w:autoSpaceDE w:val="0"/>
        <w:autoSpaceDN w:val="0"/>
        <w:adjustRightInd w:val="0"/>
        <w:snapToGrid w:val="0"/>
        <w:spacing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4</w:t>
      </w:r>
      <w:r>
        <w:rPr>
          <w:rFonts w:hint="eastAsia" w:ascii="宋体" w:hAnsi="宋体" w:cs="楷体_GB2312"/>
          <w:color w:val="auto"/>
          <w:sz w:val="24"/>
          <w:highlight w:val="none"/>
          <w:lang w:val="zh-CN"/>
        </w:rPr>
        <w:t>）评标办法</w:t>
      </w:r>
    </w:p>
    <w:p w14:paraId="5E1E3F6D">
      <w:pPr>
        <w:autoSpaceDE w:val="0"/>
        <w:autoSpaceDN w:val="0"/>
        <w:adjustRightInd w:val="0"/>
        <w:snapToGrid w:val="0"/>
        <w:spacing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5</w:t>
      </w:r>
      <w:r>
        <w:rPr>
          <w:rFonts w:hint="eastAsia" w:ascii="宋体" w:hAnsi="宋体" w:cs="楷体_GB2312"/>
          <w:color w:val="auto"/>
          <w:sz w:val="24"/>
          <w:highlight w:val="none"/>
          <w:lang w:val="zh-CN"/>
        </w:rPr>
        <w:t>）合同主要条款</w:t>
      </w:r>
    </w:p>
    <w:p w14:paraId="77CBDAD5">
      <w:pPr>
        <w:autoSpaceDE w:val="0"/>
        <w:autoSpaceDN w:val="0"/>
        <w:adjustRightInd w:val="0"/>
        <w:snapToGrid w:val="0"/>
        <w:spacing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w:t>
      </w:r>
      <w:r>
        <w:rPr>
          <w:rFonts w:ascii="宋体" w:hAnsi="宋体" w:cs="楷体_GB2312"/>
          <w:color w:val="auto"/>
          <w:sz w:val="24"/>
          <w:highlight w:val="none"/>
          <w:lang w:val="zh-CN"/>
        </w:rPr>
        <w:t>6</w:t>
      </w:r>
      <w:r>
        <w:rPr>
          <w:rFonts w:hint="eastAsia" w:ascii="宋体" w:hAnsi="宋体" w:cs="楷体_GB2312"/>
          <w:color w:val="auto"/>
          <w:sz w:val="24"/>
          <w:highlight w:val="none"/>
          <w:lang w:val="zh-CN"/>
        </w:rPr>
        <w:t>）《投标文件》格式</w:t>
      </w:r>
    </w:p>
    <w:p w14:paraId="0482006C">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2.1.2 </w:t>
      </w:r>
      <w:r>
        <w:rPr>
          <w:rFonts w:hint="eastAsia" w:ascii="宋体" w:hAnsi="宋体" w:cs="楷体_GB2312"/>
          <w:color w:val="auto"/>
          <w:sz w:val="24"/>
          <w:highlight w:val="none"/>
          <w:lang w:val="zh-CN"/>
        </w:rPr>
        <w:t>根据本章第</w:t>
      </w:r>
      <w:r>
        <w:rPr>
          <w:rFonts w:ascii="宋体" w:hAnsi="宋体" w:cs="楷体_GB2312"/>
          <w:color w:val="auto"/>
          <w:sz w:val="24"/>
          <w:highlight w:val="none"/>
          <w:lang w:val="zh-CN"/>
        </w:rPr>
        <w:t>1.1</w:t>
      </w:r>
      <w:r>
        <w:rPr>
          <w:rFonts w:hint="eastAsia" w:ascii="宋体" w:hAnsi="宋体" w:cs="楷体_GB2312"/>
          <w:color w:val="auto"/>
          <w:sz w:val="24"/>
          <w:highlight w:val="none"/>
          <w:lang w:val="zh-CN"/>
        </w:rPr>
        <w:t>1款、第</w:t>
      </w:r>
      <w:r>
        <w:rPr>
          <w:rFonts w:ascii="宋体" w:hAnsi="宋体" w:cs="楷体_GB2312"/>
          <w:color w:val="auto"/>
          <w:sz w:val="24"/>
          <w:highlight w:val="none"/>
          <w:lang w:val="zh-CN"/>
        </w:rPr>
        <w:t>2.2</w:t>
      </w:r>
      <w:r>
        <w:rPr>
          <w:rFonts w:hint="eastAsia" w:ascii="宋体" w:hAnsi="宋体" w:cs="楷体_GB2312"/>
          <w:color w:val="auto"/>
          <w:sz w:val="24"/>
          <w:highlight w:val="none"/>
          <w:lang w:val="zh-CN"/>
        </w:rPr>
        <w:t>款、第</w:t>
      </w:r>
      <w:r>
        <w:rPr>
          <w:rFonts w:ascii="宋体" w:hAnsi="宋体" w:cs="楷体_GB2312"/>
          <w:color w:val="auto"/>
          <w:sz w:val="24"/>
          <w:highlight w:val="none"/>
          <w:lang w:val="zh-CN"/>
        </w:rPr>
        <w:t>2.3</w:t>
      </w:r>
      <w:r>
        <w:rPr>
          <w:rFonts w:hint="eastAsia" w:ascii="宋体" w:hAnsi="宋体" w:cs="楷体_GB2312"/>
          <w:color w:val="auto"/>
          <w:sz w:val="24"/>
          <w:highlight w:val="none"/>
          <w:lang w:val="zh-CN"/>
        </w:rPr>
        <w:t>款和第</w:t>
      </w:r>
      <w:r>
        <w:rPr>
          <w:rFonts w:ascii="宋体" w:hAnsi="宋体" w:cs="楷体_GB2312"/>
          <w:color w:val="auto"/>
          <w:sz w:val="24"/>
          <w:highlight w:val="none"/>
          <w:lang w:val="zh-CN"/>
        </w:rPr>
        <w:t>2.</w:t>
      </w:r>
      <w:r>
        <w:rPr>
          <w:rFonts w:hint="eastAsia" w:ascii="宋体" w:hAnsi="宋体" w:cs="楷体_GB2312"/>
          <w:color w:val="auto"/>
          <w:sz w:val="24"/>
          <w:highlight w:val="none"/>
          <w:lang w:val="zh-CN"/>
        </w:rPr>
        <w:t>4款、对《招标文件》的澄清、修改、补充书构成《招标文件》的组成部分，并取代《招标文件》中被澄清、修改处，对所有投标人均有约束力。</w:t>
      </w:r>
    </w:p>
    <w:p w14:paraId="3E1CC298">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2.1.3 </w:t>
      </w:r>
      <w:r>
        <w:rPr>
          <w:rFonts w:hint="eastAsia" w:ascii="宋体" w:hAnsi="宋体" w:cs="楷体_GB2312"/>
          <w:color w:val="auto"/>
          <w:sz w:val="24"/>
          <w:highlight w:val="none"/>
          <w:lang w:val="zh-CN"/>
        </w:rPr>
        <w:t>当《招标文件》、《招标文件》的澄清、修改、补充等在同一内容的表述上不一致时，以最后发出（发布）的文件为准。</w:t>
      </w:r>
    </w:p>
    <w:p w14:paraId="236883E7">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2.1.4 </w:t>
      </w:r>
      <w:r>
        <w:rPr>
          <w:rFonts w:hint="eastAsia" w:ascii="宋体" w:hAnsi="宋体" w:cs="楷体_GB2312"/>
          <w:color w:val="auto"/>
          <w:sz w:val="24"/>
          <w:highlight w:val="none"/>
          <w:lang w:val="zh-CN"/>
        </w:rPr>
        <w:t>投标人与任何人的口头协议不影响《招标文件》的任何条款和内容。</w:t>
      </w:r>
    </w:p>
    <w:p w14:paraId="6C5ED95C">
      <w:pPr>
        <w:autoSpaceDE w:val="0"/>
        <w:autoSpaceDN w:val="0"/>
        <w:adjustRightInd w:val="0"/>
        <w:snapToGrid w:val="0"/>
        <w:spacing w:before="156" w:beforeLines="50" w:line="300" w:lineRule="auto"/>
        <w:ind w:firstLine="539"/>
        <w:rPr>
          <w:rFonts w:ascii="宋体" w:cs="楷体_GB2312"/>
          <w:color w:val="auto"/>
          <w:sz w:val="24"/>
          <w:highlight w:val="none"/>
        </w:rPr>
      </w:pPr>
      <w:r>
        <w:rPr>
          <w:rFonts w:ascii="宋体" w:hAnsi="宋体" w:cs="楷体_GB2312"/>
          <w:color w:val="auto"/>
          <w:sz w:val="24"/>
          <w:highlight w:val="none"/>
        </w:rPr>
        <w:t>2.1.5</w:t>
      </w:r>
      <w:r>
        <w:rPr>
          <w:rFonts w:hint="eastAsia" w:ascii="宋体" w:hAnsi="宋体" w:cs="楷体_GB2312"/>
          <w:color w:val="auto"/>
          <w:sz w:val="24"/>
          <w:highlight w:val="none"/>
          <w:lang w:val="en-US" w:eastAsia="zh-CN"/>
        </w:rPr>
        <w:t xml:space="preserve"> </w:t>
      </w:r>
      <w:r>
        <w:rPr>
          <w:rFonts w:hint="eastAsia" w:ascii="宋体" w:hAnsi="宋体" w:cs="楷体_GB2312"/>
          <w:color w:val="auto"/>
          <w:sz w:val="24"/>
          <w:highlight w:val="none"/>
        </w:rPr>
        <w:t>投标人应仔细阅读和检查</w:t>
      </w:r>
      <w:r>
        <w:rPr>
          <w:rFonts w:hint="eastAsia" w:ascii="宋体" w:hAnsi="宋体" w:cs="楷体_GB2312"/>
          <w:color w:val="auto"/>
          <w:sz w:val="24"/>
          <w:highlight w:val="none"/>
          <w:lang w:eastAsia="zh-CN"/>
        </w:rPr>
        <w:t>《招标文件》</w:t>
      </w:r>
      <w:r>
        <w:rPr>
          <w:rFonts w:hint="eastAsia" w:ascii="宋体" w:hAnsi="宋体" w:cs="楷体_GB2312"/>
          <w:color w:val="auto"/>
          <w:sz w:val="24"/>
          <w:highlight w:val="none"/>
        </w:rPr>
        <w:t>的全部内容是否齐全，如发现缺页或附件不全等遗漏，应及时向采购代理机构提出并索取补齐，否则责任及风险自负。</w:t>
      </w:r>
    </w:p>
    <w:p w14:paraId="5A8D40CF">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2.2 </w:t>
      </w:r>
      <w:r>
        <w:rPr>
          <w:rFonts w:hint="eastAsia" w:ascii="黑体" w:hAnsi="黑体" w:eastAsia="黑体" w:cs="楷体_GB2312"/>
          <w:b/>
          <w:color w:val="auto"/>
          <w:sz w:val="24"/>
          <w:highlight w:val="none"/>
          <w:lang w:val="zh-CN"/>
        </w:rPr>
        <w:t>《招标文件》的澄清</w:t>
      </w:r>
    </w:p>
    <w:p w14:paraId="634DF517">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 xml:space="preserve">2.2.1 </w:t>
      </w:r>
      <w:r>
        <w:rPr>
          <w:rFonts w:hint="eastAsia" w:ascii="宋体" w:hAnsi="宋体" w:eastAsia="宋体" w:cs="楷体_GB2312"/>
          <w:color w:val="auto"/>
          <w:sz w:val="24"/>
          <w:highlight w:val="none"/>
          <w:lang w:val="zh-CN"/>
        </w:rPr>
        <w:t>合规获取《招标文件》的所有潜在投标人对《招标文件》如有需澄清的疑问，应在投标人须知前附表规定的时间内，按投标人须知前附表规定通知到采购代理机构。在规定的时间内未提出疑问的，将视为对《招标文件》的完全认可。</w:t>
      </w:r>
    </w:p>
    <w:p w14:paraId="5944F1E0">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 xml:space="preserve">2.2.2 </w:t>
      </w:r>
      <w:r>
        <w:rPr>
          <w:rFonts w:hint="eastAsia" w:ascii="宋体" w:hAnsi="宋体" w:eastAsia="宋体" w:cs="楷体_GB2312"/>
          <w:color w:val="auto"/>
          <w:sz w:val="24"/>
          <w:highlight w:val="none"/>
          <w:lang w:val="zh-CN"/>
        </w:rPr>
        <w:t>采购代理机构对潜在投标人在规定的时间内提出的疑问，将按投标人须知前附表规定予以答复。</w:t>
      </w:r>
    </w:p>
    <w:p w14:paraId="79B9C31F">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 xml:space="preserve">2.2.3 </w:t>
      </w:r>
      <w:r>
        <w:rPr>
          <w:rFonts w:hint="eastAsia" w:ascii="宋体" w:hAnsi="宋体" w:eastAsia="宋体" w:cs="楷体_GB2312"/>
          <w:color w:val="auto"/>
          <w:sz w:val="24"/>
          <w:highlight w:val="none"/>
          <w:lang w:val="zh-CN"/>
        </w:rPr>
        <w:t>《招标文件》中如有不符合国家有关强制性规定、不符合国家标准及行业标准的，投标人应在投标阶段或中标实施阶段予以纠正或尽提醒义务。如作为有经验的投标人（中标人）应当知道而未尽提醒义务的，执行指令而造成的损失及风险由投标人（中标人）承担。</w:t>
      </w:r>
    </w:p>
    <w:p w14:paraId="60E7AB21">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2.2.4</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采购代理机构可视情况在投标截止前答疑。</w:t>
      </w:r>
    </w:p>
    <w:p w14:paraId="7C1528C1">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2.3 </w:t>
      </w:r>
      <w:r>
        <w:rPr>
          <w:rFonts w:hint="eastAsia" w:ascii="黑体" w:hAnsi="黑体" w:eastAsia="黑体" w:cs="楷体_GB2312"/>
          <w:b/>
          <w:color w:val="auto"/>
          <w:sz w:val="24"/>
          <w:highlight w:val="none"/>
          <w:lang w:val="zh-CN"/>
        </w:rPr>
        <w:t>《招标文件》的澄清、修改、补充</w:t>
      </w:r>
    </w:p>
    <w:p w14:paraId="00BE5195">
      <w:pPr>
        <w:autoSpaceDE w:val="0"/>
        <w:autoSpaceDN w:val="0"/>
        <w:adjustRightInd w:val="0"/>
        <w:snapToGrid w:val="0"/>
        <w:spacing w:before="156" w:beforeLines="50" w:line="300" w:lineRule="auto"/>
        <w:ind w:firstLine="537" w:firstLineChars="224"/>
        <w:rPr>
          <w:rFonts w:ascii="宋体" w:cs="楷体_GB2312"/>
          <w:color w:val="auto"/>
          <w:sz w:val="24"/>
          <w:highlight w:val="none"/>
          <w:lang w:val="zh-CN"/>
        </w:rPr>
      </w:pPr>
      <w:r>
        <w:rPr>
          <w:rFonts w:hint="eastAsia" w:ascii="宋体" w:hAnsi="宋体" w:cs="楷体_GB2312"/>
          <w:color w:val="auto"/>
          <w:sz w:val="24"/>
          <w:highlight w:val="none"/>
          <w:lang w:val="zh-CN"/>
        </w:rPr>
        <w:t>采购人、代理机构在投标截止时间前有权澄清修改、补充已发售的《招标文件》。</w:t>
      </w:r>
    </w:p>
    <w:p w14:paraId="24345D9B">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黑体" w:hAnsi="黑体" w:eastAsia="黑体" w:cs="楷体_GB2312"/>
          <w:b/>
          <w:color w:val="auto"/>
          <w:sz w:val="24"/>
          <w:highlight w:val="none"/>
          <w:lang w:val="zh-CN"/>
        </w:rPr>
        <w:t xml:space="preserve">2.4 </w:t>
      </w:r>
      <w:r>
        <w:rPr>
          <w:rFonts w:hint="eastAsia" w:ascii="黑体" w:hAnsi="黑体" w:eastAsia="黑体" w:cs="楷体_GB2312"/>
          <w:b/>
          <w:color w:val="auto"/>
          <w:sz w:val="24"/>
          <w:highlight w:val="none"/>
          <w:lang w:val="zh-CN"/>
        </w:rPr>
        <w:t>《招标文件》的澄清、修改、补充的</w:t>
      </w:r>
      <w:r>
        <w:rPr>
          <w:rFonts w:ascii="黑体" w:hAnsi="黑体" w:eastAsia="黑体" w:cs="楷体_GB2312"/>
          <w:b/>
          <w:color w:val="auto"/>
          <w:sz w:val="24"/>
          <w:highlight w:val="none"/>
          <w:lang w:val="zh-CN"/>
        </w:rPr>
        <w:t>通知</w:t>
      </w:r>
      <w:r>
        <w:rPr>
          <w:rFonts w:hint="eastAsia" w:ascii="黑体" w:hAnsi="黑体" w:eastAsia="黑体" w:cs="楷体_GB2312"/>
          <w:b/>
          <w:color w:val="auto"/>
          <w:sz w:val="24"/>
          <w:highlight w:val="none"/>
          <w:lang w:val="zh-CN"/>
        </w:rPr>
        <w:t>，及</w:t>
      </w:r>
      <w:r>
        <w:rPr>
          <w:rFonts w:ascii="黑体" w:hAnsi="黑体" w:eastAsia="黑体" w:cs="楷体_GB2312"/>
          <w:b/>
          <w:color w:val="auto"/>
          <w:sz w:val="24"/>
          <w:highlight w:val="none"/>
          <w:lang w:val="zh-CN"/>
        </w:rPr>
        <w:t>相应</w:t>
      </w:r>
      <w:r>
        <w:rPr>
          <w:rFonts w:hint="eastAsia" w:ascii="黑体" w:hAnsi="黑体" w:eastAsia="黑体" w:cs="楷体_GB2312"/>
          <w:b/>
          <w:color w:val="auto"/>
          <w:sz w:val="24"/>
          <w:highlight w:val="none"/>
          <w:lang w:val="zh-CN"/>
        </w:rPr>
        <w:t>时间变更</w:t>
      </w:r>
    </w:p>
    <w:p w14:paraId="2BC6AC06">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ascii="宋体" w:hAnsi="宋体" w:cs="楷体_GB2312"/>
          <w:color w:val="auto"/>
          <w:sz w:val="24"/>
          <w:highlight w:val="none"/>
          <w:lang w:val="zh-CN"/>
        </w:rPr>
        <w:t xml:space="preserve">2.4.1 </w:t>
      </w:r>
      <w:r>
        <w:rPr>
          <w:rFonts w:hint="eastAsia" w:ascii="宋体" w:hAnsi="宋体" w:cs="楷体_GB2312"/>
          <w:color w:val="auto"/>
          <w:sz w:val="24"/>
          <w:highlight w:val="none"/>
          <w:lang w:val="zh-CN"/>
        </w:rPr>
        <w:t>《招标文件》在投标截止时间前的所有澄清、修改（包括时间变更等）、补充事项，均在“招标公告”所述媒体予以公告。</w:t>
      </w:r>
      <w:r>
        <w:rPr>
          <w:rFonts w:hint="eastAsia" w:ascii="宋体" w:hAnsi="宋体" w:cs="楷体_GB2312"/>
          <w:b/>
          <w:color w:val="auto"/>
          <w:sz w:val="24"/>
          <w:highlight w:val="none"/>
          <w:lang w:val="zh-CN"/>
        </w:rPr>
        <w:t>澄清或修改公告一经在</w:t>
      </w:r>
      <w:r>
        <w:rPr>
          <w:rFonts w:ascii="宋体" w:hAnsi="宋体" w:cs="楷体_GB2312"/>
          <w:b/>
          <w:color w:val="auto"/>
          <w:sz w:val="24"/>
          <w:highlight w:val="none"/>
          <w:lang w:val="zh-CN"/>
        </w:rPr>
        <w:t>法定网</w:t>
      </w:r>
      <w:r>
        <w:rPr>
          <w:rFonts w:hint="eastAsia" w:ascii="宋体" w:hAnsi="宋体" w:cs="楷体_GB2312"/>
          <w:b/>
          <w:color w:val="auto"/>
          <w:sz w:val="24"/>
          <w:highlight w:val="none"/>
          <w:lang w:val="zh-CN"/>
        </w:rPr>
        <w:t>站以</w:t>
      </w:r>
      <w:r>
        <w:rPr>
          <w:rFonts w:ascii="宋体" w:hAnsi="宋体" w:cs="楷体_GB2312"/>
          <w:b/>
          <w:color w:val="auto"/>
          <w:sz w:val="24"/>
          <w:highlight w:val="none"/>
          <w:lang w:val="zh-CN"/>
        </w:rPr>
        <w:t>公</w:t>
      </w:r>
      <w:r>
        <w:rPr>
          <w:rFonts w:hint="eastAsia" w:ascii="宋体" w:hAnsi="宋体" w:cs="楷体_GB2312"/>
          <w:b/>
          <w:color w:val="auto"/>
          <w:sz w:val="24"/>
          <w:highlight w:val="none"/>
          <w:lang w:val="zh-CN"/>
        </w:rPr>
        <w:t>告</w:t>
      </w:r>
      <w:r>
        <w:rPr>
          <w:rFonts w:ascii="宋体" w:hAnsi="宋体" w:cs="楷体_GB2312"/>
          <w:b/>
          <w:color w:val="auto"/>
          <w:sz w:val="24"/>
          <w:highlight w:val="none"/>
          <w:lang w:val="zh-CN"/>
        </w:rPr>
        <w:t>形式</w:t>
      </w:r>
      <w:r>
        <w:rPr>
          <w:rFonts w:hint="eastAsia" w:ascii="宋体" w:hAnsi="宋体" w:cs="楷体_GB2312"/>
          <w:b/>
          <w:color w:val="auto"/>
          <w:sz w:val="24"/>
          <w:highlight w:val="none"/>
          <w:lang w:val="zh-CN"/>
        </w:rPr>
        <w:t>发布，依法视为书面通知，不再另行通知。</w:t>
      </w:r>
    </w:p>
    <w:p w14:paraId="1FF9DD6A">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hint="eastAsia" w:ascii="宋体" w:hAnsi="宋体" w:cs="楷体_GB2312"/>
          <w:b/>
          <w:color w:val="auto"/>
          <w:sz w:val="24"/>
          <w:highlight w:val="none"/>
          <w:lang w:val="zh-CN"/>
        </w:rPr>
        <w:t>基于网</w:t>
      </w:r>
      <w:r>
        <w:rPr>
          <w:rFonts w:ascii="宋体" w:hAnsi="宋体" w:cs="楷体_GB2312"/>
          <w:b/>
          <w:color w:val="auto"/>
          <w:sz w:val="24"/>
          <w:highlight w:val="none"/>
          <w:lang w:val="zh-CN"/>
        </w:rPr>
        <w:t>上</w:t>
      </w:r>
      <w:r>
        <w:rPr>
          <w:rFonts w:hint="eastAsia" w:ascii="宋体" w:hAnsi="宋体" w:cs="楷体_GB2312"/>
          <w:b/>
          <w:color w:val="auto"/>
          <w:sz w:val="24"/>
          <w:highlight w:val="none"/>
          <w:lang w:val="zh-CN"/>
        </w:rPr>
        <w:t>电</w:t>
      </w:r>
      <w:r>
        <w:rPr>
          <w:rFonts w:ascii="宋体" w:hAnsi="宋体" w:cs="楷体_GB2312"/>
          <w:b/>
          <w:color w:val="auto"/>
          <w:sz w:val="24"/>
          <w:highlight w:val="none"/>
          <w:lang w:val="zh-CN"/>
        </w:rPr>
        <w:t>子</w:t>
      </w:r>
      <w:r>
        <w:rPr>
          <w:rFonts w:hint="eastAsia" w:ascii="宋体" w:hAnsi="宋体" w:cs="楷体_GB2312"/>
          <w:b/>
          <w:color w:val="auto"/>
          <w:sz w:val="24"/>
          <w:highlight w:val="none"/>
          <w:lang w:val="zh-CN"/>
        </w:rPr>
        <w:t>交易</w:t>
      </w:r>
      <w:r>
        <w:rPr>
          <w:rFonts w:ascii="宋体" w:hAnsi="宋体" w:cs="楷体_GB2312"/>
          <w:b/>
          <w:color w:val="auto"/>
          <w:sz w:val="24"/>
          <w:highlight w:val="none"/>
          <w:lang w:val="zh-CN"/>
        </w:rPr>
        <w:t>的特点—</w:t>
      </w:r>
      <w:r>
        <w:rPr>
          <w:rFonts w:ascii="宋体" w:cs="楷体_GB2312"/>
          <w:b/>
          <w:color w:val="auto"/>
          <w:sz w:val="24"/>
          <w:highlight w:val="none"/>
          <w:lang w:val="zh-CN"/>
        </w:rPr>
        <w:t>-</w:t>
      </w:r>
      <w:r>
        <w:rPr>
          <w:rFonts w:hint="eastAsia" w:ascii="宋体" w:hAnsi="宋体" w:cs="楷体_GB2312"/>
          <w:b/>
          <w:color w:val="auto"/>
          <w:sz w:val="24"/>
          <w:highlight w:val="none"/>
          <w:lang w:val="zh-CN"/>
        </w:rPr>
        <w:t>无权限获知或通知潜在投标人，潜在投标人应随时关注“招标公告”所</w:t>
      </w:r>
      <w:r>
        <w:rPr>
          <w:rFonts w:ascii="宋体" w:hAnsi="宋体" w:cs="楷体_GB2312"/>
          <w:b/>
          <w:color w:val="auto"/>
          <w:sz w:val="24"/>
          <w:highlight w:val="none"/>
          <w:lang w:val="zh-CN"/>
        </w:rPr>
        <w:t>述媒体</w:t>
      </w:r>
      <w:r>
        <w:rPr>
          <w:rFonts w:hint="eastAsia" w:ascii="宋体" w:hAnsi="宋体" w:cs="楷体_GB2312"/>
          <w:b/>
          <w:color w:val="auto"/>
          <w:sz w:val="24"/>
          <w:highlight w:val="none"/>
          <w:lang w:val="zh-CN"/>
        </w:rPr>
        <w:t>相关项目信息（为免各部门网站出现维护等情况，潜在投标人应对“招标公告”所述媒体逐一查阅），如有遗漏，后果自负。</w:t>
      </w:r>
    </w:p>
    <w:p w14:paraId="4EF564D5">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cs="楷体_GB2312"/>
          <w:color w:val="auto"/>
          <w:sz w:val="24"/>
          <w:highlight w:val="none"/>
          <w:lang w:val="zh-CN"/>
        </w:rPr>
        <w:t>2.</w:t>
      </w:r>
      <w:r>
        <w:rPr>
          <w:rFonts w:ascii="宋体" w:cs="楷体_GB2312"/>
          <w:color w:val="auto"/>
          <w:sz w:val="24"/>
          <w:highlight w:val="none"/>
          <w:lang w:val="zh-CN"/>
        </w:rPr>
        <w:t>4</w:t>
      </w:r>
      <w:r>
        <w:rPr>
          <w:rFonts w:hint="eastAsia" w:ascii="宋体" w:cs="楷体_GB2312"/>
          <w:color w:val="auto"/>
          <w:sz w:val="24"/>
          <w:highlight w:val="none"/>
          <w:lang w:val="zh-CN"/>
        </w:rPr>
        <w:t>.2</w:t>
      </w:r>
      <w:r>
        <w:rPr>
          <w:rFonts w:hint="eastAsia" w:ascii="宋体" w:cs="楷体_GB2312"/>
          <w:color w:val="auto"/>
          <w:sz w:val="24"/>
          <w:highlight w:val="none"/>
          <w:lang w:val="en-US" w:eastAsia="zh-CN"/>
        </w:rPr>
        <w:t xml:space="preserve"> </w:t>
      </w:r>
      <w:r>
        <w:rPr>
          <w:rFonts w:hint="eastAsia" w:ascii="宋体" w:cs="楷体_GB2312"/>
          <w:color w:val="auto"/>
          <w:sz w:val="24"/>
          <w:highlight w:val="none"/>
          <w:lang w:val="zh-CN"/>
        </w:rPr>
        <w:t>《招标文件》的澄清、修改、补充书构成《招标文件》的组成部分，并取代《招标文件》中被澄清、修改处，对所有投标人均有约束力。</w:t>
      </w:r>
    </w:p>
    <w:p w14:paraId="4D636B64">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2.4.3 </w:t>
      </w:r>
      <w:r>
        <w:rPr>
          <w:rFonts w:hint="eastAsia" w:ascii="宋体" w:hAnsi="宋体" w:cs="楷体_GB2312"/>
          <w:color w:val="auto"/>
          <w:sz w:val="24"/>
          <w:highlight w:val="none"/>
          <w:lang w:val="zh-CN"/>
        </w:rPr>
        <w:t>如果投标截止时间前的澄清修改补充发出的时间不满足投标人须知前附表规定时间，并且澄清修改补充内容影响《投标文件》编制的，代理机构可视采购具体情况延长投标截止时间和开标时间，并将在“招标公告”所述媒体予以公告。</w:t>
      </w:r>
    </w:p>
    <w:p w14:paraId="74C39B61">
      <w:pPr>
        <w:autoSpaceDE w:val="0"/>
        <w:autoSpaceDN w:val="0"/>
        <w:adjustRightInd w:val="0"/>
        <w:snapToGrid w:val="0"/>
        <w:spacing w:before="156" w:beforeLines="50" w:line="300" w:lineRule="auto"/>
        <w:ind w:firstLine="539"/>
        <w:outlineLvl w:val="1"/>
        <w:rPr>
          <w:rFonts w:ascii="黑体" w:hAnsi="黑体" w:eastAsia="黑体" w:cs="楷体_GB2312"/>
          <w:b/>
          <w:bCs/>
          <w:color w:val="auto"/>
          <w:sz w:val="28"/>
          <w:szCs w:val="28"/>
          <w:highlight w:val="none"/>
        </w:rPr>
      </w:pPr>
    </w:p>
    <w:p w14:paraId="0BBAE78F">
      <w:pPr>
        <w:autoSpaceDE w:val="0"/>
        <w:autoSpaceDN w:val="0"/>
        <w:adjustRightInd w:val="0"/>
        <w:snapToGrid w:val="0"/>
        <w:spacing w:before="156" w:beforeLines="50" w:line="300" w:lineRule="auto"/>
        <w:ind w:firstLine="539"/>
        <w:outlineLvl w:val="1"/>
        <w:rPr>
          <w:rFonts w:ascii="黑体" w:hAnsi="黑体" w:eastAsia="黑体" w:cs="楷体_GB2312"/>
          <w:b/>
          <w:bCs/>
          <w:color w:val="auto"/>
          <w:sz w:val="28"/>
          <w:szCs w:val="28"/>
          <w:highlight w:val="none"/>
          <w:lang w:val="zh-CN"/>
        </w:rPr>
      </w:pPr>
      <w:bookmarkStart w:id="43" w:name="_Toc8655"/>
      <w:r>
        <w:rPr>
          <w:rFonts w:ascii="黑体" w:hAnsi="黑体" w:eastAsia="黑体" w:cs="楷体_GB2312"/>
          <w:b/>
          <w:bCs/>
          <w:color w:val="auto"/>
          <w:sz w:val="28"/>
          <w:szCs w:val="28"/>
          <w:highlight w:val="none"/>
          <w:lang w:val="zh-CN"/>
        </w:rPr>
        <w:t>3.</w:t>
      </w:r>
      <w:r>
        <w:rPr>
          <w:rFonts w:hint="eastAsia" w:ascii="黑体" w:hAnsi="黑体" w:eastAsia="黑体" w:cs="楷体_GB2312"/>
          <w:b/>
          <w:bCs/>
          <w:color w:val="auto"/>
          <w:sz w:val="28"/>
          <w:szCs w:val="28"/>
          <w:highlight w:val="none"/>
          <w:lang w:val="zh-CN"/>
        </w:rPr>
        <w:t>《投标文件》</w:t>
      </w:r>
      <w:bookmarkEnd w:id="43"/>
    </w:p>
    <w:p w14:paraId="0DBB5535">
      <w:pPr>
        <w:autoSpaceDE w:val="0"/>
        <w:autoSpaceDN w:val="0"/>
        <w:adjustRightInd w:val="0"/>
        <w:snapToGrid w:val="0"/>
        <w:spacing w:before="156" w:beforeLines="50" w:line="300" w:lineRule="auto"/>
        <w:ind w:firstLine="539"/>
        <w:rPr>
          <w:rFonts w:ascii="宋体" w:cs="楷体_GB2312"/>
          <w:b/>
          <w:color w:val="auto"/>
          <w:sz w:val="24"/>
          <w:highlight w:val="none"/>
          <w:lang w:val="zh-CN"/>
        </w:rPr>
      </w:pPr>
      <w:r>
        <w:rPr>
          <w:rFonts w:ascii="黑体" w:hAnsi="黑体" w:eastAsia="黑体" w:cs="楷体_GB2312"/>
          <w:b/>
          <w:color w:val="auto"/>
          <w:sz w:val="24"/>
          <w:highlight w:val="none"/>
          <w:lang w:val="zh-CN"/>
        </w:rPr>
        <w:t>3.1</w:t>
      </w:r>
      <w:r>
        <w:rPr>
          <w:rFonts w:hint="eastAsia" w:ascii="黑体" w:hAnsi="黑体" w:eastAsia="黑体" w:cs="楷体_GB2312"/>
          <w:b/>
          <w:color w:val="auto"/>
          <w:sz w:val="24"/>
          <w:highlight w:val="none"/>
          <w:lang w:val="en-US" w:eastAsia="zh-CN"/>
        </w:rPr>
        <w:t xml:space="preserve"> </w:t>
      </w:r>
      <w:r>
        <w:rPr>
          <w:rFonts w:hint="eastAsia" w:ascii="宋体" w:hAnsi="宋体" w:cs="楷体_GB2312"/>
          <w:color w:val="auto"/>
          <w:sz w:val="24"/>
          <w:highlight w:val="none"/>
          <w:lang w:val="zh-CN"/>
        </w:rPr>
        <w:t>投标人应仔细阅读《招标文件》的所有内容，按《招标文件》的要求提供《投标文件》，并保证所提供全部资料的真实性。《投标文件》应对《招标文件》实质性要求作出实质性响应。评标委员会对《投标文件》的有效性、完整性和响应程度进行审查，不满足实质性要求的为</w:t>
      </w:r>
      <w:r>
        <w:rPr>
          <w:rFonts w:hint="eastAsia" w:ascii="宋体" w:hAnsi="宋体" w:cs="楷体_GB2312"/>
          <w:b/>
          <w:color w:val="auto"/>
          <w:sz w:val="24"/>
          <w:highlight w:val="none"/>
          <w:lang w:val="zh-CN"/>
        </w:rPr>
        <w:t>无效投标。</w:t>
      </w:r>
    </w:p>
    <w:p w14:paraId="1FDFACB8">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3.2 </w:t>
      </w:r>
      <w:r>
        <w:rPr>
          <w:rFonts w:hint="eastAsia" w:ascii="黑体" w:hAnsi="黑体" w:eastAsia="黑体" w:cs="楷体_GB2312"/>
          <w:b/>
          <w:color w:val="auto"/>
          <w:sz w:val="24"/>
          <w:highlight w:val="none"/>
          <w:lang w:val="zh-CN"/>
        </w:rPr>
        <w:t>《投标文件》的组成</w:t>
      </w:r>
    </w:p>
    <w:p w14:paraId="7C701468">
      <w:pPr>
        <w:adjustRightInd w:val="0"/>
        <w:snapToGrid w:val="0"/>
        <w:spacing w:before="156" w:beforeLines="50" w:line="300" w:lineRule="auto"/>
        <w:ind w:firstLine="539"/>
        <w:textAlignment w:val="top"/>
        <w:rPr>
          <w:rFonts w:ascii="宋体" w:cs="楷体_GB2312"/>
          <w:color w:val="auto"/>
          <w:sz w:val="24"/>
          <w:highlight w:val="none"/>
          <w:lang w:val="zh-CN"/>
        </w:rPr>
      </w:pPr>
      <w:r>
        <w:rPr>
          <w:rFonts w:ascii="宋体" w:hAnsi="宋体" w:cs="楷体_GB2312"/>
          <w:color w:val="auto"/>
          <w:sz w:val="24"/>
          <w:highlight w:val="none"/>
          <w:lang w:val="zh-CN"/>
        </w:rPr>
        <w:t xml:space="preserve">3.2.1 </w:t>
      </w:r>
      <w:r>
        <w:rPr>
          <w:rFonts w:hint="eastAsia" w:ascii="宋体" w:hAnsi="宋体" w:cs="楷体_GB2312"/>
          <w:color w:val="auto"/>
          <w:sz w:val="24"/>
          <w:highlight w:val="none"/>
          <w:lang w:val="zh-CN"/>
        </w:rPr>
        <w:t>《投标文件》组成如有缺项，评标委员会按照实质性判断原则（实质性要求和实质性响应两因素）、有权视情况将其作无效投标处理，投标人自负此项风险；《投标文件》组成内容未对《招标文件》实质性要求作出实质性响应，评标委员会按照实质性判断原则、视情况将其作无效投标处理，投标人自负此项风险。</w:t>
      </w:r>
    </w:p>
    <w:p w14:paraId="135A1FF3">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3.2.2</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《投标文件》应包括下列内容：</w:t>
      </w:r>
    </w:p>
    <w:p w14:paraId="4424EBA4">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b/>
          <w:bCs/>
          <w:color w:val="auto"/>
          <w:sz w:val="24"/>
          <w:highlight w:val="none"/>
          <w:lang w:val="zh-CN"/>
        </w:rPr>
        <w:t>符合性响应文件</w:t>
      </w:r>
    </w:p>
    <w:p w14:paraId="6CEE1014">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（1）投标书</w:t>
      </w:r>
    </w:p>
    <w:p w14:paraId="44B055D2">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（2）开标一览表（即交易系统中报价一览表）</w:t>
      </w:r>
    </w:p>
    <w:p w14:paraId="597F424D">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（3）投标报价明细表</w:t>
      </w:r>
    </w:p>
    <w:p w14:paraId="18A76CC6">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（4）服务方案及服务质量承诺</w:t>
      </w:r>
    </w:p>
    <w:p w14:paraId="22978C4F">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（5）服务拟投入设备清单</w:t>
      </w:r>
    </w:p>
    <w:p w14:paraId="7BB0CB3B">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（6）服务拟投入人员情况表</w:t>
      </w:r>
    </w:p>
    <w:p w14:paraId="4124C767">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（7）偏差表</w:t>
      </w:r>
    </w:p>
    <w:p w14:paraId="1623ECA8">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（8）招标项目要求及采购需求所需的其他材料（按条款需要）</w:t>
      </w:r>
    </w:p>
    <w:p w14:paraId="26294BE2">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（9）投标人须知所需的其他材料（按条款需要）</w:t>
      </w:r>
    </w:p>
    <w:p w14:paraId="4352A811">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（10）评标办法所需的其他材料（按条款需要）</w:t>
      </w:r>
    </w:p>
    <w:p w14:paraId="7D271CE7">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（11）投标人认为有必要提交的其他材料</w:t>
      </w:r>
    </w:p>
    <w:p w14:paraId="67922CC3">
      <w:pPr>
        <w:adjustRightInd w:val="0"/>
        <w:snapToGrid w:val="0"/>
        <w:spacing w:line="300" w:lineRule="auto"/>
        <w:ind w:firstLine="539"/>
        <w:textAlignment w:val="top"/>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资格性证明文件</w:t>
      </w:r>
    </w:p>
    <w:p w14:paraId="3E09F7B5">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（12）关于资格的声明函</w:t>
      </w:r>
    </w:p>
    <w:p w14:paraId="6D1A45B7">
      <w:pPr>
        <w:adjustRightInd w:val="0"/>
        <w:snapToGrid w:val="0"/>
        <w:spacing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（13）资格要求相关证明材料（文件）</w:t>
      </w:r>
    </w:p>
    <w:p w14:paraId="590120B5">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3.2.3</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按照本章第</w:t>
      </w:r>
      <w:r>
        <w:rPr>
          <w:rFonts w:ascii="宋体" w:hAnsi="宋体" w:eastAsia="宋体" w:cs="楷体_GB2312"/>
          <w:color w:val="auto"/>
          <w:sz w:val="24"/>
          <w:highlight w:val="none"/>
          <w:lang w:val="zh-CN"/>
        </w:rPr>
        <w:t>4.3</w:t>
      </w:r>
      <w:r>
        <w:rPr>
          <w:rFonts w:hint="eastAsia" w:ascii="宋体" w:hAnsi="宋体" w:eastAsia="宋体" w:cs="楷体_GB2312"/>
          <w:color w:val="auto"/>
          <w:sz w:val="24"/>
          <w:highlight w:val="none"/>
          <w:lang w:val="zh-CN"/>
        </w:rPr>
        <w:t>款、第四章第</w:t>
      </w:r>
      <w:r>
        <w:rPr>
          <w:rFonts w:ascii="宋体" w:hAnsi="宋体" w:eastAsia="宋体" w:cs="楷体_GB2312"/>
          <w:color w:val="auto"/>
          <w:sz w:val="24"/>
          <w:highlight w:val="none"/>
          <w:lang w:val="zh-CN"/>
        </w:rPr>
        <w:t>3.</w:t>
      </w:r>
      <w:r>
        <w:rPr>
          <w:rFonts w:hint="eastAsia" w:ascii="宋体" w:hAnsi="宋体" w:eastAsia="宋体" w:cs="楷体_GB2312"/>
          <w:color w:val="auto"/>
          <w:sz w:val="24"/>
          <w:highlight w:val="none"/>
          <w:lang w:val="zh-CN"/>
        </w:rPr>
        <w:t>3款规定，对《投标文件》的补充、修改、澄清、说明或者更正构成《投标文件》的组成部分，并取代《投标文件》中被澄清、修改处。</w:t>
      </w:r>
    </w:p>
    <w:p w14:paraId="5B187D41">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黑体" w:hAnsi="黑体" w:eastAsia="黑体" w:cs="楷体_GB2312"/>
          <w:b/>
          <w:color w:val="auto"/>
          <w:sz w:val="24"/>
          <w:highlight w:val="none"/>
          <w:lang w:val="zh-CN"/>
        </w:rPr>
        <w:t xml:space="preserve">3.3 </w:t>
      </w:r>
      <w:r>
        <w:rPr>
          <w:rFonts w:hint="eastAsia" w:ascii="黑体" w:hAnsi="黑体" w:eastAsia="黑体" w:cs="楷体_GB2312"/>
          <w:b/>
          <w:color w:val="auto"/>
          <w:sz w:val="24"/>
          <w:highlight w:val="none"/>
          <w:lang w:val="zh-CN"/>
        </w:rPr>
        <w:t>投标报价</w:t>
      </w:r>
      <w:r>
        <w:rPr>
          <w:rFonts w:hint="eastAsia" w:ascii="宋体" w:hAnsi="宋体" w:cs="楷体_GB2312"/>
          <w:color w:val="auto"/>
          <w:sz w:val="24"/>
          <w:highlight w:val="none"/>
          <w:lang w:val="zh-CN"/>
        </w:rPr>
        <w:t>（价格构成）：见第二章</w:t>
      </w:r>
      <w:r>
        <w:rPr>
          <w:rFonts w:ascii="宋体" w:hAnsi="宋体" w:cs="楷体_GB2312"/>
          <w:color w:val="auto"/>
          <w:sz w:val="24"/>
          <w:highlight w:val="none"/>
          <w:lang w:val="zh-CN"/>
        </w:rPr>
        <w:t>1.3</w:t>
      </w:r>
      <w:r>
        <w:rPr>
          <w:rFonts w:hint="eastAsia" w:ascii="宋体" w:hAnsi="宋体" w:cs="楷体_GB2312"/>
          <w:color w:val="auto"/>
          <w:sz w:val="24"/>
          <w:highlight w:val="none"/>
          <w:lang w:val="zh-CN"/>
        </w:rPr>
        <w:t>款。</w:t>
      </w:r>
    </w:p>
    <w:p w14:paraId="68344110">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3.4 </w:t>
      </w:r>
      <w:r>
        <w:rPr>
          <w:rFonts w:hint="eastAsia" w:ascii="黑体" w:hAnsi="黑体" w:eastAsia="黑体" w:cs="楷体_GB2312"/>
          <w:b/>
          <w:color w:val="auto"/>
          <w:sz w:val="24"/>
          <w:highlight w:val="none"/>
          <w:lang w:val="zh-CN"/>
        </w:rPr>
        <w:t>投标有效期</w:t>
      </w:r>
    </w:p>
    <w:p w14:paraId="3A090148">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3.4.1</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投标有效期见投标人须知前附表。投标有效期从提交《投标文件》的截止之日起算。《投标文件》中承诺的投标有效期应当不少于《招标文件》中载明的投标有效期。《投标文件》在投标有效期内保持不变（包括价格等《投标文件》各项条款）。</w:t>
      </w:r>
    </w:p>
    <w:p w14:paraId="378FFD0D">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3.4.2</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在投标有效期内，投标人撤销或修改其《投标文件》的，依据《招标文件》“第三章</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3.5.5 违背承诺的责任追究措施”，投标人承担相应法律责任及违约责任。</w:t>
      </w:r>
    </w:p>
    <w:p w14:paraId="220B1BEA">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3.5 </w:t>
      </w:r>
      <w:r>
        <w:rPr>
          <w:rFonts w:hint="eastAsia" w:ascii="黑体" w:hAnsi="黑体" w:eastAsia="黑体" w:cs="楷体_GB2312"/>
          <w:b/>
          <w:color w:val="auto"/>
          <w:sz w:val="24"/>
          <w:highlight w:val="none"/>
        </w:rPr>
        <w:t>投标承诺函</w:t>
      </w:r>
      <w:r>
        <w:rPr>
          <w:rFonts w:hint="eastAsia" w:ascii="黑体" w:hAnsi="黑体" w:eastAsia="黑体" w:cs="楷体_GB2312"/>
          <w:b/>
          <w:color w:val="auto"/>
          <w:sz w:val="24"/>
          <w:highlight w:val="none"/>
          <w:lang w:val="zh-CN"/>
        </w:rPr>
        <w:t>（</w:t>
      </w:r>
      <w:r>
        <w:rPr>
          <w:rFonts w:hint="eastAsia" w:ascii="黑体" w:hAnsi="黑体" w:eastAsia="黑体" w:cs="楷体_GB2312"/>
          <w:b/>
          <w:color w:val="auto"/>
          <w:sz w:val="24"/>
          <w:highlight w:val="none"/>
        </w:rPr>
        <w:t>替代</w:t>
      </w:r>
      <w:r>
        <w:rPr>
          <w:rFonts w:hint="eastAsia" w:ascii="黑体" w:hAnsi="黑体" w:eastAsia="黑体" w:cs="楷体_GB2312"/>
          <w:b/>
          <w:color w:val="auto"/>
          <w:sz w:val="24"/>
          <w:highlight w:val="none"/>
          <w:lang w:val="zh-CN"/>
        </w:rPr>
        <w:t>投标保证金）</w:t>
      </w:r>
    </w:p>
    <w:p w14:paraId="1CAF87DC">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3.5.1 按照豫财购〔2019〕4号文件规定，本项目以投标承诺函的形式替代投标保证金，供应商应按附件格式进行投标承诺，违背承诺的将承担相应的法律责任及违约责任。</w:t>
      </w:r>
    </w:p>
    <w:p w14:paraId="14E16D33">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3.5.2 未提供投标承诺函的为</w:t>
      </w:r>
      <w:r>
        <w:rPr>
          <w:rFonts w:hint="eastAsia" w:ascii="宋体" w:hAnsi="宋体" w:eastAsia="宋体" w:cs="楷体_GB2312"/>
          <w:b/>
          <w:bCs/>
          <w:color w:val="auto"/>
          <w:sz w:val="24"/>
          <w:highlight w:val="none"/>
          <w:lang w:val="zh-CN"/>
        </w:rPr>
        <w:t>无效投标</w:t>
      </w:r>
      <w:r>
        <w:rPr>
          <w:rFonts w:hint="eastAsia" w:ascii="宋体" w:hAnsi="宋体" w:eastAsia="宋体" w:cs="楷体_GB2312"/>
          <w:color w:val="auto"/>
          <w:sz w:val="24"/>
          <w:highlight w:val="none"/>
          <w:lang w:val="zh-CN"/>
        </w:rPr>
        <w:t>。</w:t>
      </w:r>
    </w:p>
    <w:p w14:paraId="4723AE73">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3.5.3 投标人的投标承诺函包含投标人承诺的事项及违背承诺的责任追究措施。</w:t>
      </w:r>
    </w:p>
    <w:p w14:paraId="6C085109">
      <w:pPr>
        <w:adjustRightInd w:val="0"/>
        <w:snapToGrid w:val="0"/>
        <w:spacing w:before="156" w:beforeLines="50"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3.5.4 承诺事项：</w:t>
      </w:r>
    </w:p>
    <w:p w14:paraId="0FAFC44F">
      <w:pPr>
        <w:adjustRightInd w:val="0"/>
        <w:snapToGrid w:val="0"/>
        <w:spacing w:before="156" w:beforeLines="50"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3.5.4.1</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投标人应遵循公开、公平、公正和</w:t>
      </w:r>
      <w:r>
        <w:rPr>
          <w:rFonts w:ascii="宋体" w:hAnsi="宋体" w:eastAsia="宋体" w:cs="楷体_GB2312"/>
          <w:color w:val="auto"/>
          <w:sz w:val="24"/>
          <w:highlight w:val="none"/>
          <w:lang w:val="zh-CN"/>
        </w:rPr>
        <w:fldChar w:fldCharType="begin"/>
      </w:r>
      <w:r>
        <w:rPr>
          <w:rFonts w:ascii="宋体" w:hAnsi="宋体" w:eastAsia="宋体" w:cs="楷体_GB2312"/>
          <w:color w:val="auto"/>
          <w:sz w:val="24"/>
          <w:highlight w:val="none"/>
          <w:lang w:val="zh-CN"/>
        </w:rPr>
        <w:instrText xml:space="preserve"> HYPERLINK "http://www.so.com/s?q=%E8%AF%9A%E5%AE%9E%E4%BF%A1%E7%94%A8&amp;ie=utf-8&amp;src=internal_wenda_recommend_textn" \t "https://wenda.so.com/q/_blank" </w:instrText>
      </w:r>
      <w:r>
        <w:rPr>
          <w:rFonts w:ascii="宋体" w:hAnsi="宋体" w:eastAsia="宋体" w:cs="楷体_GB2312"/>
          <w:color w:val="auto"/>
          <w:sz w:val="24"/>
          <w:highlight w:val="none"/>
          <w:lang w:val="zh-CN"/>
        </w:rPr>
        <w:fldChar w:fldCharType="separate"/>
      </w:r>
      <w:r>
        <w:rPr>
          <w:rFonts w:hint="eastAsia" w:ascii="宋体" w:hAnsi="宋体" w:eastAsia="宋体" w:cs="楷体_GB2312"/>
          <w:color w:val="auto"/>
          <w:sz w:val="24"/>
          <w:highlight w:val="none"/>
          <w:lang w:val="zh-CN"/>
        </w:rPr>
        <w:t>诚实信用</w:t>
      </w:r>
      <w:r>
        <w:rPr>
          <w:rFonts w:hint="eastAsia" w:ascii="宋体" w:hAnsi="宋体" w:eastAsia="宋体" w:cs="楷体_GB2312"/>
          <w:color w:val="auto"/>
          <w:sz w:val="24"/>
          <w:highlight w:val="none"/>
          <w:lang w:val="zh-CN"/>
        </w:rPr>
        <w:fldChar w:fldCharType="end"/>
      </w:r>
      <w:r>
        <w:rPr>
          <w:rFonts w:hint="eastAsia" w:ascii="宋体" w:hAnsi="宋体" w:eastAsia="宋体" w:cs="楷体_GB2312"/>
          <w:color w:val="auto"/>
          <w:sz w:val="24"/>
          <w:highlight w:val="none"/>
          <w:lang w:val="zh-CN"/>
        </w:rPr>
        <w:t>的原则自愿参加项目的投标；</w:t>
      </w:r>
    </w:p>
    <w:p w14:paraId="4BCC5A57">
      <w:pPr>
        <w:adjustRightInd w:val="0"/>
        <w:snapToGrid w:val="0"/>
        <w:spacing w:before="156" w:beforeLines="50"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3.5.4.2</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投标人在政府采购活动中应提供真实、准确、有效、合法的材料，不提供虚假材料；</w:t>
      </w:r>
    </w:p>
    <w:p w14:paraId="44EA25C6">
      <w:pPr>
        <w:adjustRightInd w:val="0"/>
        <w:snapToGrid w:val="0"/>
        <w:spacing w:before="156" w:beforeLines="50"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3.5.4.3</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投标人按照《招标文件》规定，在提交《投标文件》截止时间后，在《招标文件》规定的投标有效期限内不应撤回《投标文件》；</w:t>
      </w:r>
    </w:p>
    <w:p w14:paraId="3B23E543">
      <w:pPr>
        <w:adjustRightInd w:val="0"/>
        <w:snapToGrid w:val="0"/>
        <w:spacing w:before="156" w:beforeLines="50"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3.5.4.4</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不应与其他投标人、采购人或采购代理机构串通或恶意串通；</w:t>
      </w:r>
    </w:p>
    <w:p w14:paraId="79B62C02">
      <w:pPr>
        <w:adjustRightInd w:val="0"/>
        <w:snapToGrid w:val="0"/>
        <w:spacing w:before="156" w:beforeLines="50"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3.5.4.5</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中标后除不可抗拒力或</w:t>
      </w:r>
      <w:r>
        <w:rPr>
          <w:rFonts w:hint="eastAsia" w:ascii="宋体" w:hAnsi="宋体" w:eastAsia="宋体" w:cs="楷体_GB2312"/>
          <w:color w:val="auto"/>
          <w:sz w:val="24"/>
          <w:highlight w:val="none"/>
          <w:lang w:val="zh-CN" w:eastAsia="zh-CN"/>
        </w:rPr>
        <w:t>《招标文件》</w:t>
      </w:r>
      <w:r>
        <w:rPr>
          <w:rFonts w:hint="eastAsia" w:ascii="宋体" w:hAnsi="宋体" w:eastAsia="宋体" w:cs="楷体_GB2312"/>
          <w:color w:val="auto"/>
          <w:sz w:val="24"/>
          <w:highlight w:val="none"/>
          <w:lang w:val="zh-CN"/>
        </w:rPr>
        <w:t>认可的情形外，投标人应及时领取中标通知书，在成交通知书规定时间、地点与采购人签订合同；</w:t>
      </w:r>
    </w:p>
    <w:p w14:paraId="6CF46D16">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3.5.4.6</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投标人应遵守法律法规及《招标文件》规定的其他情况；</w:t>
      </w:r>
    </w:p>
    <w:p w14:paraId="7D79C1DC">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3.5.4.7</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投标人应按</w:t>
      </w:r>
      <w:r>
        <w:rPr>
          <w:rFonts w:hint="eastAsia" w:ascii="宋体" w:hAnsi="宋体" w:eastAsia="宋体" w:cs="楷体_GB2312"/>
          <w:color w:val="auto"/>
          <w:sz w:val="24"/>
          <w:highlight w:val="none"/>
          <w:lang w:val="zh-CN" w:eastAsia="zh-CN"/>
        </w:rPr>
        <w:t>《招标文件》</w:t>
      </w:r>
      <w:r>
        <w:rPr>
          <w:rFonts w:hint="eastAsia" w:ascii="宋体" w:hAnsi="宋体" w:eastAsia="宋体" w:cs="楷体_GB2312"/>
          <w:color w:val="auto"/>
          <w:sz w:val="24"/>
          <w:highlight w:val="none"/>
          <w:lang w:val="zh-CN"/>
        </w:rPr>
        <w:t>规定及时缴纳代理服务费。</w:t>
      </w:r>
    </w:p>
    <w:p w14:paraId="6A98AF7D">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3.5.5 违背承诺的责任追究措施：</w:t>
      </w:r>
    </w:p>
    <w:p w14:paraId="633B5A79">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投标人如违背上述承诺事项，应无条件接受以下责任追究：</w:t>
      </w:r>
    </w:p>
    <w:p w14:paraId="09CB2022">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3.5.5.1</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法定责任：按照政府采购相关法规，处以罚款，列入不良行为记录名单，在一至三年内禁止参加政府采购活动，有违法所得的，并处没收违法所得，情节严重的，由工商行政管理机关（市场监督机关）吊销营业执照；构成犯罪的，依法追究刑事责任。</w:t>
      </w:r>
    </w:p>
    <w:p w14:paraId="63D084A9">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给采购人及他人造成损失的，应承担相应的赔偿责任。</w:t>
      </w:r>
    </w:p>
    <w:p w14:paraId="7CC25A56">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3.5.5.2</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 xml:space="preserve">违约责任： </w:t>
      </w:r>
    </w:p>
    <w:p w14:paraId="5ED3134E">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3.5.5.2.1 已中标的，中标（成交）无效；</w:t>
      </w:r>
    </w:p>
    <w:p w14:paraId="48E44CE1">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3.5.5.2.2 支付采购人违约标的预算金额2%的违约金；</w:t>
      </w:r>
    </w:p>
    <w:p w14:paraId="01535847">
      <w:pPr>
        <w:adjustRightInd w:val="0"/>
        <w:snapToGrid w:val="0"/>
        <w:spacing w:before="156" w:beforeLines="50" w:line="300" w:lineRule="auto"/>
        <w:ind w:firstLine="539"/>
        <w:textAlignment w:val="top"/>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3.5.5.2.3</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中标后未缴代理服务费的，作为违约及违背</w:t>
      </w:r>
      <w:r>
        <w:rPr>
          <w:rFonts w:ascii="宋体" w:hAnsi="宋体" w:eastAsia="宋体" w:cs="楷体_GB2312"/>
          <w:color w:val="auto"/>
          <w:sz w:val="24"/>
          <w:highlight w:val="none"/>
          <w:lang w:val="zh-CN"/>
        </w:rPr>
        <w:fldChar w:fldCharType="begin"/>
      </w:r>
      <w:r>
        <w:rPr>
          <w:rFonts w:ascii="宋体" w:hAnsi="宋体" w:eastAsia="宋体" w:cs="楷体_GB2312"/>
          <w:color w:val="auto"/>
          <w:sz w:val="24"/>
          <w:highlight w:val="none"/>
          <w:lang w:val="zh-CN"/>
        </w:rPr>
        <w:instrText xml:space="preserve"> HYPERLINK "http://www.so.com/s?q=%E8%AF%9A%E5%AE%9E%E4%BF%A1%E7%94%A8&amp;ie=utf-8&amp;src=internal_wenda_recommend_textn" \t "https://wenda.so.com/q/_blank" </w:instrText>
      </w:r>
      <w:r>
        <w:rPr>
          <w:rFonts w:ascii="宋体" w:hAnsi="宋体" w:eastAsia="宋体" w:cs="楷体_GB2312"/>
          <w:color w:val="auto"/>
          <w:sz w:val="24"/>
          <w:highlight w:val="none"/>
          <w:lang w:val="zh-CN"/>
        </w:rPr>
        <w:fldChar w:fldCharType="separate"/>
      </w:r>
      <w:r>
        <w:rPr>
          <w:rFonts w:hint="eastAsia" w:ascii="宋体" w:hAnsi="宋体" w:eastAsia="宋体" w:cs="楷体_GB2312"/>
          <w:color w:val="auto"/>
          <w:sz w:val="24"/>
          <w:highlight w:val="none"/>
          <w:lang w:val="zh-CN"/>
        </w:rPr>
        <w:t>诚实信用</w:t>
      </w:r>
      <w:r>
        <w:rPr>
          <w:rFonts w:hint="eastAsia" w:ascii="宋体" w:hAnsi="宋体" w:eastAsia="宋体" w:cs="楷体_GB2312"/>
          <w:color w:val="auto"/>
          <w:sz w:val="24"/>
          <w:highlight w:val="none"/>
          <w:lang w:val="zh-CN"/>
        </w:rPr>
        <w:fldChar w:fldCharType="end"/>
      </w:r>
      <w:r>
        <w:rPr>
          <w:rFonts w:hint="eastAsia" w:ascii="宋体" w:hAnsi="宋体" w:eastAsia="宋体" w:cs="楷体_GB2312"/>
          <w:color w:val="auto"/>
          <w:sz w:val="24"/>
          <w:highlight w:val="none"/>
          <w:lang w:val="zh-CN"/>
        </w:rPr>
        <w:t>原则，在履行承诺前，代理机构将视该单位为失信企业、不予办理其后相关业务。</w:t>
      </w:r>
    </w:p>
    <w:p w14:paraId="56E06269">
      <w:pPr>
        <w:autoSpaceDE w:val="0"/>
        <w:autoSpaceDN w:val="0"/>
        <w:adjustRightInd w:val="0"/>
        <w:snapToGrid w:val="0"/>
        <w:spacing w:before="156" w:beforeLines="50" w:line="300" w:lineRule="auto"/>
        <w:ind w:firstLine="539"/>
        <w:rPr>
          <w:rFonts w:ascii="黑体" w:hAnsi="黑体" w:eastAsia="黑体" w:cs="楷体_GB2312"/>
          <w:b/>
          <w:bCs/>
          <w:color w:val="auto"/>
          <w:sz w:val="28"/>
          <w:szCs w:val="28"/>
          <w:highlight w:val="none"/>
          <w:lang w:val="zh-CN"/>
        </w:rPr>
      </w:pPr>
      <w:r>
        <w:rPr>
          <w:rFonts w:ascii="黑体" w:hAnsi="黑体" w:eastAsia="黑体" w:cs="楷体_GB2312"/>
          <w:b/>
          <w:color w:val="auto"/>
          <w:sz w:val="24"/>
          <w:highlight w:val="none"/>
          <w:lang w:val="zh-CN"/>
        </w:rPr>
        <w:t xml:space="preserve">3.6 </w:t>
      </w:r>
      <w:r>
        <w:rPr>
          <w:rFonts w:hint="eastAsia" w:ascii="黑体" w:hAnsi="黑体" w:eastAsia="黑体" w:cs="楷体_GB2312"/>
          <w:b/>
          <w:color w:val="auto"/>
          <w:sz w:val="24"/>
          <w:highlight w:val="none"/>
          <w:lang w:val="zh-CN"/>
        </w:rPr>
        <w:t>投标资格文件：</w:t>
      </w:r>
      <w:r>
        <w:rPr>
          <w:rFonts w:hint="eastAsia" w:ascii="宋体" w:hAnsi="宋体" w:cs="楷体_GB2312"/>
          <w:color w:val="auto"/>
          <w:sz w:val="24"/>
          <w:highlight w:val="none"/>
          <w:lang w:val="zh-CN"/>
        </w:rPr>
        <w:t>要求见招标公告。</w:t>
      </w:r>
    </w:p>
    <w:p w14:paraId="0B965A65">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3.7</w:t>
      </w:r>
      <w:r>
        <w:rPr>
          <w:rFonts w:hint="eastAsia" w:ascii="黑体" w:hAnsi="黑体" w:eastAsia="黑体" w:cs="楷体_GB2312"/>
          <w:b/>
          <w:color w:val="auto"/>
          <w:sz w:val="24"/>
          <w:highlight w:val="none"/>
          <w:lang w:val="zh-CN"/>
        </w:rPr>
        <w:t>《投标文件》的编制</w:t>
      </w:r>
    </w:p>
    <w:p w14:paraId="42C74488">
      <w:pPr>
        <w:adjustRightInd w:val="0"/>
        <w:snapToGrid w:val="0"/>
        <w:spacing w:before="156" w:beforeLines="50"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3.7.1</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《投标文件》应按第六章“《投标文件》格式”进行编写，如有必要，可以增加附页，作为《投标文件》的组成部分。《招标文件》中未列明格式的，由投标人按一般通用格式自行设计编写。</w:t>
      </w:r>
    </w:p>
    <w:p w14:paraId="69B77A1B">
      <w:pPr>
        <w:adjustRightInd w:val="0"/>
        <w:snapToGrid w:val="0"/>
        <w:spacing w:before="156" w:beforeLines="50"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《投标文件》编制后，投标人应在投标截止时间前上传加密的电子</w:t>
      </w:r>
      <w:r>
        <w:rPr>
          <w:rFonts w:hint="eastAsia" w:ascii="宋体" w:hAnsi="宋体" w:eastAsia="宋体" w:cs="楷体_GB2312"/>
          <w:color w:val="auto"/>
          <w:sz w:val="24"/>
          <w:highlight w:val="none"/>
          <w:lang w:val="zh-CN" w:eastAsia="zh-CN"/>
        </w:rPr>
        <w:t>《投标文件》</w:t>
      </w:r>
      <w:r>
        <w:rPr>
          <w:rFonts w:hint="eastAsia" w:ascii="宋体" w:hAnsi="宋体" w:eastAsia="宋体" w:cs="楷体_GB2312"/>
          <w:color w:val="auto"/>
          <w:sz w:val="24"/>
          <w:highlight w:val="none"/>
          <w:lang w:val="zh-CN"/>
        </w:rPr>
        <w:t>（*.aytf）到</w:t>
      </w:r>
      <w:r>
        <w:rPr>
          <w:rFonts w:hint="eastAsia" w:ascii="宋体" w:hAnsi="宋体" w:eastAsia="宋体" w:cs="楷体_GB2312"/>
          <w:color w:val="auto"/>
          <w:sz w:val="24"/>
          <w:highlight w:val="none"/>
          <w:lang w:val="zh-CN" w:eastAsia="zh-CN"/>
        </w:rPr>
        <w:t>殷都区</w:t>
      </w:r>
      <w:r>
        <w:rPr>
          <w:rFonts w:hint="eastAsia" w:ascii="宋体" w:hAnsi="宋体" w:eastAsia="宋体" w:cs="楷体_GB2312"/>
          <w:color w:val="auto"/>
          <w:sz w:val="24"/>
          <w:highlight w:val="none"/>
          <w:lang w:val="zh-CN"/>
        </w:rPr>
        <w:t>公共资源交易平台。上传时投标人须使用制作该</w:t>
      </w:r>
      <w:r>
        <w:rPr>
          <w:rFonts w:hint="eastAsia" w:ascii="宋体" w:hAnsi="宋体" w:eastAsia="宋体" w:cs="楷体_GB2312"/>
          <w:color w:val="auto"/>
          <w:sz w:val="24"/>
          <w:highlight w:val="none"/>
          <w:lang w:val="zh-CN" w:eastAsia="zh-CN"/>
        </w:rPr>
        <w:t>《投标文件》</w:t>
      </w:r>
      <w:r>
        <w:rPr>
          <w:rFonts w:hint="eastAsia" w:ascii="宋体" w:hAnsi="宋体" w:eastAsia="宋体" w:cs="楷体_GB2312"/>
          <w:color w:val="auto"/>
          <w:sz w:val="24"/>
          <w:highlight w:val="none"/>
          <w:lang w:val="zh-CN"/>
        </w:rPr>
        <w:t>的同一CA锁进行上传操作。请投标人在上传时认真检查上传</w:t>
      </w:r>
      <w:r>
        <w:rPr>
          <w:rFonts w:hint="eastAsia" w:ascii="宋体" w:hAnsi="宋体" w:eastAsia="宋体" w:cs="楷体_GB2312"/>
          <w:color w:val="auto"/>
          <w:sz w:val="24"/>
          <w:highlight w:val="none"/>
          <w:lang w:val="zh-CN" w:eastAsia="zh-CN"/>
        </w:rPr>
        <w:t>《投标文件》</w:t>
      </w:r>
      <w:r>
        <w:rPr>
          <w:rFonts w:hint="eastAsia" w:ascii="宋体" w:hAnsi="宋体" w:eastAsia="宋体" w:cs="楷体_GB2312"/>
          <w:color w:val="auto"/>
          <w:sz w:val="24"/>
          <w:highlight w:val="none"/>
          <w:lang w:val="zh-CN"/>
        </w:rPr>
        <w:t>是否完整、正确。投标人应充分考虑上传文件时的不可预见因素，未在投标截止时间前完成上传的，视为逾期送达，</w:t>
      </w:r>
      <w:r>
        <w:rPr>
          <w:rFonts w:hint="eastAsia" w:ascii="宋体" w:hAnsi="宋体" w:eastAsia="宋体" w:cs="楷体_GB2312"/>
          <w:color w:val="auto"/>
          <w:sz w:val="24"/>
          <w:highlight w:val="none"/>
          <w:lang w:val="zh-CN" w:eastAsia="zh-CN"/>
        </w:rPr>
        <w:t>殷都区</w:t>
      </w:r>
      <w:r>
        <w:rPr>
          <w:rFonts w:hint="eastAsia" w:ascii="宋体" w:hAnsi="宋体" w:eastAsia="宋体" w:cs="楷体_GB2312"/>
          <w:color w:val="auto"/>
          <w:sz w:val="24"/>
          <w:highlight w:val="none"/>
          <w:lang w:val="zh-CN"/>
        </w:rPr>
        <w:t>公共资源交易平台将拒绝接收。</w:t>
      </w:r>
    </w:p>
    <w:p w14:paraId="5A565886">
      <w:pPr>
        <w:adjustRightInd w:val="0"/>
        <w:snapToGrid w:val="0"/>
        <w:spacing w:before="156" w:beforeLines="50"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3.7.2 “《投标文件》格式”仅为对《投标文件》部分内容的格式化规范，并非《投标文件》所应具备的全部内容。投标人应按本章“3.2</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《投标文件》的组成”列示内容编制《投标文件》。</w:t>
      </w:r>
    </w:p>
    <w:p w14:paraId="7C6C536B">
      <w:pPr>
        <w:adjustRightInd w:val="0"/>
        <w:snapToGrid w:val="0"/>
        <w:spacing w:before="156" w:beforeLines="50" w:line="300" w:lineRule="auto"/>
        <w:ind w:firstLine="539"/>
        <w:textAlignment w:val="top"/>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3.7.3</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投标文件》应当对《招标文件》有关标段（包）内容（范围）、采购需求（技术服务要求、交付（实施）期等）、投标有效期等实质性内容作出响应。在满足《招标文件》实质性要求的基础上，可以提出比《招标文件》要求更有利于采购人的承诺。并符合《招标文件》偏差规定。</w:t>
      </w:r>
    </w:p>
    <w:p w14:paraId="5AE338E3">
      <w:pPr>
        <w:adjustRightInd w:val="0"/>
        <w:snapToGrid w:val="0"/>
        <w:spacing w:before="156" w:beforeLines="50" w:line="300" w:lineRule="auto"/>
        <w:ind w:firstLine="539"/>
        <w:textAlignment w:val="top"/>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技术要求的偏离按第二章“2.7技术偏离”执行；其他条款如未标明为非实质性要求的，均为实质性要求，不接受负偏离。</w:t>
      </w:r>
    </w:p>
    <w:p w14:paraId="59C83B19">
      <w:pPr>
        <w:adjustRightInd w:val="0"/>
        <w:snapToGrid w:val="0"/>
        <w:spacing w:before="156" w:beforeLines="50" w:line="300" w:lineRule="auto"/>
        <w:ind w:firstLine="539"/>
        <w:textAlignment w:val="top"/>
        <w:rPr>
          <w:rFonts w:ascii="宋体" w:cs="楷体_GB2312"/>
          <w:color w:val="auto"/>
          <w:sz w:val="24"/>
          <w:highlight w:val="none"/>
          <w:lang w:val="zh-CN"/>
        </w:rPr>
      </w:pPr>
      <w:r>
        <w:rPr>
          <w:rFonts w:hint="eastAsia" w:ascii="宋体" w:hAnsi="宋体" w:cs="楷体_GB2312"/>
          <w:color w:val="auto"/>
          <w:sz w:val="24"/>
          <w:highlight w:val="none"/>
          <w:lang w:val="zh-CN"/>
        </w:rPr>
        <w:t>《投标文件》的所有条款与《招标文件》要求有任何不同之处，应按《偏差表》格式逐一填列。《投标文件》与《招标文件》所有要求存在偏差而未填列的，评标委员会有权按照实质性判断原则（实质性要求和实质性响应两因素）评定其为</w:t>
      </w:r>
      <w:r>
        <w:rPr>
          <w:rFonts w:hint="eastAsia" w:ascii="宋体" w:hAnsi="宋体" w:cs="楷体_GB2312"/>
          <w:b/>
          <w:color w:val="auto"/>
          <w:sz w:val="24"/>
          <w:highlight w:val="none"/>
          <w:lang w:val="zh-CN"/>
        </w:rPr>
        <w:t>无效投标</w:t>
      </w:r>
      <w:r>
        <w:rPr>
          <w:rFonts w:hint="eastAsia" w:ascii="宋体" w:hAnsi="宋体" w:cs="楷体_GB2312"/>
          <w:color w:val="auto"/>
          <w:sz w:val="24"/>
          <w:highlight w:val="none"/>
          <w:lang w:val="zh-CN"/>
        </w:rPr>
        <w:t>。投标人应认真编制《投标文件》并自负此项风险。</w:t>
      </w:r>
    </w:p>
    <w:p w14:paraId="49DDFDD7">
      <w:pPr>
        <w:adjustRightInd w:val="0"/>
        <w:snapToGrid w:val="0"/>
        <w:spacing w:before="156" w:beforeLines="50" w:line="300" w:lineRule="auto"/>
        <w:ind w:firstLine="539"/>
        <w:textAlignment w:val="top"/>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3.7.4 《投标文件》应按《招标文件》相关要求（含格式上标注的要求）、使用供应商企业数字证书进行电子签章和供应商法定代表人数字证书进行电子签名（签章）、并加密，没有使用供应商企业数字证书和供应商法定代表人数字证书进行电子签名（签章）并加密的</w:t>
      </w:r>
      <w:r>
        <w:rPr>
          <w:rFonts w:hint="eastAsia" w:ascii="宋体" w:hAnsi="宋体" w:eastAsia="宋体" w:cs="楷体_GB2312"/>
          <w:b/>
          <w:bCs/>
          <w:color w:val="auto"/>
          <w:sz w:val="24"/>
          <w:highlight w:val="none"/>
          <w:lang w:val="zh-CN" w:eastAsia="zh-CN"/>
        </w:rPr>
        <w:t>《投标文件》</w:t>
      </w:r>
      <w:r>
        <w:rPr>
          <w:rFonts w:hint="eastAsia" w:ascii="宋体" w:hAnsi="宋体" w:eastAsia="宋体" w:cs="楷体_GB2312"/>
          <w:b/>
          <w:bCs/>
          <w:color w:val="auto"/>
          <w:sz w:val="24"/>
          <w:highlight w:val="none"/>
          <w:lang w:val="zh-CN"/>
        </w:rPr>
        <w:t>，属于未按照</w:t>
      </w:r>
      <w:r>
        <w:rPr>
          <w:rFonts w:hint="eastAsia" w:ascii="宋体" w:hAnsi="宋体" w:eastAsia="宋体" w:cs="楷体_GB2312"/>
          <w:b/>
          <w:bCs/>
          <w:color w:val="auto"/>
          <w:sz w:val="24"/>
          <w:highlight w:val="none"/>
          <w:lang w:val="zh-CN" w:eastAsia="zh-CN"/>
        </w:rPr>
        <w:t>《招标文件》</w:t>
      </w:r>
      <w:r>
        <w:rPr>
          <w:rFonts w:hint="eastAsia" w:ascii="宋体" w:hAnsi="宋体" w:eastAsia="宋体" w:cs="楷体_GB2312"/>
          <w:b/>
          <w:bCs/>
          <w:color w:val="auto"/>
          <w:sz w:val="24"/>
          <w:highlight w:val="none"/>
          <w:lang w:val="zh-CN"/>
        </w:rPr>
        <w:t>要求进行签署。</w:t>
      </w:r>
    </w:p>
    <w:p w14:paraId="5E41DB59">
      <w:pPr>
        <w:adjustRightInd w:val="0"/>
        <w:snapToGrid w:val="0"/>
        <w:spacing w:before="156" w:beforeLines="50" w:line="300" w:lineRule="auto"/>
        <w:ind w:firstLine="539"/>
        <w:textAlignment w:val="top"/>
        <w:rPr>
          <w:rFonts w:hint="eastAsia" w:ascii="宋体" w:hAnsi="宋体" w:eastAsia="宋体" w:cs="楷体_GB2312"/>
          <w:b/>
          <w:bCs/>
          <w:color w:val="auto"/>
          <w:sz w:val="24"/>
          <w:highlight w:val="none"/>
          <w:lang w:val="zh-CN"/>
        </w:rPr>
      </w:pPr>
      <w:r>
        <w:rPr>
          <w:rFonts w:hint="eastAsia" w:ascii="宋体" w:hAnsi="宋体" w:eastAsia="宋体" w:cs="楷体_GB2312"/>
          <w:b/>
          <w:bCs/>
          <w:color w:val="auto"/>
          <w:sz w:val="24"/>
          <w:highlight w:val="none"/>
          <w:lang w:val="zh-CN"/>
        </w:rPr>
        <w:t>根据《中华人民共和国电子签名法》规定，可靠的电子签名与手写签名或者盖章具有同等的法律效力。本次采购活动中，供应商使用有效的企业数字证书对</w:t>
      </w:r>
      <w:r>
        <w:rPr>
          <w:rFonts w:hint="eastAsia" w:ascii="宋体" w:hAnsi="宋体" w:eastAsia="宋体" w:cs="楷体_GB2312"/>
          <w:b/>
          <w:bCs/>
          <w:color w:val="auto"/>
          <w:sz w:val="24"/>
          <w:highlight w:val="none"/>
          <w:lang w:val="zh-CN" w:eastAsia="zh-CN"/>
        </w:rPr>
        <w:t>《投标文件》</w:t>
      </w:r>
      <w:r>
        <w:rPr>
          <w:rFonts w:hint="eastAsia" w:ascii="宋体" w:hAnsi="宋体" w:eastAsia="宋体" w:cs="楷体_GB2312"/>
          <w:b/>
          <w:bCs/>
          <w:color w:val="auto"/>
          <w:sz w:val="24"/>
          <w:highlight w:val="none"/>
          <w:lang w:val="zh-CN"/>
        </w:rPr>
        <w:t>进行电子签章与加盖投标人公章具有同等法律效力；供应商法定代表人使用有效的个人数字证书对</w:t>
      </w:r>
      <w:r>
        <w:rPr>
          <w:rFonts w:hint="eastAsia" w:ascii="宋体" w:hAnsi="宋体" w:eastAsia="宋体" w:cs="楷体_GB2312"/>
          <w:b/>
          <w:bCs/>
          <w:color w:val="auto"/>
          <w:sz w:val="24"/>
          <w:highlight w:val="none"/>
          <w:lang w:val="zh-CN" w:eastAsia="zh-CN"/>
        </w:rPr>
        <w:t>《投标文件》</w:t>
      </w:r>
      <w:r>
        <w:rPr>
          <w:rFonts w:hint="eastAsia" w:ascii="宋体" w:hAnsi="宋体" w:eastAsia="宋体" w:cs="楷体_GB2312"/>
          <w:b/>
          <w:bCs/>
          <w:color w:val="auto"/>
          <w:sz w:val="24"/>
          <w:highlight w:val="none"/>
          <w:lang w:val="zh-CN"/>
        </w:rPr>
        <w:t>进行签名（签章）与法人签章具有同等法律效力。</w:t>
      </w:r>
    </w:p>
    <w:p w14:paraId="4DB358FD">
      <w:pPr>
        <w:adjustRightInd w:val="0"/>
        <w:snapToGrid w:val="0"/>
        <w:spacing w:before="156" w:beforeLines="50" w:line="300" w:lineRule="auto"/>
        <w:ind w:firstLine="539"/>
        <w:textAlignment w:val="top"/>
        <w:rPr>
          <w:rFonts w:ascii="宋体" w:cs="楷体_GB2312"/>
          <w:color w:val="auto"/>
          <w:sz w:val="24"/>
          <w:highlight w:val="none"/>
          <w:lang w:val="zh-CN"/>
        </w:rPr>
      </w:pPr>
      <w:r>
        <w:rPr>
          <w:rFonts w:ascii="宋体" w:hAnsi="宋体" w:cs="楷体_GB2312"/>
          <w:color w:val="auto"/>
          <w:sz w:val="24"/>
          <w:highlight w:val="none"/>
          <w:lang w:val="zh-CN"/>
        </w:rPr>
        <w:t>3.7.</w:t>
      </w:r>
      <w:r>
        <w:rPr>
          <w:rFonts w:hint="eastAsia" w:ascii="宋体" w:hAnsi="宋体" w:cs="楷体_GB2312"/>
          <w:color w:val="auto"/>
          <w:sz w:val="24"/>
          <w:highlight w:val="none"/>
          <w:lang w:val="zh-CN"/>
        </w:rPr>
        <w:t>5</w:t>
      </w:r>
      <w:r>
        <w:rPr>
          <w:rFonts w:hint="eastAsia" w:ascii="宋体" w:hAnsi="宋体" w:cs="楷体_GB2312"/>
          <w:color w:val="auto"/>
          <w:sz w:val="24"/>
          <w:highlight w:val="none"/>
          <w:lang w:val="en-US" w:eastAsia="zh-CN"/>
        </w:rPr>
        <w:t xml:space="preserve"> </w:t>
      </w:r>
      <w:r>
        <w:rPr>
          <w:rFonts w:hint="eastAsia" w:ascii="宋体" w:hAnsi="宋体" w:cs="楷体_GB2312"/>
          <w:color w:val="auto"/>
          <w:sz w:val="24"/>
          <w:highlight w:val="none"/>
          <w:lang w:val="zh-CN"/>
        </w:rPr>
        <w:t>投标人可对本《招标文件》中所列的所有标段（包）进行分别投标，也可选择其中一个标段（包）或几个标段（包）投标，但不得将《招标文件》规定的同一标段（包）的内容拆开投标，否则将按</w:t>
      </w:r>
      <w:r>
        <w:rPr>
          <w:rFonts w:hint="eastAsia" w:ascii="宋体" w:hAnsi="宋体" w:cs="楷体_GB2312"/>
          <w:b/>
          <w:color w:val="auto"/>
          <w:sz w:val="24"/>
          <w:highlight w:val="none"/>
          <w:lang w:val="zh-CN"/>
        </w:rPr>
        <w:t>无效投标处理</w:t>
      </w:r>
      <w:r>
        <w:rPr>
          <w:rFonts w:hint="eastAsia" w:ascii="宋体" w:hAnsi="宋体" w:cs="楷体_GB2312"/>
          <w:color w:val="auto"/>
          <w:sz w:val="24"/>
          <w:highlight w:val="none"/>
          <w:lang w:val="zh-CN"/>
        </w:rPr>
        <w:t>。</w:t>
      </w:r>
    </w:p>
    <w:p w14:paraId="21BFD6FB">
      <w:pPr>
        <w:adjustRightInd w:val="0"/>
        <w:snapToGrid w:val="0"/>
        <w:spacing w:before="156" w:beforeLines="50" w:line="300" w:lineRule="auto"/>
        <w:ind w:firstLine="539"/>
        <w:textAlignment w:val="top"/>
        <w:rPr>
          <w:rFonts w:ascii="宋体" w:cs="楷体_GB2312"/>
          <w:color w:val="auto"/>
          <w:sz w:val="24"/>
          <w:highlight w:val="none"/>
          <w:lang w:val="zh-CN"/>
        </w:rPr>
      </w:pPr>
      <w:r>
        <w:rPr>
          <w:rFonts w:ascii="宋体" w:hAnsi="宋体" w:cs="楷体_GB2312"/>
          <w:color w:val="auto"/>
          <w:sz w:val="24"/>
          <w:highlight w:val="none"/>
          <w:lang w:val="zh-CN"/>
        </w:rPr>
        <w:t xml:space="preserve">3.7.6 </w:t>
      </w:r>
      <w:r>
        <w:rPr>
          <w:rFonts w:hint="eastAsia" w:ascii="宋体" w:hAnsi="宋体" w:cs="楷体_GB2312"/>
          <w:color w:val="auto"/>
          <w:sz w:val="24"/>
          <w:highlight w:val="none"/>
          <w:lang w:val="zh-CN"/>
        </w:rPr>
        <w:t>《投标文件》因字迹或表述不清所引起的后果由投标人自行负责。</w:t>
      </w:r>
    </w:p>
    <w:p w14:paraId="660E85BA">
      <w:pPr>
        <w:adjustRightInd w:val="0"/>
        <w:snapToGrid w:val="0"/>
        <w:spacing w:before="156" w:beforeLines="50" w:line="300" w:lineRule="auto"/>
        <w:ind w:firstLine="539"/>
        <w:textAlignment w:val="top"/>
        <w:rPr>
          <w:rFonts w:ascii="宋体" w:cs="楷体_GB2312"/>
          <w:color w:val="auto"/>
          <w:sz w:val="24"/>
          <w:highlight w:val="none"/>
          <w:lang w:val="zh-CN"/>
        </w:rPr>
      </w:pPr>
      <w:r>
        <w:rPr>
          <w:rFonts w:ascii="宋体" w:hAnsi="宋体" w:cs="楷体_GB2312"/>
          <w:color w:val="auto"/>
          <w:sz w:val="24"/>
          <w:highlight w:val="none"/>
          <w:lang w:val="zh-CN"/>
        </w:rPr>
        <w:t xml:space="preserve">3.7.7 </w:t>
      </w:r>
      <w:r>
        <w:rPr>
          <w:rFonts w:hint="eastAsia" w:ascii="宋体" w:hAnsi="宋体" w:cs="楷体_GB2312"/>
          <w:color w:val="auto"/>
          <w:sz w:val="24"/>
          <w:highlight w:val="none"/>
          <w:lang w:val="zh-CN"/>
        </w:rPr>
        <w:t>未按上述要求提供的《投标文件》将视为</w:t>
      </w:r>
      <w:r>
        <w:rPr>
          <w:rFonts w:hint="eastAsia" w:ascii="宋体" w:hAnsi="宋体" w:cs="楷体_GB2312"/>
          <w:b/>
          <w:color w:val="auto"/>
          <w:sz w:val="24"/>
          <w:highlight w:val="none"/>
          <w:lang w:val="zh-CN"/>
        </w:rPr>
        <w:t>无效投标。</w:t>
      </w:r>
    </w:p>
    <w:p w14:paraId="215E9DB5">
      <w:pPr>
        <w:autoSpaceDE w:val="0"/>
        <w:autoSpaceDN w:val="0"/>
        <w:adjustRightInd w:val="0"/>
        <w:spacing w:line="360" w:lineRule="auto"/>
        <w:ind w:firstLine="539"/>
        <w:rPr>
          <w:rFonts w:ascii="黑体" w:hAnsi="黑体" w:eastAsia="黑体" w:cs="楷体_GB2312"/>
          <w:b/>
          <w:bCs/>
          <w:color w:val="auto"/>
          <w:sz w:val="28"/>
          <w:szCs w:val="28"/>
          <w:highlight w:val="none"/>
          <w:lang w:val="zh-CN"/>
        </w:rPr>
      </w:pPr>
    </w:p>
    <w:p w14:paraId="393BEB95">
      <w:pPr>
        <w:autoSpaceDE w:val="0"/>
        <w:autoSpaceDN w:val="0"/>
        <w:adjustRightInd w:val="0"/>
        <w:snapToGrid w:val="0"/>
        <w:spacing w:before="156" w:beforeLines="50" w:line="300" w:lineRule="auto"/>
        <w:ind w:firstLine="539"/>
        <w:outlineLvl w:val="1"/>
        <w:rPr>
          <w:rFonts w:ascii="黑体" w:hAnsi="黑体" w:eastAsia="黑体" w:cs="楷体_GB2312"/>
          <w:b/>
          <w:bCs/>
          <w:color w:val="auto"/>
          <w:sz w:val="28"/>
          <w:szCs w:val="28"/>
          <w:highlight w:val="none"/>
          <w:lang w:val="zh-CN"/>
        </w:rPr>
      </w:pPr>
      <w:bookmarkStart w:id="44" w:name="_Toc21224"/>
      <w:r>
        <w:rPr>
          <w:rFonts w:ascii="黑体" w:hAnsi="黑体" w:eastAsia="黑体" w:cs="楷体_GB2312"/>
          <w:b/>
          <w:bCs/>
          <w:color w:val="auto"/>
          <w:sz w:val="28"/>
          <w:szCs w:val="28"/>
          <w:highlight w:val="none"/>
          <w:lang w:val="zh-CN"/>
        </w:rPr>
        <w:t xml:space="preserve">4. </w:t>
      </w:r>
      <w:r>
        <w:rPr>
          <w:rFonts w:hint="eastAsia" w:ascii="黑体" w:hAnsi="黑体" w:eastAsia="黑体" w:cs="楷体_GB2312"/>
          <w:b/>
          <w:bCs/>
          <w:color w:val="auto"/>
          <w:sz w:val="28"/>
          <w:szCs w:val="28"/>
          <w:highlight w:val="none"/>
          <w:lang w:val="zh-CN"/>
        </w:rPr>
        <w:t>投标</w:t>
      </w:r>
      <w:bookmarkEnd w:id="44"/>
    </w:p>
    <w:p w14:paraId="2BE81BE5">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4.1 </w:t>
      </w:r>
      <w:r>
        <w:rPr>
          <w:rFonts w:hint="eastAsia" w:ascii="黑体" w:hAnsi="黑体" w:eastAsia="黑体" w:cs="楷体_GB2312"/>
          <w:b/>
          <w:color w:val="auto"/>
          <w:sz w:val="24"/>
          <w:highlight w:val="none"/>
          <w:lang w:val="zh-CN"/>
        </w:rPr>
        <w:t>《投标文件》的密封和标记</w:t>
      </w:r>
    </w:p>
    <w:p w14:paraId="6252D666">
      <w:pPr>
        <w:autoSpaceDE w:val="0"/>
        <w:autoSpaceDN w:val="0"/>
        <w:adjustRightInd w:val="0"/>
        <w:snapToGrid w:val="0"/>
        <w:spacing w:before="156" w:beforeLines="50" w:line="300" w:lineRule="auto"/>
        <w:ind w:firstLine="539"/>
        <w:rPr>
          <w:rFonts w:ascii="宋体" w:cs="楷体_GB2312"/>
          <w:b/>
          <w:color w:val="auto"/>
          <w:sz w:val="24"/>
          <w:highlight w:val="none"/>
          <w:lang w:val="zh-CN"/>
        </w:rPr>
      </w:pPr>
      <w:bookmarkStart w:id="45" w:name="OLE_LINK2"/>
      <w:r>
        <w:rPr>
          <w:rFonts w:ascii="宋体" w:hAnsi="宋体" w:cs="楷体_GB2312"/>
          <w:b/>
          <w:color w:val="auto"/>
          <w:sz w:val="24"/>
          <w:highlight w:val="none"/>
          <w:lang w:val="zh-CN"/>
        </w:rPr>
        <w:t xml:space="preserve">4.1.1 </w:t>
      </w:r>
      <w:r>
        <w:rPr>
          <w:rFonts w:hint="eastAsia" w:ascii="宋体" w:hAnsi="宋体" w:cs="楷体_GB2312"/>
          <w:b/>
          <w:color w:val="auto"/>
          <w:sz w:val="24"/>
          <w:highlight w:val="none"/>
          <w:lang w:val="zh-CN"/>
        </w:rPr>
        <w:t>《投标文件》应</w:t>
      </w:r>
      <w:r>
        <w:rPr>
          <w:rFonts w:ascii="宋体" w:hAnsi="宋体" w:cs="楷体_GB2312"/>
          <w:b/>
          <w:color w:val="auto"/>
          <w:sz w:val="24"/>
          <w:highlight w:val="none"/>
          <w:lang w:val="zh-CN"/>
        </w:rPr>
        <w:t>当</w:t>
      </w:r>
      <w:r>
        <w:rPr>
          <w:rFonts w:hint="eastAsia" w:ascii="宋体" w:hAnsi="宋体" w:cs="楷体_GB2312"/>
          <w:b/>
          <w:color w:val="auto"/>
          <w:sz w:val="24"/>
          <w:highlight w:val="none"/>
          <w:lang w:val="zh-CN"/>
        </w:rPr>
        <w:t>按网上电子交易系统要</w:t>
      </w:r>
      <w:r>
        <w:rPr>
          <w:rFonts w:ascii="宋体" w:hAnsi="宋体" w:cs="楷体_GB2312"/>
          <w:b/>
          <w:color w:val="auto"/>
          <w:sz w:val="24"/>
          <w:highlight w:val="none"/>
          <w:lang w:val="zh-CN"/>
        </w:rPr>
        <w:t>求</w:t>
      </w:r>
      <w:r>
        <w:rPr>
          <w:rFonts w:hint="eastAsia" w:ascii="宋体" w:hAnsi="宋体" w:cs="楷体_GB2312"/>
          <w:b/>
          <w:color w:val="auto"/>
          <w:sz w:val="24"/>
          <w:highlight w:val="none"/>
          <w:lang w:val="zh-CN"/>
        </w:rPr>
        <w:t>进行</w:t>
      </w:r>
      <w:r>
        <w:rPr>
          <w:rFonts w:ascii="宋体" w:hAnsi="宋体" w:cs="楷体_GB2312"/>
          <w:b/>
          <w:color w:val="auto"/>
          <w:sz w:val="24"/>
          <w:highlight w:val="none"/>
          <w:lang w:val="zh-CN"/>
        </w:rPr>
        <w:t>加密</w:t>
      </w:r>
      <w:r>
        <w:rPr>
          <w:rFonts w:hint="eastAsia" w:ascii="宋体" w:hAnsi="宋体" w:cs="楷体_GB2312"/>
          <w:b/>
          <w:color w:val="auto"/>
          <w:sz w:val="24"/>
          <w:highlight w:val="none"/>
          <w:lang w:val="zh-CN"/>
        </w:rPr>
        <w:t>和标记，</w:t>
      </w:r>
      <w:r>
        <w:rPr>
          <w:rFonts w:ascii="宋体" w:hAnsi="宋体" w:cs="楷体_GB2312"/>
          <w:b/>
          <w:color w:val="auto"/>
          <w:sz w:val="24"/>
          <w:highlight w:val="none"/>
          <w:lang w:val="zh-CN"/>
        </w:rPr>
        <w:t>在</w:t>
      </w:r>
      <w:r>
        <w:rPr>
          <w:rFonts w:hint="eastAsia" w:ascii="宋体" w:hAnsi="宋体" w:cs="楷体_GB2312"/>
          <w:b/>
          <w:color w:val="auto"/>
          <w:sz w:val="24"/>
          <w:highlight w:val="none"/>
          <w:lang w:val="zh-CN"/>
        </w:rPr>
        <w:t>《投标文件》提</w:t>
      </w:r>
      <w:r>
        <w:rPr>
          <w:rFonts w:ascii="宋体" w:hAnsi="宋体" w:cs="楷体_GB2312"/>
          <w:b/>
          <w:color w:val="auto"/>
          <w:sz w:val="24"/>
          <w:highlight w:val="none"/>
          <w:lang w:val="zh-CN"/>
        </w:rPr>
        <w:t>交</w:t>
      </w:r>
      <w:r>
        <w:rPr>
          <w:rFonts w:hint="eastAsia" w:ascii="宋体" w:hAnsi="宋体" w:cs="楷体_GB2312"/>
          <w:b/>
          <w:color w:val="auto"/>
          <w:sz w:val="24"/>
          <w:highlight w:val="none"/>
          <w:lang w:val="zh-CN"/>
        </w:rPr>
        <w:t>截止时间前，将</w:t>
      </w:r>
      <w:r>
        <w:rPr>
          <w:rFonts w:ascii="宋体" w:hAnsi="宋体" w:cs="楷体_GB2312"/>
          <w:b/>
          <w:color w:val="auto"/>
          <w:sz w:val="24"/>
          <w:highlight w:val="none"/>
          <w:lang w:val="zh-CN"/>
        </w:rPr>
        <w:t>加密的</w:t>
      </w:r>
      <w:r>
        <w:rPr>
          <w:rFonts w:hint="eastAsia" w:ascii="宋体" w:hAnsi="宋体" w:cs="楷体_GB2312"/>
          <w:b/>
          <w:color w:val="auto"/>
          <w:sz w:val="24"/>
          <w:highlight w:val="none"/>
          <w:lang w:val="zh-CN"/>
        </w:rPr>
        <w:t>《投标文件》</w:t>
      </w:r>
      <w:r>
        <w:rPr>
          <w:rFonts w:ascii="宋体" w:hAnsi="宋体" w:cs="楷体_GB2312"/>
          <w:b/>
          <w:color w:val="auto"/>
          <w:sz w:val="24"/>
          <w:highlight w:val="none"/>
          <w:lang w:val="zh-CN"/>
        </w:rPr>
        <w:t>上</w:t>
      </w:r>
      <w:r>
        <w:rPr>
          <w:rFonts w:hint="eastAsia" w:ascii="宋体" w:hAnsi="宋体" w:cs="楷体_GB2312"/>
          <w:b/>
          <w:color w:val="auto"/>
          <w:sz w:val="24"/>
          <w:highlight w:val="none"/>
          <w:lang w:val="zh-CN"/>
        </w:rPr>
        <w:t>传至招标公告所述网上电子交易系</w:t>
      </w:r>
      <w:r>
        <w:rPr>
          <w:rFonts w:ascii="宋体" w:hAnsi="宋体" w:cs="楷体_GB2312"/>
          <w:b/>
          <w:color w:val="auto"/>
          <w:sz w:val="24"/>
          <w:highlight w:val="none"/>
          <w:lang w:val="zh-CN"/>
        </w:rPr>
        <w:t>统</w:t>
      </w:r>
      <w:r>
        <w:rPr>
          <w:rFonts w:hint="eastAsia" w:ascii="宋体" w:hAnsi="宋体" w:cs="楷体_GB2312"/>
          <w:b/>
          <w:color w:val="auto"/>
          <w:sz w:val="24"/>
          <w:highlight w:val="none"/>
          <w:lang w:val="zh-CN"/>
        </w:rPr>
        <w:t>。</w:t>
      </w:r>
    </w:p>
    <w:p w14:paraId="61E82B4E">
      <w:pPr>
        <w:autoSpaceDE w:val="0"/>
        <w:autoSpaceDN w:val="0"/>
        <w:adjustRightInd w:val="0"/>
        <w:snapToGrid w:val="0"/>
        <w:spacing w:before="156" w:beforeLines="50" w:line="300" w:lineRule="auto"/>
        <w:ind w:firstLine="539"/>
        <w:rPr>
          <w:rFonts w:ascii="宋体" w:cs="楷体_GB2312"/>
          <w:b/>
          <w:color w:val="auto"/>
          <w:sz w:val="24"/>
          <w:highlight w:val="none"/>
          <w:lang w:val="zh-CN"/>
        </w:rPr>
      </w:pPr>
      <w:bookmarkStart w:id="46" w:name="OLE_LINK1"/>
      <w:r>
        <w:rPr>
          <w:rFonts w:ascii="宋体" w:hAnsi="宋体" w:cs="楷体_GB2312"/>
          <w:b/>
          <w:color w:val="auto"/>
          <w:sz w:val="24"/>
          <w:highlight w:val="none"/>
          <w:lang w:val="zh-CN"/>
        </w:rPr>
        <w:t xml:space="preserve">4.1.2 </w:t>
      </w:r>
      <w:r>
        <w:rPr>
          <w:rFonts w:hint="eastAsia" w:ascii="宋体" w:hAnsi="宋体" w:cs="楷体_GB2312"/>
          <w:b/>
          <w:color w:val="auto"/>
          <w:sz w:val="24"/>
          <w:highlight w:val="none"/>
          <w:lang w:val="zh-CN"/>
        </w:rPr>
        <w:t>《投标文件》没有按照上述要求进行</w:t>
      </w:r>
      <w:r>
        <w:rPr>
          <w:rFonts w:ascii="宋体" w:hAnsi="宋体" w:cs="楷体_GB2312"/>
          <w:b/>
          <w:color w:val="auto"/>
          <w:sz w:val="24"/>
          <w:highlight w:val="none"/>
          <w:lang w:val="zh-CN"/>
        </w:rPr>
        <w:t>加密</w:t>
      </w:r>
      <w:r>
        <w:rPr>
          <w:rFonts w:hint="eastAsia" w:ascii="黑体" w:hAnsi="黑体" w:eastAsia="黑体" w:cs="楷体_GB2312"/>
          <w:b/>
          <w:color w:val="auto"/>
          <w:sz w:val="24"/>
          <w:highlight w:val="none"/>
          <w:lang w:val="zh-CN"/>
        </w:rPr>
        <w:t>和标记</w:t>
      </w:r>
      <w:r>
        <w:rPr>
          <w:rFonts w:hint="eastAsia" w:ascii="宋体" w:hAnsi="宋体" w:cs="楷体_GB2312"/>
          <w:b/>
          <w:color w:val="auto"/>
          <w:sz w:val="24"/>
          <w:highlight w:val="none"/>
          <w:lang w:val="zh-CN"/>
        </w:rPr>
        <w:t>的、网上电子交易系</w:t>
      </w:r>
      <w:r>
        <w:rPr>
          <w:rFonts w:ascii="宋体" w:hAnsi="宋体" w:cs="楷体_GB2312"/>
          <w:b/>
          <w:color w:val="auto"/>
          <w:sz w:val="24"/>
          <w:highlight w:val="none"/>
          <w:lang w:val="zh-CN"/>
        </w:rPr>
        <w:t>统</w:t>
      </w:r>
      <w:r>
        <w:rPr>
          <w:rFonts w:hint="eastAsia" w:ascii="宋体" w:hAnsi="宋体" w:cs="楷体_GB2312"/>
          <w:b/>
          <w:color w:val="auto"/>
          <w:sz w:val="24"/>
          <w:highlight w:val="none"/>
          <w:lang w:val="zh-CN"/>
        </w:rPr>
        <w:t>将</w:t>
      </w:r>
      <w:r>
        <w:rPr>
          <w:rFonts w:ascii="宋体" w:hAnsi="宋体" w:cs="楷体_GB2312"/>
          <w:b/>
          <w:color w:val="auto"/>
          <w:sz w:val="24"/>
          <w:highlight w:val="none"/>
          <w:lang w:val="zh-CN"/>
        </w:rPr>
        <w:t>据系统设定</w:t>
      </w:r>
      <w:r>
        <w:rPr>
          <w:rFonts w:hint="eastAsia" w:ascii="宋体" w:hAnsi="宋体" w:cs="楷体_GB2312"/>
          <w:b/>
          <w:color w:val="auto"/>
          <w:sz w:val="24"/>
          <w:highlight w:val="none"/>
          <w:lang w:val="zh-CN"/>
        </w:rPr>
        <w:t>拒收其《投标文件》，投标人应自负该项风险，采购代理机构对可能产</w:t>
      </w:r>
      <w:r>
        <w:rPr>
          <w:rFonts w:ascii="宋体" w:hAnsi="宋体" w:cs="楷体_GB2312"/>
          <w:b/>
          <w:color w:val="auto"/>
          <w:sz w:val="24"/>
          <w:highlight w:val="none"/>
          <w:lang w:val="zh-CN"/>
        </w:rPr>
        <w:t>生的</w:t>
      </w:r>
      <w:r>
        <w:rPr>
          <w:rFonts w:hint="eastAsia" w:ascii="宋体" w:hAnsi="宋体" w:cs="楷体_GB2312"/>
          <w:b/>
          <w:color w:val="auto"/>
          <w:sz w:val="24"/>
          <w:highlight w:val="none"/>
          <w:lang w:val="zh-CN"/>
        </w:rPr>
        <w:t>误投或提前启封概不负责。</w:t>
      </w:r>
      <w:bookmarkEnd w:id="46"/>
    </w:p>
    <w:bookmarkEnd w:id="45"/>
    <w:p w14:paraId="447443BA">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4.2 </w:t>
      </w:r>
      <w:r>
        <w:rPr>
          <w:rFonts w:hint="eastAsia" w:ascii="黑体" w:hAnsi="黑体" w:eastAsia="黑体" w:cs="楷体_GB2312"/>
          <w:b/>
          <w:color w:val="auto"/>
          <w:sz w:val="24"/>
          <w:highlight w:val="none"/>
          <w:lang w:val="zh-CN"/>
        </w:rPr>
        <w:t>《投标文件》的递交</w:t>
      </w:r>
    </w:p>
    <w:p w14:paraId="27B7EF06">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ascii="宋体" w:hAnsi="宋体" w:cs="楷体_GB2312"/>
          <w:b w:val="0"/>
          <w:bCs/>
          <w:color w:val="auto"/>
          <w:sz w:val="24"/>
          <w:highlight w:val="none"/>
          <w:lang w:val="zh-CN"/>
        </w:rPr>
        <w:t xml:space="preserve">4.2.1 </w:t>
      </w:r>
      <w:r>
        <w:rPr>
          <w:rFonts w:hint="eastAsia" w:ascii="宋体" w:hAnsi="宋体"/>
          <w:color w:val="auto"/>
          <w:sz w:val="24"/>
          <w:szCs w:val="24"/>
          <w:highlight w:val="none"/>
        </w:rPr>
        <w:t>投标人应在投标截止时间前上传加密的电子</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（*.aytf）到</w:t>
      </w:r>
      <w:r>
        <w:rPr>
          <w:rFonts w:hint="eastAsia" w:ascii="宋体" w:hAnsi="宋体"/>
          <w:color w:val="auto"/>
          <w:sz w:val="24"/>
          <w:szCs w:val="24"/>
          <w:highlight w:val="none"/>
          <w:lang w:eastAsia="zh-CN"/>
        </w:rPr>
        <w:t>殷都区</w:t>
      </w:r>
      <w:r>
        <w:rPr>
          <w:rFonts w:hint="eastAsia" w:ascii="宋体" w:hAnsi="宋体"/>
          <w:color w:val="auto"/>
          <w:sz w:val="24"/>
          <w:szCs w:val="24"/>
          <w:highlight w:val="none"/>
        </w:rPr>
        <w:t>公共资源交易平台。上传时投标人须使用制作该</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的同一CA锁进行上传操作。请投标人在上传时认真检查上传</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是否完整、正确。投标人应充分考虑上传文件时的不可预见因素，未在投标截止时间前完成上传的，视为逾期送达，</w:t>
      </w:r>
      <w:r>
        <w:rPr>
          <w:rFonts w:hint="eastAsia" w:ascii="宋体" w:hAnsi="宋体"/>
          <w:color w:val="auto"/>
          <w:sz w:val="24"/>
          <w:szCs w:val="24"/>
          <w:highlight w:val="none"/>
          <w:lang w:eastAsia="zh-CN"/>
        </w:rPr>
        <w:t>殷都区</w:t>
      </w:r>
      <w:r>
        <w:rPr>
          <w:rFonts w:hint="eastAsia" w:ascii="宋体" w:hAnsi="宋体"/>
          <w:color w:val="auto"/>
          <w:sz w:val="24"/>
          <w:szCs w:val="24"/>
          <w:highlight w:val="none"/>
        </w:rPr>
        <w:t>公共资源交易平台将拒绝接收。</w:t>
      </w:r>
    </w:p>
    <w:p w14:paraId="67E6B2B9">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ascii="宋体" w:hAnsi="宋体" w:cs="楷体_GB2312"/>
          <w:b/>
          <w:color w:val="auto"/>
          <w:sz w:val="24"/>
          <w:highlight w:val="none"/>
          <w:lang w:val="zh-CN"/>
        </w:rPr>
        <w:t xml:space="preserve">4.2.2 </w:t>
      </w:r>
      <w:r>
        <w:rPr>
          <w:rFonts w:hint="eastAsia" w:ascii="宋体" w:hAnsi="宋体" w:cs="楷体_GB2312"/>
          <w:b/>
          <w:color w:val="auto"/>
          <w:sz w:val="24"/>
          <w:highlight w:val="none"/>
          <w:lang w:val="zh-CN"/>
        </w:rPr>
        <w:t>据网上电子交易系统设</w:t>
      </w:r>
      <w:r>
        <w:rPr>
          <w:rFonts w:ascii="宋体" w:hAnsi="宋体" w:cs="楷体_GB2312"/>
          <w:b/>
          <w:color w:val="auto"/>
          <w:sz w:val="24"/>
          <w:highlight w:val="none"/>
          <w:lang w:val="zh-CN"/>
        </w:rPr>
        <w:t>定，</w:t>
      </w:r>
      <w:r>
        <w:rPr>
          <w:rFonts w:hint="eastAsia" w:ascii="宋体" w:hAnsi="宋体" w:cs="楷体_GB2312"/>
          <w:b/>
          <w:color w:val="auto"/>
          <w:sz w:val="24"/>
          <w:highlight w:val="none"/>
          <w:lang w:val="zh-CN"/>
        </w:rPr>
        <w:t>《投标文件》提交截止时间后，系统将自动锁定已经提交的电子《投标文件》，拒绝再次提交。投</w:t>
      </w:r>
      <w:r>
        <w:rPr>
          <w:rFonts w:ascii="宋体" w:hAnsi="宋体" w:cs="楷体_GB2312"/>
          <w:b/>
          <w:color w:val="auto"/>
          <w:sz w:val="24"/>
          <w:highlight w:val="none"/>
          <w:lang w:val="zh-CN"/>
        </w:rPr>
        <w:t>标人</w:t>
      </w:r>
      <w:r>
        <w:rPr>
          <w:rFonts w:hint="eastAsia" w:ascii="宋体" w:hAnsi="宋体" w:cs="楷体_GB2312"/>
          <w:b/>
          <w:color w:val="auto"/>
          <w:sz w:val="24"/>
          <w:highlight w:val="none"/>
          <w:lang w:val="zh-CN"/>
        </w:rPr>
        <w:t>将无法通过网上电子交易系统进行上传，采购代理机构将无法接受并拒绝接受投标截止时间以后提</w:t>
      </w:r>
      <w:r>
        <w:rPr>
          <w:rFonts w:ascii="宋体" w:hAnsi="宋体" w:cs="楷体_GB2312"/>
          <w:b/>
          <w:color w:val="auto"/>
          <w:sz w:val="24"/>
          <w:highlight w:val="none"/>
          <w:lang w:val="zh-CN"/>
        </w:rPr>
        <w:t>交</w:t>
      </w:r>
      <w:r>
        <w:rPr>
          <w:rFonts w:hint="eastAsia" w:ascii="宋体" w:hAnsi="宋体" w:cs="楷体_GB2312"/>
          <w:b/>
          <w:color w:val="auto"/>
          <w:sz w:val="24"/>
          <w:highlight w:val="none"/>
          <w:lang w:val="zh-CN"/>
        </w:rPr>
        <w:t>的《投标文件》。</w:t>
      </w:r>
    </w:p>
    <w:p w14:paraId="287F491F">
      <w:pPr>
        <w:autoSpaceDE w:val="0"/>
        <w:autoSpaceDN w:val="0"/>
        <w:adjustRightInd w:val="0"/>
        <w:snapToGrid w:val="0"/>
        <w:spacing w:before="156" w:beforeLines="50" w:line="300" w:lineRule="auto"/>
        <w:ind w:firstLine="539"/>
        <w:rPr>
          <w:rFonts w:ascii="宋体" w:hAnsi="宋体" w:cs="楷体_GB2312"/>
          <w:color w:val="auto"/>
          <w:sz w:val="24"/>
          <w:highlight w:val="none"/>
          <w:lang w:val="zh-CN"/>
        </w:rPr>
      </w:pPr>
      <w:r>
        <w:rPr>
          <w:rFonts w:ascii="宋体" w:hAnsi="宋体" w:cs="楷体_GB2312"/>
          <w:color w:val="auto"/>
          <w:sz w:val="24"/>
          <w:highlight w:val="none"/>
          <w:lang w:val="zh-CN"/>
        </w:rPr>
        <w:t xml:space="preserve">4.2.3 </w:t>
      </w:r>
      <w:r>
        <w:rPr>
          <w:rFonts w:hint="eastAsia" w:ascii="宋体" w:hAnsi="宋体" w:cs="楷体_GB2312"/>
          <w:color w:val="auto"/>
          <w:sz w:val="24"/>
          <w:highlight w:val="none"/>
          <w:lang w:val="zh-CN"/>
        </w:rPr>
        <w:t>由于不可抗拒的原因，代理机构对《投标文件》的遗失和损坏不负任何责任。</w:t>
      </w:r>
    </w:p>
    <w:p w14:paraId="3024C860">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4.2.4 </w:t>
      </w:r>
      <w:r>
        <w:rPr>
          <w:rFonts w:hint="eastAsia" w:ascii="宋体" w:hAnsi="宋体" w:cs="楷体_GB2312"/>
          <w:color w:val="auto"/>
          <w:sz w:val="24"/>
          <w:highlight w:val="none"/>
          <w:lang w:val="zh-CN"/>
        </w:rPr>
        <w:t>除投标人须知前附表另有规定外，投标人所递交的《投标文件》不予退还。</w:t>
      </w:r>
    </w:p>
    <w:p w14:paraId="3ADCFB46">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ascii="宋体" w:hAnsi="宋体" w:cs="楷体_GB2312"/>
          <w:b/>
          <w:color w:val="auto"/>
          <w:sz w:val="24"/>
          <w:highlight w:val="none"/>
          <w:lang w:val="zh-CN"/>
        </w:rPr>
        <w:t xml:space="preserve">4.2.5 </w:t>
      </w:r>
      <w:r>
        <w:rPr>
          <w:rFonts w:hint="eastAsia" w:ascii="宋体" w:hAnsi="宋体" w:cs="楷体_GB2312"/>
          <w:b/>
          <w:color w:val="auto"/>
          <w:sz w:val="24"/>
          <w:highlight w:val="none"/>
          <w:lang w:val="zh-CN"/>
        </w:rPr>
        <w:t>基于</w:t>
      </w:r>
      <w:r>
        <w:rPr>
          <w:rFonts w:ascii="宋体" w:hAnsi="宋体" w:cs="楷体_GB2312"/>
          <w:b/>
          <w:color w:val="auto"/>
          <w:sz w:val="24"/>
          <w:highlight w:val="none"/>
          <w:lang w:val="zh-CN"/>
        </w:rPr>
        <w:t>网上电子交易的</w:t>
      </w:r>
      <w:r>
        <w:rPr>
          <w:rFonts w:hint="eastAsia" w:ascii="宋体" w:hAnsi="宋体" w:cs="楷体_GB2312"/>
          <w:b/>
          <w:color w:val="auto"/>
          <w:sz w:val="24"/>
          <w:highlight w:val="none"/>
          <w:lang w:val="zh-CN"/>
        </w:rPr>
        <w:t>系统</w:t>
      </w:r>
      <w:r>
        <w:rPr>
          <w:rFonts w:ascii="宋体" w:hAnsi="宋体" w:cs="楷体_GB2312"/>
          <w:b/>
          <w:color w:val="auto"/>
          <w:sz w:val="24"/>
          <w:highlight w:val="none"/>
          <w:lang w:val="zh-CN"/>
        </w:rPr>
        <w:t>要求及</w:t>
      </w:r>
      <w:r>
        <w:rPr>
          <w:rFonts w:hint="eastAsia" w:ascii="宋体" w:hAnsi="宋体" w:cs="楷体_GB2312"/>
          <w:b/>
          <w:color w:val="auto"/>
          <w:sz w:val="24"/>
          <w:highlight w:val="none"/>
          <w:lang w:val="zh-CN"/>
        </w:rPr>
        <w:t>特点</w:t>
      </w:r>
      <w:r>
        <w:rPr>
          <w:rFonts w:ascii="宋体" w:hAnsi="宋体" w:cs="楷体_GB2312"/>
          <w:b/>
          <w:color w:val="auto"/>
          <w:sz w:val="24"/>
          <w:highlight w:val="none"/>
          <w:lang w:val="zh-CN"/>
        </w:rPr>
        <w:t>，</w:t>
      </w:r>
      <w:r>
        <w:rPr>
          <w:rFonts w:hint="eastAsia" w:ascii="宋体" w:hAnsi="宋体" w:cs="楷体_GB2312"/>
          <w:b/>
          <w:color w:val="auto"/>
          <w:sz w:val="24"/>
          <w:highlight w:val="none"/>
          <w:lang w:val="zh-CN"/>
        </w:rPr>
        <w:t>只</w:t>
      </w:r>
      <w:r>
        <w:rPr>
          <w:rFonts w:ascii="宋体" w:hAnsi="宋体" w:cs="楷体_GB2312"/>
          <w:b/>
          <w:color w:val="auto"/>
          <w:sz w:val="24"/>
          <w:highlight w:val="none"/>
          <w:lang w:val="zh-CN"/>
        </w:rPr>
        <w:t>接受基于</w:t>
      </w:r>
      <w:r>
        <w:rPr>
          <w:rFonts w:hint="eastAsia" w:ascii="宋体" w:hAnsi="宋体" w:cs="楷体_GB2312"/>
          <w:b/>
          <w:color w:val="auto"/>
          <w:sz w:val="24"/>
          <w:highlight w:val="none"/>
          <w:lang w:val="zh-CN"/>
        </w:rPr>
        <w:t>符</w:t>
      </w:r>
      <w:r>
        <w:rPr>
          <w:rFonts w:ascii="宋体" w:hAnsi="宋体" w:cs="楷体_GB2312"/>
          <w:b/>
          <w:color w:val="auto"/>
          <w:sz w:val="24"/>
          <w:highlight w:val="none"/>
          <w:lang w:val="zh-CN"/>
        </w:rPr>
        <w:t>合</w:t>
      </w:r>
      <w:r>
        <w:rPr>
          <w:rFonts w:hint="eastAsia" w:ascii="宋体" w:hAnsi="宋体" w:cs="楷体_GB2312"/>
          <w:b/>
          <w:color w:val="auto"/>
          <w:sz w:val="24"/>
          <w:highlight w:val="none"/>
          <w:lang w:val="zh-CN"/>
        </w:rPr>
        <w:t>网上电子交易系统要</w:t>
      </w:r>
      <w:r>
        <w:rPr>
          <w:rFonts w:ascii="宋体" w:hAnsi="宋体" w:cs="楷体_GB2312"/>
          <w:b/>
          <w:color w:val="auto"/>
          <w:sz w:val="24"/>
          <w:highlight w:val="none"/>
          <w:lang w:val="zh-CN"/>
        </w:rPr>
        <w:t>求</w:t>
      </w:r>
      <w:r>
        <w:rPr>
          <w:rFonts w:hint="eastAsia" w:ascii="宋体" w:hAnsi="宋体" w:cs="楷体_GB2312"/>
          <w:b/>
          <w:color w:val="auto"/>
          <w:sz w:val="24"/>
          <w:highlight w:val="none"/>
          <w:lang w:val="zh-CN"/>
        </w:rPr>
        <w:t>的</w:t>
      </w:r>
      <w:r>
        <w:rPr>
          <w:rFonts w:ascii="宋体" w:hAnsi="宋体" w:cs="楷体_GB2312"/>
          <w:b/>
          <w:color w:val="auto"/>
          <w:sz w:val="24"/>
          <w:highlight w:val="none"/>
          <w:lang w:val="zh-CN"/>
        </w:rPr>
        <w:t>投标</w:t>
      </w:r>
      <w:r>
        <w:rPr>
          <w:rFonts w:hint="eastAsia" w:ascii="宋体" w:hAnsi="宋体" w:cs="楷体_GB2312"/>
          <w:b/>
          <w:color w:val="auto"/>
          <w:sz w:val="24"/>
          <w:highlight w:val="none"/>
          <w:lang w:val="zh-CN"/>
        </w:rPr>
        <w:t>，</w:t>
      </w:r>
      <w:r>
        <w:rPr>
          <w:rFonts w:ascii="宋体" w:hAnsi="宋体" w:cs="楷体_GB2312"/>
          <w:b/>
          <w:color w:val="auto"/>
          <w:sz w:val="24"/>
          <w:highlight w:val="none"/>
          <w:lang w:val="zh-CN"/>
        </w:rPr>
        <w:t>其他如纸制、送达、</w:t>
      </w:r>
      <w:r>
        <w:rPr>
          <w:rFonts w:hint="eastAsia" w:ascii="宋体" w:hAnsi="宋体" w:cs="楷体_GB2312"/>
          <w:b/>
          <w:color w:val="auto"/>
          <w:sz w:val="24"/>
          <w:highlight w:val="none"/>
          <w:lang w:val="zh-CN"/>
        </w:rPr>
        <w:t>电报、电话、电子邮件等形式的投标概不接受。</w:t>
      </w:r>
    </w:p>
    <w:p w14:paraId="22267F3F">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4.3 </w:t>
      </w:r>
      <w:r>
        <w:rPr>
          <w:rFonts w:hint="eastAsia" w:ascii="黑体" w:hAnsi="黑体" w:eastAsia="黑体" w:cs="楷体_GB2312"/>
          <w:b/>
          <w:color w:val="auto"/>
          <w:sz w:val="24"/>
          <w:highlight w:val="none"/>
          <w:lang w:val="zh-CN"/>
        </w:rPr>
        <w:t>《投标文件》的修改与撤回</w:t>
      </w:r>
    </w:p>
    <w:p w14:paraId="29AC229C">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ascii="宋体" w:hAnsi="宋体" w:cs="楷体_GB2312"/>
          <w:b/>
          <w:color w:val="auto"/>
          <w:sz w:val="24"/>
          <w:highlight w:val="none"/>
          <w:lang w:val="zh-CN"/>
        </w:rPr>
        <w:t>4.3.1</w:t>
      </w:r>
      <w:r>
        <w:rPr>
          <w:rFonts w:hint="eastAsia" w:ascii="宋体" w:hAnsi="宋体" w:cs="楷体_GB2312"/>
          <w:b/>
          <w:color w:val="auto"/>
          <w:sz w:val="24"/>
          <w:highlight w:val="none"/>
          <w:lang w:val="zh-CN"/>
        </w:rPr>
        <w:t xml:space="preserve"> 投标人于提交《投标文件》截止时间前如对《投标文件》进行补充、修改，可以上传新的《投标文件》进行覆盖。投标人如撤回《投标文件》，应及时书面通知采购代理机构进行办理。</w:t>
      </w:r>
    </w:p>
    <w:p w14:paraId="6184390A">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ascii="宋体" w:hAnsi="宋体" w:cs="楷体_GB2312"/>
          <w:b/>
          <w:color w:val="auto"/>
          <w:sz w:val="24"/>
          <w:highlight w:val="none"/>
          <w:lang w:val="zh-CN"/>
        </w:rPr>
        <w:t>4.3.</w:t>
      </w:r>
      <w:r>
        <w:rPr>
          <w:rFonts w:hint="eastAsia" w:ascii="宋体" w:hAnsi="宋体" w:cs="楷体_GB2312"/>
          <w:b/>
          <w:color w:val="auto"/>
          <w:sz w:val="24"/>
          <w:highlight w:val="none"/>
          <w:lang w:val="zh-CN"/>
        </w:rPr>
        <w:t>2 投标人在《投标文件》提</w:t>
      </w:r>
      <w:r>
        <w:rPr>
          <w:rFonts w:ascii="宋体" w:hAnsi="宋体" w:cs="楷体_GB2312"/>
          <w:b/>
          <w:color w:val="auto"/>
          <w:sz w:val="24"/>
          <w:highlight w:val="none"/>
          <w:lang w:val="zh-CN"/>
        </w:rPr>
        <w:t>交</w:t>
      </w:r>
      <w:r>
        <w:rPr>
          <w:rFonts w:hint="eastAsia" w:ascii="宋体" w:hAnsi="宋体" w:cs="楷体_GB2312"/>
          <w:b/>
          <w:color w:val="auto"/>
          <w:sz w:val="24"/>
          <w:highlight w:val="none"/>
          <w:lang w:val="zh-CN"/>
        </w:rPr>
        <w:t>截止时间后不得自行修改或撤回其投标，否则依据《招标文件》“第三章</w:t>
      </w:r>
      <w:r>
        <w:rPr>
          <w:rFonts w:hint="eastAsia" w:ascii="宋体" w:hAnsi="宋体" w:cs="楷体_GB2312"/>
          <w:b/>
          <w:color w:val="auto"/>
          <w:sz w:val="24"/>
          <w:highlight w:val="none"/>
          <w:lang w:val="en-US" w:eastAsia="zh-CN"/>
        </w:rPr>
        <w:t xml:space="preserve"> </w:t>
      </w:r>
      <w:r>
        <w:rPr>
          <w:rFonts w:hint="eastAsia" w:ascii="宋体" w:hAnsi="宋体" w:cs="楷体_GB2312"/>
          <w:b/>
          <w:color w:val="auto"/>
          <w:sz w:val="24"/>
          <w:highlight w:val="none"/>
          <w:lang w:val="zh-CN"/>
        </w:rPr>
        <w:t>3.5.5 违背承诺的责任追究措施”，投标人承担相应法律责任及违约责任。</w:t>
      </w:r>
    </w:p>
    <w:p w14:paraId="6AB44DBF">
      <w:pPr>
        <w:autoSpaceDE w:val="0"/>
        <w:autoSpaceDN w:val="0"/>
        <w:adjustRightInd w:val="0"/>
        <w:snapToGrid w:val="0"/>
        <w:spacing w:before="156" w:beforeLines="50" w:line="300" w:lineRule="auto"/>
        <w:ind w:firstLine="539"/>
        <w:rPr>
          <w:rFonts w:ascii="宋体" w:cs="楷体_GB2312"/>
          <w:color w:val="auto"/>
          <w:sz w:val="24"/>
          <w:highlight w:val="none"/>
          <w:lang w:val="zh-CN"/>
        </w:rPr>
      </w:pPr>
    </w:p>
    <w:p w14:paraId="20E60ABF">
      <w:pPr>
        <w:autoSpaceDE w:val="0"/>
        <w:autoSpaceDN w:val="0"/>
        <w:adjustRightInd w:val="0"/>
        <w:snapToGrid w:val="0"/>
        <w:spacing w:before="156" w:beforeLines="50" w:line="300" w:lineRule="auto"/>
        <w:ind w:firstLine="539"/>
        <w:outlineLvl w:val="1"/>
        <w:rPr>
          <w:rFonts w:ascii="宋体" w:cs="楷体_GB2312"/>
          <w:color w:val="auto"/>
          <w:sz w:val="24"/>
          <w:highlight w:val="none"/>
          <w:lang w:val="zh-CN"/>
        </w:rPr>
      </w:pPr>
      <w:bookmarkStart w:id="47" w:name="_Toc28430"/>
      <w:r>
        <w:rPr>
          <w:rFonts w:ascii="黑体" w:hAnsi="黑体" w:eastAsia="黑体" w:cs="楷体_GB2312"/>
          <w:b/>
          <w:bCs/>
          <w:color w:val="auto"/>
          <w:sz w:val="28"/>
          <w:szCs w:val="28"/>
          <w:highlight w:val="none"/>
          <w:lang w:val="zh-CN"/>
        </w:rPr>
        <w:t xml:space="preserve">5. </w:t>
      </w:r>
      <w:r>
        <w:rPr>
          <w:rFonts w:hint="eastAsia" w:ascii="黑体" w:hAnsi="黑体" w:eastAsia="黑体" w:cs="楷体_GB2312"/>
          <w:b/>
          <w:bCs/>
          <w:color w:val="auto"/>
          <w:sz w:val="28"/>
          <w:szCs w:val="28"/>
          <w:highlight w:val="none"/>
          <w:lang w:val="zh-CN"/>
        </w:rPr>
        <w:t>开标</w:t>
      </w:r>
      <w:bookmarkEnd w:id="47"/>
    </w:p>
    <w:p w14:paraId="68777C6C">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5.1 </w:t>
      </w:r>
      <w:r>
        <w:rPr>
          <w:rFonts w:hint="eastAsia" w:ascii="黑体" w:hAnsi="黑体" w:eastAsia="黑体" w:cs="楷体_GB2312"/>
          <w:b/>
          <w:color w:val="auto"/>
          <w:sz w:val="24"/>
          <w:highlight w:val="none"/>
          <w:lang w:val="zh-CN"/>
        </w:rPr>
        <w:t>开标时间和地点</w:t>
      </w:r>
    </w:p>
    <w:p w14:paraId="6D04BAC2">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ascii="宋体" w:hAnsi="宋体" w:cs="楷体_GB2312"/>
          <w:b/>
          <w:color w:val="auto"/>
          <w:sz w:val="24"/>
          <w:highlight w:val="none"/>
          <w:lang w:val="zh-CN"/>
        </w:rPr>
        <w:t xml:space="preserve">5.1.1 </w:t>
      </w:r>
      <w:r>
        <w:rPr>
          <w:rFonts w:hint="eastAsia" w:ascii="宋体" w:hAnsi="宋体" w:cs="楷体_GB2312"/>
          <w:b/>
          <w:color w:val="auto"/>
          <w:sz w:val="24"/>
          <w:highlight w:val="none"/>
          <w:lang w:val="zh-CN"/>
        </w:rPr>
        <w:t>采购人和采购代理机构按招标公告规定的时间和地点于</w:t>
      </w:r>
      <w:r>
        <w:rPr>
          <w:rFonts w:ascii="宋体" w:hAnsi="宋体" w:cs="楷体_GB2312"/>
          <w:b/>
          <w:color w:val="auto"/>
          <w:sz w:val="24"/>
          <w:highlight w:val="none"/>
          <w:lang w:val="zh-CN"/>
        </w:rPr>
        <w:t>网上</w:t>
      </w:r>
      <w:r>
        <w:rPr>
          <w:rFonts w:hint="eastAsia" w:ascii="宋体" w:hAnsi="宋体" w:cs="楷体_GB2312"/>
          <w:b/>
          <w:color w:val="auto"/>
          <w:sz w:val="24"/>
          <w:highlight w:val="none"/>
          <w:lang w:val="zh-CN"/>
        </w:rPr>
        <w:t>（招标公告所述网上电子交易系统</w:t>
      </w:r>
      <w:r>
        <w:rPr>
          <w:rFonts w:ascii="宋体" w:hAnsi="宋体" w:cs="楷体_GB2312"/>
          <w:b/>
          <w:color w:val="auto"/>
          <w:sz w:val="24"/>
          <w:highlight w:val="none"/>
          <w:lang w:val="zh-CN"/>
        </w:rPr>
        <w:t>）</w:t>
      </w:r>
      <w:r>
        <w:rPr>
          <w:rFonts w:hint="eastAsia" w:ascii="宋体" w:hAnsi="宋体" w:cs="楷体_GB2312"/>
          <w:b/>
          <w:color w:val="auto"/>
          <w:sz w:val="24"/>
          <w:highlight w:val="none"/>
          <w:lang w:val="zh-CN"/>
        </w:rPr>
        <w:t>公开开标。</w:t>
      </w:r>
    </w:p>
    <w:p w14:paraId="59D51529">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ascii="宋体" w:hAnsi="宋体" w:cs="楷体_GB2312"/>
          <w:b/>
          <w:color w:val="auto"/>
          <w:sz w:val="24"/>
          <w:highlight w:val="none"/>
          <w:lang w:val="zh-CN"/>
        </w:rPr>
        <w:t>5.1.2</w:t>
      </w:r>
      <w:r>
        <w:rPr>
          <w:rFonts w:hint="eastAsia" w:ascii="宋体" w:hAnsi="宋体" w:cs="楷体_GB2312"/>
          <w:b/>
          <w:color w:val="auto"/>
          <w:sz w:val="24"/>
          <w:highlight w:val="none"/>
          <w:lang w:val="zh-CN"/>
        </w:rPr>
        <w:t xml:space="preserve"> 本项目采用远程不见面交易的模式；开标当日，投标人无需到开标现场参加开标会议，投标人应当在投标截止时间前，使用IE浏览器登录到安阳市公共资源交易不见面开标大厅，点击右上方【登录】按钮进入，在线准时参加开标活动并进行《投标文件》解密等。因投标人原因未能解密、解密失败或解密超时的将被拒绝。</w:t>
      </w:r>
    </w:p>
    <w:p w14:paraId="2F35FC3E">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5.2 </w:t>
      </w:r>
      <w:r>
        <w:rPr>
          <w:rFonts w:hint="eastAsia" w:ascii="黑体" w:hAnsi="黑体" w:eastAsia="黑体" w:cs="楷体_GB2312"/>
          <w:b/>
          <w:color w:val="auto"/>
          <w:sz w:val="24"/>
          <w:highlight w:val="none"/>
          <w:lang w:val="zh-CN"/>
        </w:rPr>
        <w:t>开标程序</w:t>
      </w:r>
    </w:p>
    <w:p w14:paraId="58981B3D">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ascii="宋体" w:hAnsi="宋体" w:cs="楷体_GB2312"/>
          <w:b/>
          <w:color w:val="auto"/>
          <w:sz w:val="24"/>
          <w:highlight w:val="none"/>
          <w:lang w:val="zh-CN"/>
        </w:rPr>
        <w:t>5.2.1</w:t>
      </w:r>
      <w:r>
        <w:rPr>
          <w:rFonts w:hint="eastAsia" w:ascii="宋体" w:hAnsi="宋体" w:cs="楷体_GB2312"/>
          <w:b/>
          <w:color w:val="auto"/>
          <w:sz w:val="24"/>
          <w:highlight w:val="none"/>
          <w:lang w:val="zh-CN"/>
        </w:rPr>
        <w:t xml:space="preserve"> 本项目为网</w:t>
      </w:r>
      <w:r>
        <w:rPr>
          <w:rFonts w:ascii="宋体" w:hAnsi="宋体" w:cs="楷体_GB2312"/>
          <w:b/>
          <w:color w:val="auto"/>
          <w:sz w:val="24"/>
          <w:highlight w:val="none"/>
          <w:lang w:val="zh-CN"/>
        </w:rPr>
        <w:t>上</w:t>
      </w:r>
      <w:r>
        <w:rPr>
          <w:rFonts w:hint="eastAsia" w:ascii="宋体" w:hAnsi="宋体" w:cs="楷体_GB2312"/>
          <w:b/>
          <w:color w:val="auto"/>
          <w:sz w:val="24"/>
          <w:highlight w:val="none"/>
          <w:lang w:val="zh-CN"/>
        </w:rPr>
        <w:t>电子交易方</w:t>
      </w:r>
      <w:r>
        <w:rPr>
          <w:rFonts w:ascii="宋体" w:hAnsi="宋体" w:cs="楷体_GB2312"/>
          <w:b/>
          <w:color w:val="auto"/>
          <w:sz w:val="24"/>
          <w:highlight w:val="none"/>
          <w:lang w:val="zh-CN"/>
        </w:rPr>
        <w:t>式，</w:t>
      </w:r>
      <w:r>
        <w:rPr>
          <w:rFonts w:hint="eastAsia" w:ascii="宋体" w:hAnsi="宋体" w:cs="楷体_GB2312"/>
          <w:b/>
          <w:color w:val="auto"/>
          <w:sz w:val="24"/>
          <w:highlight w:val="none"/>
          <w:lang w:val="zh-CN"/>
        </w:rPr>
        <w:t>《投标文件》的开启方式为远程解密，为保证开标工作顺利进行，投标人需在开标阶段</w:t>
      </w:r>
      <w:r>
        <w:rPr>
          <w:rFonts w:ascii="宋体" w:hAnsi="宋体" w:cs="楷体_GB2312"/>
          <w:b/>
          <w:color w:val="auto"/>
          <w:sz w:val="24"/>
          <w:highlight w:val="none"/>
          <w:lang w:val="zh-CN"/>
        </w:rPr>
        <w:t>、在</w:t>
      </w:r>
      <w:r>
        <w:rPr>
          <w:rFonts w:hint="eastAsia" w:ascii="宋体" w:hAnsi="宋体" w:cs="楷体_GB2312"/>
          <w:b/>
          <w:color w:val="auto"/>
          <w:sz w:val="24"/>
          <w:highlight w:val="none"/>
          <w:lang w:val="zh-CN"/>
        </w:rPr>
        <w:t>管理员下达解密指令后的指定时限内，完成对本单位的加密《投标文件》的远程解密。如投标人因自身原因、在指定时限内没</w:t>
      </w:r>
      <w:r>
        <w:rPr>
          <w:rFonts w:ascii="宋体" w:hAnsi="宋体" w:cs="楷体_GB2312"/>
          <w:b/>
          <w:color w:val="auto"/>
          <w:sz w:val="24"/>
          <w:highlight w:val="none"/>
          <w:lang w:val="zh-CN"/>
        </w:rPr>
        <w:t>有</w:t>
      </w:r>
      <w:r>
        <w:rPr>
          <w:rFonts w:hint="eastAsia" w:ascii="宋体" w:hAnsi="宋体" w:cs="楷体_GB2312"/>
          <w:b/>
          <w:color w:val="auto"/>
          <w:sz w:val="24"/>
          <w:highlight w:val="none"/>
          <w:lang w:val="zh-CN"/>
        </w:rPr>
        <w:t>解密成功的，其投标将不能被接受，投标人自行承担相应后果。</w:t>
      </w:r>
    </w:p>
    <w:p w14:paraId="1819968A">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hint="eastAsia" w:ascii="宋体" w:hAnsi="宋体" w:cs="楷体_GB2312"/>
          <w:b/>
          <w:color w:val="auto"/>
          <w:sz w:val="24"/>
          <w:highlight w:val="none"/>
          <w:lang w:val="zh-CN"/>
        </w:rPr>
        <w:t>鉴于网上电子交易方式的特点，管理员将根据系统情况下达解密指令。</w:t>
      </w:r>
    </w:p>
    <w:p w14:paraId="13884236">
      <w:pPr>
        <w:autoSpaceDE w:val="0"/>
        <w:autoSpaceDN w:val="0"/>
        <w:adjustRightInd w:val="0"/>
        <w:snapToGrid w:val="0"/>
        <w:spacing w:before="156" w:beforeLines="50" w:line="300" w:lineRule="auto"/>
        <w:ind w:firstLine="539"/>
        <w:rPr>
          <w:rFonts w:ascii="宋体" w:hAnsi="宋体" w:cs="楷体_GB2312"/>
          <w:b/>
          <w:color w:val="auto"/>
          <w:sz w:val="24"/>
          <w:highlight w:val="none"/>
          <w:lang w:val="zh-CN"/>
        </w:rPr>
      </w:pPr>
      <w:r>
        <w:rPr>
          <w:rFonts w:ascii="宋体" w:hAnsi="宋体" w:cs="楷体_GB2312"/>
          <w:b/>
          <w:color w:val="auto"/>
          <w:sz w:val="24"/>
          <w:highlight w:val="none"/>
          <w:lang w:val="zh-CN"/>
        </w:rPr>
        <w:t>5.2.2</w:t>
      </w:r>
      <w:r>
        <w:rPr>
          <w:rFonts w:hint="eastAsia" w:ascii="宋体" w:hAnsi="宋体" w:cs="楷体_GB2312"/>
          <w:b/>
          <w:color w:val="auto"/>
          <w:sz w:val="24"/>
          <w:highlight w:val="none"/>
          <w:lang w:val="zh-CN"/>
        </w:rPr>
        <w:t xml:space="preserve"> 投标人对开标过程和开标记录有疑义，以及认为采购人、采购代理机构相关工作人员有需要回避的情形的，应在系统中提出询问或者回避申请，否则，视为对开标无异议。</w:t>
      </w:r>
    </w:p>
    <w:p w14:paraId="002F0E75">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5.2.3</w:t>
      </w:r>
      <w:r>
        <w:rPr>
          <w:rFonts w:hint="eastAsia" w:ascii="宋体" w:hAnsi="宋体" w:cs="楷体_GB2312"/>
          <w:color w:val="auto"/>
          <w:sz w:val="24"/>
          <w:highlight w:val="none"/>
          <w:lang w:val="en-US" w:eastAsia="zh-CN"/>
        </w:rPr>
        <w:t xml:space="preserve"> </w:t>
      </w:r>
      <w:r>
        <w:rPr>
          <w:rFonts w:hint="eastAsia" w:ascii="宋体" w:hAnsi="宋体" w:cs="楷体_GB2312"/>
          <w:color w:val="auto"/>
          <w:sz w:val="24"/>
          <w:highlight w:val="none"/>
          <w:lang w:val="zh-CN"/>
        </w:rPr>
        <w:t>投标人不足</w:t>
      </w:r>
      <w:r>
        <w:rPr>
          <w:rFonts w:ascii="宋体" w:hAnsi="宋体" w:cs="楷体_GB2312"/>
          <w:color w:val="auto"/>
          <w:sz w:val="24"/>
          <w:highlight w:val="none"/>
          <w:lang w:val="zh-CN"/>
        </w:rPr>
        <w:t>3</w:t>
      </w:r>
      <w:r>
        <w:rPr>
          <w:rFonts w:hint="eastAsia" w:ascii="宋体" w:hAnsi="宋体" w:cs="楷体_GB2312"/>
          <w:color w:val="auto"/>
          <w:sz w:val="24"/>
          <w:highlight w:val="none"/>
          <w:lang w:val="zh-CN"/>
        </w:rPr>
        <w:t>家的，将不予开标。</w:t>
      </w:r>
    </w:p>
    <w:p w14:paraId="24217145">
      <w:pPr>
        <w:autoSpaceDE w:val="0"/>
        <w:autoSpaceDN w:val="0"/>
        <w:adjustRightInd w:val="0"/>
        <w:snapToGrid w:val="0"/>
        <w:spacing w:before="156" w:beforeLines="50" w:line="300" w:lineRule="auto"/>
        <w:ind w:firstLine="539"/>
        <w:rPr>
          <w:rFonts w:ascii="宋体" w:cs="楷体_GB2312"/>
          <w:color w:val="auto"/>
          <w:sz w:val="24"/>
          <w:highlight w:val="none"/>
          <w:lang w:val="zh-CN"/>
        </w:rPr>
      </w:pPr>
    </w:p>
    <w:p w14:paraId="13B6A313">
      <w:pPr>
        <w:autoSpaceDE w:val="0"/>
        <w:autoSpaceDN w:val="0"/>
        <w:adjustRightInd w:val="0"/>
        <w:snapToGrid w:val="0"/>
        <w:spacing w:before="156" w:beforeLines="50" w:line="300" w:lineRule="auto"/>
        <w:ind w:firstLine="539"/>
        <w:outlineLvl w:val="1"/>
        <w:rPr>
          <w:rFonts w:ascii="黑体" w:hAnsi="黑体" w:eastAsia="黑体" w:cs="楷体_GB2312"/>
          <w:b/>
          <w:bCs/>
          <w:color w:val="auto"/>
          <w:sz w:val="28"/>
          <w:szCs w:val="28"/>
          <w:highlight w:val="none"/>
          <w:lang w:val="zh-CN"/>
        </w:rPr>
      </w:pPr>
      <w:bookmarkStart w:id="48" w:name="_Toc12157"/>
      <w:r>
        <w:rPr>
          <w:rFonts w:ascii="黑体" w:hAnsi="黑体" w:eastAsia="黑体" w:cs="楷体_GB2312"/>
          <w:b/>
          <w:bCs/>
          <w:color w:val="auto"/>
          <w:sz w:val="28"/>
          <w:szCs w:val="28"/>
          <w:highlight w:val="none"/>
          <w:lang w:val="zh-CN"/>
        </w:rPr>
        <w:t xml:space="preserve">6. </w:t>
      </w:r>
      <w:r>
        <w:rPr>
          <w:rFonts w:hint="eastAsia" w:ascii="黑体" w:hAnsi="黑体" w:eastAsia="黑体" w:cs="楷体_GB2312"/>
          <w:b/>
          <w:bCs/>
          <w:color w:val="auto"/>
          <w:sz w:val="28"/>
          <w:szCs w:val="28"/>
          <w:highlight w:val="none"/>
          <w:lang w:val="zh-CN"/>
        </w:rPr>
        <w:t>资格性审查</w:t>
      </w:r>
      <w:bookmarkEnd w:id="48"/>
    </w:p>
    <w:p w14:paraId="1517DFBC">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黑体" w:hAnsi="黑体" w:eastAsia="黑体" w:cs="楷体_GB2312"/>
          <w:b/>
          <w:color w:val="auto"/>
          <w:sz w:val="24"/>
          <w:highlight w:val="none"/>
          <w:lang w:val="zh-CN"/>
        </w:rPr>
        <w:t xml:space="preserve">6.1 </w:t>
      </w:r>
      <w:r>
        <w:rPr>
          <w:rFonts w:hint="eastAsia" w:ascii="黑体" w:hAnsi="黑体" w:eastAsia="黑体" w:cs="楷体_GB2312"/>
          <w:b/>
          <w:color w:val="auto"/>
          <w:sz w:val="24"/>
          <w:highlight w:val="none"/>
          <w:lang w:val="zh-CN"/>
        </w:rPr>
        <w:t>资格性审查环节</w:t>
      </w:r>
    </w:p>
    <w:p w14:paraId="07CE96B7">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cs="楷体_GB2312"/>
          <w:color w:val="auto"/>
          <w:sz w:val="24"/>
          <w:highlight w:val="none"/>
          <w:lang w:val="zh-CN"/>
        </w:rPr>
        <w:t>公开招标采购项目开标结束后，采购人或者采购代理机构将依法对投标人的资格进行审查。</w:t>
      </w:r>
    </w:p>
    <w:p w14:paraId="0FEF1161">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6.2 </w:t>
      </w:r>
      <w:r>
        <w:rPr>
          <w:rFonts w:hint="eastAsia" w:ascii="黑体" w:hAnsi="黑体" w:eastAsia="黑体" w:cs="楷体_GB2312"/>
          <w:b/>
          <w:color w:val="auto"/>
          <w:sz w:val="24"/>
          <w:highlight w:val="none"/>
          <w:lang w:val="zh-CN"/>
        </w:rPr>
        <w:t>资格性审查内容</w:t>
      </w:r>
    </w:p>
    <w:p w14:paraId="7996859D">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cs="楷体_GB2312"/>
          <w:color w:val="auto"/>
          <w:sz w:val="24"/>
          <w:highlight w:val="none"/>
          <w:lang w:val="zh-CN"/>
        </w:rPr>
        <w:t>（</w:t>
      </w:r>
      <w:r>
        <w:rPr>
          <w:rFonts w:ascii="宋体" w:cs="楷体_GB2312"/>
          <w:color w:val="auto"/>
          <w:sz w:val="24"/>
          <w:highlight w:val="none"/>
          <w:lang w:val="zh-CN"/>
        </w:rPr>
        <w:t>1</w:t>
      </w:r>
      <w:r>
        <w:rPr>
          <w:rFonts w:hint="eastAsia" w:ascii="宋体" w:cs="楷体_GB2312"/>
          <w:color w:val="auto"/>
          <w:sz w:val="24"/>
          <w:highlight w:val="none"/>
          <w:lang w:val="zh-CN"/>
        </w:rPr>
        <w:t>）按照第一章“招标公告”第</w:t>
      </w:r>
      <w:r>
        <w:rPr>
          <w:rFonts w:ascii="宋体" w:cs="楷体_GB2312"/>
          <w:color w:val="auto"/>
          <w:sz w:val="24"/>
          <w:highlight w:val="none"/>
          <w:lang w:val="zh-CN"/>
        </w:rPr>
        <w:t>2</w:t>
      </w:r>
      <w:r>
        <w:rPr>
          <w:rFonts w:hint="eastAsia" w:ascii="宋体" w:cs="楷体_GB2312"/>
          <w:color w:val="auto"/>
          <w:sz w:val="24"/>
          <w:highlight w:val="none"/>
          <w:lang w:val="zh-CN"/>
        </w:rPr>
        <w:t>条各项资格要求规定，审查投标人是否符合第一章“招标公告”第</w:t>
      </w:r>
      <w:r>
        <w:rPr>
          <w:rFonts w:ascii="宋体" w:cs="楷体_GB2312"/>
          <w:color w:val="auto"/>
          <w:sz w:val="24"/>
          <w:highlight w:val="none"/>
          <w:lang w:val="zh-CN"/>
        </w:rPr>
        <w:t>2</w:t>
      </w:r>
      <w:r>
        <w:rPr>
          <w:rFonts w:hint="eastAsia" w:ascii="宋体" w:cs="楷体_GB2312"/>
          <w:color w:val="auto"/>
          <w:sz w:val="24"/>
          <w:highlight w:val="none"/>
          <w:lang w:val="zh-CN"/>
        </w:rPr>
        <w:t>条各项资格要求及所需证件材料、证明材料要求，不符合的、投标无效。</w:t>
      </w:r>
    </w:p>
    <w:p w14:paraId="786D038B">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cs="楷体_GB2312"/>
          <w:color w:val="auto"/>
          <w:sz w:val="24"/>
          <w:highlight w:val="none"/>
          <w:lang w:val="zh-CN"/>
        </w:rPr>
        <w:t>（</w:t>
      </w:r>
      <w:r>
        <w:rPr>
          <w:rFonts w:ascii="宋体" w:cs="楷体_GB2312"/>
          <w:color w:val="auto"/>
          <w:sz w:val="24"/>
          <w:highlight w:val="none"/>
          <w:lang w:val="zh-CN"/>
        </w:rPr>
        <w:t>2</w:t>
      </w:r>
      <w:r>
        <w:rPr>
          <w:rFonts w:hint="eastAsia" w:ascii="宋体" w:cs="楷体_GB2312"/>
          <w:color w:val="auto"/>
          <w:sz w:val="24"/>
          <w:highlight w:val="none"/>
          <w:lang w:val="zh-CN"/>
        </w:rPr>
        <w:t>）投标</w:t>
      </w:r>
      <w:r>
        <w:rPr>
          <w:rFonts w:hint="eastAsia" w:ascii="宋体" w:cs="楷体_GB2312"/>
          <w:color w:val="auto"/>
          <w:sz w:val="24"/>
          <w:highlight w:val="none"/>
        </w:rPr>
        <w:t>承诺函（替代投标</w:t>
      </w:r>
      <w:r>
        <w:rPr>
          <w:rFonts w:hint="eastAsia" w:ascii="宋体" w:cs="楷体_GB2312"/>
          <w:color w:val="auto"/>
          <w:sz w:val="24"/>
          <w:highlight w:val="none"/>
          <w:lang w:val="zh-CN"/>
        </w:rPr>
        <w:t>保证金</w:t>
      </w:r>
      <w:r>
        <w:rPr>
          <w:rFonts w:hint="eastAsia" w:ascii="宋体" w:cs="楷体_GB2312"/>
          <w:color w:val="auto"/>
          <w:sz w:val="24"/>
          <w:highlight w:val="none"/>
        </w:rPr>
        <w:t>）</w:t>
      </w:r>
      <w:r>
        <w:rPr>
          <w:rFonts w:hint="eastAsia" w:ascii="宋体" w:cs="楷体_GB2312"/>
          <w:color w:val="auto"/>
          <w:sz w:val="24"/>
          <w:highlight w:val="none"/>
          <w:lang w:val="zh-CN"/>
        </w:rPr>
        <w:t>。按照《招标文件》第三章“投标人须知”</w:t>
      </w:r>
      <w:r>
        <w:rPr>
          <w:rFonts w:ascii="宋体" w:cs="楷体_GB2312"/>
          <w:color w:val="auto"/>
          <w:sz w:val="24"/>
          <w:highlight w:val="none"/>
          <w:lang w:val="zh-CN"/>
        </w:rPr>
        <w:t>3.5</w:t>
      </w:r>
      <w:r>
        <w:rPr>
          <w:rFonts w:hint="eastAsia" w:ascii="宋体" w:cs="楷体_GB2312"/>
          <w:color w:val="auto"/>
          <w:sz w:val="24"/>
          <w:highlight w:val="none"/>
          <w:lang w:val="zh-CN"/>
        </w:rPr>
        <w:t>款规定审查，不符合的、投标无效。</w:t>
      </w:r>
    </w:p>
    <w:p w14:paraId="4C3759C8">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cs="楷体_GB2312"/>
          <w:color w:val="auto"/>
          <w:sz w:val="24"/>
          <w:highlight w:val="none"/>
          <w:lang w:val="zh-CN"/>
        </w:rPr>
        <w:t>（</w:t>
      </w:r>
      <w:r>
        <w:rPr>
          <w:rFonts w:ascii="宋体" w:cs="楷体_GB2312"/>
          <w:color w:val="auto"/>
          <w:sz w:val="24"/>
          <w:highlight w:val="none"/>
          <w:lang w:val="zh-CN"/>
        </w:rPr>
        <w:t>3</w:t>
      </w:r>
      <w:r>
        <w:rPr>
          <w:rFonts w:hint="eastAsia" w:ascii="宋体" w:cs="楷体_GB2312"/>
          <w:color w:val="auto"/>
          <w:sz w:val="24"/>
          <w:highlight w:val="none"/>
          <w:lang w:val="zh-CN"/>
        </w:rPr>
        <w:t>）</w:t>
      </w:r>
      <w:r>
        <w:rPr>
          <w:rFonts w:hint="eastAsia" w:ascii="宋体" w:hAnsi="宋体" w:cs="楷体_GB2312"/>
          <w:color w:val="auto"/>
          <w:sz w:val="24"/>
          <w:highlight w:val="none"/>
          <w:lang w:val="zh-CN"/>
        </w:rPr>
        <w:t>招标公告、资格预审公告或者投标邀请书中载明</w:t>
      </w:r>
      <w:r>
        <w:rPr>
          <w:rFonts w:hint="eastAsia" w:ascii="宋体" w:cs="楷体_GB2312"/>
          <w:color w:val="auto"/>
          <w:sz w:val="24"/>
          <w:highlight w:val="none"/>
          <w:lang w:val="zh-CN"/>
        </w:rPr>
        <w:t>接受联合体投标的，按照《招标文件》第三章“</w:t>
      </w:r>
      <w:r>
        <w:rPr>
          <w:rFonts w:hint="eastAsia" w:ascii="宋体" w:hAnsi="宋体" w:cs="楷体_GB2312"/>
          <w:color w:val="auto"/>
          <w:sz w:val="24"/>
          <w:highlight w:val="none"/>
          <w:lang w:val="zh-CN"/>
        </w:rPr>
        <w:t>投标人须知”</w:t>
      </w:r>
      <w:r>
        <w:rPr>
          <w:rFonts w:ascii="宋体" w:hAnsi="宋体" w:cs="楷体_GB2312"/>
          <w:color w:val="auto"/>
          <w:sz w:val="24"/>
          <w:highlight w:val="none"/>
          <w:lang w:val="zh-CN"/>
        </w:rPr>
        <w:t>1.4</w:t>
      </w:r>
      <w:r>
        <w:rPr>
          <w:rFonts w:hint="eastAsia" w:ascii="宋体" w:hAnsi="宋体" w:cs="楷体_GB2312"/>
          <w:color w:val="auto"/>
          <w:sz w:val="24"/>
          <w:highlight w:val="none"/>
          <w:lang w:val="zh-CN"/>
        </w:rPr>
        <w:t>款</w:t>
      </w:r>
      <w:r>
        <w:rPr>
          <w:rFonts w:hint="eastAsia" w:ascii="宋体" w:cs="楷体_GB2312"/>
          <w:color w:val="auto"/>
          <w:sz w:val="24"/>
          <w:highlight w:val="none"/>
          <w:lang w:val="zh-CN"/>
        </w:rPr>
        <w:t>规定进行审查，不符合的、投标无效。</w:t>
      </w:r>
    </w:p>
    <w:p w14:paraId="4A9C7C68">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6.3 </w:t>
      </w:r>
      <w:r>
        <w:rPr>
          <w:rFonts w:hint="eastAsia" w:ascii="黑体" w:hAnsi="黑体" w:eastAsia="黑体" w:cs="楷体_GB2312"/>
          <w:b/>
          <w:color w:val="auto"/>
          <w:sz w:val="24"/>
          <w:highlight w:val="none"/>
          <w:lang w:val="zh-CN"/>
        </w:rPr>
        <w:t>资格性审查结果</w:t>
      </w:r>
    </w:p>
    <w:p w14:paraId="54808553">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cs="楷体_GB2312"/>
          <w:color w:val="auto"/>
          <w:sz w:val="24"/>
          <w:highlight w:val="none"/>
          <w:lang w:val="zh-CN"/>
        </w:rPr>
        <w:t xml:space="preserve">6.3.1 </w:t>
      </w:r>
      <w:r>
        <w:rPr>
          <w:rFonts w:hint="eastAsia" w:ascii="宋体" w:cs="楷体_GB2312"/>
          <w:color w:val="auto"/>
          <w:sz w:val="24"/>
          <w:highlight w:val="none"/>
          <w:lang w:val="zh-CN"/>
        </w:rPr>
        <w:t>对未通过资格审查的投标人，将告知其未通过的原因。</w:t>
      </w:r>
    </w:p>
    <w:p w14:paraId="2425D95D">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cs="楷体_GB2312"/>
          <w:color w:val="auto"/>
          <w:sz w:val="24"/>
          <w:highlight w:val="none"/>
          <w:lang w:val="zh-CN"/>
        </w:rPr>
        <w:t xml:space="preserve">6.3.2 </w:t>
      </w:r>
      <w:r>
        <w:rPr>
          <w:rFonts w:hint="eastAsia" w:ascii="宋体" w:cs="楷体_GB2312"/>
          <w:color w:val="auto"/>
          <w:sz w:val="24"/>
          <w:highlight w:val="none"/>
          <w:lang w:val="zh-CN"/>
        </w:rPr>
        <w:t>资格性审查合格投标人不足</w:t>
      </w:r>
      <w:r>
        <w:rPr>
          <w:rFonts w:ascii="宋体" w:cs="楷体_GB2312"/>
          <w:color w:val="auto"/>
          <w:sz w:val="24"/>
          <w:highlight w:val="none"/>
          <w:lang w:val="zh-CN"/>
        </w:rPr>
        <w:t>3</w:t>
      </w:r>
      <w:r>
        <w:rPr>
          <w:rFonts w:hint="eastAsia" w:ascii="宋体" w:cs="楷体_GB2312"/>
          <w:color w:val="auto"/>
          <w:sz w:val="24"/>
          <w:highlight w:val="none"/>
          <w:lang w:val="zh-CN"/>
        </w:rPr>
        <w:t>家的，将不再评标。</w:t>
      </w:r>
    </w:p>
    <w:p w14:paraId="1274B66E">
      <w:pPr>
        <w:autoSpaceDE w:val="0"/>
        <w:autoSpaceDN w:val="0"/>
        <w:adjustRightInd w:val="0"/>
        <w:snapToGrid w:val="0"/>
        <w:spacing w:before="156" w:beforeLines="50" w:line="300" w:lineRule="auto"/>
        <w:ind w:firstLine="539"/>
        <w:rPr>
          <w:rFonts w:ascii="宋体" w:cs="楷体_GB2312"/>
          <w:color w:val="auto"/>
          <w:sz w:val="24"/>
          <w:highlight w:val="none"/>
          <w:lang w:val="zh-CN"/>
        </w:rPr>
      </w:pPr>
    </w:p>
    <w:p w14:paraId="199C075B">
      <w:pPr>
        <w:autoSpaceDE w:val="0"/>
        <w:autoSpaceDN w:val="0"/>
        <w:adjustRightInd w:val="0"/>
        <w:snapToGrid w:val="0"/>
        <w:spacing w:before="156" w:beforeLines="50" w:line="300" w:lineRule="auto"/>
        <w:ind w:firstLine="539"/>
        <w:outlineLvl w:val="1"/>
        <w:rPr>
          <w:rFonts w:ascii="黑体" w:hAnsi="黑体" w:eastAsia="黑体" w:cs="楷体_GB2312"/>
          <w:b/>
          <w:bCs/>
          <w:color w:val="auto"/>
          <w:sz w:val="28"/>
          <w:szCs w:val="28"/>
          <w:highlight w:val="none"/>
          <w:lang w:val="zh-CN"/>
        </w:rPr>
      </w:pPr>
      <w:bookmarkStart w:id="49" w:name="_Toc1529"/>
      <w:r>
        <w:rPr>
          <w:rFonts w:ascii="黑体" w:hAnsi="黑体" w:eastAsia="黑体" w:cs="楷体_GB2312"/>
          <w:b/>
          <w:bCs/>
          <w:color w:val="auto"/>
          <w:sz w:val="28"/>
          <w:szCs w:val="28"/>
          <w:highlight w:val="none"/>
          <w:lang w:val="zh-CN"/>
        </w:rPr>
        <w:t xml:space="preserve">7. </w:t>
      </w:r>
      <w:r>
        <w:rPr>
          <w:rFonts w:hint="eastAsia" w:ascii="黑体" w:hAnsi="黑体" w:eastAsia="黑体" w:cs="楷体_GB2312"/>
          <w:b/>
          <w:bCs/>
          <w:color w:val="auto"/>
          <w:sz w:val="28"/>
          <w:szCs w:val="28"/>
          <w:highlight w:val="none"/>
          <w:lang w:val="zh-CN"/>
        </w:rPr>
        <w:t>评审</w:t>
      </w:r>
      <w:bookmarkEnd w:id="49"/>
    </w:p>
    <w:p w14:paraId="78F93903">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7.1 </w:t>
      </w:r>
      <w:r>
        <w:rPr>
          <w:rFonts w:hint="eastAsia" w:ascii="黑体" w:hAnsi="黑体" w:eastAsia="黑体" w:cs="楷体_GB2312"/>
          <w:b/>
          <w:color w:val="auto"/>
          <w:sz w:val="24"/>
          <w:highlight w:val="none"/>
          <w:lang w:val="zh-CN"/>
        </w:rPr>
        <w:t>评标委员会</w:t>
      </w:r>
    </w:p>
    <w:p w14:paraId="4F33387F">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hint="eastAsia" w:ascii="宋体" w:hAnsi="宋体" w:cs="楷体_GB2312"/>
          <w:color w:val="auto"/>
          <w:sz w:val="24"/>
          <w:highlight w:val="none"/>
          <w:lang w:val="zh-CN"/>
        </w:rPr>
        <w:t>评标工作由依法组建的评标委员会负责。评标委员会由采购人代表和评审专家共</w:t>
      </w:r>
      <w:r>
        <w:rPr>
          <w:rFonts w:ascii="宋体" w:hAnsi="宋体" w:cs="楷体_GB2312"/>
          <w:color w:val="auto"/>
          <w:sz w:val="24"/>
          <w:highlight w:val="none"/>
          <w:lang w:val="zh-CN"/>
        </w:rPr>
        <w:t>5</w:t>
      </w:r>
      <w:r>
        <w:rPr>
          <w:rFonts w:hint="eastAsia" w:ascii="宋体" w:hAnsi="宋体" w:cs="楷体_GB2312"/>
          <w:color w:val="auto"/>
          <w:sz w:val="24"/>
          <w:highlight w:val="none"/>
          <w:lang w:val="zh-CN"/>
        </w:rPr>
        <w:t>人及以上单数组成，其中评审专家人数不少于评标委员会成员总数的</w:t>
      </w:r>
      <w:r>
        <w:rPr>
          <w:rFonts w:ascii="宋体" w:hAnsi="宋体" w:cs="楷体_GB2312"/>
          <w:color w:val="auto"/>
          <w:sz w:val="24"/>
          <w:highlight w:val="none"/>
          <w:lang w:val="zh-CN"/>
        </w:rPr>
        <w:t>2/3</w:t>
      </w:r>
      <w:r>
        <w:rPr>
          <w:rFonts w:hint="eastAsia" w:ascii="宋体" w:hAnsi="宋体" w:cs="楷体_GB2312"/>
          <w:color w:val="auto"/>
          <w:sz w:val="24"/>
          <w:highlight w:val="none"/>
          <w:lang w:val="zh-CN"/>
        </w:rPr>
        <w:t>，评审专家是在监督部门监督下从政府采购专家库中随机抽取产生。技术复杂、专业性强的采购项目，通过随机方式难以确定合适评审专家的，经主管预算单位同意，报经批准后，采购人自行选定相应专业领域的评审专家。</w:t>
      </w:r>
    </w:p>
    <w:p w14:paraId="4B44BF0D">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7.2 </w:t>
      </w:r>
      <w:r>
        <w:rPr>
          <w:rFonts w:hint="eastAsia" w:ascii="黑体" w:hAnsi="黑体" w:eastAsia="黑体" w:cs="楷体_GB2312"/>
          <w:b/>
          <w:color w:val="auto"/>
          <w:sz w:val="24"/>
          <w:highlight w:val="none"/>
          <w:lang w:val="zh-CN"/>
        </w:rPr>
        <w:t>评审原则</w:t>
      </w:r>
    </w:p>
    <w:p w14:paraId="219A9737">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7.2.1 </w:t>
      </w:r>
      <w:r>
        <w:rPr>
          <w:rFonts w:hint="eastAsia" w:ascii="宋体" w:hAnsi="宋体" w:cs="楷体_GB2312"/>
          <w:color w:val="auto"/>
          <w:sz w:val="24"/>
          <w:highlight w:val="none"/>
          <w:lang w:val="zh-CN"/>
        </w:rPr>
        <w:t>坚持公开、公平、公正地对待所有投标人。</w:t>
      </w:r>
    </w:p>
    <w:p w14:paraId="6AFA8F48">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7.2.2 </w:t>
      </w:r>
      <w:r>
        <w:rPr>
          <w:rFonts w:hint="eastAsia" w:ascii="宋体" w:hAnsi="宋体" w:cs="楷体_GB2312"/>
          <w:color w:val="auto"/>
          <w:sz w:val="24"/>
          <w:highlight w:val="none"/>
          <w:lang w:val="zh-CN"/>
        </w:rPr>
        <w:t>按照同一评审程序及方法审查所有投标人的《投标文件》。</w:t>
      </w:r>
    </w:p>
    <w:p w14:paraId="731E3068">
      <w:pPr>
        <w:autoSpaceDE w:val="0"/>
        <w:autoSpaceDN w:val="0"/>
        <w:adjustRightInd w:val="0"/>
        <w:snapToGrid w:val="0"/>
        <w:spacing w:before="156" w:beforeLines="50" w:line="300" w:lineRule="auto"/>
        <w:ind w:firstLine="539"/>
        <w:rPr>
          <w:rFonts w:ascii="宋体" w:cs="楷体_GB2312"/>
          <w:color w:val="auto"/>
          <w:sz w:val="24"/>
          <w:highlight w:val="none"/>
          <w:lang w:val="zh-CN"/>
        </w:rPr>
      </w:pPr>
      <w:r>
        <w:rPr>
          <w:rFonts w:ascii="宋体" w:hAnsi="宋体" w:cs="楷体_GB2312"/>
          <w:color w:val="auto"/>
          <w:sz w:val="24"/>
          <w:highlight w:val="none"/>
          <w:lang w:val="zh-CN"/>
        </w:rPr>
        <w:t xml:space="preserve">7.2.3 </w:t>
      </w:r>
      <w:r>
        <w:rPr>
          <w:rFonts w:hint="eastAsia" w:ascii="宋体" w:hAnsi="宋体" w:cs="楷体_GB2312"/>
          <w:color w:val="auto"/>
          <w:sz w:val="24"/>
          <w:highlight w:val="none"/>
          <w:lang w:val="zh-CN"/>
        </w:rPr>
        <w:t>反对不正当竞争。</w:t>
      </w:r>
    </w:p>
    <w:p w14:paraId="5B3138C4">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7.3 </w:t>
      </w:r>
      <w:r>
        <w:rPr>
          <w:rFonts w:hint="eastAsia" w:ascii="黑体" w:hAnsi="黑体" w:eastAsia="黑体" w:cs="楷体_GB2312"/>
          <w:b/>
          <w:color w:val="auto"/>
          <w:sz w:val="24"/>
          <w:highlight w:val="none"/>
          <w:lang w:val="zh-CN"/>
        </w:rPr>
        <w:t>评审</w:t>
      </w:r>
    </w:p>
    <w:p w14:paraId="5E951370">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7.3.1</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评审工作在评标委员会内独立进行。评标委员会按照第四章“评标办法”规定的方法、评标因素、标准和程序对《投标文件》进行评审。第四章“评标办法”没有规定的方法、评标因素和标准，不作为评审依据。</w:t>
      </w:r>
    </w:p>
    <w:p w14:paraId="03356BBE">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 xml:space="preserve">7.3.2 </w:t>
      </w:r>
      <w:r>
        <w:rPr>
          <w:rFonts w:hint="eastAsia" w:ascii="宋体" w:hAnsi="宋体" w:eastAsia="宋体" w:cs="楷体_GB2312"/>
          <w:color w:val="auto"/>
          <w:sz w:val="24"/>
          <w:highlight w:val="none"/>
          <w:lang w:val="zh-CN"/>
        </w:rPr>
        <w:t>评标中因评标委员会成员缺席、回避或者健康等特殊原因导致评标委员会组成不符政府采购法规规定的，无法及时补足评标委员会成员的，采购代理机构将停止评标活动，封存所有</w:t>
      </w:r>
      <w:r>
        <w:rPr>
          <w:rFonts w:hint="eastAsia" w:ascii="宋体" w:hAnsi="宋体" w:eastAsia="宋体" w:cs="楷体_GB2312"/>
          <w:color w:val="auto"/>
          <w:sz w:val="24"/>
          <w:highlight w:val="none"/>
          <w:lang w:val="zh-CN" w:eastAsia="zh-CN"/>
        </w:rPr>
        <w:t>《投标文件》</w:t>
      </w:r>
      <w:r>
        <w:rPr>
          <w:rFonts w:hint="eastAsia" w:ascii="宋体" w:hAnsi="宋体" w:eastAsia="宋体" w:cs="楷体_GB2312"/>
          <w:color w:val="auto"/>
          <w:sz w:val="24"/>
          <w:highlight w:val="none"/>
          <w:lang w:val="zh-CN"/>
        </w:rPr>
        <w:t>和开标、评标资料，依法重新组建评标委员会进行评标。原评标委员会所作出的评标意见无效。</w:t>
      </w:r>
    </w:p>
    <w:p w14:paraId="55BA4DDB">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ascii="宋体" w:hAnsi="宋体" w:eastAsia="宋体" w:cs="楷体_GB2312"/>
          <w:color w:val="auto"/>
          <w:sz w:val="24"/>
          <w:highlight w:val="none"/>
          <w:lang w:val="zh-CN"/>
        </w:rPr>
        <w:t xml:space="preserve">7.3.3 </w:t>
      </w:r>
      <w:r>
        <w:rPr>
          <w:rFonts w:hint="eastAsia" w:ascii="宋体" w:hAnsi="宋体" w:eastAsia="宋体" w:cs="楷体_GB2312"/>
          <w:color w:val="auto"/>
          <w:sz w:val="24"/>
          <w:highlight w:val="none"/>
          <w:lang w:val="zh-CN"/>
        </w:rPr>
        <w:t>在开标、评审期间，投标人不得向评标委员会成员询问情况，不得进行旨在影响评审结果的活动。</w:t>
      </w:r>
    </w:p>
    <w:p w14:paraId="26AD2A1E">
      <w:pPr>
        <w:autoSpaceDE w:val="0"/>
        <w:autoSpaceDN w:val="0"/>
        <w:adjustRightInd w:val="0"/>
        <w:snapToGrid w:val="0"/>
        <w:spacing w:before="156" w:beforeLines="50" w:line="300" w:lineRule="auto"/>
        <w:ind w:firstLine="539"/>
        <w:rPr>
          <w:rFonts w:ascii="宋体" w:cs="楷体_GB2312"/>
          <w:color w:val="auto"/>
          <w:sz w:val="24"/>
          <w:highlight w:val="none"/>
          <w:lang w:val="zh-CN"/>
        </w:rPr>
      </w:pPr>
    </w:p>
    <w:p w14:paraId="21DA94DF">
      <w:pPr>
        <w:autoSpaceDE w:val="0"/>
        <w:autoSpaceDN w:val="0"/>
        <w:adjustRightInd w:val="0"/>
        <w:snapToGrid w:val="0"/>
        <w:spacing w:before="156" w:beforeLines="50" w:line="300" w:lineRule="auto"/>
        <w:ind w:firstLine="539"/>
        <w:outlineLvl w:val="1"/>
        <w:rPr>
          <w:rFonts w:ascii="黑体" w:hAnsi="黑体" w:eastAsia="黑体" w:cs="楷体_GB2312"/>
          <w:b/>
          <w:bCs/>
          <w:color w:val="auto"/>
          <w:sz w:val="28"/>
          <w:szCs w:val="28"/>
          <w:highlight w:val="none"/>
          <w:lang w:val="zh-CN"/>
        </w:rPr>
      </w:pPr>
      <w:bookmarkStart w:id="50" w:name="_Toc30687"/>
      <w:r>
        <w:rPr>
          <w:rFonts w:ascii="黑体" w:hAnsi="黑体" w:eastAsia="黑体" w:cs="楷体_GB2312"/>
          <w:b/>
          <w:bCs/>
          <w:color w:val="auto"/>
          <w:sz w:val="28"/>
          <w:szCs w:val="28"/>
          <w:highlight w:val="none"/>
          <w:lang w:val="zh-CN"/>
        </w:rPr>
        <w:t xml:space="preserve">8. </w:t>
      </w:r>
      <w:r>
        <w:rPr>
          <w:rFonts w:hint="eastAsia" w:ascii="黑体" w:hAnsi="黑体" w:eastAsia="黑体" w:cs="楷体_GB2312"/>
          <w:b/>
          <w:bCs/>
          <w:color w:val="auto"/>
          <w:sz w:val="28"/>
          <w:szCs w:val="28"/>
          <w:highlight w:val="none"/>
          <w:lang w:val="zh-CN"/>
        </w:rPr>
        <w:t>授予合同</w:t>
      </w:r>
      <w:bookmarkEnd w:id="50"/>
    </w:p>
    <w:p w14:paraId="08AD7AB7">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8.1 </w:t>
      </w:r>
      <w:r>
        <w:rPr>
          <w:rFonts w:hint="eastAsia" w:ascii="黑体" w:hAnsi="黑体" w:eastAsia="黑体" w:cs="楷体_GB2312"/>
          <w:b/>
          <w:color w:val="auto"/>
          <w:sz w:val="24"/>
          <w:highlight w:val="none"/>
          <w:lang w:val="zh-CN"/>
        </w:rPr>
        <w:t>确定中标人方式</w:t>
      </w:r>
    </w:p>
    <w:p w14:paraId="135A6136">
      <w:pPr>
        <w:autoSpaceDE w:val="0"/>
        <w:autoSpaceDN w:val="0"/>
        <w:adjustRightInd w:val="0"/>
        <w:snapToGrid w:val="0"/>
        <w:spacing w:before="156" w:beforeLines="50" w:line="300" w:lineRule="auto"/>
        <w:ind w:firstLine="539"/>
        <w:rPr>
          <w:rFonts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除投标人须知前附表规定授权评标委员会直接确定中标人外，采购人应当自收到评标报告之日起</w:t>
      </w:r>
      <w:r>
        <w:rPr>
          <w:rFonts w:ascii="宋体" w:hAnsi="宋体" w:eastAsia="宋体" w:cs="楷体_GB2312"/>
          <w:color w:val="auto"/>
          <w:sz w:val="24"/>
          <w:highlight w:val="none"/>
          <w:lang w:val="zh-CN"/>
        </w:rPr>
        <w:t>5</w:t>
      </w:r>
      <w:r>
        <w:rPr>
          <w:rFonts w:hint="eastAsia" w:ascii="宋体" w:hAnsi="宋体" w:eastAsia="宋体" w:cs="楷体_GB2312"/>
          <w:color w:val="auto"/>
          <w:sz w:val="24"/>
          <w:highlight w:val="none"/>
          <w:lang w:val="zh-CN"/>
        </w:rPr>
        <w:t>个工作日内在评标报告推荐的中标候选人中按顺序确定中标人。若排名第一的中标候选人放弃中标，或者因不可抗力不能履行合同，或者被查实存在影响中标结果的违法行为等情形、不符合中标条件的，采购人可以按照评标委员会提出的中标候选人名单排序依次确定其他中标候选人为中标人，也可以重新采购。</w:t>
      </w:r>
    </w:p>
    <w:p w14:paraId="2A0B8599">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8.2 </w:t>
      </w:r>
      <w:r>
        <w:rPr>
          <w:rFonts w:hint="eastAsia" w:ascii="黑体" w:hAnsi="黑体" w:eastAsia="黑体" w:cs="楷体_GB2312"/>
          <w:b/>
          <w:color w:val="auto"/>
          <w:sz w:val="24"/>
          <w:highlight w:val="none"/>
          <w:lang w:val="zh-CN"/>
        </w:rPr>
        <w:t>中标结果公告</w:t>
      </w:r>
    </w:p>
    <w:p w14:paraId="6E5B1609">
      <w:pPr>
        <w:autoSpaceDE w:val="0"/>
        <w:autoSpaceDN w:val="0"/>
        <w:adjustRightInd w:val="0"/>
        <w:snapToGrid w:val="0"/>
        <w:spacing w:before="156" w:beforeLines="50" w:line="300" w:lineRule="auto"/>
        <w:ind w:firstLine="539"/>
        <w:rPr>
          <w:rFonts w:hint="eastAsia" w:ascii="宋体" w:hAnsi="宋体" w:cs="楷体_GB2312"/>
          <w:color w:val="auto"/>
          <w:sz w:val="24"/>
          <w:highlight w:val="none"/>
          <w:lang w:val="zh-CN"/>
        </w:rPr>
      </w:pPr>
      <w:r>
        <w:rPr>
          <w:rFonts w:hint="eastAsia" w:ascii="宋体" w:hAnsi="宋体"/>
          <w:color w:val="auto"/>
          <w:sz w:val="24"/>
          <w:highlight w:val="none"/>
        </w:rPr>
        <w:t>本次公开招标的中标结果将在中标人确定之日起</w:t>
      </w:r>
      <w:r>
        <w:rPr>
          <w:rFonts w:hint="eastAsia" w:ascii="宋体" w:hAnsi="宋体"/>
          <w:color w:val="auto"/>
          <w:sz w:val="24"/>
          <w:highlight w:val="none"/>
          <w:lang w:val="en-US" w:eastAsia="zh-CN"/>
        </w:rPr>
        <w:t>规定时间内</w:t>
      </w:r>
      <w:r>
        <w:rPr>
          <w:rFonts w:hint="eastAsia" w:ascii="宋体" w:hAnsi="宋体"/>
          <w:color w:val="auto"/>
          <w:sz w:val="24"/>
          <w:highlight w:val="none"/>
        </w:rPr>
        <w:t>，在招标公告所述媒介公告</w:t>
      </w:r>
      <w:r>
        <w:rPr>
          <w:rFonts w:ascii="宋体" w:hAnsi="宋体"/>
          <w:color w:val="auto"/>
          <w:sz w:val="24"/>
          <w:highlight w:val="none"/>
        </w:rPr>
        <w:t>1</w:t>
      </w:r>
      <w:r>
        <w:rPr>
          <w:rFonts w:hint="eastAsia" w:ascii="宋体" w:hAnsi="宋体"/>
          <w:color w:val="auto"/>
          <w:sz w:val="24"/>
          <w:highlight w:val="none"/>
        </w:rPr>
        <w:t>个工作日。</w:t>
      </w:r>
    </w:p>
    <w:p w14:paraId="1959450C">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8.3 </w:t>
      </w:r>
      <w:r>
        <w:rPr>
          <w:rFonts w:hint="eastAsia" w:ascii="黑体" w:hAnsi="黑体" w:eastAsia="黑体" w:cs="楷体_GB2312"/>
          <w:b/>
          <w:color w:val="auto"/>
          <w:sz w:val="24"/>
          <w:highlight w:val="none"/>
          <w:lang w:val="zh-CN"/>
        </w:rPr>
        <w:t>质疑、投诉</w:t>
      </w:r>
    </w:p>
    <w:p w14:paraId="2F896ACF">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8.3.1 见投标人须知前附表。</w:t>
      </w:r>
    </w:p>
    <w:p w14:paraId="29BD1348">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8.3.2 依据政府采购法规规定，招标公告、资格预审公告的公告期限为5个工作日，中标公告期限为1个工作日，投标人应在法定期限内提出质疑，逾期提交或未按照要求提交的质疑函将不予受理。</w:t>
      </w:r>
    </w:p>
    <w:p w14:paraId="471CD0D2">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8.3.3 询问或者质疑事项可能影响中标结果的，采购人应当暂停签订合同，已经签订合同的，应当中止履行合同。</w:t>
      </w:r>
    </w:p>
    <w:p w14:paraId="59502C31">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8.4 </w:t>
      </w:r>
      <w:r>
        <w:rPr>
          <w:rFonts w:hint="eastAsia" w:ascii="黑体" w:hAnsi="黑体" w:eastAsia="黑体" w:cs="楷体_GB2312"/>
          <w:b/>
          <w:color w:val="auto"/>
          <w:sz w:val="24"/>
          <w:highlight w:val="none"/>
          <w:lang w:val="zh-CN"/>
        </w:rPr>
        <w:t>中标通知：</w:t>
      </w:r>
      <w:r>
        <w:rPr>
          <w:rFonts w:hint="eastAsia" w:ascii="宋体" w:hAnsi="宋体" w:eastAsia="宋体" w:cs="楷体_GB2312"/>
          <w:color w:val="auto"/>
          <w:sz w:val="24"/>
          <w:highlight w:val="none"/>
          <w:lang w:val="zh-CN"/>
        </w:rPr>
        <w:t>采购代理机构在公告中标结果</w:t>
      </w:r>
      <w:r>
        <w:rPr>
          <w:rFonts w:hint="eastAsia" w:ascii="宋体" w:hAnsi="宋体" w:eastAsia="宋体" w:cs="楷体_GB2312"/>
          <w:color w:val="auto"/>
          <w:sz w:val="24"/>
          <w:highlight w:val="none"/>
          <w:lang w:val="en-US" w:eastAsia="zh-CN"/>
        </w:rPr>
        <w:t>之日起规定时间内</w:t>
      </w:r>
      <w:r>
        <w:rPr>
          <w:rFonts w:hint="eastAsia" w:ascii="宋体" w:hAnsi="宋体" w:eastAsia="宋体" w:cs="楷体_GB2312"/>
          <w:color w:val="auto"/>
          <w:sz w:val="24"/>
          <w:highlight w:val="none"/>
          <w:lang w:val="zh-CN"/>
        </w:rPr>
        <w:t>，向中标人发出中标通知书。中标人应凭缴费凭证及时领取中标通知书。</w:t>
      </w:r>
    </w:p>
    <w:p w14:paraId="6D637384">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8.5 </w:t>
      </w:r>
      <w:r>
        <w:rPr>
          <w:rFonts w:hint="eastAsia" w:ascii="黑体" w:hAnsi="黑体" w:eastAsia="黑体" w:cs="楷体_GB2312"/>
          <w:b/>
          <w:color w:val="auto"/>
          <w:sz w:val="24"/>
          <w:highlight w:val="none"/>
          <w:lang w:val="zh-CN"/>
        </w:rPr>
        <w:t>履约保证金</w:t>
      </w:r>
    </w:p>
    <w:p w14:paraId="4E8276FD">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8.5.1</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在签订合同时，中标人应按投标人须知前附表规定向采购人提交履约保证金。</w:t>
      </w:r>
    </w:p>
    <w:p w14:paraId="278B99C9">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8.5.2 中标人不能按本章第8.5.1项要求提交履约保证金的，视为放弃中标资格，依据</w:t>
      </w:r>
      <w:r>
        <w:rPr>
          <w:rFonts w:hint="eastAsia" w:ascii="宋体" w:hAnsi="宋体" w:eastAsia="宋体" w:cs="楷体_GB2312"/>
          <w:color w:val="auto"/>
          <w:sz w:val="24"/>
          <w:highlight w:val="none"/>
          <w:lang w:val="zh-CN" w:eastAsia="zh-CN"/>
        </w:rPr>
        <w:t>《招标文件》</w:t>
      </w:r>
      <w:r>
        <w:rPr>
          <w:rFonts w:hint="eastAsia" w:ascii="宋体" w:hAnsi="宋体" w:eastAsia="宋体" w:cs="楷体_GB2312"/>
          <w:color w:val="auto"/>
          <w:sz w:val="24"/>
          <w:highlight w:val="none"/>
          <w:lang w:val="zh-CN"/>
        </w:rPr>
        <w:t>“第三章</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3.5.5 违背承诺的责任追究措施”，投标人承担相应法律责任及违约责任。给采购人及采购代理机构造成的损失，中标人应当予以赔偿。</w:t>
      </w:r>
    </w:p>
    <w:p w14:paraId="2CC8F1F3">
      <w:pPr>
        <w:autoSpaceDE w:val="0"/>
        <w:autoSpaceDN w:val="0"/>
        <w:adjustRightInd w:val="0"/>
        <w:snapToGrid w:val="0"/>
        <w:spacing w:before="156" w:beforeLines="50" w:line="300" w:lineRule="auto"/>
        <w:ind w:firstLine="539"/>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8.6 </w:t>
      </w:r>
      <w:r>
        <w:rPr>
          <w:rFonts w:hint="eastAsia" w:ascii="黑体" w:hAnsi="黑体" w:eastAsia="黑体" w:cs="楷体_GB2312"/>
          <w:b/>
          <w:color w:val="auto"/>
          <w:sz w:val="24"/>
          <w:highlight w:val="none"/>
          <w:lang w:val="zh-CN"/>
        </w:rPr>
        <w:t>签订合同</w:t>
      </w:r>
    </w:p>
    <w:p w14:paraId="0F542215">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8.6.1 中标人应在《中标通知书》发出</w:t>
      </w:r>
      <w:r>
        <w:rPr>
          <w:rFonts w:hint="eastAsia" w:ascii="宋体" w:hAnsi="宋体" w:cs="楷体_GB2312"/>
          <w:color w:val="auto"/>
          <w:sz w:val="24"/>
          <w:highlight w:val="none"/>
          <w:lang w:val="en-US" w:eastAsia="zh-CN"/>
        </w:rPr>
        <w:t>之日起规定时间内</w:t>
      </w:r>
      <w:r>
        <w:rPr>
          <w:rFonts w:hint="eastAsia" w:ascii="宋体" w:hAnsi="宋体" w:eastAsia="宋体" w:cs="楷体_GB2312"/>
          <w:color w:val="auto"/>
          <w:sz w:val="24"/>
          <w:highlight w:val="none"/>
          <w:lang w:val="zh-CN"/>
        </w:rPr>
        <w:t>，按照</w:t>
      </w:r>
      <w:r>
        <w:rPr>
          <w:rFonts w:hint="eastAsia" w:ascii="宋体" w:hAnsi="宋体" w:eastAsia="宋体" w:cs="楷体_GB2312"/>
          <w:color w:val="auto"/>
          <w:sz w:val="24"/>
          <w:highlight w:val="none"/>
          <w:lang w:val="zh-CN" w:eastAsia="zh-CN"/>
        </w:rPr>
        <w:t>《招标文件》</w:t>
      </w:r>
      <w:r>
        <w:rPr>
          <w:rFonts w:hint="eastAsia" w:ascii="宋体" w:hAnsi="宋体" w:eastAsia="宋体" w:cs="楷体_GB2312"/>
          <w:color w:val="auto"/>
          <w:sz w:val="24"/>
          <w:highlight w:val="none"/>
          <w:lang w:val="zh-CN"/>
        </w:rPr>
        <w:t>确定的合同文本以及中标标的、技术和服务等事项与采购人签订书面政府采购合同。</w:t>
      </w:r>
    </w:p>
    <w:p w14:paraId="06B9F4F8">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8.6.2 如中标人不按时签订合同、拒签合同的，取消其中标资格，依据《招标文件》“第三章</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3.5.5 违背承诺的责任追究措施”，投标人承担相应法律责任及违约责任。</w:t>
      </w:r>
    </w:p>
    <w:p w14:paraId="7C7404AA">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8.6.3</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合同生效：中标人与采购人签订的合同，双方签字后盖章生效。采购人要在合同签订后</w:t>
      </w:r>
      <w:r>
        <w:rPr>
          <w:rFonts w:hint="eastAsia" w:ascii="宋体" w:hAnsi="宋体" w:cs="楷体_GB2312"/>
          <w:color w:val="auto"/>
          <w:sz w:val="24"/>
          <w:highlight w:val="none"/>
          <w:lang w:val="en-US" w:eastAsia="zh-CN"/>
        </w:rPr>
        <w:t>规定时间内</w:t>
      </w:r>
      <w:r>
        <w:rPr>
          <w:rFonts w:hint="eastAsia" w:ascii="宋体" w:hAnsi="宋体" w:eastAsia="宋体" w:cs="楷体_GB2312"/>
          <w:color w:val="auto"/>
          <w:sz w:val="24"/>
          <w:highlight w:val="none"/>
          <w:lang w:val="zh-CN"/>
        </w:rPr>
        <w:t>登录安阳市政府采购网进行备案并公告。</w:t>
      </w:r>
    </w:p>
    <w:p w14:paraId="00D8FFD0">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8.6.4 《中标通知书》、</w:t>
      </w:r>
      <w:r>
        <w:rPr>
          <w:rFonts w:hint="eastAsia" w:ascii="宋体" w:hAnsi="宋体" w:eastAsia="宋体" w:cs="楷体_GB2312"/>
          <w:color w:val="auto"/>
          <w:sz w:val="24"/>
          <w:highlight w:val="none"/>
          <w:lang w:val="zh-CN" w:eastAsia="zh-CN"/>
        </w:rPr>
        <w:t>《招标文件》</w:t>
      </w:r>
      <w:r>
        <w:rPr>
          <w:rFonts w:hint="eastAsia" w:ascii="宋体" w:hAnsi="宋体" w:eastAsia="宋体" w:cs="楷体_GB2312"/>
          <w:color w:val="auto"/>
          <w:sz w:val="24"/>
          <w:highlight w:val="none"/>
          <w:lang w:val="zh-CN"/>
        </w:rPr>
        <w:t>及其修改补充澄清、中标人的</w:t>
      </w:r>
      <w:r>
        <w:rPr>
          <w:rFonts w:hint="eastAsia" w:ascii="宋体" w:hAnsi="宋体" w:eastAsia="宋体" w:cs="楷体_GB2312"/>
          <w:color w:val="auto"/>
          <w:sz w:val="24"/>
          <w:highlight w:val="none"/>
          <w:lang w:val="zh-CN" w:eastAsia="zh-CN"/>
        </w:rPr>
        <w:t>《投标文件》</w:t>
      </w:r>
      <w:r>
        <w:rPr>
          <w:rFonts w:hint="eastAsia" w:ascii="宋体" w:hAnsi="宋体" w:eastAsia="宋体" w:cs="楷体_GB2312"/>
          <w:color w:val="auto"/>
          <w:sz w:val="24"/>
          <w:highlight w:val="none"/>
          <w:lang w:val="zh-CN"/>
        </w:rPr>
        <w:t>及其修改补充澄清等，均为签订合同的依据。所定合同不得对</w:t>
      </w:r>
      <w:r>
        <w:rPr>
          <w:rFonts w:hint="eastAsia" w:ascii="宋体" w:hAnsi="宋体" w:eastAsia="宋体" w:cs="楷体_GB2312"/>
          <w:color w:val="auto"/>
          <w:sz w:val="24"/>
          <w:highlight w:val="none"/>
          <w:lang w:val="zh-CN" w:eastAsia="zh-CN"/>
        </w:rPr>
        <w:t>《招标文件》</w:t>
      </w:r>
      <w:r>
        <w:rPr>
          <w:rFonts w:hint="eastAsia" w:ascii="宋体" w:hAnsi="宋体" w:eastAsia="宋体" w:cs="楷体_GB2312"/>
          <w:color w:val="auto"/>
          <w:sz w:val="24"/>
          <w:highlight w:val="none"/>
          <w:lang w:val="zh-CN"/>
        </w:rPr>
        <w:t>和中标人的</w:t>
      </w:r>
      <w:r>
        <w:rPr>
          <w:rFonts w:hint="eastAsia" w:ascii="宋体" w:hAnsi="宋体" w:eastAsia="宋体" w:cs="楷体_GB2312"/>
          <w:color w:val="auto"/>
          <w:sz w:val="24"/>
          <w:highlight w:val="none"/>
          <w:lang w:val="zh-CN" w:eastAsia="zh-CN"/>
        </w:rPr>
        <w:t>《投标文件》</w:t>
      </w:r>
      <w:r>
        <w:rPr>
          <w:rFonts w:hint="eastAsia" w:ascii="宋体" w:hAnsi="宋体" w:eastAsia="宋体" w:cs="楷体_GB2312"/>
          <w:color w:val="auto"/>
          <w:sz w:val="24"/>
          <w:highlight w:val="none"/>
          <w:lang w:val="zh-CN"/>
        </w:rPr>
        <w:t>作实质性修改，采购人和中标人不得私下订立背离合同实质性内容的协议。</w:t>
      </w:r>
    </w:p>
    <w:p w14:paraId="5315D0A8">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8.6.5 评审会后，中标人、采购人之间擅自私下谈判、变更中标标的、价格及招</w:t>
      </w:r>
      <w:r>
        <w:rPr>
          <w:rFonts w:hint="eastAsia" w:ascii="宋体" w:hAnsi="宋体" w:eastAsia="宋体" w:cs="楷体_GB2312"/>
          <w:color w:val="auto"/>
          <w:sz w:val="24"/>
          <w:highlight w:val="none"/>
          <w:lang w:val="zh-CN" w:eastAsia="zh-CN"/>
        </w:rPr>
        <w:t>《投标文件》</w:t>
      </w:r>
      <w:r>
        <w:rPr>
          <w:rFonts w:hint="eastAsia" w:ascii="宋体" w:hAnsi="宋体" w:eastAsia="宋体" w:cs="楷体_GB2312"/>
          <w:color w:val="auto"/>
          <w:sz w:val="24"/>
          <w:highlight w:val="none"/>
          <w:lang w:val="zh-CN"/>
        </w:rPr>
        <w:t>实质性内容的，有关部门将按《中华人民共和国政府采购法》及相关法规的规定处理。</w:t>
      </w:r>
    </w:p>
    <w:p w14:paraId="183937DA">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8.6.6 采购人与中标人签订《政府采购合同》后，合同履行中产生的纠纷、争议，由采购人与中标人按合同条款及《中华人民共和国民法典》处理。</w:t>
      </w:r>
    </w:p>
    <w:p w14:paraId="137552EB">
      <w:pPr>
        <w:widowControl w:val="0"/>
        <w:adjustRightInd w:val="0"/>
        <w:snapToGrid w:val="0"/>
        <w:spacing w:before="156" w:beforeLines="50" w:line="300" w:lineRule="auto"/>
        <w:ind w:firstLine="556"/>
        <w:rPr>
          <w:rFonts w:ascii="黑体" w:hAnsi="黑体" w:eastAsia="黑体" w:cs="楷体_GB2312"/>
          <w:b/>
          <w:color w:val="auto"/>
          <w:sz w:val="24"/>
          <w:highlight w:val="none"/>
          <w:lang w:val="zh-CN"/>
        </w:rPr>
      </w:pPr>
      <w:r>
        <w:rPr>
          <w:rFonts w:ascii="黑体" w:hAnsi="黑体" w:eastAsia="黑体" w:cs="楷体_GB2312"/>
          <w:b/>
          <w:color w:val="auto"/>
          <w:sz w:val="24"/>
          <w:highlight w:val="none"/>
          <w:lang w:val="zh-CN"/>
        </w:rPr>
        <w:t xml:space="preserve">8.7 </w:t>
      </w:r>
      <w:r>
        <w:rPr>
          <w:rFonts w:hint="eastAsia" w:ascii="黑体" w:hAnsi="黑体" w:eastAsia="黑体" w:cs="楷体_GB2312"/>
          <w:b/>
          <w:color w:val="auto"/>
          <w:sz w:val="24"/>
          <w:highlight w:val="none"/>
          <w:lang w:val="zh-CN"/>
        </w:rPr>
        <w:t>合同补充变更</w:t>
      </w:r>
    </w:p>
    <w:p w14:paraId="14E46610">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8.7.1 政府采购合同履行中，采购人需追加与合同标的相同的货物、工程和服务的（即追加原合同标的数量），在不改变合同条款（包括原合同单价）的前提下，双方可以协商签订补充合同，但所有补充合同总金额不得超过原合同采购金额的10%，不得调增原合同单价，不得超出项目预算，超过原合同采购金额的10%，应重新组织采购活动。</w:t>
      </w:r>
    </w:p>
    <w:p w14:paraId="045D8AFD">
      <w:pPr>
        <w:widowControl w:val="0"/>
        <w:adjustRightInd w:val="0"/>
        <w:snapToGrid w:val="0"/>
        <w:spacing w:before="156" w:beforeLines="50" w:line="300" w:lineRule="auto"/>
        <w:ind w:firstLine="555"/>
        <w:rPr>
          <w:color w:val="auto"/>
          <w:sz w:val="24"/>
          <w:szCs w:val="24"/>
          <w:highlight w:val="none"/>
        </w:rPr>
      </w:pPr>
    </w:p>
    <w:p w14:paraId="63164DFF">
      <w:pPr>
        <w:widowControl w:val="0"/>
        <w:adjustRightInd w:val="0"/>
        <w:snapToGrid w:val="0"/>
        <w:spacing w:before="156" w:beforeLines="50" w:line="300" w:lineRule="auto"/>
        <w:ind w:firstLine="561"/>
        <w:outlineLvl w:val="1"/>
        <w:rPr>
          <w:rFonts w:ascii="黑体" w:hAnsi="黑体" w:eastAsia="黑体" w:cs="楷体_GB2312"/>
          <w:b/>
          <w:bCs/>
          <w:color w:val="auto"/>
          <w:sz w:val="28"/>
          <w:szCs w:val="28"/>
          <w:highlight w:val="none"/>
          <w:lang w:val="zh-CN"/>
        </w:rPr>
      </w:pPr>
      <w:bookmarkStart w:id="51" w:name="_Toc19470"/>
      <w:r>
        <w:rPr>
          <w:rFonts w:ascii="黑体" w:hAnsi="黑体" w:eastAsia="黑体" w:cs="楷体_GB2312"/>
          <w:b/>
          <w:bCs/>
          <w:color w:val="auto"/>
          <w:sz w:val="28"/>
          <w:szCs w:val="28"/>
          <w:highlight w:val="none"/>
          <w:lang w:val="zh-CN"/>
        </w:rPr>
        <w:t xml:space="preserve">9. </w:t>
      </w:r>
      <w:r>
        <w:rPr>
          <w:rFonts w:hint="eastAsia" w:ascii="黑体" w:hAnsi="黑体" w:eastAsia="黑体" w:cs="楷体_GB2312"/>
          <w:b/>
          <w:bCs/>
          <w:color w:val="auto"/>
          <w:sz w:val="28"/>
          <w:szCs w:val="28"/>
          <w:highlight w:val="none"/>
          <w:lang w:val="zh-CN"/>
        </w:rPr>
        <w:t>验收</w:t>
      </w:r>
      <w:bookmarkEnd w:id="51"/>
    </w:p>
    <w:p w14:paraId="14F301AA">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9.1</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验收时间：项目具备验收条件时，由采购人成立验收工作组负责验收。技术复杂、社会影响较大的货物类项目，可以根据需要设置出厂检验、到货检验、安装调试检验、配套服务检验等多重验收环节；服务类项目，可根据项目特点对服务期内的服务实施情况进行分期考核，结合考核情况和服务效果进行验收。</w:t>
      </w:r>
    </w:p>
    <w:p w14:paraId="725A4C2B">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9.2</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验收工作组：合同履约验收工作应成立验收工作组专门负责。</w:t>
      </w:r>
    </w:p>
    <w:p w14:paraId="64604CEA">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直接参与该项目政府采购活动的主要负责人不得作为验收工作的主要负责人。对于采购人和使用人分离的采购项目，应当邀请实际使用人参与验收；政府向社会公众提供的公共服务项目，验收时应当邀请服务对象参与并出具意见，验收结果应当向社会公告。</w:t>
      </w:r>
    </w:p>
    <w:p w14:paraId="4E5AE91D">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9.2.1</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政府采购合同金额在10万元以下（含10万元）的项目，原则上可以不邀请评审专家参加，组织方成立验收小组自行验收。自行验收时，验收小组应仔细对照采购文件及合同，对标的物的数量、质量、规格、型号等参数逐一核对，并编制验收报告。组织方认为不能独立完成验收任务的，可以邀请评审专家参与验收。</w:t>
      </w:r>
    </w:p>
    <w:p w14:paraId="5A6F186E">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9.2.2</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政府采购合同金额50万元以下的（含50万元）的项目，验收工作组应不少于三人；政府采购合同金额50万元以上的项目，验收工作组应由采购人领导牵头，财务、审计、监察、资产管理、技术等部门人员参与，成员不少于五人。验收工作原则上应当邀请采购评审专家参加验收；大型、复杂或者技术性很强的政府采购项目，应当邀请国家认可的质量检测机构参加验收工作；国家规定强制性检测的采购项目，采购人必须委托国家认可专业检测机构进行验收。</w:t>
      </w:r>
    </w:p>
    <w:p w14:paraId="469B677D">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9.3</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验收时，验收小组按照采购合同的约定对每一项技术、服务、安全标准的履约情况进行确认。验收时需要进行破坏性试验的，供应商应进行充分的配合并提供备品备件。</w:t>
      </w:r>
    </w:p>
    <w:p w14:paraId="63686B8A">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9.4 验收报告：验收后，由采购人及专家等出具验收报告（自行验收的，由采购人出具），国家规定强制性检测的采购项目应附国家认可的专业检测机构出具的验收报告。</w:t>
      </w:r>
    </w:p>
    <w:p w14:paraId="78A18564">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9.5</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验收中发现中标单位未按合同约定的时间、地点或方式履约，提供的货物或服务的数量、质量、性能、功能达不到合同约定的，或者提供假冒伪劣产品等违反合同约定的，验收人员应在验收报告中注明违约情形和事项，并应及时通知财政部门。属假冒伪劣产品的，同时向工商管理、质量监督等行政执法部门举报。</w:t>
      </w:r>
    </w:p>
    <w:p w14:paraId="14E83C07">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9.6 验收公告的时限：采购人要在政府采购项目验收完成后</w:t>
      </w:r>
      <w:r>
        <w:rPr>
          <w:rFonts w:hint="eastAsia" w:ascii="宋体" w:hAnsi="宋体" w:cs="楷体_GB2312"/>
          <w:color w:val="auto"/>
          <w:sz w:val="24"/>
          <w:highlight w:val="none"/>
          <w:lang w:val="en-US" w:eastAsia="zh-CN"/>
        </w:rPr>
        <w:t>规定时间内</w:t>
      </w:r>
      <w:r>
        <w:rPr>
          <w:rFonts w:hint="eastAsia" w:ascii="宋体" w:hAnsi="宋体" w:eastAsia="宋体" w:cs="楷体_GB2312"/>
          <w:color w:val="auto"/>
          <w:sz w:val="24"/>
          <w:highlight w:val="none"/>
          <w:lang w:val="zh-CN"/>
        </w:rPr>
        <w:t>登录安阳市政府采购网进行验收公告。</w:t>
      </w:r>
    </w:p>
    <w:p w14:paraId="4B93A930">
      <w:pPr>
        <w:widowControl w:val="0"/>
        <w:adjustRightInd w:val="0"/>
        <w:snapToGrid w:val="0"/>
        <w:spacing w:before="156" w:beforeLines="50" w:line="300" w:lineRule="auto"/>
        <w:ind w:firstLine="561"/>
        <w:rPr>
          <w:rFonts w:ascii="宋体" w:cs="楷体_GB2312"/>
          <w:color w:val="auto"/>
          <w:sz w:val="24"/>
          <w:highlight w:val="none"/>
          <w:lang w:val="zh-CN"/>
        </w:rPr>
      </w:pPr>
    </w:p>
    <w:p w14:paraId="0C90E494">
      <w:pPr>
        <w:widowControl w:val="0"/>
        <w:adjustRightInd w:val="0"/>
        <w:snapToGrid w:val="0"/>
        <w:spacing w:before="156" w:beforeLines="50" w:line="300" w:lineRule="auto"/>
        <w:ind w:firstLine="561"/>
        <w:outlineLvl w:val="1"/>
        <w:rPr>
          <w:rFonts w:ascii="黑体" w:hAnsi="黑体" w:eastAsia="黑体" w:cs="楷体_GB2312"/>
          <w:b/>
          <w:bCs/>
          <w:color w:val="auto"/>
          <w:sz w:val="28"/>
          <w:szCs w:val="28"/>
          <w:highlight w:val="none"/>
          <w:lang w:val="zh-CN"/>
        </w:rPr>
      </w:pPr>
      <w:bookmarkStart w:id="52" w:name="_Toc29705"/>
      <w:r>
        <w:rPr>
          <w:rFonts w:ascii="黑体" w:hAnsi="黑体" w:eastAsia="黑体" w:cs="楷体_GB2312"/>
          <w:b/>
          <w:bCs/>
          <w:color w:val="auto"/>
          <w:sz w:val="28"/>
          <w:szCs w:val="28"/>
          <w:highlight w:val="none"/>
          <w:lang w:val="zh-CN"/>
        </w:rPr>
        <w:t xml:space="preserve">10. </w:t>
      </w:r>
      <w:r>
        <w:rPr>
          <w:rFonts w:hint="eastAsia" w:ascii="黑体" w:hAnsi="黑体" w:eastAsia="黑体" w:cs="楷体_GB2312"/>
          <w:b/>
          <w:bCs/>
          <w:color w:val="auto"/>
          <w:sz w:val="28"/>
          <w:szCs w:val="28"/>
          <w:highlight w:val="none"/>
          <w:lang w:val="zh-CN"/>
        </w:rPr>
        <w:t>付款</w:t>
      </w:r>
      <w:bookmarkEnd w:id="52"/>
    </w:p>
    <w:p w14:paraId="54BA7A34">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见投标人须知前附表。</w:t>
      </w:r>
    </w:p>
    <w:p w14:paraId="0E9DE15F">
      <w:pPr>
        <w:widowControl w:val="0"/>
        <w:adjustRightInd w:val="0"/>
        <w:snapToGrid w:val="0"/>
        <w:spacing w:before="156" w:beforeLines="50" w:line="300" w:lineRule="auto"/>
        <w:ind w:firstLine="561"/>
        <w:rPr>
          <w:rFonts w:ascii="黑体" w:hAnsi="黑体" w:eastAsia="黑体" w:cs="楷体_GB2312"/>
          <w:b/>
          <w:bCs/>
          <w:color w:val="auto"/>
          <w:sz w:val="28"/>
          <w:szCs w:val="28"/>
          <w:highlight w:val="none"/>
          <w:lang w:val="zh-CN"/>
        </w:rPr>
      </w:pPr>
    </w:p>
    <w:p w14:paraId="1E4E67E2">
      <w:pPr>
        <w:widowControl w:val="0"/>
        <w:adjustRightInd w:val="0"/>
        <w:snapToGrid w:val="0"/>
        <w:spacing w:before="156" w:beforeLines="50" w:line="300" w:lineRule="auto"/>
        <w:ind w:firstLine="561"/>
        <w:outlineLvl w:val="1"/>
        <w:rPr>
          <w:rFonts w:ascii="黑体" w:hAnsi="黑体" w:eastAsia="黑体" w:cs="楷体_GB2312"/>
          <w:b/>
          <w:bCs/>
          <w:color w:val="auto"/>
          <w:sz w:val="28"/>
          <w:szCs w:val="28"/>
          <w:highlight w:val="none"/>
          <w:lang w:val="zh-CN"/>
        </w:rPr>
      </w:pPr>
      <w:bookmarkStart w:id="53" w:name="_Toc26609"/>
      <w:r>
        <w:rPr>
          <w:rFonts w:ascii="黑体" w:hAnsi="黑体" w:eastAsia="黑体" w:cs="楷体_GB2312"/>
          <w:b/>
          <w:bCs/>
          <w:color w:val="auto"/>
          <w:sz w:val="28"/>
          <w:szCs w:val="28"/>
          <w:highlight w:val="none"/>
          <w:lang w:val="zh-CN"/>
        </w:rPr>
        <w:t xml:space="preserve">11. </w:t>
      </w:r>
      <w:r>
        <w:rPr>
          <w:rFonts w:hint="eastAsia" w:ascii="黑体" w:hAnsi="黑体" w:eastAsia="黑体" w:cs="楷体_GB2312"/>
          <w:b/>
          <w:bCs/>
          <w:color w:val="auto"/>
          <w:sz w:val="28"/>
          <w:szCs w:val="28"/>
          <w:highlight w:val="none"/>
          <w:lang w:val="zh-CN"/>
        </w:rPr>
        <w:t>其他</w:t>
      </w:r>
      <w:bookmarkEnd w:id="53"/>
    </w:p>
    <w:p w14:paraId="6A61ACB9">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11.1</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代理服务费等：见投标人须知前附表。</w:t>
      </w:r>
    </w:p>
    <w:p w14:paraId="5AE9BF45">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11.2</w:t>
      </w:r>
      <w:r>
        <w:rPr>
          <w:rFonts w:hint="eastAsia" w:ascii="宋体" w:hAnsi="宋体" w:eastAsia="宋体" w:cs="楷体_GB2312"/>
          <w:color w:val="auto"/>
          <w:sz w:val="24"/>
          <w:highlight w:val="none"/>
          <w:lang w:val="en-US" w:eastAsia="zh-CN"/>
        </w:rPr>
        <w:t xml:space="preserve"> </w:t>
      </w:r>
      <w:r>
        <w:rPr>
          <w:rFonts w:hint="eastAsia" w:ascii="宋体" w:hAnsi="宋体" w:eastAsia="宋体" w:cs="楷体_GB2312"/>
          <w:color w:val="auto"/>
          <w:sz w:val="24"/>
          <w:highlight w:val="none"/>
          <w:lang w:val="zh-CN"/>
        </w:rPr>
        <w:t>投标人资格条件（申请人的资格要求）中包含非法人单位的，《招标文件》中法定代表人一词相应包含表示证照标示的负责人；投标人资格条件（申请人的资格要求）中包含自然人的，《招标文件》中法定代表人一词相应包含表示自然人，自然人应由其本人签署《投标文件》、参加投标，不应再授权他人。</w:t>
      </w:r>
    </w:p>
    <w:p w14:paraId="1FB3DD94">
      <w:pPr>
        <w:autoSpaceDE w:val="0"/>
        <w:autoSpaceDN w:val="0"/>
        <w:adjustRightInd w:val="0"/>
        <w:snapToGrid w:val="0"/>
        <w:spacing w:before="156" w:beforeLines="50" w:line="300" w:lineRule="auto"/>
        <w:ind w:firstLine="539"/>
        <w:rPr>
          <w:rFonts w:ascii="宋体" w:hAnsi="宋体" w:cs="楷体_GB2312"/>
          <w:color w:val="auto"/>
          <w:sz w:val="24"/>
          <w:highlight w:val="none"/>
          <w:lang w:val="zh-CN"/>
        </w:rPr>
      </w:pPr>
      <w:r>
        <w:rPr>
          <w:rFonts w:hint="eastAsia" w:ascii="宋体" w:hAnsi="宋体" w:eastAsia="宋体" w:cs="楷体_GB2312"/>
          <w:color w:val="auto"/>
          <w:sz w:val="24"/>
          <w:highlight w:val="none"/>
          <w:lang w:val="zh-CN"/>
        </w:rPr>
        <w:t>11.3 《招标文件》第一章至第四章各章中，用序号标示条、款、项、目，例如：1为第1 条，1.1为第1条第1款（简称1.1款），1.1.1为第1条第1款第1项（简称1.1.1项）。“条”包含款、项、目；“款”包含项、目；“项”包含目</w:t>
      </w:r>
      <w:r>
        <w:rPr>
          <w:rFonts w:hint="eastAsia" w:ascii="宋体" w:hAnsi="宋体" w:cs="楷体_GB2312"/>
          <w:color w:val="auto"/>
          <w:sz w:val="24"/>
          <w:highlight w:val="none"/>
          <w:lang w:val="zh-CN"/>
        </w:rPr>
        <w:t>。</w:t>
      </w:r>
    </w:p>
    <w:p w14:paraId="316B9D3F">
      <w:pPr>
        <w:widowControl w:val="0"/>
        <w:autoSpaceDE w:val="0"/>
        <w:autoSpaceDN w:val="0"/>
        <w:adjustRightInd w:val="0"/>
        <w:spacing w:before="156" w:beforeLines="50" w:line="300" w:lineRule="auto"/>
        <w:ind w:firstLine="480" w:firstLineChars="200"/>
        <w:jc w:val="left"/>
        <w:textAlignment w:val="auto"/>
        <w:rPr>
          <w:rFonts w:ascii="宋体" w:hAnsi="宋体" w:cs="楷体_GB2312"/>
          <w:color w:val="auto"/>
          <w:sz w:val="24"/>
          <w:highlight w:val="none"/>
          <w:lang w:val="zh-CN"/>
        </w:rPr>
      </w:pPr>
    </w:p>
    <w:p w14:paraId="42D2BA3C">
      <w:pPr>
        <w:widowControl w:val="0"/>
        <w:adjustRightInd w:val="0"/>
        <w:snapToGrid w:val="0"/>
        <w:spacing w:before="156" w:beforeLines="50" w:line="300" w:lineRule="auto"/>
        <w:ind w:left="23" w:firstLine="556"/>
        <w:jc w:val="left"/>
        <w:outlineLvl w:val="1"/>
        <w:rPr>
          <w:rFonts w:ascii="黑体" w:hAnsi="黑体" w:eastAsia="黑体" w:cs="楷体_GB2312"/>
          <w:b/>
          <w:bCs/>
          <w:color w:val="auto"/>
          <w:sz w:val="28"/>
          <w:szCs w:val="28"/>
          <w:highlight w:val="none"/>
          <w:lang w:val="zh-CN"/>
        </w:rPr>
      </w:pPr>
      <w:bookmarkStart w:id="54" w:name="_Toc31837"/>
      <w:bookmarkStart w:id="55" w:name="_Toc58855443"/>
      <w:r>
        <w:rPr>
          <w:rFonts w:ascii="黑体" w:hAnsi="黑体" w:eastAsia="黑体" w:cs="楷体_GB2312"/>
          <w:b/>
          <w:bCs/>
          <w:color w:val="auto"/>
          <w:sz w:val="28"/>
          <w:szCs w:val="28"/>
          <w:highlight w:val="none"/>
          <w:lang w:val="zh-CN"/>
        </w:rPr>
        <w:t>1</w:t>
      </w:r>
      <w:r>
        <w:rPr>
          <w:rFonts w:hint="eastAsia" w:ascii="黑体" w:hAnsi="黑体" w:eastAsia="黑体" w:cs="楷体_GB2312"/>
          <w:b/>
          <w:bCs/>
          <w:color w:val="auto"/>
          <w:sz w:val="28"/>
          <w:szCs w:val="28"/>
          <w:highlight w:val="none"/>
          <w:lang w:val="zh-CN"/>
        </w:rPr>
        <w:t>2</w:t>
      </w:r>
      <w:r>
        <w:rPr>
          <w:rFonts w:ascii="黑体" w:hAnsi="黑体" w:eastAsia="黑体" w:cs="楷体_GB2312"/>
          <w:b/>
          <w:bCs/>
          <w:color w:val="auto"/>
          <w:sz w:val="28"/>
          <w:szCs w:val="28"/>
          <w:highlight w:val="none"/>
          <w:lang w:val="zh-CN"/>
        </w:rPr>
        <w:t xml:space="preserve">. </w:t>
      </w:r>
      <w:r>
        <w:rPr>
          <w:rFonts w:hint="eastAsia" w:ascii="黑体" w:hAnsi="黑体" w:eastAsia="黑体" w:cs="楷体_GB2312"/>
          <w:b/>
          <w:bCs/>
          <w:color w:val="auto"/>
          <w:sz w:val="28"/>
          <w:szCs w:val="28"/>
          <w:highlight w:val="none"/>
          <w:lang w:val="zh-CN"/>
        </w:rPr>
        <w:t>河南省政府采购合同融资政策告知函</w:t>
      </w:r>
      <w:bookmarkEnd w:id="54"/>
      <w:bookmarkEnd w:id="55"/>
    </w:p>
    <w:p w14:paraId="2545ED09">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各供应商：</w:t>
      </w:r>
    </w:p>
    <w:p w14:paraId="69B6576E">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欢迎贵公司参与河南省政府采购活动！</w:t>
      </w:r>
    </w:p>
    <w:p w14:paraId="5C3EAC43">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2DB8EC17">
      <w:pPr>
        <w:autoSpaceDE w:val="0"/>
        <w:autoSpaceDN w:val="0"/>
        <w:adjustRightInd w:val="0"/>
        <w:snapToGrid w:val="0"/>
        <w:spacing w:before="156" w:beforeLines="50" w:line="300" w:lineRule="auto"/>
        <w:ind w:firstLine="539"/>
        <w:rPr>
          <w:rFonts w:hint="eastAsia" w:ascii="宋体" w:hAnsi="宋体" w:eastAsia="宋体" w:cs="楷体_GB2312"/>
          <w:color w:val="auto"/>
          <w:sz w:val="24"/>
          <w:highlight w:val="none"/>
          <w:lang w:val="zh-CN"/>
        </w:rPr>
      </w:pPr>
      <w:r>
        <w:rPr>
          <w:rFonts w:hint="eastAsia" w:ascii="宋体" w:hAnsi="宋体" w:eastAsia="宋体" w:cs="楷体_GB2312"/>
          <w:color w:val="auto"/>
          <w:sz w:val="24"/>
          <w:highlight w:val="none"/>
          <w:lang w:val="zh-CN"/>
        </w:rPr>
        <w:t>贷款渠道和提供贷款的金融机构，可在河南省政府采购网“河南省政府采购合同融资平台”查询联系。</w:t>
      </w:r>
    </w:p>
    <w:p w14:paraId="19892C81">
      <w:pPr>
        <w:keepNext w:val="0"/>
        <w:keepLines w:val="0"/>
        <w:pageBreakBefore w:val="0"/>
        <w:widowControl/>
        <w:kinsoku/>
        <w:wordWrap/>
        <w:overflowPunct/>
        <w:topLinePunct w:val="0"/>
        <w:autoSpaceDE/>
        <w:autoSpaceDN/>
        <w:bidi w:val="0"/>
        <w:adjustRightInd/>
        <w:snapToGrid/>
        <w:spacing w:line="276" w:lineRule="auto"/>
        <w:ind w:firstLine="420"/>
        <w:jc w:val="left"/>
        <w:textAlignment w:val="baseline"/>
        <w:outlineLvl w:val="9"/>
        <w:rPr>
          <w:rFonts w:eastAsia="方正黑体简体"/>
          <w:b/>
          <w:color w:val="auto"/>
          <w:sz w:val="30"/>
          <w:szCs w:val="30"/>
          <w:highlight w:val="none"/>
        </w:rPr>
      </w:pPr>
      <w:r>
        <w:rPr>
          <w:rFonts w:eastAsia="黑体"/>
          <w:b/>
          <w:color w:val="auto"/>
          <w:sz w:val="44"/>
          <w:highlight w:val="none"/>
        </w:rPr>
        <w:t xml:space="preserve"> </w:t>
      </w:r>
      <w:permStart w:id="0" w:edGrp="everyone"/>
      <w:permEnd w:id="0"/>
      <w:bookmarkStart w:id="56" w:name="_GoBack"/>
      <w:bookmarkEnd w:id="56"/>
    </w:p>
    <w:sectPr>
      <w:pgSz w:w="11905" w:h="16837"/>
      <w:pgMar w:top="1091" w:right="1106" w:bottom="993" w:left="1418" w:header="567" w:footer="567" w:gutter="0"/>
      <w:pgBorders>
        <w:top w:val="none" w:sz="0" w:space="0"/>
        <w:left w:val="none" w:sz="0" w:space="0"/>
        <w:bottom w:val="none" w:sz="0" w:space="0"/>
        <w:right w:val="none" w:sz="0" w:space="0"/>
      </w:pgBorders>
      <w:pgNumType w:fmt="numberInDash"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MingLiU">
    <w:panose1 w:val="02020509000000000000"/>
    <w:charset w:val="88"/>
    <w:family w:val="modern"/>
    <w:pitch w:val="default"/>
    <w:sig w:usb0="A00002FF" w:usb1="28CFFCFA" w:usb2="00000016" w:usb3="00000000" w:csb0="00100001" w:csb1="00000000"/>
  </w:font>
  <w:font w:name="华文新魏">
    <w:altName w:val="宋体"/>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简体">
    <w:altName w:val="微软雅黑"/>
    <w:panose1 w:val="00000000000000000000"/>
    <w:charset w:val="86"/>
    <w:family w:val="auto"/>
    <w:pitch w:val="default"/>
    <w:sig w:usb0="00000000" w:usb1="0000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40703">
    <w:pPr>
      <w:widowControl w:val="0"/>
      <w:snapToGrid w:val="0"/>
      <w:spacing w:line="240" w:lineRule="atLeast"/>
      <w:ind w:right="21" w:firstLine="105" w:firstLineChars="50"/>
      <w:jc w:val="left"/>
      <w:rPr>
        <w:rFonts w:ascii="宋体" w:hAnsi="宋体"/>
        <w:szCs w:val="21"/>
        <w:u w:val="single"/>
      </w:rPr>
    </w:pPr>
    <w:r>
      <w:rPr>
        <w:rFonts w:hint="eastAsia" w:ascii="宋体" w:hAnsi="宋体"/>
        <w:szCs w:val="21"/>
        <w:u w:val="single"/>
      </w:rPr>
      <w:t>《招标文件》</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fldChar w:fldCharType="begin"/>
    </w:r>
    <w:r>
      <w:rPr>
        <w:rFonts w:hint="eastAsia" w:asciiTheme="minorEastAsia" w:hAnsiTheme="minorEastAsia" w:eastAsiaTheme="minorEastAsia" w:cstheme="minorEastAsia"/>
        <w:szCs w:val="21"/>
        <w:u w:val="single"/>
      </w:rPr>
      <w:instrText xml:space="preserve"> NUMPAGES-1 \* MERGEFORMAT </w:instrText>
    </w:r>
    <w:r>
      <w:rPr>
        <w:rFonts w:hint="eastAsia" w:asciiTheme="minorEastAsia" w:hAnsiTheme="minorEastAsia" w:eastAsiaTheme="minorEastAsia" w:cstheme="minorEastAsia"/>
        <w:szCs w:val="21"/>
        <w:u w:val="single"/>
      </w:rPr>
      <w:fldChar w:fldCharType="end"/>
    </w:r>
    <w:r>
      <w:rPr>
        <w:rFonts w:hint="eastAsia" w:asciiTheme="minorEastAsia" w:hAnsiTheme="minorEastAsia" w:eastAsiaTheme="minorEastAsia" w:cstheme="minorEastAsia"/>
        <w:szCs w:val="21"/>
        <w:u w:val="single"/>
      </w:rPr>
      <w:fldChar w:fldCharType="begin"/>
    </w:r>
    <w:r>
      <w:rPr>
        <w:rFonts w:hint="eastAsia" w:asciiTheme="minorEastAsia" w:hAnsiTheme="minorEastAsia" w:eastAsiaTheme="minorEastAsia" w:cstheme="minorEastAsia"/>
        <w:szCs w:val="21"/>
        <w:u w:val="single"/>
      </w:rPr>
      <w:instrText xml:space="preserve">NUMPAGES-1\* Arabic \* MERGEFORMAT</w:instrText>
    </w:r>
    <w:r>
      <w:rPr>
        <w:rFonts w:hint="eastAsia" w:asciiTheme="minorEastAsia" w:hAnsiTheme="minorEastAsia" w:eastAsiaTheme="minorEastAsia" w:cstheme="minorEastAsia"/>
        <w:szCs w:val="21"/>
        <w:u w:val="single"/>
      </w:rPr>
      <w:fldChar w:fldCharType="end"/>
    </w:r>
    <w:r>
      <w:rPr>
        <w:rFonts w:hint="eastAsia" w:asciiTheme="minorEastAsia" w:hAnsiTheme="minorEastAsia" w:eastAsiaTheme="minorEastAsia" w:cstheme="minorEastAsia"/>
        <w:szCs w:val="21"/>
        <w:u w:val="single"/>
      </w:rPr>
      <w:fldChar w:fldCharType="begin"/>
    </w:r>
    <w:r>
      <w:rPr>
        <w:rFonts w:hint="eastAsia" w:asciiTheme="minorEastAsia" w:hAnsiTheme="minorEastAsia" w:eastAsiaTheme="minorEastAsia" w:cstheme="minorEastAsia"/>
        <w:szCs w:val="21"/>
        <w:u w:val="single"/>
      </w:rPr>
      <w:instrText xml:space="preserve"> NUMPAGES-1   \* MERGEFORMAT </w:instrText>
    </w:r>
    <w:r>
      <w:rPr>
        <w:rFonts w:hint="eastAsia" w:asciiTheme="minorEastAsia" w:hAnsiTheme="minorEastAsia" w:eastAsiaTheme="minorEastAsia" w:cstheme="minorEastAsia"/>
        <w:szCs w:val="21"/>
        <w:u w:val="single"/>
      </w:rPr>
      <w:fldChar w:fldCharType="end"/>
    </w:r>
    <w:r>
      <w:rPr>
        <w:rStyle w:val="24"/>
        <w:rFonts w:hint="eastAsia" w:asciiTheme="minorEastAsia" w:hAnsiTheme="minorEastAsia" w:eastAsiaTheme="minorEastAsia" w:cstheme="minorEastAsia"/>
        <w:szCs w:val="21"/>
        <w:u w:val="single"/>
      </w:rPr>
      <w:fldChar w:fldCharType="begin"/>
    </w:r>
    <w:r>
      <w:rPr>
        <w:rStyle w:val="24"/>
        <w:rFonts w:hint="eastAsia" w:asciiTheme="minorEastAsia" w:hAnsiTheme="minorEastAsia" w:eastAsiaTheme="minorEastAsia" w:cstheme="minorEastAsia"/>
        <w:szCs w:val="21"/>
        <w:u w:val="single"/>
      </w:rPr>
      <w:instrText xml:space="preserve"> PAGE </w:instrText>
    </w:r>
    <w:r>
      <w:rPr>
        <w:rStyle w:val="24"/>
        <w:rFonts w:hint="eastAsia" w:asciiTheme="minorEastAsia" w:hAnsiTheme="minorEastAsia" w:eastAsiaTheme="minorEastAsia" w:cstheme="minorEastAsia"/>
        <w:szCs w:val="21"/>
        <w:u w:val="single"/>
      </w:rPr>
      <w:fldChar w:fldCharType="separate"/>
    </w:r>
    <w:r>
      <w:rPr>
        <w:rStyle w:val="24"/>
        <w:rFonts w:hint="eastAsia" w:asciiTheme="minorEastAsia" w:hAnsiTheme="minorEastAsia" w:eastAsiaTheme="minorEastAsia" w:cstheme="minorEastAsia"/>
        <w:szCs w:val="21"/>
        <w:u w:val="single"/>
      </w:rPr>
      <w:t>- 67 -</w:t>
    </w:r>
    <w:r>
      <w:rPr>
        <w:rStyle w:val="24"/>
        <w:rFonts w:hint="eastAsia" w:asciiTheme="minorEastAsia" w:hAnsiTheme="minorEastAsia" w:eastAsiaTheme="minorEastAsia" w:cstheme="minorEastAsia"/>
        <w:szCs w:val="21"/>
        <w:u w:val="single"/>
      </w:rPr>
      <w:fldChar w:fldCharType="end"/>
    </w:r>
    <w:r>
      <w:rPr>
        <w:rStyle w:val="24"/>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共</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SECTIONPAGES   \* MERGEFORMAT </w:instrText>
    </w:r>
    <w:r>
      <w:rPr>
        <w:rFonts w:hint="eastAsia" w:asciiTheme="minorEastAsia" w:hAnsiTheme="minorEastAsia" w:eastAsiaTheme="minorEastAsia" w:cstheme="minorEastAsia"/>
      </w:rPr>
      <w:fldChar w:fldCharType="separate"/>
    </w:r>
    <w:r>
      <w:rPr>
        <w:rStyle w:val="24"/>
        <w:rFonts w:hint="eastAsia" w:asciiTheme="minorEastAsia" w:hAnsiTheme="minorEastAsia" w:eastAsiaTheme="minorEastAsia" w:cstheme="minorEastAsia"/>
        <w:szCs w:val="21"/>
        <w:u w:val="single"/>
      </w:rPr>
      <w:t>87</w:t>
    </w:r>
    <w:r>
      <w:rPr>
        <w:rStyle w:val="24"/>
        <w:rFonts w:hint="eastAsia" w:asciiTheme="minorEastAsia" w:hAnsiTheme="minorEastAsia" w:eastAsiaTheme="minorEastAsia" w:cstheme="minorEastAsia"/>
        <w:szCs w:val="21"/>
        <w:u w:val="single"/>
      </w:rPr>
      <w:fldChar w:fldCharType="end"/>
    </w:r>
    <w:r>
      <w:rPr>
        <w:rFonts w:hint="eastAsia" w:asciiTheme="minorEastAsia" w:hAnsiTheme="minorEastAsia" w:eastAsiaTheme="minorEastAsia" w:cstheme="minorEastAsia"/>
        <w:szCs w:val="21"/>
        <w:u w:val="single"/>
      </w:rPr>
      <w:t>页)</w:t>
    </w:r>
    <w:r>
      <w:rPr>
        <w:rFonts w:ascii="宋体" w:hAnsi="宋体"/>
      </w:rPr>
      <w:pict>
        <v:shape id="_x0000_s4098" o:spid="_x0000_s4098" o:spt="202" type="#_x0000_t202" style="position:absolute;left:0pt;margin-left:70.85pt;margin-top:799.35pt;height:14.15pt;width:453.5pt;mso-position-horizontal-relative:page;mso-position-vertical-relative:page;z-index:-251656192;mso-width-relative:page;mso-height-relative:page;" filled="f" o:preferrelative="t" stroked="f" coordsize="21600,21600" o:allowincell="f">
          <v:path/>
          <v:fill on="f" opacity="0f" focussize="0,0"/>
          <v:stroke on="f" joinstyle="miter"/>
          <v:imagedata o:title=""/>
          <o:lock v:ext="edit"/>
          <v:textbox inset="0mm,0mm,0mm,0mm">
            <w:txbxContent>
              <w:p w14:paraId="605E7CC1"/>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E10D6">
    <w:pPr>
      <w:pStyle w:val="12"/>
      <w:framePr w:wrap="around" w:vAnchor="text" w:hAnchor="margin" w:xAlign="right" w:y="1"/>
      <w:rPr>
        <w:rStyle w:val="24"/>
      </w:rPr>
    </w:pPr>
    <w:r>
      <w:rPr>
        <w:rStyle w:val="24"/>
      </w:rPr>
      <w:fldChar w:fldCharType="begin"/>
    </w:r>
    <w:r>
      <w:rPr>
        <w:rStyle w:val="24"/>
      </w:rPr>
      <w:instrText xml:space="preserve">PAGE  </w:instrText>
    </w:r>
    <w:r>
      <w:rPr>
        <w:rStyle w:val="24"/>
      </w:rPr>
      <w:fldChar w:fldCharType="end"/>
    </w:r>
  </w:p>
  <w:p w14:paraId="34BF513C">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0CAAF">
    <w:pPr>
      <w:pStyle w:val="1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BF444">
    <w:pPr>
      <w:widowControl w:val="0"/>
      <w:snapToGrid w:val="0"/>
      <w:spacing w:line="240" w:lineRule="atLeast"/>
      <w:rPr>
        <w:rFonts w:ascii="宋体" w:hAnsi="宋体"/>
        <w:szCs w:val="21"/>
      </w:rPr>
    </w:pPr>
    <w:r>
      <w:rPr>
        <w:rFonts w:hint="eastAsia" w:ascii="宋体" w:hAnsi="宋体"/>
        <w:szCs w:val="21"/>
        <w:u w:val="single"/>
      </w:rPr>
      <w:t>安阳市方正招标采购服务有限责任公司</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电话及传真：</w:t>
    </w:r>
    <w:r>
      <w:rPr>
        <w:rFonts w:ascii="宋体" w:hAnsi="宋体"/>
        <w:szCs w:val="21"/>
        <w:u w:val="single"/>
      </w:rPr>
      <w:t>0372—2283981</w:t>
    </w:r>
    <w:r>
      <w:rPr>
        <w:rFonts w:hint="eastAsia" w:ascii="宋体" w:hAnsi="宋体"/>
        <w:szCs w:val="21"/>
        <w:u w:val="single"/>
      </w:rPr>
      <w:t>、</w:t>
    </w:r>
    <w:r>
      <w:rPr>
        <w:rFonts w:ascii="宋体" w:hAnsi="宋体"/>
        <w:szCs w:val="21"/>
        <w:u w:val="single"/>
      </w:rPr>
      <w:t>2283982</w:t>
    </w:r>
    <w:r>
      <w:rPr>
        <w:rFonts w:hint="eastAsia" w:ascii="宋体" w:hAnsi="宋体"/>
        <w:szCs w:val="21"/>
        <w:u w:val="single"/>
      </w:rPr>
      <w:t>、</w:t>
    </w:r>
    <w:r>
      <w:rPr>
        <w:rFonts w:ascii="宋体" w:hAnsi="宋体"/>
        <w:szCs w:val="21"/>
        <w:u w:val="single"/>
      </w:rPr>
      <w:t>2283983.</w:t>
    </w:r>
    <w:r>
      <w:rPr>
        <w:rFonts w:ascii="宋体" w:hAnsi="宋体"/>
      </w:rPr>
      <w:pict>
        <v:shape id="Text Box 1" o:spid="_x0000_s4097" o:spt="202" type="#_x0000_t202" style="position:absolute;left:0pt;margin-left:70.85pt;margin-top:28.3pt;height:14.15pt;width:453.5pt;mso-position-horizontal-relative:page;mso-position-vertical-relative:page;z-index:-251657216;mso-width-relative:page;mso-height-relative:page;" filled="f" o:preferrelative="t" stroked="f" coordsize="21600,21600" o:allowincell="f">
          <v:path/>
          <v:fill on="f" opacity="0f" focussize="0,0"/>
          <v:stroke on="f" joinstyle="miter"/>
          <v:imagedata o:title=""/>
          <o:lock v:ext="edit"/>
          <v:textbox inset="0mm,0mm,0mm,0mm">
            <w:txbxContent>
              <w:p w14:paraId="54EDCA17"/>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dit="readOnly" w:formatting="1" w:enforcement="1" w:cryptProviderType="rsaFull" w:cryptAlgorithmClass="hash" w:cryptAlgorithmType="typeAny" w:cryptAlgorithmSid="4" w:cryptSpinCount="0" w:hash="T1Iu/Cj6sMPdNvujowAPO+od6Ro=" w:salt="i9kwcd8XxskBINKn5aEUVg=="/>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72A27"/>
    <w:rsid w:val="00001D7A"/>
    <w:rsid w:val="00002B87"/>
    <w:rsid w:val="00006184"/>
    <w:rsid w:val="000118FF"/>
    <w:rsid w:val="00011F9D"/>
    <w:rsid w:val="000129C4"/>
    <w:rsid w:val="00013814"/>
    <w:rsid w:val="00013DB2"/>
    <w:rsid w:val="00014FA0"/>
    <w:rsid w:val="00015C36"/>
    <w:rsid w:val="00016334"/>
    <w:rsid w:val="0001654D"/>
    <w:rsid w:val="00017560"/>
    <w:rsid w:val="0001783F"/>
    <w:rsid w:val="00017E1E"/>
    <w:rsid w:val="00020336"/>
    <w:rsid w:val="00023676"/>
    <w:rsid w:val="00024608"/>
    <w:rsid w:val="00025438"/>
    <w:rsid w:val="00025F1E"/>
    <w:rsid w:val="0002701F"/>
    <w:rsid w:val="0002737B"/>
    <w:rsid w:val="0003123D"/>
    <w:rsid w:val="0003321D"/>
    <w:rsid w:val="000339BC"/>
    <w:rsid w:val="00034DE2"/>
    <w:rsid w:val="0003567F"/>
    <w:rsid w:val="00036AA4"/>
    <w:rsid w:val="000372BB"/>
    <w:rsid w:val="00041891"/>
    <w:rsid w:val="0004237C"/>
    <w:rsid w:val="00042CA8"/>
    <w:rsid w:val="00042F27"/>
    <w:rsid w:val="000437D6"/>
    <w:rsid w:val="00043821"/>
    <w:rsid w:val="00043CBA"/>
    <w:rsid w:val="00043D90"/>
    <w:rsid w:val="000441FD"/>
    <w:rsid w:val="00045899"/>
    <w:rsid w:val="000458E7"/>
    <w:rsid w:val="00050832"/>
    <w:rsid w:val="00052D79"/>
    <w:rsid w:val="00056986"/>
    <w:rsid w:val="00056C7E"/>
    <w:rsid w:val="00057BA0"/>
    <w:rsid w:val="00057F78"/>
    <w:rsid w:val="000605B1"/>
    <w:rsid w:val="0006134B"/>
    <w:rsid w:val="000622B5"/>
    <w:rsid w:val="00062784"/>
    <w:rsid w:val="00062821"/>
    <w:rsid w:val="00064235"/>
    <w:rsid w:val="00065301"/>
    <w:rsid w:val="00070DCC"/>
    <w:rsid w:val="00071C34"/>
    <w:rsid w:val="00072834"/>
    <w:rsid w:val="000732AB"/>
    <w:rsid w:val="0007358E"/>
    <w:rsid w:val="0007390E"/>
    <w:rsid w:val="00073A45"/>
    <w:rsid w:val="00074985"/>
    <w:rsid w:val="00077629"/>
    <w:rsid w:val="00080AE9"/>
    <w:rsid w:val="00081801"/>
    <w:rsid w:val="00081C6C"/>
    <w:rsid w:val="000823AD"/>
    <w:rsid w:val="0008258F"/>
    <w:rsid w:val="000829A8"/>
    <w:rsid w:val="000829DB"/>
    <w:rsid w:val="00083869"/>
    <w:rsid w:val="00084C56"/>
    <w:rsid w:val="00085435"/>
    <w:rsid w:val="00086B70"/>
    <w:rsid w:val="00087AB7"/>
    <w:rsid w:val="000906F2"/>
    <w:rsid w:val="00090D6B"/>
    <w:rsid w:val="00090EB6"/>
    <w:rsid w:val="00091C5E"/>
    <w:rsid w:val="0009268E"/>
    <w:rsid w:val="000929AC"/>
    <w:rsid w:val="0009302D"/>
    <w:rsid w:val="00093A6B"/>
    <w:rsid w:val="000956CE"/>
    <w:rsid w:val="000962DF"/>
    <w:rsid w:val="000A1EF0"/>
    <w:rsid w:val="000A2F4F"/>
    <w:rsid w:val="000A3FE8"/>
    <w:rsid w:val="000A4640"/>
    <w:rsid w:val="000A55EE"/>
    <w:rsid w:val="000A61F5"/>
    <w:rsid w:val="000A688B"/>
    <w:rsid w:val="000A7A3C"/>
    <w:rsid w:val="000B1334"/>
    <w:rsid w:val="000B2559"/>
    <w:rsid w:val="000B3DD8"/>
    <w:rsid w:val="000B4758"/>
    <w:rsid w:val="000B535A"/>
    <w:rsid w:val="000B5412"/>
    <w:rsid w:val="000B6571"/>
    <w:rsid w:val="000C0072"/>
    <w:rsid w:val="000C0358"/>
    <w:rsid w:val="000C17C5"/>
    <w:rsid w:val="000C2AA6"/>
    <w:rsid w:val="000C418B"/>
    <w:rsid w:val="000C5E57"/>
    <w:rsid w:val="000C6578"/>
    <w:rsid w:val="000D1898"/>
    <w:rsid w:val="000D2631"/>
    <w:rsid w:val="000D29E1"/>
    <w:rsid w:val="000E02FC"/>
    <w:rsid w:val="000E07C6"/>
    <w:rsid w:val="000E127A"/>
    <w:rsid w:val="000E41D5"/>
    <w:rsid w:val="000E54A0"/>
    <w:rsid w:val="000E6E96"/>
    <w:rsid w:val="000F0906"/>
    <w:rsid w:val="000F108C"/>
    <w:rsid w:val="000F3188"/>
    <w:rsid w:val="000F3282"/>
    <w:rsid w:val="000F3D46"/>
    <w:rsid w:val="000F3E7E"/>
    <w:rsid w:val="000F4146"/>
    <w:rsid w:val="000F4177"/>
    <w:rsid w:val="000F4C91"/>
    <w:rsid w:val="000F71A3"/>
    <w:rsid w:val="000F756B"/>
    <w:rsid w:val="000F7917"/>
    <w:rsid w:val="000F79CB"/>
    <w:rsid w:val="000F7BE8"/>
    <w:rsid w:val="0010005D"/>
    <w:rsid w:val="00100572"/>
    <w:rsid w:val="00103B89"/>
    <w:rsid w:val="001056D3"/>
    <w:rsid w:val="00107435"/>
    <w:rsid w:val="00110434"/>
    <w:rsid w:val="00110916"/>
    <w:rsid w:val="00111476"/>
    <w:rsid w:val="001118D4"/>
    <w:rsid w:val="00113D0A"/>
    <w:rsid w:val="00115075"/>
    <w:rsid w:val="001163D8"/>
    <w:rsid w:val="00117724"/>
    <w:rsid w:val="00120466"/>
    <w:rsid w:val="00123128"/>
    <w:rsid w:val="00124C33"/>
    <w:rsid w:val="00124FA8"/>
    <w:rsid w:val="0012536B"/>
    <w:rsid w:val="00126132"/>
    <w:rsid w:val="00126CF1"/>
    <w:rsid w:val="00130453"/>
    <w:rsid w:val="00131B13"/>
    <w:rsid w:val="00131CCB"/>
    <w:rsid w:val="00132364"/>
    <w:rsid w:val="001331D2"/>
    <w:rsid w:val="001342A5"/>
    <w:rsid w:val="00135227"/>
    <w:rsid w:val="0013632B"/>
    <w:rsid w:val="001364C3"/>
    <w:rsid w:val="001373F3"/>
    <w:rsid w:val="001376B5"/>
    <w:rsid w:val="001378C9"/>
    <w:rsid w:val="001401E4"/>
    <w:rsid w:val="001403FB"/>
    <w:rsid w:val="001409F2"/>
    <w:rsid w:val="00144530"/>
    <w:rsid w:val="001531FB"/>
    <w:rsid w:val="001532B2"/>
    <w:rsid w:val="001537D5"/>
    <w:rsid w:val="0015450A"/>
    <w:rsid w:val="00157A88"/>
    <w:rsid w:val="00157ACA"/>
    <w:rsid w:val="00161EAD"/>
    <w:rsid w:val="00163BEF"/>
    <w:rsid w:val="00166938"/>
    <w:rsid w:val="0016693E"/>
    <w:rsid w:val="00167109"/>
    <w:rsid w:val="0016783C"/>
    <w:rsid w:val="001708C3"/>
    <w:rsid w:val="00170AE1"/>
    <w:rsid w:val="00170FA3"/>
    <w:rsid w:val="0017176A"/>
    <w:rsid w:val="001717B5"/>
    <w:rsid w:val="001719D7"/>
    <w:rsid w:val="00172A27"/>
    <w:rsid w:val="00172A7E"/>
    <w:rsid w:val="00175E3A"/>
    <w:rsid w:val="00176924"/>
    <w:rsid w:val="00182CA9"/>
    <w:rsid w:val="00183ABB"/>
    <w:rsid w:val="0018625C"/>
    <w:rsid w:val="00186884"/>
    <w:rsid w:val="00187C84"/>
    <w:rsid w:val="0019156E"/>
    <w:rsid w:val="001918A1"/>
    <w:rsid w:val="00194451"/>
    <w:rsid w:val="001965DC"/>
    <w:rsid w:val="0019697C"/>
    <w:rsid w:val="00196E5D"/>
    <w:rsid w:val="001A02B0"/>
    <w:rsid w:val="001A1636"/>
    <w:rsid w:val="001A1BB5"/>
    <w:rsid w:val="001A1D5B"/>
    <w:rsid w:val="001A1EE2"/>
    <w:rsid w:val="001A2564"/>
    <w:rsid w:val="001A46D0"/>
    <w:rsid w:val="001A5D00"/>
    <w:rsid w:val="001A733E"/>
    <w:rsid w:val="001B3387"/>
    <w:rsid w:val="001B353D"/>
    <w:rsid w:val="001B4202"/>
    <w:rsid w:val="001B5626"/>
    <w:rsid w:val="001B598B"/>
    <w:rsid w:val="001B6072"/>
    <w:rsid w:val="001B7085"/>
    <w:rsid w:val="001B7B35"/>
    <w:rsid w:val="001C015C"/>
    <w:rsid w:val="001C050D"/>
    <w:rsid w:val="001C1715"/>
    <w:rsid w:val="001C219F"/>
    <w:rsid w:val="001C2389"/>
    <w:rsid w:val="001C2D34"/>
    <w:rsid w:val="001C397C"/>
    <w:rsid w:val="001C4B92"/>
    <w:rsid w:val="001C56BF"/>
    <w:rsid w:val="001C6195"/>
    <w:rsid w:val="001C6505"/>
    <w:rsid w:val="001C6FC8"/>
    <w:rsid w:val="001D14A1"/>
    <w:rsid w:val="001D17A7"/>
    <w:rsid w:val="001D292F"/>
    <w:rsid w:val="001D2CF7"/>
    <w:rsid w:val="001D2F63"/>
    <w:rsid w:val="001D3921"/>
    <w:rsid w:val="001D3B0B"/>
    <w:rsid w:val="001D6772"/>
    <w:rsid w:val="001D6C63"/>
    <w:rsid w:val="001D742A"/>
    <w:rsid w:val="001D79E1"/>
    <w:rsid w:val="001D7FC1"/>
    <w:rsid w:val="001E04F2"/>
    <w:rsid w:val="001E0A3F"/>
    <w:rsid w:val="001E1A46"/>
    <w:rsid w:val="001E25BA"/>
    <w:rsid w:val="001E25FA"/>
    <w:rsid w:val="001E2ED6"/>
    <w:rsid w:val="001E30AE"/>
    <w:rsid w:val="001E364B"/>
    <w:rsid w:val="001E45BE"/>
    <w:rsid w:val="001E5C93"/>
    <w:rsid w:val="001F6921"/>
    <w:rsid w:val="001F7D39"/>
    <w:rsid w:val="001F7ECB"/>
    <w:rsid w:val="00202D93"/>
    <w:rsid w:val="00202E2A"/>
    <w:rsid w:val="00203933"/>
    <w:rsid w:val="00204C09"/>
    <w:rsid w:val="00205148"/>
    <w:rsid w:val="002052BF"/>
    <w:rsid w:val="0020536F"/>
    <w:rsid w:val="002053E8"/>
    <w:rsid w:val="00205670"/>
    <w:rsid w:val="00205DC9"/>
    <w:rsid w:val="0020635B"/>
    <w:rsid w:val="002064E1"/>
    <w:rsid w:val="00207968"/>
    <w:rsid w:val="00207B50"/>
    <w:rsid w:val="00212022"/>
    <w:rsid w:val="00214228"/>
    <w:rsid w:val="0021493D"/>
    <w:rsid w:val="00214DD7"/>
    <w:rsid w:val="00214F54"/>
    <w:rsid w:val="002155C5"/>
    <w:rsid w:val="0021708F"/>
    <w:rsid w:val="002178F5"/>
    <w:rsid w:val="002228C6"/>
    <w:rsid w:val="002238AE"/>
    <w:rsid w:val="002238BD"/>
    <w:rsid w:val="002247B5"/>
    <w:rsid w:val="0022623B"/>
    <w:rsid w:val="0022658E"/>
    <w:rsid w:val="0022680B"/>
    <w:rsid w:val="0023012A"/>
    <w:rsid w:val="00231D21"/>
    <w:rsid w:val="0023225F"/>
    <w:rsid w:val="0023255F"/>
    <w:rsid w:val="00235797"/>
    <w:rsid w:val="0023589D"/>
    <w:rsid w:val="00235F2B"/>
    <w:rsid w:val="00236EE2"/>
    <w:rsid w:val="00237A15"/>
    <w:rsid w:val="00240733"/>
    <w:rsid w:val="00241D3A"/>
    <w:rsid w:val="002423AD"/>
    <w:rsid w:val="0024269B"/>
    <w:rsid w:val="00244532"/>
    <w:rsid w:val="00244845"/>
    <w:rsid w:val="00244B40"/>
    <w:rsid w:val="00246A36"/>
    <w:rsid w:val="00247523"/>
    <w:rsid w:val="002475F4"/>
    <w:rsid w:val="00247993"/>
    <w:rsid w:val="00247F59"/>
    <w:rsid w:val="0025043E"/>
    <w:rsid w:val="00250D5C"/>
    <w:rsid w:val="00252438"/>
    <w:rsid w:val="00253446"/>
    <w:rsid w:val="00254149"/>
    <w:rsid w:val="00254F6E"/>
    <w:rsid w:val="00255939"/>
    <w:rsid w:val="0025656F"/>
    <w:rsid w:val="002574D7"/>
    <w:rsid w:val="00257B22"/>
    <w:rsid w:val="00260E74"/>
    <w:rsid w:val="00262E83"/>
    <w:rsid w:val="002665E4"/>
    <w:rsid w:val="002673AF"/>
    <w:rsid w:val="00270437"/>
    <w:rsid w:val="0027067C"/>
    <w:rsid w:val="00270D09"/>
    <w:rsid w:val="00270FE1"/>
    <w:rsid w:val="00271ABB"/>
    <w:rsid w:val="0027281A"/>
    <w:rsid w:val="00272DEC"/>
    <w:rsid w:val="002759A2"/>
    <w:rsid w:val="00276204"/>
    <w:rsid w:val="00276C58"/>
    <w:rsid w:val="00280E45"/>
    <w:rsid w:val="002810F8"/>
    <w:rsid w:val="00282504"/>
    <w:rsid w:val="002828A5"/>
    <w:rsid w:val="00283767"/>
    <w:rsid w:val="002901A4"/>
    <w:rsid w:val="00290ACC"/>
    <w:rsid w:val="00290D50"/>
    <w:rsid w:val="00291105"/>
    <w:rsid w:val="002936B7"/>
    <w:rsid w:val="0029442F"/>
    <w:rsid w:val="0029595B"/>
    <w:rsid w:val="00295A34"/>
    <w:rsid w:val="00296501"/>
    <w:rsid w:val="00297034"/>
    <w:rsid w:val="002975BF"/>
    <w:rsid w:val="0029799B"/>
    <w:rsid w:val="002A0906"/>
    <w:rsid w:val="002A1CD2"/>
    <w:rsid w:val="002A2127"/>
    <w:rsid w:val="002A2B5C"/>
    <w:rsid w:val="002A2B93"/>
    <w:rsid w:val="002A3AE0"/>
    <w:rsid w:val="002A3AEF"/>
    <w:rsid w:val="002A4898"/>
    <w:rsid w:val="002A4F6F"/>
    <w:rsid w:val="002A5411"/>
    <w:rsid w:val="002A6206"/>
    <w:rsid w:val="002A6ED3"/>
    <w:rsid w:val="002B01D6"/>
    <w:rsid w:val="002B27A7"/>
    <w:rsid w:val="002B2CE9"/>
    <w:rsid w:val="002B2F3A"/>
    <w:rsid w:val="002B5E0D"/>
    <w:rsid w:val="002B6471"/>
    <w:rsid w:val="002B7A62"/>
    <w:rsid w:val="002C00FF"/>
    <w:rsid w:val="002C3D91"/>
    <w:rsid w:val="002C4340"/>
    <w:rsid w:val="002C4F66"/>
    <w:rsid w:val="002C5F65"/>
    <w:rsid w:val="002C61E4"/>
    <w:rsid w:val="002C65FF"/>
    <w:rsid w:val="002C75BE"/>
    <w:rsid w:val="002D065F"/>
    <w:rsid w:val="002D157C"/>
    <w:rsid w:val="002D2612"/>
    <w:rsid w:val="002D3A86"/>
    <w:rsid w:val="002D40BF"/>
    <w:rsid w:val="002D49C0"/>
    <w:rsid w:val="002D6B6F"/>
    <w:rsid w:val="002D7A77"/>
    <w:rsid w:val="002D7BE8"/>
    <w:rsid w:val="002E098C"/>
    <w:rsid w:val="002E3E40"/>
    <w:rsid w:val="002E474B"/>
    <w:rsid w:val="002E76EF"/>
    <w:rsid w:val="002E7E70"/>
    <w:rsid w:val="002F08C6"/>
    <w:rsid w:val="002F14E3"/>
    <w:rsid w:val="002F1E47"/>
    <w:rsid w:val="002F24F3"/>
    <w:rsid w:val="002F2754"/>
    <w:rsid w:val="002F27B6"/>
    <w:rsid w:val="002F2CD7"/>
    <w:rsid w:val="002F37CB"/>
    <w:rsid w:val="002F4ADA"/>
    <w:rsid w:val="002F5465"/>
    <w:rsid w:val="002F7AD0"/>
    <w:rsid w:val="002F7EF3"/>
    <w:rsid w:val="003012A4"/>
    <w:rsid w:val="0030169A"/>
    <w:rsid w:val="00303A7C"/>
    <w:rsid w:val="00306123"/>
    <w:rsid w:val="00307CF1"/>
    <w:rsid w:val="0031007D"/>
    <w:rsid w:val="003107DD"/>
    <w:rsid w:val="00311B9B"/>
    <w:rsid w:val="00311CDC"/>
    <w:rsid w:val="00311F97"/>
    <w:rsid w:val="0031279C"/>
    <w:rsid w:val="00313380"/>
    <w:rsid w:val="00313E93"/>
    <w:rsid w:val="003142BE"/>
    <w:rsid w:val="0031536A"/>
    <w:rsid w:val="003157D1"/>
    <w:rsid w:val="00317222"/>
    <w:rsid w:val="00321555"/>
    <w:rsid w:val="00322799"/>
    <w:rsid w:val="003241F1"/>
    <w:rsid w:val="00324984"/>
    <w:rsid w:val="00325EB2"/>
    <w:rsid w:val="00326A53"/>
    <w:rsid w:val="003301E5"/>
    <w:rsid w:val="00333BB7"/>
    <w:rsid w:val="00334800"/>
    <w:rsid w:val="00334CC7"/>
    <w:rsid w:val="003355B7"/>
    <w:rsid w:val="00336C72"/>
    <w:rsid w:val="0034044F"/>
    <w:rsid w:val="00343634"/>
    <w:rsid w:val="00343A1D"/>
    <w:rsid w:val="00343D9C"/>
    <w:rsid w:val="00344987"/>
    <w:rsid w:val="003459A8"/>
    <w:rsid w:val="003463EF"/>
    <w:rsid w:val="003465F0"/>
    <w:rsid w:val="00346AF1"/>
    <w:rsid w:val="00347CFE"/>
    <w:rsid w:val="0035121B"/>
    <w:rsid w:val="00352A69"/>
    <w:rsid w:val="00352D4E"/>
    <w:rsid w:val="00353D74"/>
    <w:rsid w:val="0035556C"/>
    <w:rsid w:val="0035574A"/>
    <w:rsid w:val="00356466"/>
    <w:rsid w:val="00360A1D"/>
    <w:rsid w:val="00360ACB"/>
    <w:rsid w:val="00361811"/>
    <w:rsid w:val="00363155"/>
    <w:rsid w:val="00363B02"/>
    <w:rsid w:val="003642B6"/>
    <w:rsid w:val="0036436D"/>
    <w:rsid w:val="003649C7"/>
    <w:rsid w:val="00365BD8"/>
    <w:rsid w:val="0036763F"/>
    <w:rsid w:val="003676C5"/>
    <w:rsid w:val="00370E66"/>
    <w:rsid w:val="0037102A"/>
    <w:rsid w:val="003716BF"/>
    <w:rsid w:val="00371760"/>
    <w:rsid w:val="00372E14"/>
    <w:rsid w:val="0037416F"/>
    <w:rsid w:val="003758BE"/>
    <w:rsid w:val="00376869"/>
    <w:rsid w:val="003768B2"/>
    <w:rsid w:val="003778E8"/>
    <w:rsid w:val="00380598"/>
    <w:rsid w:val="00380ED1"/>
    <w:rsid w:val="00381B01"/>
    <w:rsid w:val="00382317"/>
    <w:rsid w:val="003829D9"/>
    <w:rsid w:val="00383B17"/>
    <w:rsid w:val="00384A92"/>
    <w:rsid w:val="003854F3"/>
    <w:rsid w:val="00385956"/>
    <w:rsid w:val="00386518"/>
    <w:rsid w:val="00391A61"/>
    <w:rsid w:val="00397B1C"/>
    <w:rsid w:val="00397E86"/>
    <w:rsid w:val="003A01CC"/>
    <w:rsid w:val="003A027C"/>
    <w:rsid w:val="003A1388"/>
    <w:rsid w:val="003A1D20"/>
    <w:rsid w:val="003A258C"/>
    <w:rsid w:val="003A40E7"/>
    <w:rsid w:val="003A4472"/>
    <w:rsid w:val="003A5DC1"/>
    <w:rsid w:val="003A66AB"/>
    <w:rsid w:val="003A78B7"/>
    <w:rsid w:val="003B06A2"/>
    <w:rsid w:val="003B0EA2"/>
    <w:rsid w:val="003B13BE"/>
    <w:rsid w:val="003B5B12"/>
    <w:rsid w:val="003B5BD6"/>
    <w:rsid w:val="003B5D7B"/>
    <w:rsid w:val="003B5F19"/>
    <w:rsid w:val="003B6A79"/>
    <w:rsid w:val="003B72E5"/>
    <w:rsid w:val="003C0663"/>
    <w:rsid w:val="003C0E0B"/>
    <w:rsid w:val="003C1220"/>
    <w:rsid w:val="003C2C2C"/>
    <w:rsid w:val="003C5333"/>
    <w:rsid w:val="003C5626"/>
    <w:rsid w:val="003C6339"/>
    <w:rsid w:val="003C6B76"/>
    <w:rsid w:val="003C6D3A"/>
    <w:rsid w:val="003D3B92"/>
    <w:rsid w:val="003D4056"/>
    <w:rsid w:val="003D415D"/>
    <w:rsid w:val="003D46D1"/>
    <w:rsid w:val="003E1356"/>
    <w:rsid w:val="003E4925"/>
    <w:rsid w:val="003E58E5"/>
    <w:rsid w:val="003E7C9B"/>
    <w:rsid w:val="003E7D25"/>
    <w:rsid w:val="003F0417"/>
    <w:rsid w:val="003F1640"/>
    <w:rsid w:val="003F19AA"/>
    <w:rsid w:val="003F36ED"/>
    <w:rsid w:val="003F428A"/>
    <w:rsid w:val="003F5AB0"/>
    <w:rsid w:val="003F5BC2"/>
    <w:rsid w:val="003F6324"/>
    <w:rsid w:val="00400F91"/>
    <w:rsid w:val="004017C0"/>
    <w:rsid w:val="00402338"/>
    <w:rsid w:val="00403958"/>
    <w:rsid w:val="00405A9D"/>
    <w:rsid w:val="00406CCB"/>
    <w:rsid w:val="00406E3F"/>
    <w:rsid w:val="00406E48"/>
    <w:rsid w:val="004137F3"/>
    <w:rsid w:val="00415470"/>
    <w:rsid w:val="00416388"/>
    <w:rsid w:val="00417D4F"/>
    <w:rsid w:val="00420D65"/>
    <w:rsid w:val="004223F4"/>
    <w:rsid w:val="004224DB"/>
    <w:rsid w:val="004255BE"/>
    <w:rsid w:val="00427087"/>
    <w:rsid w:val="004300B5"/>
    <w:rsid w:val="0043103D"/>
    <w:rsid w:val="00431912"/>
    <w:rsid w:val="0043292C"/>
    <w:rsid w:val="004342C9"/>
    <w:rsid w:val="00435B06"/>
    <w:rsid w:val="00436A49"/>
    <w:rsid w:val="00436DE1"/>
    <w:rsid w:val="00437DC4"/>
    <w:rsid w:val="00440412"/>
    <w:rsid w:val="00443674"/>
    <w:rsid w:val="00443769"/>
    <w:rsid w:val="00443935"/>
    <w:rsid w:val="00443A1B"/>
    <w:rsid w:val="004442B3"/>
    <w:rsid w:val="00444A73"/>
    <w:rsid w:val="00445986"/>
    <w:rsid w:val="00446613"/>
    <w:rsid w:val="0044662E"/>
    <w:rsid w:val="00447654"/>
    <w:rsid w:val="004476BD"/>
    <w:rsid w:val="004476E6"/>
    <w:rsid w:val="004513F9"/>
    <w:rsid w:val="0045181F"/>
    <w:rsid w:val="004529F7"/>
    <w:rsid w:val="00452F36"/>
    <w:rsid w:val="00453130"/>
    <w:rsid w:val="0045394E"/>
    <w:rsid w:val="00453C73"/>
    <w:rsid w:val="00454B5D"/>
    <w:rsid w:val="00455807"/>
    <w:rsid w:val="00455B44"/>
    <w:rsid w:val="00456FA3"/>
    <w:rsid w:val="0045754E"/>
    <w:rsid w:val="0046086D"/>
    <w:rsid w:val="004624DE"/>
    <w:rsid w:val="00462CC5"/>
    <w:rsid w:val="00463EAE"/>
    <w:rsid w:val="004640E1"/>
    <w:rsid w:val="00464491"/>
    <w:rsid w:val="00465DE3"/>
    <w:rsid w:val="004719E1"/>
    <w:rsid w:val="0047305B"/>
    <w:rsid w:val="004755C3"/>
    <w:rsid w:val="00475A0F"/>
    <w:rsid w:val="004766C8"/>
    <w:rsid w:val="004771A7"/>
    <w:rsid w:val="00477DF1"/>
    <w:rsid w:val="004805E1"/>
    <w:rsid w:val="0048194E"/>
    <w:rsid w:val="00481A4B"/>
    <w:rsid w:val="004852F8"/>
    <w:rsid w:val="004864A7"/>
    <w:rsid w:val="00486D4E"/>
    <w:rsid w:val="00492B91"/>
    <w:rsid w:val="0049352F"/>
    <w:rsid w:val="00493D28"/>
    <w:rsid w:val="00495099"/>
    <w:rsid w:val="004964CB"/>
    <w:rsid w:val="004A1557"/>
    <w:rsid w:val="004A40B9"/>
    <w:rsid w:val="004A465C"/>
    <w:rsid w:val="004A6204"/>
    <w:rsid w:val="004A73CD"/>
    <w:rsid w:val="004A791C"/>
    <w:rsid w:val="004B0C70"/>
    <w:rsid w:val="004B0EC4"/>
    <w:rsid w:val="004B10CD"/>
    <w:rsid w:val="004B2765"/>
    <w:rsid w:val="004B2A37"/>
    <w:rsid w:val="004B30E9"/>
    <w:rsid w:val="004B3309"/>
    <w:rsid w:val="004B362E"/>
    <w:rsid w:val="004B43B7"/>
    <w:rsid w:val="004B4A53"/>
    <w:rsid w:val="004B6984"/>
    <w:rsid w:val="004B6E50"/>
    <w:rsid w:val="004C01CB"/>
    <w:rsid w:val="004C05F2"/>
    <w:rsid w:val="004C0640"/>
    <w:rsid w:val="004C223F"/>
    <w:rsid w:val="004C2689"/>
    <w:rsid w:val="004C2B0F"/>
    <w:rsid w:val="004C36AB"/>
    <w:rsid w:val="004C407E"/>
    <w:rsid w:val="004C4AB1"/>
    <w:rsid w:val="004C7A15"/>
    <w:rsid w:val="004D11B7"/>
    <w:rsid w:val="004D3F97"/>
    <w:rsid w:val="004D52E2"/>
    <w:rsid w:val="004D55CE"/>
    <w:rsid w:val="004D57A0"/>
    <w:rsid w:val="004D5F81"/>
    <w:rsid w:val="004D61D0"/>
    <w:rsid w:val="004D69B9"/>
    <w:rsid w:val="004E0448"/>
    <w:rsid w:val="004E0791"/>
    <w:rsid w:val="004E0DB8"/>
    <w:rsid w:val="004E1C15"/>
    <w:rsid w:val="004E44CC"/>
    <w:rsid w:val="004E5CA5"/>
    <w:rsid w:val="004E605F"/>
    <w:rsid w:val="004E635C"/>
    <w:rsid w:val="004E640D"/>
    <w:rsid w:val="004E7D70"/>
    <w:rsid w:val="004F0E19"/>
    <w:rsid w:val="004F345D"/>
    <w:rsid w:val="004F354D"/>
    <w:rsid w:val="004F6977"/>
    <w:rsid w:val="004F6FFC"/>
    <w:rsid w:val="004F7B32"/>
    <w:rsid w:val="00501FA2"/>
    <w:rsid w:val="005034FC"/>
    <w:rsid w:val="00503F67"/>
    <w:rsid w:val="005045FB"/>
    <w:rsid w:val="00504C77"/>
    <w:rsid w:val="005055E2"/>
    <w:rsid w:val="005106D5"/>
    <w:rsid w:val="00510994"/>
    <w:rsid w:val="005112F3"/>
    <w:rsid w:val="005126E8"/>
    <w:rsid w:val="0051591D"/>
    <w:rsid w:val="005171DA"/>
    <w:rsid w:val="00517BF1"/>
    <w:rsid w:val="00520645"/>
    <w:rsid w:val="00520920"/>
    <w:rsid w:val="0052107B"/>
    <w:rsid w:val="00521372"/>
    <w:rsid w:val="00523184"/>
    <w:rsid w:val="0052357A"/>
    <w:rsid w:val="00523AEC"/>
    <w:rsid w:val="005271C7"/>
    <w:rsid w:val="005272E0"/>
    <w:rsid w:val="00530CE7"/>
    <w:rsid w:val="005316A8"/>
    <w:rsid w:val="00531DBF"/>
    <w:rsid w:val="00535C65"/>
    <w:rsid w:val="00535F30"/>
    <w:rsid w:val="00536DF1"/>
    <w:rsid w:val="00540CA8"/>
    <w:rsid w:val="00540FEC"/>
    <w:rsid w:val="005414D6"/>
    <w:rsid w:val="00541F83"/>
    <w:rsid w:val="005430C7"/>
    <w:rsid w:val="00543809"/>
    <w:rsid w:val="00543CB6"/>
    <w:rsid w:val="005446B0"/>
    <w:rsid w:val="005465AC"/>
    <w:rsid w:val="0054687E"/>
    <w:rsid w:val="0054690E"/>
    <w:rsid w:val="00546B8F"/>
    <w:rsid w:val="005475A9"/>
    <w:rsid w:val="00547E4F"/>
    <w:rsid w:val="00550074"/>
    <w:rsid w:val="00551DFC"/>
    <w:rsid w:val="0055211A"/>
    <w:rsid w:val="00552F55"/>
    <w:rsid w:val="0055455F"/>
    <w:rsid w:val="00555BCD"/>
    <w:rsid w:val="0055651F"/>
    <w:rsid w:val="005605F8"/>
    <w:rsid w:val="005633D7"/>
    <w:rsid w:val="0056343B"/>
    <w:rsid w:val="00563DD5"/>
    <w:rsid w:val="00564D8E"/>
    <w:rsid w:val="005650C2"/>
    <w:rsid w:val="00565484"/>
    <w:rsid w:val="00565A8C"/>
    <w:rsid w:val="00565EF8"/>
    <w:rsid w:val="00567E79"/>
    <w:rsid w:val="0057067F"/>
    <w:rsid w:val="005727B7"/>
    <w:rsid w:val="00574068"/>
    <w:rsid w:val="00574682"/>
    <w:rsid w:val="0057682D"/>
    <w:rsid w:val="005807B2"/>
    <w:rsid w:val="00580954"/>
    <w:rsid w:val="00581DAF"/>
    <w:rsid w:val="00582FCA"/>
    <w:rsid w:val="00583A5C"/>
    <w:rsid w:val="00584238"/>
    <w:rsid w:val="005850D6"/>
    <w:rsid w:val="0058565E"/>
    <w:rsid w:val="0058643C"/>
    <w:rsid w:val="00586EDA"/>
    <w:rsid w:val="005927CD"/>
    <w:rsid w:val="00592F0D"/>
    <w:rsid w:val="0059343A"/>
    <w:rsid w:val="005946B8"/>
    <w:rsid w:val="00595F94"/>
    <w:rsid w:val="005964EC"/>
    <w:rsid w:val="00596E98"/>
    <w:rsid w:val="005971FD"/>
    <w:rsid w:val="0059746C"/>
    <w:rsid w:val="005A02C5"/>
    <w:rsid w:val="005A0661"/>
    <w:rsid w:val="005A09C1"/>
    <w:rsid w:val="005A129B"/>
    <w:rsid w:val="005A1DA9"/>
    <w:rsid w:val="005A1FDF"/>
    <w:rsid w:val="005A4F1F"/>
    <w:rsid w:val="005A6732"/>
    <w:rsid w:val="005A6BD9"/>
    <w:rsid w:val="005A6F0F"/>
    <w:rsid w:val="005A7BEE"/>
    <w:rsid w:val="005B0458"/>
    <w:rsid w:val="005B143F"/>
    <w:rsid w:val="005B1DF6"/>
    <w:rsid w:val="005B213E"/>
    <w:rsid w:val="005B216A"/>
    <w:rsid w:val="005B267A"/>
    <w:rsid w:val="005B4161"/>
    <w:rsid w:val="005B49EB"/>
    <w:rsid w:val="005B7FA4"/>
    <w:rsid w:val="005C3296"/>
    <w:rsid w:val="005C528B"/>
    <w:rsid w:val="005C70CC"/>
    <w:rsid w:val="005D2CB5"/>
    <w:rsid w:val="005D37A8"/>
    <w:rsid w:val="005D386F"/>
    <w:rsid w:val="005D3969"/>
    <w:rsid w:val="005D52D0"/>
    <w:rsid w:val="005D72C1"/>
    <w:rsid w:val="005E1AFA"/>
    <w:rsid w:val="005E4813"/>
    <w:rsid w:val="005E50E0"/>
    <w:rsid w:val="005E6670"/>
    <w:rsid w:val="005E6E82"/>
    <w:rsid w:val="005E7321"/>
    <w:rsid w:val="005E7DDA"/>
    <w:rsid w:val="005F1051"/>
    <w:rsid w:val="005F3821"/>
    <w:rsid w:val="005F6167"/>
    <w:rsid w:val="00601855"/>
    <w:rsid w:val="006026FD"/>
    <w:rsid w:val="006031DC"/>
    <w:rsid w:val="00604425"/>
    <w:rsid w:val="0060535C"/>
    <w:rsid w:val="0060542A"/>
    <w:rsid w:val="006061C8"/>
    <w:rsid w:val="00607010"/>
    <w:rsid w:val="00607538"/>
    <w:rsid w:val="006102B7"/>
    <w:rsid w:val="00613D71"/>
    <w:rsid w:val="00613E2E"/>
    <w:rsid w:val="0061459D"/>
    <w:rsid w:val="00614EEC"/>
    <w:rsid w:val="00620242"/>
    <w:rsid w:val="006243E7"/>
    <w:rsid w:val="006254F3"/>
    <w:rsid w:val="00625C51"/>
    <w:rsid w:val="00625F00"/>
    <w:rsid w:val="006266EB"/>
    <w:rsid w:val="00627144"/>
    <w:rsid w:val="00627321"/>
    <w:rsid w:val="006313EC"/>
    <w:rsid w:val="006326CB"/>
    <w:rsid w:val="00633421"/>
    <w:rsid w:val="0063507E"/>
    <w:rsid w:val="00635319"/>
    <w:rsid w:val="0063697C"/>
    <w:rsid w:val="006369CC"/>
    <w:rsid w:val="006373F4"/>
    <w:rsid w:val="006374EF"/>
    <w:rsid w:val="00640E45"/>
    <w:rsid w:val="006428C7"/>
    <w:rsid w:val="00643275"/>
    <w:rsid w:val="00643E16"/>
    <w:rsid w:val="00644E3A"/>
    <w:rsid w:val="00645391"/>
    <w:rsid w:val="00646631"/>
    <w:rsid w:val="00646F06"/>
    <w:rsid w:val="00647F26"/>
    <w:rsid w:val="00651697"/>
    <w:rsid w:val="00652737"/>
    <w:rsid w:val="006536D6"/>
    <w:rsid w:val="00654653"/>
    <w:rsid w:val="006555AD"/>
    <w:rsid w:val="006560FF"/>
    <w:rsid w:val="00657274"/>
    <w:rsid w:val="006572B9"/>
    <w:rsid w:val="00657569"/>
    <w:rsid w:val="00661118"/>
    <w:rsid w:val="00662875"/>
    <w:rsid w:val="00662D4D"/>
    <w:rsid w:val="00663399"/>
    <w:rsid w:val="00663870"/>
    <w:rsid w:val="00663C71"/>
    <w:rsid w:val="006640F9"/>
    <w:rsid w:val="006641C6"/>
    <w:rsid w:val="006647CF"/>
    <w:rsid w:val="00664E25"/>
    <w:rsid w:val="006656A2"/>
    <w:rsid w:val="00665738"/>
    <w:rsid w:val="00666247"/>
    <w:rsid w:val="006679EB"/>
    <w:rsid w:val="00671DEE"/>
    <w:rsid w:val="00672A26"/>
    <w:rsid w:val="00674C5F"/>
    <w:rsid w:val="00674F5E"/>
    <w:rsid w:val="00675866"/>
    <w:rsid w:val="006763B3"/>
    <w:rsid w:val="006765BB"/>
    <w:rsid w:val="006778A5"/>
    <w:rsid w:val="00677A19"/>
    <w:rsid w:val="00680491"/>
    <w:rsid w:val="00682F0F"/>
    <w:rsid w:val="006830A1"/>
    <w:rsid w:val="00683222"/>
    <w:rsid w:val="00683387"/>
    <w:rsid w:val="00683A91"/>
    <w:rsid w:val="00685AE6"/>
    <w:rsid w:val="00686A7A"/>
    <w:rsid w:val="00686F46"/>
    <w:rsid w:val="00687B51"/>
    <w:rsid w:val="006900BC"/>
    <w:rsid w:val="00690721"/>
    <w:rsid w:val="006907CD"/>
    <w:rsid w:val="00690B47"/>
    <w:rsid w:val="00692DDF"/>
    <w:rsid w:val="0069376A"/>
    <w:rsid w:val="00694BF0"/>
    <w:rsid w:val="00696ED6"/>
    <w:rsid w:val="00697CAF"/>
    <w:rsid w:val="006A0AD6"/>
    <w:rsid w:val="006A14CE"/>
    <w:rsid w:val="006A1725"/>
    <w:rsid w:val="006A5EAE"/>
    <w:rsid w:val="006A76FE"/>
    <w:rsid w:val="006B2C08"/>
    <w:rsid w:val="006B46DC"/>
    <w:rsid w:val="006B666A"/>
    <w:rsid w:val="006B755E"/>
    <w:rsid w:val="006B7F89"/>
    <w:rsid w:val="006C0C8E"/>
    <w:rsid w:val="006C28A0"/>
    <w:rsid w:val="006C3846"/>
    <w:rsid w:val="006C4725"/>
    <w:rsid w:val="006D1FA6"/>
    <w:rsid w:val="006D21F0"/>
    <w:rsid w:val="006D2952"/>
    <w:rsid w:val="006D3181"/>
    <w:rsid w:val="006D3EDC"/>
    <w:rsid w:val="006D4845"/>
    <w:rsid w:val="006D5CDB"/>
    <w:rsid w:val="006D6ADF"/>
    <w:rsid w:val="006D6BD7"/>
    <w:rsid w:val="006D7839"/>
    <w:rsid w:val="006D7A9C"/>
    <w:rsid w:val="006E02B1"/>
    <w:rsid w:val="006E0414"/>
    <w:rsid w:val="006E06C4"/>
    <w:rsid w:val="006E157D"/>
    <w:rsid w:val="006E1651"/>
    <w:rsid w:val="006E2C2F"/>
    <w:rsid w:val="006E34FF"/>
    <w:rsid w:val="006E4279"/>
    <w:rsid w:val="006E519C"/>
    <w:rsid w:val="006E6DDB"/>
    <w:rsid w:val="006F0AC4"/>
    <w:rsid w:val="006F2128"/>
    <w:rsid w:val="006F2CEE"/>
    <w:rsid w:val="006F4297"/>
    <w:rsid w:val="006F49AD"/>
    <w:rsid w:val="006F5195"/>
    <w:rsid w:val="006F5D2A"/>
    <w:rsid w:val="006F61C3"/>
    <w:rsid w:val="006F730A"/>
    <w:rsid w:val="006F7546"/>
    <w:rsid w:val="00700086"/>
    <w:rsid w:val="00700495"/>
    <w:rsid w:val="00701907"/>
    <w:rsid w:val="0070375B"/>
    <w:rsid w:val="00704686"/>
    <w:rsid w:val="007064D1"/>
    <w:rsid w:val="00706C75"/>
    <w:rsid w:val="0070724C"/>
    <w:rsid w:val="00707EEA"/>
    <w:rsid w:val="007106FF"/>
    <w:rsid w:val="00710932"/>
    <w:rsid w:val="00711C46"/>
    <w:rsid w:val="007125F4"/>
    <w:rsid w:val="00714BDB"/>
    <w:rsid w:val="00714E63"/>
    <w:rsid w:val="0071751C"/>
    <w:rsid w:val="00725BFA"/>
    <w:rsid w:val="00726131"/>
    <w:rsid w:val="007269A4"/>
    <w:rsid w:val="007324B5"/>
    <w:rsid w:val="00732632"/>
    <w:rsid w:val="00732BD2"/>
    <w:rsid w:val="00733AA3"/>
    <w:rsid w:val="00733D68"/>
    <w:rsid w:val="00733E60"/>
    <w:rsid w:val="00734BF0"/>
    <w:rsid w:val="00734F8E"/>
    <w:rsid w:val="007358D4"/>
    <w:rsid w:val="00737B33"/>
    <w:rsid w:val="00737D3F"/>
    <w:rsid w:val="0074025C"/>
    <w:rsid w:val="00742808"/>
    <w:rsid w:val="0074297D"/>
    <w:rsid w:val="00743951"/>
    <w:rsid w:val="0074407F"/>
    <w:rsid w:val="007453C6"/>
    <w:rsid w:val="00745C40"/>
    <w:rsid w:val="00746653"/>
    <w:rsid w:val="00750CFD"/>
    <w:rsid w:val="00753442"/>
    <w:rsid w:val="00754000"/>
    <w:rsid w:val="0075586C"/>
    <w:rsid w:val="00755E2D"/>
    <w:rsid w:val="007561EF"/>
    <w:rsid w:val="0075646B"/>
    <w:rsid w:val="00756AAD"/>
    <w:rsid w:val="00757C0C"/>
    <w:rsid w:val="00760447"/>
    <w:rsid w:val="00760C76"/>
    <w:rsid w:val="0076115B"/>
    <w:rsid w:val="007623A6"/>
    <w:rsid w:val="00763124"/>
    <w:rsid w:val="007644D4"/>
    <w:rsid w:val="00767933"/>
    <w:rsid w:val="00767B57"/>
    <w:rsid w:val="00767E50"/>
    <w:rsid w:val="00771BDB"/>
    <w:rsid w:val="00771D79"/>
    <w:rsid w:val="007738F5"/>
    <w:rsid w:val="00774DD6"/>
    <w:rsid w:val="007806EF"/>
    <w:rsid w:val="007830DD"/>
    <w:rsid w:val="0078362F"/>
    <w:rsid w:val="0078437C"/>
    <w:rsid w:val="00784AE6"/>
    <w:rsid w:val="00784CA4"/>
    <w:rsid w:val="00784D51"/>
    <w:rsid w:val="0078521D"/>
    <w:rsid w:val="00787769"/>
    <w:rsid w:val="00794040"/>
    <w:rsid w:val="0079507F"/>
    <w:rsid w:val="007957AB"/>
    <w:rsid w:val="00797162"/>
    <w:rsid w:val="007A030A"/>
    <w:rsid w:val="007A0608"/>
    <w:rsid w:val="007A2172"/>
    <w:rsid w:val="007A2C51"/>
    <w:rsid w:val="007A2E2A"/>
    <w:rsid w:val="007A31E6"/>
    <w:rsid w:val="007A3201"/>
    <w:rsid w:val="007A4951"/>
    <w:rsid w:val="007A69E3"/>
    <w:rsid w:val="007A7D92"/>
    <w:rsid w:val="007B1D8C"/>
    <w:rsid w:val="007B2424"/>
    <w:rsid w:val="007B39B5"/>
    <w:rsid w:val="007B44B7"/>
    <w:rsid w:val="007B76CF"/>
    <w:rsid w:val="007C06DB"/>
    <w:rsid w:val="007C07F2"/>
    <w:rsid w:val="007C442F"/>
    <w:rsid w:val="007C7F1C"/>
    <w:rsid w:val="007D19D1"/>
    <w:rsid w:val="007D26D0"/>
    <w:rsid w:val="007D2F6E"/>
    <w:rsid w:val="007D31FD"/>
    <w:rsid w:val="007D4096"/>
    <w:rsid w:val="007D502C"/>
    <w:rsid w:val="007D5FE6"/>
    <w:rsid w:val="007D71B9"/>
    <w:rsid w:val="007D79F3"/>
    <w:rsid w:val="007E03DA"/>
    <w:rsid w:val="007E21C1"/>
    <w:rsid w:val="007E37B6"/>
    <w:rsid w:val="007E7CC7"/>
    <w:rsid w:val="007F0892"/>
    <w:rsid w:val="007F12B7"/>
    <w:rsid w:val="007F1AEC"/>
    <w:rsid w:val="007F1EC8"/>
    <w:rsid w:val="007F25A9"/>
    <w:rsid w:val="007F33A7"/>
    <w:rsid w:val="007F40D3"/>
    <w:rsid w:val="007F539D"/>
    <w:rsid w:val="007F5717"/>
    <w:rsid w:val="00800944"/>
    <w:rsid w:val="00801036"/>
    <w:rsid w:val="00801575"/>
    <w:rsid w:val="00804AE3"/>
    <w:rsid w:val="00804F81"/>
    <w:rsid w:val="00805975"/>
    <w:rsid w:val="00807AA6"/>
    <w:rsid w:val="00810FF6"/>
    <w:rsid w:val="0081368C"/>
    <w:rsid w:val="00813D5B"/>
    <w:rsid w:val="008147EC"/>
    <w:rsid w:val="00815D71"/>
    <w:rsid w:val="008164DC"/>
    <w:rsid w:val="00820836"/>
    <w:rsid w:val="008231BA"/>
    <w:rsid w:val="00824E2B"/>
    <w:rsid w:val="00826424"/>
    <w:rsid w:val="008264F8"/>
    <w:rsid w:val="00826980"/>
    <w:rsid w:val="008306DE"/>
    <w:rsid w:val="008313B2"/>
    <w:rsid w:val="00832B98"/>
    <w:rsid w:val="00835309"/>
    <w:rsid w:val="00837F0A"/>
    <w:rsid w:val="00840112"/>
    <w:rsid w:val="00840199"/>
    <w:rsid w:val="008405A7"/>
    <w:rsid w:val="00842423"/>
    <w:rsid w:val="00843DEE"/>
    <w:rsid w:val="00845419"/>
    <w:rsid w:val="00846055"/>
    <w:rsid w:val="00847405"/>
    <w:rsid w:val="00850132"/>
    <w:rsid w:val="00853B1B"/>
    <w:rsid w:val="00855A00"/>
    <w:rsid w:val="00856495"/>
    <w:rsid w:val="008567C2"/>
    <w:rsid w:val="0085721D"/>
    <w:rsid w:val="008577D4"/>
    <w:rsid w:val="0086059E"/>
    <w:rsid w:val="00860DDC"/>
    <w:rsid w:val="00861729"/>
    <w:rsid w:val="00862065"/>
    <w:rsid w:val="00863DB6"/>
    <w:rsid w:val="00863FD0"/>
    <w:rsid w:val="008644A7"/>
    <w:rsid w:val="008657F9"/>
    <w:rsid w:val="00865B14"/>
    <w:rsid w:val="00866479"/>
    <w:rsid w:val="00871682"/>
    <w:rsid w:val="00871EF8"/>
    <w:rsid w:val="008720D8"/>
    <w:rsid w:val="008725D8"/>
    <w:rsid w:val="0087367F"/>
    <w:rsid w:val="00873A06"/>
    <w:rsid w:val="00874D70"/>
    <w:rsid w:val="00875555"/>
    <w:rsid w:val="00880915"/>
    <w:rsid w:val="00883E6C"/>
    <w:rsid w:val="00884D98"/>
    <w:rsid w:val="00885AD4"/>
    <w:rsid w:val="008862B5"/>
    <w:rsid w:val="0088721E"/>
    <w:rsid w:val="0088740B"/>
    <w:rsid w:val="00887544"/>
    <w:rsid w:val="0089060D"/>
    <w:rsid w:val="008908F5"/>
    <w:rsid w:val="00890A4C"/>
    <w:rsid w:val="00890DDA"/>
    <w:rsid w:val="00891513"/>
    <w:rsid w:val="00891914"/>
    <w:rsid w:val="008945FD"/>
    <w:rsid w:val="008951AC"/>
    <w:rsid w:val="008961B7"/>
    <w:rsid w:val="0089654C"/>
    <w:rsid w:val="0089677E"/>
    <w:rsid w:val="008978CC"/>
    <w:rsid w:val="008A1673"/>
    <w:rsid w:val="008A1F71"/>
    <w:rsid w:val="008A226B"/>
    <w:rsid w:val="008A694E"/>
    <w:rsid w:val="008A727D"/>
    <w:rsid w:val="008B128F"/>
    <w:rsid w:val="008B354A"/>
    <w:rsid w:val="008B5987"/>
    <w:rsid w:val="008B660A"/>
    <w:rsid w:val="008B6B10"/>
    <w:rsid w:val="008B7800"/>
    <w:rsid w:val="008C2E65"/>
    <w:rsid w:val="008C34DE"/>
    <w:rsid w:val="008C37C8"/>
    <w:rsid w:val="008C4DFD"/>
    <w:rsid w:val="008C5BD8"/>
    <w:rsid w:val="008C5C8C"/>
    <w:rsid w:val="008D0BF5"/>
    <w:rsid w:val="008D114B"/>
    <w:rsid w:val="008D34FE"/>
    <w:rsid w:val="008D4E68"/>
    <w:rsid w:val="008D52D6"/>
    <w:rsid w:val="008D6987"/>
    <w:rsid w:val="008D7DDB"/>
    <w:rsid w:val="008E08F8"/>
    <w:rsid w:val="008E1F19"/>
    <w:rsid w:val="008E352A"/>
    <w:rsid w:val="008E5912"/>
    <w:rsid w:val="008E6577"/>
    <w:rsid w:val="008F075C"/>
    <w:rsid w:val="008F0AF1"/>
    <w:rsid w:val="008F0B32"/>
    <w:rsid w:val="008F11E2"/>
    <w:rsid w:val="008F3660"/>
    <w:rsid w:val="008F3F09"/>
    <w:rsid w:val="008F436E"/>
    <w:rsid w:val="008F616E"/>
    <w:rsid w:val="008F7B87"/>
    <w:rsid w:val="00901F97"/>
    <w:rsid w:val="009025A6"/>
    <w:rsid w:val="009027DA"/>
    <w:rsid w:val="00902C55"/>
    <w:rsid w:val="00903F45"/>
    <w:rsid w:val="00904F5A"/>
    <w:rsid w:val="00906098"/>
    <w:rsid w:val="00907206"/>
    <w:rsid w:val="00907611"/>
    <w:rsid w:val="00910189"/>
    <w:rsid w:val="00910BF0"/>
    <w:rsid w:val="00911C69"/>
    <w:rsid w:val="009121CD"/>
    <w:rsid w:val="009129DD"/>
    <w:rsid w:val="00912DEC"/>
    <w:rsid w:val="0091364C"/>
    <w:rsid w:val="009149A9"/>
    <w:rsid w:val="00914C6C"/>
    <w:rsid w:val="009152A2"/>
    <w:rsid w:val="00915D80"/>
    <w:rsid w:val="0092040D"/>
    <w:rsid w:val="009205BD"/>
    <w:rsid w:val="00924E28"/>
    <w:rsid w:val="00925384"/>
    <w:rsid w:val="00926ACD"/>
    <w:rsid w:val="00926F34"/>
    <w:rsid w:val="009301F1"/>
    <w:rsid w:val="00930D8F"/>
    <w:rsid w:val="00933311"/>
    <w:rsid w:val="00934A69"/>
    <w:rsid w:val="00935197"/>
    <w:rsid w:val="009356A4"/>
    <w:rsid w:val="00935C70"/>
    <w:rsid w:val="00936722"/>
    <w:rsid w:val="009376A3"/>
    <w:rsid w:val="00937A0D"/>
    <w:rsid w:val="009405F0"/>
    <w:rsid w:val="00940F46"/>
    <w:rsid w:val="00943BBF"/>
    <w:rsid w:val="009451C2"/>
    <w:rsid w:val="009468FC"/>
    <w:rsid w:val="0095018E"/>
    <w:rsid w:val="00950C28"/>
    <w:rsid w:val="009528C3"/>
    <w:rsid w:val="009528ED"/>
    <w:rsid w:val="00952920"/>
    <w:rsid w:val="00954212"/>
    <w:rsid w:val="009546D8"/>
    <w:rsid w:val="009548FE"/>
    <w:rsid w:val="00954B36"/>
    <w:rsid w:val="009558F0"/>
    <w:rsid w:val="00962BA0"/>
    <w:rsid w:val="009632D7"/>
    <w:rsid w:val="00963962"/>
    <w:rsid w:val="00964509"/>
    <w:rsid w:val="00965A62"/>
    <w:rsid w:val="00965A8D"/>
    <w:rsid w:val="00966C54"/>
    <w:rsid w:val="0096780D"/>
    <w:rsid w:val="009678FD"/>
    <w:rsid w:val="0097123A"/>
    <w:rsid w:val="00972789"/>
    <w:rsid w:val="00972CB3"/>
    <w:rsid w:val="0097416F"/>
    <w:rsid w:val="00974326"/>
    <w:rsid w:val="0097541B"/>
    <w:rsid w:val="00975828"/>
    <w:rsid w:val="00975DA4"/>
    <w:rsid w:val="009761A6"/>
    <w:rsid w:val="0097649D"/>
    <w:rsid w:val="00977987"/>
    <w:rsid w:val="00983B47"/>
    <w:rsid w:val="00984598"/>
    <w:rsid w:val="00984F86"/>
    <w:rsid w:val="009853EE"/>
    <w:rsid w:val="00985855"/>
    <w:rsid w:val="00987D47"/>
    <w:rsid w:val="00990D29"/>
    <w:rsid w:val="009916C7"/>
    <w:rsid w:val="00991914"/>
    <w:rsid w:val="00992DFF"/>
    <w:rsid w:val="0099428E"/>
    <w:rsid w:val="009943EA"/>
    <w:rsid w:val="009944E0"/>
    <w:rsid w:val="00994E8C"/>
    <w:rsid w:val="0099567E"/>
    <w:rsid w:val="00995CE5"/>
    <w:rsid w:val="009969FD"/>
    <w:rsid w:val="009A1C67"/>
    <w:rsid w:val="009A23E0"/>
    <w:rsid w:val="009A32F5"/>
    <w:rsid w:val="009A42A8"/>
    <w:rsid w:val="009A4397"/>
    <w:rsid w:val="009A5462"/>
    <w:rsid w:val="009A58EC"/>
    <w:rsid w:val="009A59B0"/>
    <w:rsid w:val="009A5BBB"/>
    <w:rsid w:val="009A6073"/>
    <w:rsid w:val="009A70D7"/>
    <w:rsid w:val="009A7DF7"/>
    <w:rsid w:val="009B09C6"/>
    <w:rsid w:val="009B1ACA"/>
    <w:rsid w:val="009B4A2A"/>
    <w:rsid w:val="009B5B0A"/>
    <w:rsid w:val="009B717A"/>
    <w:rsid w:val="009C0A02"/>
    <w:rsid w:val="009C0FC8"/>
    <w:rsid w:val="009C149E"/>
    <w:rsid w:val="009C2256"/>
    <w:rsid w:val="009C3479"/>
    <w:rsid w:val="009C3782"/>
    <w:rsid w:val="009C3E2A"/>
    <w:rsid w:val="009C4B02"/>
    <w:rsid w:val="009C53AF"/>
    <w:rsid w:val="009C5A69"/>
    <w:rsid w:val="009D0BFE"/>
    <w:rsid w:val="009D182C"/>
    <w:rsid w:val="009D41CA"/>
    <w:rsid w:val="009D46BE"/>
    <w:rsid w:val="009D4ED5"/>
    <w:rsid w:val="009D5001"/>
    <w:rsid w:val="009D5869"/>
    <w:rsid w:val="009D6688"/>
    <w:rsid w:val="009D6EF9"/>
    <w:rsid w:val="009E26B9"/>
    <w:rsid w:val="009E3502"/>
    <w:rsid w:val="009E35FF"/>
    <w:rsid w:val="009E3B58"/>
    <w:rsid w:val="009E40DD"/>
    <w:rsid w:val="009E437B"/>
    <w:rsid w:val="009E45C9"/>
    <w:rsid w:val="009E56B5"/>
    <w:rsid w:val="009E56F4"/>
    <w:rsid w:val="009E662A"/>
    <w:rsid w:val="009E6BFC"/>
    <w:rsid w:val="009E74C5"/>
    <w:rsid w:val="009E776F"/>
    <w:rsid w:val="009F0DB1"/>
    <w:rsid w:val="009F1936"/>
    <w:rsid w:val="009F2040"/>
    <w:rsid w:val="009F2104"/>
    <w:rsid w:val="009F2584"/>
    <w:rsid w:val="009F278F"/>
    <w:rsid w:val="009F2800"/>
    <w:rsid w:val="009F412B"/>
    <w:rsid w:val="009F4407"/>
    <w:rsid w:val="009F47A2"/>
    <w:rsid w:val="009F6808"/>
    <w:rsid w:val="009F6A0B"/>
    <w:rsid w:val="009F7BBD"/>
    <w:rsid w:val="009F7BF9"/>
    <w:rsid w:val="00A00951"/>
    <w:rsid w:val="00A009A2"/>
    <w:rsid w:val="00A02E8A"/>
    <w:rsid w:val="00A03446"/>
    <w:rsid w:val="00A03AF5"/>
    <w:rsid w:val="00A03BF8"/>
    <w:rsid w:val="00A049F9"/>
    <w:rsid w:val="00A051C8"/>
    <w:rsid w:val="00A061F5"/>
    <w:rsid w:val="00A06B44"/>
    <w:rsid w:val="00A10960"/>
    <w:rsid w:val="00A141B7"/>
    <w:rsid w:val="00A14D5E"/>
    <w:rsid w:val="00A14E5D"/>
    <w:rsid w:val="00A17418"/>
    <w:rsid w:val="00A2594E"/>
    <w:rsid w:val="00A26BE5"/>
    <w:rsid w:val="00A26C1C"/>
    <w:rsid w:val="00A30F8F"/>
    <w:rsid w:val="00A323CC"/>
    <w:rsid w:val="00A32C0E"/>
    <w:rsid w:val="00A32EFD"/>
    <w:rsid w:val="00A33522"/>
    <w:rsid w:val="00A3358B"/>
    <w:rsid w:val="00A34916"/>
    <w:rsid w:val="00A34F62"/>
    <w:rsid w:val="00A35B95"/>
    <w:rsid w:val="00A35F40"/>
    <w:rsid w:val="00A360FE"/>
    <w:rsid w:val="00A363CB"/>
    <w:rsid w:val="00A37E06"/>
    <w:rsid w:val="00A37FA0"/>
    <w:rsid w:val="00A4131F"/>
    <w:rsid w:val="00A44252"/>
    <w:rsid w:val="00A4766A"/>
    <w:rsid w:val="00A50F48"/>
    <w:rsid w:val="00A527BC"/>
    <w:rsid w:val="00A52E90"/>
    <w:rsid w:val="00A53099"/>
    <w:rsid w:val="00A557C9"/>
    <w:rsid w:val="00A562C0"/>
    <w:rsid w:val="00A60D25"/>
    <w:rsid w:val="00A61370"/>
    <w:rsid w:val="00A61F5D"/>
    <w:rsid w:val="00A6310F"/>
    <w:rsid w:val="00A636CF"/>
    <w:rsid w:val="00A6575E"/>
    <w:rsid w:val="00A65E12"/>
    <w:rsid w:val="00A66FC6"/>
    <w:rsid w:val="00A67467"/>
    <w:rsid w:val="00A712E2"/>
    <w:rsid w:val="00A722B9"/>
    <w:rsid w:val="00A74655"/>
    <w:rsid w:val="00A74B2E"/>
    <w:rsid w:val="00A758F4"/>
    <w:rsid w:val="00A75E9A"/>
    <w:rsid w:val="00A80C48"/>
    <w:rsid w:val="00A8122A"/>
    <w:rsid w:val="00A81916"/>
    <w:rsid w:val="00A82897"/>
    <w:rsid w:val="00A8399D"/>
    <w:rsid w:val="00A919AE"/>
    <w:rsid w:val="00A9310B"/>
    <w:rsid w:val="00A93583"/>
    <w:rsid w:val="00A9411B"/>
    <w:rsid w:val="00A94213"/>
    <w:rsid w:val="00A94A12"/>
    <w:rsid w:val="00A96FC8"/>
    <w:rsid w:val="00A975AF"/>
    <w:rsid w:val="00AA0467"/>
    <w:rsid w:val="00AA0A0E"/>
    <w:rsid w:val="00AA19AA"/>
    <w:rsid w:val="00AA2110"/>
    <w:rsid w:val="00AA236A"/>
    <w:rsid w:val="00AA2E8C"/>
    <w:rsid w:val="00AA2EB8"/>
    <w:rsid w:val="00AA33E7"/>
    <w:rsid w:val="00AA347C"/>
    <w:rsid w:val="00AA4AFD"/>
    <w:rsid w:val="00AA51FF"/>
    <w:rsid w:val="00AA66A4"/>
    <w:rsid w:val="00AA6CAA"/>
    <w:rsid w:val="00AA7C31"/>
    <w:rsid w:val="00AB03EF"/>
    <w:rsid w:val="00AB0B01"/>
    <w:rsid w:val="00AB3041"/>
    <w:rsid w:val="00AB3D2E"/>
    <w:rsid w:val="00AB4415"/>
    <w:rsid w:val="00AB6C79"/>
    <w:rsid w:val="00AC01EA"/>
    <w:rsid w:val="00AC09DC"/>
    <w:rsid w:val="00AC298F"/>
    <w:rsid w:val="00AC5D36"/>
    <w:rsid w:val="00AC6D00"/>
    <w:rsid w:val="00AD067A"/>
    <w:rsid w:val="00AD0CF0"/>
    <w:rsid w:val="00AD50CA"/>
    <w:rsid w:val="00AD5870"/>
    <w:rsid w:val="00AD5C4D"/>
    <w:rsid w:val="00AE040D"/>
    <w:rsid w:val="00AE1BD0"/>
    <w:rsid w:val="00AE317D"/>
    <w:rsid w:val="00AE35E2"/>
    <w:rsid w:val="00AE3BA1"/>
    <w:rsid w:val="00AE458E"/>
    <w:rsid w:val="00AE491D"/>
    <w:rsid w:val="00AE4B00"/>
    <w:rsid w:val="00AE5250"/>
    <w:rsid w:val="00AE5259"/>
    <w:rsid w:val="00AE5C8E"/>
    <w:rsid w:val="00AE6B15"/>
    <w:rsid w:val="00AE6FD6"/>
    <w:rsid w:val="00AE7253"/>
    <w:rsid w:val="00AF0B6C"/>
    <w:rsid w:val="00AF2763"/>
    <w:rsid w:val="00AF2881"/>
    <w:rsid w:val="00AF384E"/>
    <w:rsid w:val="00AF7F5E"/>
    <w:rsid w:val="00B029B7"/>
    <w:rsid w:val="00B0328B"/>
    <w:rsid w:val="00B03E26"/>
    <w:rsid w:val="00B04199"/>
    <w:rsid w:val="00B0583F"/>
    <w:rsid w:val="00B05932"/>
    <w:rsid w:val="00B06112"/>
    <w:rsid w:val="00B0669C"/>
    <w:rsid w:val="00B07605"/>
    <w:rsid w:val="00B11780"/>
    <w:rsid w:val="00B11E69"/>
    <w:rsid w:val="00B125E0"/>
    <w:rsid w:val="00B12E1D"/>
    <w:rsid w:val="00B134AB"/>
    <w:rsid w:val="00B14377"/>
    <w:rsid w:val="00B14C3D"/>
    <w:rsid w:val="00B15AE4"/>
    <w:rsid w:val="00B20054"/>
    <w:rsid w:val="00B206DA"/>
    <w:rsid w:val="00B2199C"/>
    <w:rsid w:val="00B25C02"/>
    <w:rsid w:val="00B275F1"/>
    <w:rsid w:val="00B2764F"/>
    <w:rsid w:val="00B308A3"/>
    <w:rsid w:val="00B31F02"/>
    <w:rsid w:val="00B32E6F"/>
    <w:rsid w:val="00B33002"/>
    <w:rsid w:val="00B33815"/>
    <w:rsid w:val="00B342C1"/>
    <w:rsid w:val="00B35E7F"/>
    <w:rsid w:val="00B36561"/>
    <w:rsid w:val="00B400EA"/>
    <w:rsid w:val="00B40A75"/>
    <w:rsid w:val="00B40D41"/>
    <w:rsid w:val="00B41904"/>
    <w:rsid w:val="00B42C54"/>
    <w:rsid w:val="00B434EE"/>
    <w:rsid w:val="00B46129"/>
    <w:rsid w:val="00B46A8B"/>
    <w:rsid w:val="00B46ADD"/>
    <w:rsid w:val="00B46C85"/>
    <w:rsid w:val="00B46CD8"/>
    <w:rsid w:val="00B51253"/>
    <w:rsid w:val="00B535E8"/>
    <w:rsid w:val="00B547C8"/>
    <w:rsid w:val="00B55839"/>
    <w:rsid w:val="00B57631"/>
    <w:rsid w:val="00B57C55"/>
    <w:rsid w:val="00B6146A"/>
    <w:rsid w:val="00B630CF"/>
    <w:rsid w:val="00B65358"/>
    <w:rsid w:val="00B65ACE"/>
    <w:rsid w:val="00B65C97"/>
    <w:rsid w:val="00B65EC2"/>
    <w:rsid w:val="00B66FE1"/>
    <w:rsid w:val="00B7007B"/>
    <w:rsid w:val="00B70732"/>
    <w:rsid w:val="00B71476"/>
    <w:rsid w:val="00B728F3"/>
    <w:rsid w:val="00B73982"/>
    <w:rsid w:val="00B73ECE"/>
    <w:rsid w:val="00B764F7"/>
    <w:rsid w:val="00B77029"/>
    <w:rsid w:val="00B77183"/>
    <w:rsid w:val="00B77648"/>
    <w:rsid w:val="00B817E0"/>
    <w:rsid w:val="00B83416"/>
    <w:rsid w:val="00B83455"/>
    <w:rsid w:val="00B83578"/>
    <w:rsid w:val="00B843CD"/>
    <w:rsid w:val="00B84BD5"/>
    <w:rsid w:val="00B85057"/>
    <w:rsid w:val="00B86B05"/>
    <w:rsid w:val="00B86B09"/>
    <w:rsid w:val="00B86B7A"/>
    <w:rsid w:val="00B87698"/>
    <w:rsid w:val="00B876EF"/>
    <w:rsid w:val="00B92014"/>
    <w:rsid w:val="00B93713"/>
    <w:rsid w:val="00B94616"/>
    <w:rsid w:val="00B96979"/>
    <w:rsid w:val="00B96A9D"/>
    <w:rsid w:val="00BA1748"/>
    <w:rsid w:val="00BA19EC"/>
    <w:rsid w:val="00BA2225"/>
    <w:rsid w:val="00BA22F1"/>
    <w:rsid w:val="00BA39C4"/>
    <w:rsid w:val="00BA3BB4"/>
    <w:rsid w:val="00BA474B"/>
    <w:rsid w:val="00BA6DE5"/>
    <w:rsid w:val="00BB3055"/>
    <w:rsid w:val="00BB3AEE"/>
    <w:rsid w:val="00BB417F"/>
    <w:rsid w:val="00BB444A"/>
    <w:rsid w:val="00BB5176"/>
    <w:rsid w:val="00BB6334"/>
    <w:rsid w:val="00BB64EA"/>
    <w:rsid w:val="00BB6C2F"/>
    <w:rsid w:val="00BC1E7E"/>
    <w:rsid w:val="00BC2AA4"/>
    <w:rsid w:val="00BC2C37"/>
    <w:rsid w:val="00BC375A"/>
    <w:rsid w:val="00BC4B4D"/>
    <w:rsid w:val="00BC55A1"/>
    <w:rsid w:val="00BC7D96"/>
    <w:rsid w:val="00BD1F1D"/>
    <w:rsid w:val="00BD2099"/>
    <w:rsid w:val="00BD25BF"/>
    <w:rsid w:val="00BD32FA"/>
    <w:rsid w:val="00BD79D8"/>
    <w:rsid w:val="00BE0054"/>
    <w:rsid w:val="00BE0F2C"/>
    <w:rsid w:val="00BE0F82"/>
    <w:rsid w:val="00BE309E"/>
    <w:rsid w:val="00BE312A"/>
    <w:rsid w:val="00BE3FF6"/>
    <w:rsid w:val="00BE4694"/>
    <w:rsid w:val="00BE51FD"/>
    <w:rsid w:val="00BE5CD8"/>
    <w:rsid w:val="00BE5D49"/>
    <w:rsid w:val="00BE6642"/>
    <w:rsid w:val="00BE73F0"/>
    <w:rsid w:val="00BF00E3"/>
    <w:rsid w:val="00BF0778"/>
    <w:rsid w:val="00BF13A5"/>
    <w:rsid w:val="00BF16D5"/>
    <w:rsid w:val="00BF2689"/>
    <w:rsid w:val="00BF3213"/>
    <w:rsid w:val="00BF3DEE"/>
    <w:rsid w:val="00BF44BF"/>
    <w:rsid w:val="00BF760E"/>
    <w:rsid w:val="00BF7A40"/>
    <w:rsid w:val="00BF7F71"/>
    <w:rsid w:val="00C00872"/>
    <w:rsid w:val="00C00F07"/>
    <w:rsid w:val="00C01A1A"/>
    <w:rsid w:val="00C02817"/>
    <w:rsid w:val="00C029DF"/>
    <w:rsid w:val="00C04198"/>
    <w:rsid w:val="00C04896"/>
    <w:rsid w:val="00C0489E"/>
    <w:rsid w:val="00C04E48"/>
    <w:rsid w:val="00C055C3"/>
    <w:rsid w:val="00C066DE"/>
    <w:rsid w:val="00C0725D"/>
    <w:rsid w:val="00C0742D"/>
    <w:rsid w:val="00C116D2"/>
    <w:rsid w:val="00C126FA"/>
    <w:rsid w:val="00C12952"/>
    <w:rsid w:val="00C14230"/>
    <w:rsid w:val="00C149E5"/>
    <w:rsid w:val="00C15A1F"/>
    <w:rsid w:val="00C167AC"/>
    <w:rsid w:val="00C16B96"/>
    <w:rsid w:val="00C17BF6"/>
    <w:rsid w:val="00C20E2F"/>
    <w:rsid w:val="00C21346"/>
    <w:rsid w:val="00C22776"/>
    <w:rsid w:val="00C2476B"/>
    <w:rsid w:val="00C250DA"/>
    <w:rsid w:val="00C25E5D"/>
    <w:rsid w:val="00C3000A"/>
    <w:rsid w:val="00C31CCC"/>
    <w:rsid w:val="00C32997"/>
    <w:rsid w:val="00C32C3F"/>
    <w:rsid w:val="00C32FDE"/>
    <w:rsid w:val="00C335EC"/>
    <w:rsid w:val="00C33DB0"/>
    <w:rsid w:val="00C34C50"/>
    <w:rsid w:val="00C35819"/>
    <w:rsid w:val="00C374B1"/>
    <w:rsid w:val="00C37A1C"/>
    <w:rsid w:val="00C45049"/>
    <w:rsid w:val="00C45F57"/>
    <w:rsid w:val="00C46500"/>
    <w:rsid w:val="00C47957"/>
    <w:rsid w:val="00C50250"/>
    <w:rsid w:val="00C50CCE"/>
    <w:rsid w:val="00C51A8A"/>
    <w:rsid w:val="00C51EDF"/>
    <w:rsid w:val="00C52165"/>
    <w:rsid w:val="00C5250C"/>
    <w:rsid w:val="00C529FC"/>
    <w:rsid w:val="00C54E46"/>
    <w:rsid w:val="00C56001"/>
    <w:rsid w:val="00C57D0B"/>
    <w:rsid w:val="00C62CB0"/>
    <w:rsid w:val="00C63D24"/>
    <w:rsid w:val="00C640CD"/>
    <w:rsid w:val="00C65CD9"/>
    <w:rsid w:val="00C65E89"/>
    <w:rsid w:val="00C671F1"/>
    <w:rsid w:val="00C700AE"/>
    <w:rsid w:val="00C712D1"/>
    <w:rsid w:val="00C72738"/>
    <w:rsid w:val="00C729BA"/>
    <w:rsid w:val="00C72A14"/>
    <w:rsid w:val="00C72DC4"/>
    <w:rsid w:val="00C72E5F"/>
    <w:rsid w:val="00C73520"/>
    <w:rsid w:val="00C73CA6"/>
    <w:rsid w:val="00C8145D"/>
    <w:rsid w:val="00C8332F"/>
    <w:rsid w:val="00C8592B"/>
    <w:rsid w:val="00C8660A"/>
    <w:rsid w:val="00C91DD7"/>
    <w:rsid w:val="00C92F61"/>
    <w:rsid w:val="00C96F31"/>
    <w:rsid w:val="00C97859"/>
    <w:rsid w:val="00C978AA"/>
    <w:rsid w:val="00CA2576"/>
    <w:rsid w:val="00CA279F"/>
    <w:rsid w:val="00CA49C2"/>
    <w:rsid w:val="00CA569B"/>
    <w:rsid w:val="00CA652B"/>
    <w:rsid w:val="00CA6FFD"/>
    <w:rsid w:val="00CA7199"/>
    <w:rsid w:val="00CB120F"/>
    <w:rsid w:val="00CB2864"/>
    <w:rsid w:val="00CB3BE0"/>
    <w:rsid w:val="00CB407E"/>
    <w:rsid w:val="00CB5FD7"/>
    <w:rsid w:val="00CB68AF"/>
    <w:rsid w:val="00CB74C4"/>
    <w:rsid w:val="00CB7BB9"/>
    <w:rsid w:val="00CB7F74"/>
    <w:rsid w:val="00CC14C1"/>
    <w:rsid w:val="00CC157B"/>
    <w:rsid w:val="00CC25EB"/>
    <w:rsid w:val="00CC3B14"/>
    <w:rsid w:val="00CC4269"/>
    <w:rsid w:val="00CC4885"/>
    <w:rsid w:val="00CC5A42"/>
    <w:rsid w:val="00CC6BC9"/>
    <w:rsid w:val="00CC6ED1"/>
    <w:rsid w:val="00CC7CE2"/>
    <w:rsid w:val="00CD05FD"/>
    <w:rsid w:val="00CD12D7"/>
    <w:rsid w:val="00CD160A"/>
    <w:rsid w:val="00CD1819"/>
    <w:rsid w:val="00CD1B8D"/>
    <w:rsid w:val="00CD2730"/>
    <w:rsid w:val="00CD2896"/>
    <w:rsid w:val="00CD44A9"/>
    <w:rsid w:val="00CD57D3"/>
    <w:rsid w:val="00CD6149"/>
    <w:rsid w:val="00CD69B2"/>
    <w:rsid w:val="00CD6FD1"/>
    <w:rsid w:val="00CD7D98"/>
    <w:rsid w:val="00CE3598"/>
    <w:rsid w:val="00CE4865"/>
    <w:rsid w:val="00CE5B3A"/>
    <w:rsid w:val="00CE6A45"/>
    <w:rsid w:val="00CE73E6"/>
    <w:rsid w:val="00CE79BB"/>
    <w:rsid w:val="00CF0A0F"/>
    <w:rsid w:val="00CF23E3"/>
    <w:rsid w:val="00CF2968"/>
    <w:rsid w:val="00CF328E"/>
    <w:rsid w:val="00CF605E"/>
    <w:rsid w:val="00D00C5A"/>
    <w:rsid w:val="00D01398"/>
    <w:rsid w:val="00D01AA3"/>
    <w:rsid w:val="00D032D8"/>
    <w:rsid w:val="00D03688"/>
    <w:rsid w:val="00D067CA"/>
    <w:rsid w:val="00D06DA1"/>
    <w:rsid w:val="00D14E9B"/>
    <w:rsid w:val="00D1631D"/>
    <w:rsid w:val="00D17DC1"/>
    <w:rsid w:val="00D20263"/>
    <w:rsid w:val="00D21F09"/>
    <w:rsid w:val="00D22BD0"/>
    <w:rsid w:val="00D22EDD"/>
    <w:rsid w:val="00D2454F"/>
    <w:rsid w:val="00D2574D"/>
    <w:rsid w:val="00D30C94"/>
    <w:rsid w:val="00D3146C"/>
    <w:rsid w:val="00D31AD2"/>
    <w:rsid w:val="00D32503"/>
    <w:rsid w:val="00D32A20"/>
    <w:rsid w:val="00D32F52"/>
    <w:rsid w:val="00D34B0E"/>
    <w:rsid w:val="00D35803"/>
    <w:rsid w:val="00D363F6"/>
    <w:rsid w:val="00D36D1E"/>
    <w:rsid w:val="00D37296"/>
    <w:rsid w:val="00D37B8E"/>
    <w:rsid w:val="00D4118C"/>
    <w:rsid w:val="00D43C1D"/>
    <w:rsid w:val="00D43D85"/>
    <w:rsid w:val="00D44FF9"/>
    <w:rsid w:val="00D4654C"/>
    <w:rsid w:val="00D46CDB"/>
    <w:rsid w:val="00D46DF1"/>
    <w:rsid w:val="00D50964"/>
    <w:rsid w:val="00D50FE7"/>
    <w:rsid w:val="00D51C9A"/>
    <w:rsid w:val="00D5414D"/>
    <w:rsid w:val="00D541DC"/>
    <w:rsid w:val="00D55412"/>
    <w:rsid w:val="00D56AFD"/>
    <w:rsid w:val="00D571D9"/>
    <w:rsid w:val="00D6227C"/>
    <w:rsid w:val="00D62645"/>
    <w:rsid w:val="00D631BC"/>
    <w:rsid w:val="00D63C60"/>
    <w:rsid w:val="00D64231"/>
    <w:rsid w:val="00D651DD"/>
    <w:rsid w:val="00D65269"/>
    <w:rsid w:val="00D664BD"/>
    <w:rsid w:val="00D70BC5"/>
    <w:rsid w:val="00D72099"/>
    <w:rsid w:val="00D749BA"/>
    <w:rsid w:val="00D7649C"/>
    <w:rsid w:val="00D77666"/>
    <w:rsid w:val="00D810E8"/>
    <w:rsid w:val="00D82AD9"/>
    <w:rsid w:val="00D83165"/>
    <w:rsid w:val="00D8376F"/>
    <w:rsid w:val="00D86C21"/>
    <w:rsid w:val="00D87E6F"/>
    <w:rsid w:val="00D9279B"/>
    <w:rsid w:val="00D94630"/>
    <w:rsid w:val="00D94E6E"/>
    <w:rsid w:val="00D952BE"/>
    <w:rsid w:val="00D96227"/>
    <w:rsid w:val="00D96679"/>
    <w:rsid w:val="00D97347"/>
    <w:rsid w:val="00DA1BEE"/>
    <w:rsid w:val="00DA42EF"/>
    <w:rsid w:val="00DA43B9"/>
    <w:rsid w:val="00DA4B0E"/>
    <w:rsid w:val="00DA53EB"/>
    <w:rsid w:val="00DA6ACF"/>
    <w:rsid w:val="00DA7DED"/>
    <w:rsid w:val="00DB026F"/>
    <w:rsid w:val="00DB0C79"/>
    <w:rsid w:val="00DB11F4"/>
    <w:rsid w:val="00DB2DC1"/>
    <w:rsid w:val="00DB45ED"/>
    <w:rsid w:val="00DB60D0"/>
    <w:rsid w:val="00DB6685"/>
    <w:rsid w:val="00DB6C15"/>
    <w:rsid w:val="00DB74DE"/>
    <w:rsid w:val="00DC13B7"/>
    <w:rsid w:val="00DC1CA3"/>
    <w:rsid w:val="00DC1ED6"/>
    <w:rsid w:val="00DC1FAF"/>
    <w:rsid w:val="00DC25CB"/>
    <w:rsid w:val="00DC393D"/>
    <w:rsid w:val="00DC4987"/>
    <w:rsid w:val="00DC4E08"/>
    <w:rsid w:val="00DC511E"/>
    <w:rsid w:val="00DC59C7"/>
    <w:rsid w:val="00DC6790"/>
    <w:rsid w:val="00DC7436"/>
    <w:rsid w:val="00DD05FF"/>
    <w:rsid w:val="00DD091C"/>
    <w:rsid w:val="00DD427D"/>
    <w:rsid w:val="00DD45DA"/>
    <w:rsid w:val="00DD5A53"/>
    <w:rsid w:val="00DD71CE"/>
    <w:rsid w:val="00DD72A0"/>
    <w:rsid w:val="00DE1263"/>
    <w:rsid w:val="00DE15F4"/>
    <w:rsid w:val="00DE1A0A"/>
    <w:rsid w:val="00DE2088"/>
    <w:rsid w:val="00DE2698"/>
    <w:rsid w:val="00DE3DFD"/>
    <w:rsid w:val="00DE450C"/>
    <w:rsid w:val="00DE471B"/>
    <w:rsid w:val="00DE4A6B"/>
    <w:rsid w:val="00DE517F"/>
    <w:rsid w:val="00DE584B"/>
    <w:rsid w:val="00DF1BCB"/>
    <w:rsid w:val="00DF3462"/>
    <w:rsid w:val="00DF4A45"/>
    <w:rsid w:val="00DF4D6C"/>
    <w:rsid w:val="00DF57ED"/>
    <w:rsid w:val="00DF57F6"/>
    <w:rsid w:val="00DF6A98"/>
    <w:rsid w:val="00DF7D8A"/>
    <w:rsid w:val="00E03DFC"/>
    <w:rsid w:val="00E054BB"/>
    <w:rsid w:val="00E05876"/>
    <w:rsid w:val="00E05DE6"/>
    <w:rsid w:val="00E06B35"/>
    <w:rsid w:val="00E06CC8"/>
    <w:rsid w:val="00E071CC"/>
    <w:rsid w:val="00E107B3"/>
    <w:rsid w:val="00E10F19"/>
    <w:rsid w:val="00E1181B"/>
    <w:rsid w:val="00E11826"/>
    <w:rsid w:val="00E11AB5"/>
    <w:rsid w:val="00E11E49"/>
    <w:rsid w:val="00E14D21"/>
    <w:rsid w:val="00E15791"/>
    <w:rsid w:val="00E17330"/>
    <w:rsid w:val="00E1750C"/>
    <w:rsid w:val="00E200B1"/>
    <w:rsid w:val="00E20CA3"/>
    <w:rsid w:val="00E228EA"/>
    <w:rsid w:val="00E23D18"/>
    <w:rsid w:val="00E240A5"/>
    <w:rsid w:val="00E247F0"/>
    <w:rsid w:val="00E25817"/>
    <w:rsid w:val="00E266D4"/>
    <w:rsid w:val="00E27F56"/>
    <w:rsid w:val="00E300EC"/>
    <w:rsid w:val="00E36F26"/>
    <w:rsid w:val="00E37B70"/>
    <w:rsid w:val="00E4038B"/>
    <w:rsid w:val="00E41C8C"/>
    <w:rsid w:val="00E449A7"/>
    <w:rsid w:val="00E459F7"/>
    <w:rsid w:val="00E45C76"/>
    <w:rsid w:val="00E465EC"/>
    <w:rsid w:val="00E46900"/>
    <w:rsid w:val="00E5153C"/>
    <w:rsid w:val="00E523EB"/>
    <w:rsid w:val="00E530DB"/>
    <w:rsid w:val="00E546BF"/>
    <w:rsid w:val="00E57728"/>
    <w:rsid w:val="00E57A7F"/>
    <w:rsid w:val="00E6023C"/>
    <w:rsid w:val="00E602CC"/>
    <w:rsid w:val="00E61792"/>
    <w:rsid w:val="00E63CFB"/>
    <w:rsid w:val="00E644E0"/>
    <w:rsid w:val="00E65E72"/>
    <w:rsid w:val="00E66159"/>
    <w:rsid w:val="00E677EB"/>
    <w:rsid w:val="00E679D7"/>
    <w:rsid w:val="00E70AF7"/>
    <w:rsid w:val="00E70F72"/>
    <w:rsid w:val="00E71F55"/>
    <w:rsid w:val="00E72EFB"/>
    <w:rsid w:val="00E760F2"/>
    <w:rsid w:val="00E77002"/>
    <w:rsid w:val="00E770A3"/>
    <w:rsid w:val="00E77246"/>
    <w:rsid w:val="00E80091"/>
    <w:rsid w:val="00E80344"/>
    <w:rsid w:val="00E80B46"/>
    <w:rsid w:val="00E818AD"/>
    <w:rsid w:val="00E8205A"/>
    <w:rsid w:val="00E84974"/>
    <w:rsid w:val="00E85EB4"/>
    <w:rsid w:val="00E86344"/>
    <w:rsid w:val="00E917E6"/>
    <w:rsid w:val="00E91CB8"/>
    <w:rsid w:val="00E95B75"/>
    <w:rsid w:val="00E968CB"/>
    <w:rsid w:val="00EA018D"/>
    <w:rsid w:val="00EA113E"/>
    <w:rsid w:val="00EA1510"/>
    <w:rsid w:val="00EA499B"/>
    <w:rsid w:val="00EA4F20"/>
    <w:rsid w:val="00EA58BF"/>
    <w:rsid w:val="00EA6050"/>
    <w:rsid w:val="00EA6552"/>
    <w:rsid w:val="00EA73DB"/>
    <w:rsid w:val="00EA77E5"/>
    <w:rsid w:val="00EB0C2C"/>
    <w:rsid w:val="00EB0E5E"/>
    <w:rsid w:val="00EB119F"/>
    <w:rsid w:val="00EB23AB"/>
    <w:rsid w:val="00EB6D1C"/>
    <w:rsid w:val="00EB7072"/>
    <w:rsid w:val="00EB7C31"/>
    <w:rsid w:val="00EC2B31"/>
    <w:rsid w:val="00EC5B6B"/>
    <w:rsid w:val="00EC5BB3"/>
    <w:rsid w:val="00EC7FEF"/>
    <w:rsid w:val="00ED1122"/>
    <w:rsid w:val="00ED11C2"/>
    <w:rsid w:val="00ED1498"/>
    <w:rsid w:val="00ED1FF5"/>
    <w:rsid w:val="00ED2770"/>
    <w:rsid w:val="00ED4032"/>
    <w:rsid w:val="00ED4DC8"/>
    <w:rsid w:val="00ED6BB4"/>
    <w:rsid w:val="00EE01E6"/>
    <w:rsid w:val="00EE3505"/>
    <w:rsid w:val="00EE5CB2"/>
    <w:rsid w:val="00EE6E75"/>
    <w:rsid w:val="00EE749F"/>
    <w:rsid w:val="00EF1E03"/>
    <w:rsid w:val="00EF21EC"/>
    <w:rsid w:val="00EF38B4"/>
    <w:rsid w:val="00EF4C51"/>
    <w:rsid w:val="00EF7D5A"/>
    <w:rsid w:val="00EF7F19"/>
    <w:rsid w:val="00F03617"/>
    <w:rsid w:val="00F043E1"/>
    <w:rsid w:val="00F043E6"/>
    <w:rsid w:val="00F04AA0"/>
    <w:rsid w:val="00F04EF2"/>
    <w:rsid w:val="00F05110"/>
    <w:rsid w:val="00F05FA7"/>
    <w:rsid w:val="00F06EAB"/>
    <w:rsid w:val="00F0733C"/>
    <w:rsid w:val="00F112EA"/>
    <w:rsid w:val="00F114C9"/>
    <w:rsid w:val="00F11D35"/>
    <w:rsid w:val="00F13519"/>
    <w:rsid w:val="00F16C66"/>
    <w:rsid w:val="00F2010B"/>
    <w:rsid w:val="00F201B3"/>
    <w:rsid w:val="00F2061F"/>
    <w:rsid w:val="00F20C89"/>
    <w:rsid w:val="00F225DC"/>
    <w:rsid w:val="00F25C21"/>
    <w:rsid w:val="00F260BB"/>
    <w:rsid w:val="00F2626E"/>
    <w:rsid w:val="00F26B4C"/>
    <w:rsid w:val="00F275C1"/>
    <w:rsid w:val="00F31C39"/>
    <w:rsid w:val="00F33581"/>
    <w:rsid w:val="00F34DA5"/>
    <w:rsid w:val="00F34EF1"/>
    <w:rsid w:val="00F35EC8"/>
    <w:rsid w:val="00F36213"/>
    <w:rsid w:val="00F3777C"/>
    <w:rsid w:val="00F377A4"/>
    <w:rsid w:val="00F409AF"/>
    <w:rsid w:val="00F41368"/>
    <w:rsid w:val="00F41834"/>
    <w:rsid w:val="00F41A16"/>
    <w:rsid w:val="00F425F4"/>
    <w:rsid w:val="00F44420"/>
    <w:rsid w:val="00F45CFC"/>
    <w:rsid w:val="00F469BA"/>
    <w:rsid w:val="00F50BFB"/>
    <w:rsid w:val="00F52628"/>
    <w:rsid w:val="00F55FA6"/>
    <w:rsid w:val="00F56462"/>
    <w:rsid w:val="00F5774B"/>
    <w:rsid w:val="00F60480"/>
    <w:rsid w:val="00F613D1"/>
    <w:rsid w:val="00F635CC"/>
    <w:rsid w:val="00F646CF"/>
    <w:rsid w:val="00F649A8"/>
    <w:rsid w:val="00F64A08"/>
    <w:rsid w:val="00F64A51"/>
    <w:rsid w:val="00F672B8"/>
    <w:rsid w:val="00F678E0"/>
    <w:rsid w:val="00F703CA"/>
    <w:rsid w:val="00F715E6"/>
    <w:rsid w:val="00F71A6D"/>
    <w:rsid w:val="00F71B42"/>
    <w:rsid w:val="00F7263B"/>
    <w:rsid w:val="00F741D6"/>
    <w:rsid w:val="00F76B51"/>
    <w:rsid w:val="00F774B6"/>
    <w:rsid w:val="00F779CD"/>
    <w:rsid w:val="00F80A6A"/>
    <w:rsid w:val="00F8129F"/>
    <w:rsid w:val="00F82D21"/>
    <w:rsid w:val="00F837B8"/>
    <w:rsid w:val="00F84D96"/>
    <w:rsid w:val="00F85108"/>
    <w:rsid w:val="00F85A2E"/>
    <w:rsid w:val="00F86002"/>
    <w:rsid w:val="00F9007D"/>
    <w:rsid w:val="00F91422"/>
    <w:rsid w:val="00F9159D"/>
    <w:rsid w:val="00F9167A"/>
    <w:rsid w:val="00F91D1F"/>
    <w:rsid w:val="00F91DBB"/>
    <w:rsid w:val="00F92EFE"/>
    <w:rsid w:val="00F9344F"/>
    <w:rsid w:val="00F93D0A"/>
    <w:rsid w:val="00F961B9"/>
    <w:rsid w:val="00F97856"/>
    <w:rsid w:val="00FA0367"/>
    <w:rsid w:val="00FA347E"/>
    <w:rsid w:val="00FA3EAA"/>
    <w:rsid w:val="00FA5195"/>
    <w:rsid w:val="00FA7568"/>
    <w:rsid w:val="00FB2B62"/>
    <w:rsid w:val="00FB3398"/>
    <w:rsid w:val="00FB38B9"/>
    <w:rsid w:val="00FB3EF3"/>
    <w:rsid w:val="00FB4FC4"/>
    <w:rsid w:val="00FB50D6"/>
    <w:rsid w:val="00FB665C"/>
    <w:rsid w:val="00FB668B"/>
    <w:rsid w:val="00FB69A4"/>
    <w:rsid w:val="00FC072E"/>
    <w:rsid w:val="00FC08A0"/>
    <w:rsid w:val="00FC11A6"/>
    <w:rsid w:val="00FC16C3"/>
    <w:rsid w:val="00FC22C3"/>
    <w:rsid w:val="00FC368D"/>
    <w:rsid w:val="00FC55DC"/>
    <w:rsid w:val="00FD094D"/>
    <w:rsid w:val="00FD1533"/>
    <w:rsid w:val="00FD258F"/>
    <w:rsid w:val="00FD4348"/>
    <w:rsid w:val="00FD5E24"/>
    <w:rsid w:val="00FD7735"/>
    <w:rsid w:val="00FD7D5C"/>
    <w:rsid w:val="00FE0D99"/>
    <w:rsid w:val="00FE1080"/>
    <w:rsid w:val="00FE133D"/>
    <w:rsid w:val="00FE2E92"/>
    <w:rsid w:val="00FE4048"/>
    <w:rsid w:val="00FE4D17"/>
    <w:rsid w:val="00FE4F73"/>
    <w:rsid w:val="00FE5427"/>
    <w:rsid w:val="00FE63A1"/>
    <w:rsid w:val="00FE6A29"/>
    <w:rsid w:val="00FF23BD"/>
    <w:rsid w:val="00FF2B7F"/>
    <w:rsid w:val="00FF536D"/>
    <w:rsid w:val="00FF623A"/>
    <w:rsid w:val="00FF6240"/>
    <w:rsid w:val="00FF680E"/>
    <w:rsid w:val="021A5509"/>
    <w:rsid w:val="026D1BBD"/>
    <w:rsid w:val="03351867"/>
    <w:rsid w:val="033C2BF5"/>
    <w:rsid w:val="045A2047"/>
    <w:rsid w:val="04F56EF8"/>
    <w:rsid w:val="05611192"/>
    <w:rsid w:val="087F69E2"/>
    <w:rsid w:val="08BB636A"/>
    <w:rsid w:val="08E04023"/>
    <w:rsid w:val="0C2661F0"/>
    <w:rsid w:val="0C6C00A7"/>
    <w:rsid w:val="0CD738A8"/>
    <w:rsid w:val="0D814939"/>
    <w:rsid w:val="0DDA54E4"/>
    <w:rsid w:val="0E044496"/>
    <w:rsid w:val="0E6B10C2"/>
    <w:rsid w:val="0E9B1118"/>
    <w:rsid w:val="0EA0228A"/>
    <w:rsid w:val="0F3F1AA3"/>
    <w:rsid w:val="0FA87BB9"/>
    <w:rsid w:val="10727C56"/>
    <w:rsid w:val="10985812"/>
    <w:rsid w:val="10DF4F82"/>
    <w:rsid w:val="12851811"/>
    <w:rsid w:val="15D1541F"/>
    <w:rsid w:val="16B90DCA"/>
    <w:rsid w:val="16FB51D7"/>
    <w:rsid w:val="174340FA"/>
    <w:rsid w:val="193667F5"/>
    <w:rsid w:val="19906B90"/>
    <w:rsid w:val="1A1B7B77"/>
    <w:rsid w:val="1A3345AB"/>
    <w:rsid w:val="1AC13E11"/>
    <w:rsid w:val="1B546285"/>
    <w:rsid w:val="1B807468"/>
    <w:rsid w:val="1C5D06D0"/>
    <w:rsid w:val="1C7F2F05"/>
    <w:rsid w:val="1C8E48CB"/>
    <w:rsid w:val="1CC9357A"/>
    <w:rsid w:val="1D0C3AAB"/>
    <w:rsid w:val="1D314B1B"/>
    <w:rsid w:val="1DFE0D7B"/>
    <w:rsid w:val="1E0A540D"/>
    <w:rsid w:val="1E1D74CF"/>
    <w:rsid w:val="1F44795C"/>
    <w:rsid w:val="20DD111C"/>
    <w:rsid w:val="21CB4A81"/>
    <w:rsid w:val="22665141"/>
    <w:rsid w:val="22C14B96"/>
    <w:rsid w:val="236B0C61"/>
    <w:rsid w:val="23A00635"/>
    <w:rsid w:val="24187101"/>
    <w:rsid w:val="2475605F"/>
    <w:rsid w:val="26040273"/>
    <w:rsid w:val="27833A8F"/>
    <w:rsid w:val="28382C3A"/>
    <w:rsid w:val="284E2547"/>
    <w:rsid w:val="285000BF"/>
    <w:rsid w:val="28736C70"/>
    <w:rsid w:val="288E0F4E"/>
    <w:rsid w:val="297C1823"/>
    <w:rsid w:val="2A2C5A1E"/>
    <w:rsid w:val="2B2C2C6A"/>
    <w:rsid w:val="2B895FC1"/>
    <w:rsid w:val="2D80355B"/>
    <w:rsid w:val="2D872B3B"/>
    <w:rsid w:val="2DBD42A2"/>
    <w:rsid w:val="2E5A0900"/>
    <w:rsid w:val="2ECB3AD2"/>
    <w:rsid w:val="2F4628F1"/>
    <w:rsid w:val="2FA12DAF"/>
    <w:rsid w:val="2FD93C26"/>
    <w:rsid w:val="318F1FBE"/>
    <w:rsid w:val="32851613"/>
    <w:rsid w:val="33B400B3"/>
    <w:rsid w:val="33FD3B57"/>
    <w:rsid w:val="35846946"/>
    <w:rsid w:val="35D50266"/>
    <w:rsid w:val="35E10098"/>
    <w:rsid w:val="3623352B"/>
    <w:rsid w:val="36BD6867"/>
    <w:rsid w:val="380C1D73"/>
    <w:rsid w:val="382C5E49"/>
    <w:rsid w:val="38787C50"/>
    <w:rsid w:val="396F3A83"/>
    <w:rsid w:val="3984743C"/>
    <w:rsid w:val="39A16B31"/>
    <w:rsid w:val="39B479EF"/>
    <w:rsid w:val="3A12378C"/>
    <w:rsid w:val="3AB36D9B"/>
    <w:rsid w:val="3BF33BC0"/>
    <w:rsid w:val="3C056B3E"/>
    <w:rsid w:val="3CA8487C"/>
    <w:rsid w:val="3CB4513B"/>
    <w:rsid w:val="3D3954D4"/>
    <w:rsid w:val="3DAE417A"/>
    <w:rsid w:val="3E077AB4"/>
    <w:rsid w:val="3EA9534F"/>
    <w:rsid w:val="3F4C7741"/>
    <w:rsid w:val="4348021F"/>
    <w:rsid w:val="435C016E"/>
    <w:rsid w:val="441126EA"/>
    <w:rsid w:val="44E4371C"/>
    <w:rsid w:val="453827AF"/>
    <w:rsid w:val="46CE3131"/>
    <w:rsid w:val="47B3762B"/>
    <w:rsid w:val="47C3090A"/>
    <w:rsid w:val="47E744AA"/>
    <w:rsid w:val="48194922"/>
    <w:rsid w:val="4A104DDA"/>
    <w:rsid w:val="4B133808"/>
    <w:rsid w:val="4BCC28C2"/>
    <w:rsid w:val="4BD314BC"/>
    <w:rsid w:val="4BDD1FF5"/>
    <w:rsid w:val="4C4E00D5"/>
    <w:rsid w:val="4C87303B"/>
    <w:rsid w:val="4CF743C1"/>
    <w:rsid w:val="4D577CB8"/>
    <w:rsid w:val="4D730EE3"/>
    <w:rsid w:val="4DAE7E65"/>
    <w:rsid w:val="4DDC39DD"/>
    <w:rsid w:val="4F1A1903"/>
    <w:rsid w:val="502E5CB9"/>
    <w:rsid w:val="50DE50F1"/>
    <w:rsid w:val="50E44E9C"/>
    <w:rsid w:val="524345F4"/>
    <w:rsid w:val="525C37D5"/>
    <w:rsid w:val="52E40080"/>
    <w:rsid w:val="52EA54D9"/>
    <w:rsid w:val="53CB7D68"/>
    <w:rsid w:val="54786604"/>
    <w:rsid w:val="550F232E"/>
    <w:rsid w:val="55982C9B"/>
    <w:rsid w:val="55CC7F5C"/>
    <w:rsid w:val="560232F5"/>
    <w:rsid w:val="568C41E3"/>
    <w:rsid w:val="56BF65F2"/>
    <w:rsid w:val="56CF2CD9"/>
    <w:rsid w:val="56EF1FE3"/>
    <w:rsid w:val="57CB57BA"/>
    <w:rsid w:val="57CE60F7"/>
    <w:rsid w:val="5979517E"/>
    <w:rsid w:val="59A31EA9"/>
    <w:rsid w:val="5A9E5943"/>
    <w:rsid w:val="5AA664F1"/>
    <w:rsid w:val="5AB67F96"/>
    <w:rsid w:val="5B48496A"/>
    <w:rsid w:val="5B487574"/>
    <w:rsid w:val="5BD8483D"/>
    <w:rsid w:val="5C303820"/>
    <w:rsid w:val="5E331187"/>
    <w:rsid w:val="5E936A94"/>
    <w:rsid w:val="5EAE7678"/>
    <w:rsid w:val="5EBB3B43"/>
    <w:rsid w:val="5EBD5B0D"/>
    <w:rsid w:val="5EC93A80"/>
    <w:rsid w:val="5F213DCC"/>
    <w:rsid w:val="5F3D0994"/>
    <w:rsid w:val="5F8C4929"/>
    <w:rsid w:val="608B4476"/>
    <w:rsid w:val="622323F0"/>
    <w:rsid w:val="62CB312A"/>
    <w:rsid w:val="62DB7F23"/>
    <w:rsid w:val="636D0703"/>
    <w:rsid w:val="63A0423C"/>
    <w:rsid w:val="64C73242"/>
    <w:rsid w:val="64F426B5"/>
    <w:rsid w:val="65177D95"/>
    <w:rsid w:val="651C0FAE"/>
    <w:rsid w:val="65BA2588"/>
    <w:rsid w:val="66126DD3"/>
    <w:rsid w:val="67B657F0"/>
    <w:rsid w:val="684D68DE"/>
    <w:rsid w:val="68636B44"/>
    <w:rsid w:val="68646F1F"/>
    <w:rsid w:val="68914321"/>
    <w:rsid w:val="6B252A70"/>
    <w:rsid w:val="6BA22EAA"/>
    <w:rsid w:val="6BE22552"/>
    <w:rsid w:val="6CD04556"/>
    <w:rsid w:val="6D042B59"/>
    <w:rsid w:val="6EE252F2"/>
    <w:rsid w:val="6F451933"/>
    <w:rsid w:val="709D12FB"/>
    <w:rsid w:val="710A3346"/>
    <w:rsid w:val="71295EBF"/>
    <w:rsid w:val="721530FE"/>
    <w:rsid w:val="75263FB5"/>
    <w:rsid w:val="75492412"/>
    <w:rsid w:val="756E770A"/>
    <w:rsid w:val="75785759"/>
    <w:rsid w:val="75BF14D8"/>
    <w:rsid w:val="75D601D8"/>
    <w:rsid w:val="77026A79"/>
    <w:rsid w:val="77470212"/>
    <w:rsid w:val="7749311C"/>
    <w:rsid w:val="77536D9F"/>
    <w:rsid w:val="77567DC7"/>
    <w:rsid w:val="775916EB"/>
    <w:rsid w:val="77CA2A04"/>
    <w:rsid w:val="77FA4C7A"/>
    <w:rsid w:val="79EE0E19"/>
    <w:rsid w:val="7A321FA6"/>
    <w:rsid w:val="7A6A5BFB"/>
    <w:rsid w:val="7AF313DB"/>
    <w:rsid w:val="7AF91BC2"/>
    <w:rsid w:val="7B607AF4"/>
    <w:rsid w:val="7B963516"/>
    <w:rsid w:val="7C171732"/>
    <w:rsid w:val="7C562AC8"/>
    <w:rsid w:val="7CCF0A8E"/>
    <w:rsid w:val="7D3726FA"/>
    <w:rsid w:val="7E064983"/>
    <w:rsid w:val="7E0B6632"/>
    <w:rsid w:val="7E93358B"/>
    <w:rsid w:val="7F785F75"/>
    <w:rsid w:val="7FCF791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qFormat="1" w:unhideWhenUsed="0"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iPriority="99" w:name="Body Text" w:locked="1"/>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iPriority="99" w:name="Body Text First Indent" w:locked="1"/>
    <w:lsdException w:uiPriority="99" w:name="Body Text First Indent 2" w:locked="1"/>
    <w:lsdException w:uiPriority="99" w:name="Note Heading" w:locked="1"/>
    <w:lsdException w:qFormat="1" w:unhideWhenUsed="0" w:uiPriority="99" w:semiHidden="0" w:name="Body Text 2"/>
    <w:lsdException w:uiPriority="99" w:name="Body Text 3" w:locked="1"/>
    <w:lsdException w:qFormat="1" w:unhideWhenUsed="0" w:uiPriority="0" w:semiHidden="0"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0" w:semiHidden="0" w:name="Emphasis"/>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57" w:lineRule="atLeast"/>
      <w:jc w:val="both"/>
      <w:textAlignment w:val="baseline"/>
    </w:pPr>
    <w:rPr>
      <w:rFonts w:ascii="Times New Roman" w:hAnsi="Times New Roman" w:eastAsia="宋体" w:cs="Times New Roman"/>
      <w:color w:val="000000"/>
      <w:sz w:val="21"/>
      <w:u w:color="000000"/>
      <w:lang w:val="en-US" w:eastAsia="zh-CN" w:bidi="ar-SA"/>
    </w:rPr>
  </w:style>
  <w:style w:type="paragraph" w:styleId="2">
    <w:name w:val="heading 1"/>
    <w:basedOn w:val="1"/>
    <w:next w:val="1"/>
    <w:link w:val="27"/>
    <w:qFormat/>
    <w:uiPriority w:val="99"/>
    <w:pPr>
      <w:keepNext/>
      <w:keepLines/>
      <w:widowControl w:val="0"/>
      <w:spacing w:before="340" w:after="330" w:line="576" w:lineRule="auto"/>
      <w:textAlignment w:val="auto"/>
      <w:outlineLvl w:val="0"/>
    </w:pPr>
    <w:rPr>
      <w:b/>
      <w:bCs/>
      <w:kern w:val="44"/>
      <w:sz w:val="44"/>
      <w:szCs w:val="44"/>
    </w:rPr>
  </w:style>
  <w:style w:type="paragraph" w:styleId="3">
    <w:name w:val="heading 3"/>
    <w:basedOn w:val="1"/>
    <w:next w:val="1"/>
    <w:link w:val="28"/>
    <w:qFormat/>
    <w:uiPriority w:val="99"/>
    <w:pPr>
      <w:keepNext/>
      <w:keepLines/>
      <w:spacing w:before="260" w:after="260" w:line="416" w:lineRule="atLeast"/>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9"/>
    <w:semiHidden/>
    <w:qFormat/>
    <w:locked/>
    <w:uiPriority w:val="99"/>
    <w:pPr>
      <w:jc w:val="left"/>
    </w:pPr>
  </w:style>
  <w:style w:type="paragraph" w:styleId="5">
    <w:name w:val="Body Text"/>
    <w:basedOn w:val="1"/>
    <w:link w:val="68"/>
    <w:semiHidden/>
    <w:unhideWhenUsed/>
    <w:qFormat/>
    <w:locked/>
    <w:uiPriority w:val="99"/>
    <w:pPr>
      <w:spacing w:after="120"/>
    </w:pPr>
  </w:style>
  <w:style w:type="paragraph" w:styleId="6">
    <w:name w:val="Body Text Indent"/>
    <w:basedOn w:val="1"/>
    <w:link w:val="31"/>
    <w:qFormat/>
    <w:uiPriority w:val="99"/>
    <w:pPr>
      <w:widowControl w:val="0"/>
      <w:snapToGrid w:val="0"/>
      <w:spacing w:before="283" w:line="560" w:lineRule="exact"/>
      <w:ind w:firstLine="510"/>
    </w:pPr>
    <w:rPr>
      <w:sz w:val="20"/>
    </w:rPr>
  </w:style>
  <w:style w:type="paragraph" w:styleId="7">
    <w:name w:val="Plain Text"/>
    <w:basedOn w:val="1"/>
    <w:next w:val="8"/>
    <w:link w:val="61"/>
    <w:qFormat/>
    <w:uiPriority w:val="99"/>
    <w:pPr>
      <w:widowControl w:val="0"/>
      <w:spacing w:line="240" w:lineRule="auto"/>
      <w:textAlignment w:val="auto"/>
    </w:pPr>
    <w:rPr>
      <w:rFonts w:ascii="宋体" w:hAnsi="Courier New"/>
    </w:rPr>
  </w:style>
  <w:style w:type="paragraph" w:styleId="8">
    <w:name w:val="Body Text Indent 2"/>
    <w:basedOn w:val="1"/>
    <w:next w:val="9"/>
    <w:qFormat/>
    <w:locked/>
    <w:uiPriority w:val="0"/>
    <w:pPr>
      <w:spacing w:line="480" w:lineRule="auto"/>
      <w:ind w:firstLine="480" w:firstLineChars="200"/>
    </w:pPr>
    <w:rPr>
      <w:rFonts w:ascii="仿宋_GB2312" w:hAnsi="宋体" w:eastAsia="仿宋_GB2312"/>
      <w:sz w:val="24"/>
      <w:szCs w:val="24"/>
    </w:rPr>
  </w:style>
  <w:style w:type="paragraph" w:customStyle="1" w:styleId="9">
    <w:name w:val="z正文"/>
    <w:basedOn w:val="7"/>
    <w:autoRedefine/>
    <w:qFormat/>
    <w:uiPriority w:val="0"/>
    <w:pPr>
      <w:tabs>
        <w:tab w:val="left" w:pos="525"/>
      </w:tabs>
      <w:snapToGrid w:val="0"/>
      <w:spacing w:line="360" w:lineRule="auto"/>
    </w:pPr>
    <w:rPr>
      <w:rFonts w:ascii="Times New Roman" w:hAnsi="宋体"/>
      <w:sz w:val="24"/>
      <w:szCs w:val="24"/>
    </w:rPr>
  </w:style>
  <w:style w:type="paragraph" w:styleId="10">
    <w:name w:val="Date"/>
    <w:basedOn w:val="1"/>
    <w:next w:val="1"/>
    <w:link w:val="33"/>
    <w:qFormat/>
    <w:uiPriority w:val="99"/>
    <w:pPr>
      <w:ind w:left="100" w:leftChars="2500"/>
    </w:pPr>
  </w:style>
  <w:style w:type="paragraph" w:styleId="11">
    <w:name w:val="Balloon Text"/>
    <w:basedOn w:val="1"/>
    <w:link w:val="34"/>
    <w:qFormat/>
    <w:uiPriority w:val="99"/>
    <w:pPr>
      <w:spacing w:line="240" w:lineRule="auto"/>
    </w:pPr>
    <w:rPr>
      <w:sz w:val="18"/>
      <w:szCs w:val="18"/>
    </w:rPr>
  </w:style>
  <w:style w:type="paragraph" w:styleId="12">
    <w:name w:val="footer"/>
    <w:basedOn w:val="1"/>
    <w:link w:val="35"/>
    <w:qFormat/>
    <w:uiPriority w:val="99"/>
    <w:pPr>
      <w:tabs>
        <w:tab w:val="center" w:pos="4153"/>
        <w:tab w:val="right" w:pos="8306"/>
      </w:tabs>
      <w:snapToGrid w:val="0"/>
      <w:spacing w:line="240" w:lineRule="atLeast"/>
      <w:jc w:val="left"/>
    </w:pPr>
    <w:rPr>
      <w:sz w:val="18"/>
      <w:szCs w:val="18"/>
    </w:rPr>
  </w:style>
  <w:style w:type="paragraph" w:styleId="13">
    <w:name w:val="header"/>
    <w:basedOn w:val="1"/>
    <w:link w:val="36"/>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paragraph" w:styleId="16">
    <w:name w:val="Body Text 2"/>
    <w:basedOn w:val="1"/>
    <w:link w:val="37"/>
    <w:qFormat/>
    <w:uiPriority w:val="99"/>
    <w:pPr>
      <w:spacing w:after="120" w:line="480" w:lineRule="auto"/>
    </w:pPr>
    <w:rPr>
      <w:sz w:val="20"/>
    </w:rPr>
  </w:style>
  <w:style w:type="paragraph" w:styleId="17">
    <w:name w:val="Normal (Web)"/>
    <w:basedOn w:val="1"/>
    <w:qFormat/>
    <w:uiPriority w:val="99"/>
    <w:pPr>
      <w:spacing w:before="100" w:beforeAutospacing="1" w:after="100" w:afterAutospacing="1" w:line="240" w:lineRule="auto"/>
      <w:jc w:val="left"/>
      <w:textAlignment w:val="auto"/>
    </w:pPr>
    <w:rPr>
      <w:rFonts w:ascii="宋体" w:hAnsi="宋体" w:cs="宋体"/>
      <w:sz w:val="24"/>
      <w:szCs w:val="24"/>
    </w:rPr>
  </w:style>
  <w:style w:type="paragraph" w:styleId="18">
    <w:name w:val="annotation subject"/>
    <w:basedOn w:val="4"/>
    <w:next w:val="4"/>
    <w:link w:val="30"/>
    <w:semiHidden/>
    <w:qFormat/>
    <w:locked/>
    <w:uiPriority w:val="99"/>
    <w:rPr>
      <w:b/>
      <w:bCs/>
    </w:rPr>
  </w:style>
  <w:style w:type="paragraph" w:styleId="19">
    <w:name w:val="Body Text First Indent"/>
    <w:basedOn w:val="5"/>
    <w:link w:val="69"/>
    <w:semiHidden/>
    <w:unhideWhenUsed/>
    <w:qFormat/>
    <w:locked/>
    <w:uiPriority w:val="99"/>
    <w:pPr>
      <w:ind w:firstLine="420" w:firstLineChars="100"/>
    </w:pPr>
  </w:style>
  <w:style w:type="table" w:styleId="21">
    <w:name w:val="Table Grid"/>
    <w:basedOn w:val="20"/>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99"/>
    <w:rPr>
      <w:rFonts w:cs="Times New Roman"/>
      <w:b/>
    </w:rPr>
  </w:style>
  <w:style w:type="character" w:styleId="24">
    <w:name w:val="page number"/>
    <w:basedOn w:val="22"/>
    <w:qFormat/>
    <w:uiPriority w:val="99"/>
    <w:rPr>
      <w:rFonts w:cs="Times New Roman"/>
    </w:rPr>
  </w:style>
  <w:style w:type="character" w:styleId="25">
    <w:name w:val="Hyperlink"/>
    <w:basedOn w:val="22"/>
    <w:qFormat/>
    <w:uiPriority w:val="99"/>
    <w:rPr>
      <w:rFonts w:cs="Times New Roman"/>
      <w:color w:val="0368A8"/>
      <w:u w:val="none"/>
    </w:rPr>
  </w:style>
  <w:style w:type="character" w:styleId="26">
    <w:name w:val="annotation reference"/>
    <w:basedOn w:val="22"/>
    <w:semiHidden/>
    <w:qFormat/>
    <w:locked/>
    <w:uiPriority w:val="99"/>
    <w:rPr>
      <w:rFonts w:cs="Times New Roman"/>
      <w:sz w:val="21"/>
      <w:szCs w:val="21"/>
    </w:rPr>
  </w:style>
  <w:style w:type="character" w:customStyle="1" w:styleId="27">
    <w:name w:val="标题 1 Char"/>
    <w:basedOn w:val="22"/>
    <w:link w:val="2"/>
    <w:qFormat/>
    <w:locked/>
    <w:uiPriority w:val="99"/>
    <w:rPr>
      <w:rFonts w:cs="Times New Roman"/>
      <w:b/>
      <w:color w:val="000000"/>
      <w:kern w:val="44"/>
      <w:sz w:val="44"/>
      <w:u w:val="none" w:color="000000"/>
    </w:rPr>
  </w:style>
  <w:style w:type="character" w:customStyle="1" w:styleId="28">
    <w:name w:val="标题 3 Char"/>
    <w:basedOn w:val="22"/>
    <w:link w:val="3"/>
    <w:semiHidden/>
    <w:qFormat/>
    <w:locked/>
    <w:uiPriority w:val="99"/>
    <w:rPr>
      <w:rFonts w:cs="Times New Roman"/>
      <w:b/>
      <w:color w:val="000000"/>
      <w:sz w:val="32"/>
      <w:u w:val="none" w:color="000000"/>
    </w:rPr>
  </w:style>
  <w:style w:type="character" w:customStyle="1" w:styleId="29">
    <w:name w:val="批注文字 Char"/>
    <w:basedOn w:val="22"/>
    <w:link w:val="4"/>
    <w:semiHidden/>
    <w:qFormat/>
    <w:locked/>
    <w:uiPriority w:val="99"/>
    <w:rPr>
      <w:rFonts w:cs="Times New Roman"/>
      <w:color w:val="000000"/>
      <w:sz w:val="21"/>
      <w:u w:color="000000"/>
    </w:rPr>
  </w:style>
  <w:style w:type="character" w:customStyle="1" w:styleId="30">
    <w:name w:val="批注主题 Char"/>
    <w:basedOn w:val="29"/>
    <w:link w:val="18"/>
    <w:semiHidden/>
    <w:qFormat/>
    <w:locked/>
    <w:uiPriority w:val="99"/>
    <w:rPr>
      <w:rFonts w:cs="Times New Roman"/>
      <w:b/>
      <w:bCs/>
      <w:color w:val="000000"/>
      <w:sz w:val="21"/>
      <w:u w:color="000000"/>
    </w:rPr>
  </w:style>
  <w:style w:type="character" w:customStyle="1" w:styleId="31">
    <w:name w:val="正文文本缩进 Char"/>
    <w:basedOn w:val="22"/>
    <w:link w:val="6"/>
    <w:semiHidden/>
    <w:qFormat/>
    <w:locked/>
    <w:uiPriority w:val="99"/>
    <w:rPr>
      <w:rFonts w:cs="Times New Roman"/>
      <w:color w:val="000000"/>
      <w:kern w:val="0"/>
      <w:sz w:val="20"/>
      <w:u w:val="none" w:color="000000"/>
    </w:rPr>
  </w:style>
  <w:style w:type="character" w:customStyle="1" w:styleId="32">
    <w:name w:val="Plain Text Char"/>
    <w:basedOn w:val="22"/>
    <w:qFormat/>
    <w:locked/>
    <w:uiPriority w:val="99"/>
    <w:rPr>
      <w:rFonts w:ascii="宋体" w:hAnsi="Courier New" w:eastAsia="宋体" w:cs="Times New Roman"/>
      <w:kern w:val="2"/>
      <w:sz w:val="21"/>
      <w:lang w:val="en-US" w:eastAsia="zh-CN"/>
    </w:rPr>
  </w:style>
  <w:style w:type="character" w:customStyle="1" w:styleId="33">
    <w:name w:val="日期 Char"/>
    <w:basedOn w:val="22"/>
    <w:link w:val="10"/>
    <w:qFormat/>
    <w:locked/>
    <w:uiPriority w:val="99"/>
    <w:rPr>
      <w:rFonts w:cs="Times New Roman"/>
      <w:color w:val="000000"/>
      <w:sz w:val="21"/>
      <w:u w:val="none" w:color="000000"/>
    </w:rPr>
  </w:style>
  <w:style w:type="character" w:customStyle="1" w:styleId="34">
    <w:name w:val="批注框文本 Char"/>
    <w:basedOn w:val="22"/>
    <w:link w:val="11"/>
    <w:qFormat/>
    <w:locked/>
    <w:uiPriority w:val="99"/>
    <w:rPr>
      <w:rFonts w:cs="Times New Roman"/>
      <w:color w:val="000000"/>
      <w:sz w:val="18"/>
      <w:u w:val="none" w:color="000000"/>
    </w:rPr>
  </w:style>
  <w:style w:type="character" w:customStyle="1" w:styleId="35">
    <w:name w:val="页脚 Char"/>
    <w:basedOn w:val="22"/>
    <w:link w:val="12"/>
    <w:semiHidden/>
    <w:qFormat/>
    <w:locked/>
    <w:uiPriority w:val="99"/>
    <w:rPr>
      <w:rFonts w:cs="Times New Roman"/>
      <w:color w:val="000000"/>
      <w:kern w:val="0"/>
      <w:sz w:val="18"/>
      <w:u w:val="none" w:color="000000"/>
    </w:rPr>
  </w:style>
  <w:style w:type="character" w:customStyle="1" w:styleId="36">
    <w:name w:val="页眉 Char"/>
    <w:basedOn w:val="22"/>
    <w:link w:val="13"/>
    <w:semiHidden/>
    <w:qFormat/>
    <w:locked/>
    <w:uiPriority w:val="99"/>
    <w:rPr>
      <w:rFonts w:cs="Times New Roman"/>
      <w:color w:val="000000"/>
      <w:kern w:val="0"/>
      <w:sz w:val="18"/>
      <w:u w:val="none" w:color="000000"/>
    </w:rPr>
  </w:style>
  <w:style w:type="character" w:customStyle="1" w:styleId="37">
    <w:name w:val="正文文本 2 Char"/>
    <w:basedOn w:val="22"/>
    <w:link w:val="16"/>
    <w:semiHidden/>
    <w:qFormat/>
    <w:locked/>
    <w:uiPriority w:val="99"/>
    <w:rPr>
      <w:rFonts w:cs="Times New Roman"/>
      <w:color w:val="000000"/>
      <w:kern w:val="0"/>
      <w:sz w:val="20"/>
      <w:u w:val="none" w:color="000000"/>
    </w:rPr>
  </w:style>
  <w:style w:type="paragraph" w:customStyle="1" w:styleId="38">
    <w:name w:val="目录1"/>
    <w:basedOn w:val="1"/>
    <w:next w:val="1"/>
    <w:qFormat/>
    <w:uiPriority w:val="99"/>
    <w:pPr>
      <w:tabs>
        <w:tab w:val="left" w:leader="dot" w:pos="8503"/>
      </w:tabs>
      <w:spacing w:after="136" w:line="289" w:lineRule="atLeast"/>
      <w:jc w:val="left"/>
    </w:pPr>
    <w:rPr>
      <w:rFonts w:ascii="Arial" w:eastAsia="黑体"/>
      <w:sz w:val="28"/>
    </w:rPr>
  </w:style>
  <w:style w:type="paragraph" w:customStyle="1" w:styleId="39">
    <w:name w:val="章标题"/>
    <w:basedOn w:val="1"/>
    <w:next w:val="40"/>
    <w:qFormat/>
    <w:uiPriority w:val="99"/>
    <w:pPr>
      <w:spacing w:before="158" w:after="153" w:line="323" w:lineRule="atLeast"/>
      <w:jc w:val="center"/>
    </w:pPr>
    <w:rPr>
      <w:rFonts w:ascii="Arial" w:eastAsia="黑体"/>
      <w:sz w:val="31"/>
    </w:rPr>
  </w:style>
  <w:style w:type="paragraph" w:customStyle="1" w:styleId="40">
    <w:name w:val="节标题"/>
    <w:basedOn w:val="1"/>
    <w:next w:val="41"/>
    <w:qFormat/>
    <w:uiPriority w:val="99"/>
    <w:pPr>
      <w:spacing w:line="289" w:lineRule="atLeast"/>
      <w:jc w:val="center"/>
    </w:pPr>
    <w:rPr>
      <w:sz w:val="28"/>
    </w:rPr>
  </w:style>
  <w:style w:type="paragraph" w:customStyle="1" w:styleId="41">
    <w:name w:val="小节标题"/>
    <w:basedOn w:val="1"/>
    <w:next w:val="1"/>
    <w:qFormat/>
    <w:uiPriority w:val="99"/>
    <w:pPr>
      <w:spacing w:before="175" w:after="102" w:line="351" w:lineRule="atLeast"/>
    </w:pPr>
    <w:rPr>
      <w:rFonts w:eastAsia="黑体"/>
    </w:rPr>
  </w:style>
  <w:style w:type="paragraph" w:customStyle="1" w:styleId="42">
    <w:name w:val="目录2"/>
    <w:basedOn w:val="1"/>
    <w:next w:val="1"/>
    <w:qFormat/>
    <w:uiPriority w:val="99"/>
    <w:pPr>
      <w:tabs>
        <w:tab w:val="left" w:leader="dot" w:pos="8503"/>
      </w:tabs>
      <w:spacing w:line="317" w:lineRule="atLeast"/>
      <w:ind w:firstLine="209"/>
    </w:pPr>
  </w:style>
  <w:style w:type="paragraph" w:customStyle="1" w:styleId="43">
    <w:name w:val="目录4"/>
    <w:basedOn w:val="1"/>
    <w:next w:val="1"/>
    <w:qFormat/>
    <w:uiPriority w:val="99"/>
    <w:pPr>
      <w:tabs>
        <w:tab w:val="left" w:leader="dot" w:pos="8503"/>
      </w:tabs>
      <w:spacing w:line="317" w:lineRule="atLeast"/>
      <w:ind w:firstLine="629"/>
    </w:pPr>
  </w:style>
  <w:style w:type="paragraph" w:customStyle="1" w:styleId="44">
    <w:name w:val="1 Char Char Char Char"/>
    <w:basedOn w:val="1"/>
    <w:qFormat/>
    <w:uiPriority w:val="99"/>
    <w:pPr>
      <w:widowControl w:val="0"/>
      <w:spacing w:line="240" w:lineRule="auto"/>
      <w:textAlignment w:val="auto"/>
    </w:pPr>
    <w:rPr>
      <w:rFonts w:ascii="Tahoma" w:hAnsi="Tahoma" w:cs="Tahoma"/>
      <w:color w:val="auto"/>
      <w:kern w:val="2"/>
      <w:sz w:val="24"/>
      <w:szCs w:val="24"/>
    </w:rPr>
  </w:style>
  <w:style w:type="paragraph" w:customStyle="1" w:styleId="45">
    <w:name w:val="Char Char Char"/>
    <w:basedOn w:val="1"/>
    <w:qFormat/>
    <w:uiPriority w:val="99"/>
    <w:pPr>
      <w:widowControl w:val="0"/>
      <w:spacing w:line="240" w:lineRule="auto"/>
      <w:textAlignment w:val="auto"/>
    </w:pPr>
    <w:rPr>
      <w:rFonts w:ascii="Tahoma" w:hAnsi="Tahoma"/>
      <w:color w:val="auto"/>
      <w:kern w:val="2"/>
      <w:sz w:val="24"/>
    </w:rPr>
  </w:style>
  <w:style w:type="paragraph" w:customStyle="1" w:styleId="46">
    <w:name w:val="目录3"/>
    <w:basedOn w:val="1"/>
    <w:next w:val="1"/>
    <w:qFormat/>
    <w:uiPriority w:val="99"/>
    <w:pPr>
      <w:tabs>
        <w:tab w:val="left" w:leader="dot" w:pos="8503"/>
      </w:tabs>
      <w:spacing w:line="317" w:lineRule="atLeast"/>
      <w:ind w:firstLine="419"/>
    </w:pPr>
  </w:style>
  <w:style w:type="paragraph" w:customStyle="1" w:styleId="47">
    <w:name w:val="目录标题"/>
    <w:basedOn w:val="1"/>
    <w:next w:val="1"/>
    <w:qFormat/>
    <w:uiPriority w:val="99"/>
    <w:pPr>
      <w:spacing w:before="566" w:after="544" w:line="566" w:lineRule="atLeast"/>
      <w:ind w:firstLine="419"/>
      <w:jc w:val="center"/>
    </w:pPr>
    <w:rPr>
      <w:rFonts w:ascii="Arial" w:eastAsia="黑体"/>
      <w:spacing w:val="566"/>
      <w:sz w:val="54"/>
    </w:rPr>
  </w:style>
  <w:style w:type="paragraph" w:customStyle="1" w:styleId="48">
    <w:name w:val="文章总标题"/>
    <w:basedOn w:val="1"/>
    <w:next w:val="49"/>
    <w:qFormat/>
    <w:uiPriority w:val="99"/>
    <w:pPr>
      <w:spacing w:before="566" w:after="544" w:line="566" w:lineRule="atLeast"/>
      <w:jc w:val="center"/>
    </w:pPr>
    <w:rPr>
      <w:rFonts w:ascii="Arial" w:eastAsia="黑体"/>
      <w:sz w:val="54"/>
    </w:rPr>
  </w:style>
  <w:style w:type="paragraph" w:customStyle="1" w:styleId="49">
    <w:name w:val="文章附标题"/>
    <w:basedOn w:val="1"/>
    <w:next w:val="39"/>
    <w:qFormat/>
    <w:uiPriority w:val="99"/>
    <w:pPr>
      <w:spacing w:before="187" w:after="175" w:line="374" w:lineRule="atLeast"/>
      <w:jc w:val="center"/>
    </w:pPr>
    <w:rPr>
      <w:sz w:val="36"/>
    </w:rPr>
  </w:style>
  <w:style w:type="paragraph" w:customStyle="1" w:styleId="50">
    <w:name w:val="Char1"/>
    <w:basedOn w:val="1"/>
    <w:qFormat/>
    <w:uiPriority w:val="99"/>
    <w:pPr>
      <w:widowControl w:val="0"/>
      <w:spacing w:line="240" w:lineRule="auto"/>
      <w:textAlignment w:val="auto"/>
    </w:pPr>
    <w:rPr>
      <w:rFonts w:ascii="Tahoma" w:hAnsi="Tahoma"/>
      <w:color w:val="auto"/>
      <w:kern w:val="2"/>
      <w:sz w:val="24"/>
    </w:rPr>
  </w:style>
  <w:style w:type="paragraph" w:customStyle="1" w:styleId="51">
    <w:name w:val="Char11"/>
    <w:basedOn w:val="1"/>
    <w:qFormat/>
    <w:uiPriority w:val="99"/>
    <w:pPr>
      <w:widowControl w:val="0"/>
      <w:spacing w:line="240" w:lineRule="auto"/>
      <w:textAlignment w:val="auto"/>
    </w:pPr>
    <w:rPr>
      <w:rFonts w:ascii="Tahoma" w:hAnsi="Tahoma"/>
      <w:color w:val="auto"/>
      <w:kern w:val="2"/>
      <w:sz w:val="24"/>
    </w:rPr>
  </w:style>
  <w:style w:type="paragraph" w:customStyle="1" w:styleId="52">
    <w:name w:val="Char Char Char Char Char Char Char"/>
    <w:basedOn w:val="1"/>
    <w:qFormat/>
    <w:uiPriority w:val="99"/>
    <w:pPr>
      <w:widowControl w:val="0"/>
      <w:spacing w:line="240" w:lineRule="auto"/>
      <w:textAlignment w:val="auto"/>
    </w:pPr>
    <w:rPr>
      <w:rFonts w:ascii="Tahoma" w:hAnsi="Tahoma"/>
      <w:color w:val="auto"/>
      <w:kern w:val="2"/>
      <w:sz w:val="24"/>
    </w:rPr>
  </w:style>
  <w:style w:type="paragraph" w:customStyle="1" w:styleId="53">
    <w:name w:val="WPS Plain"/>
    <w:qFormat/>
    <w:uiPriority w:val="99"/>
    <w:rPr>
      <w:rFonts w:ascii="Times New Roman" w:hAnsi="Times New Roman" w:eastAsia="宋体" w:cs="Times New Roman"/>
      <w:lang w:val="en-US" w:eastAsia="zh-CN" w:bidi="ar-SA"/>
    </w:rPr>
  </w:style>
  <w:style w:type="paragraph" w:customStyle="1" w:styleId="54">
    <w:name w:val="cjk"/>
    <w:basedOn w:val="1"/>
    <w:qFormat/>
    <w:uiPriority w:val="99"/>
    <w:pPr>
      <w:spacing w:before="100" w:beforeAutospacing="1" w:after="100" w:afterAutospacing="1" w:line="240" w:lineRule="auto"/>
      <w:jc w:val="left"/>
      <w:textAlignment w:val="auto"/>
    </w:pPr>
    <w:rPr>
      <w:rFonts w:ascii="宋体" w:hAnsi="宋体" w:cs="宋体"/>
      <w:color w:val="auto"/>
      <w:sz w:val="18"/>
      <w:szCs w:val="18"/>
    </w:rPr>
  </w:style>
  <w:style w:type="paragraph" w:customStyle="1" w:styleId="55">
    <w:name w:val="Default"/>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6">
    <w:name w:val="TOC Heading1"/>
    <w:basedOn w:val="2"/>
    <w:next w:val="1"/>
    <w:qFormat/>
    <w:uiPriority w:val="99"/>
    <w:pPr>
      <w:widowControl/>
      <w:spacing w:before="480" w:after="0" w:line="276" w:lineRule="auto"/>
      <w:jc w:val="left"/>
      <w:outlineLvl w:val="9"/>
    </w:pPr>
    <w:rPr>
      <w:rFonts w:ascii="Cambria" w:hAnsi="Cambria"/>
      <w:color w:val="365F91"/>
      <w:kern w:val="0"/>
      <w:sz w:val="28"/>
      <w:szCs w:val="28"/>
    </w:rPr>
  </w:style>
  <w:style w:type="paragraph" w:customStyle="1" w:styleId="57">
    <w:name w:val="List Paragraph1"/>
    <w:basedOn w:val="1"/>
    <w:qFormat/>
    <w:uiPriority w:val="99"/>
    <w:pPr>
      <w:ind w:firstLine="420" w:firstLineChars="200"/>
    </w:pPr>
  </w:style>
  <w:style w:type="character" w:customStyle="1" w:styleId="58">
    <w:name w:val="链接"/>
    <w:qFormat/>
    <w:uiPriority w:val="99"/>
    <w:rPr>
      <w:rFonts w:ascii="Times New Roman" w:eastAsia="宋体"/>
      <w:color w:val="0000FF"/>
      <w:sz w:val="21"/>
      <w:u w:val="single" w:color="0000FF"/>
      <w:lang w:val="en-US" w:eastAsia="zh-CN"/>
    </w:rPr>
  </w:style>
  <w:style w:type="character" w:customStyle="1" w:styleId="59">
    <w:name w:val="超级链接"/>
    <w:qFormat/>
    <w:uiPriority w:val="99"/>
    <w:rPr>
      <w:rFonts w:ascii="Times New Roman" w:eastAsia="宋体"/>
      <w:color w:val="0000FF"/>
      <w:sz w:val="21"/>
      <w:u w:val="single" w:color="0000FF"/>
      <w:lang w:val="en-US" w:eastAsia="zh-CN"/>
    </w:rPr>
  </w:style>
  <w:style w:type="character" w:customStyle="1" w:styleId="60">
    <w:name w:val="param_td12"/>
    <w:qFormat/>
    <w:uiPriority w:val="99"/>
  </w:style>
  <w:style w:type="character" w:customStyle="1" w:styleId="61">
    <w:name w:val="纯文本 Char"/>
    <w:link w:val="7"/>
    <w:semiHidden/>
    <w:qFormat/>
    <w:locked/>
    <w:uiPriority w:val="99"/>
    <w:rPr>
      <w:rFonts w:ascii="宋体" w:hAnsi="Courier New"/>
      <w:color w:val="000000"/>
      <w:kern w:val="0"/>
      <w:sz w:val="21"/>
      <w:u w:val="none" w:color="000000"/>
    </w:rPr>
  </w:style>
  <w:style w:type="character" w:customStyle="1" w:styleId="62">
    <w:name w:val="纯文本 Char Char"/>
    <w:qFormat/>
    <w:uiPriority w:val="99"/>
    <w:rPr>
      <w:rFonts w:ascii="宋体" w:hAnsi="Courier New" w:eastAsia="宋体"/>
      <w:kern w:val="2"/>
      <w:sz w:val="21"/>
      <w:lang w:val="en-US" w:eastAsia="zh-CN"/>
    </w:rPr>
  </w:style>
  <w:style w:type="character" w:customStyle="1" w:styleId="63">
    <w:name w:val="Char Char4"/>
    <w:qFormat/>
    <w:uiPriority w:val="99"/>
    <w:rPr>
      <w:rFonts w:ascii="宋体" w:eastAsia="宋体"/>
      <w:kern w:val="2"/>
      <w:sz w:val="28"/>
    </w:rPr>
  </w:style>
  <w:style w:type="character" w:customStyle="1" w:styleId="64">
    <w:name w:val="纯文本 Char1"/>
    <w:qFormat/>
    <w:locked/>
    <w:uiPriority w:val="99"/>
    <w:rPr>
      <w:rFonts w:ascii="宋体" w:hAnsi="Courier New"/>
      <w:kern w:val="2"/>
      <w:sz w:val="21"/>
      <w:u w:color="000000"/>
    </w:rPr>
  </w:style>
  <w:style w:type="character" w:customStyle="1" w:styleId="65">
    <w:name w:val="15"/>
    <w:basedOn w:val="22"/>
    <w:qFormat/>
    <w:uiPriority w:val="99"/>
    <w:rPr>
      <w:rFonts w:cs="Times New Roman"/>
    </w:rPr>
  </w:style>
  <w:style w:type="character" w:customStyle="1" w:styleId="66">
    <w:name w:val="样式 首行缩进:  0 字符 Char"/>
    <w:link w:val="67"/>
    <w:qFormat/>
    <w:locked/>
    <w:uiPriority w:val="0"/>
    <w:rPr>
      <w:sz w:val="24"/>
    </w:rPr>
  </w:style>
  <w:style w:type="paragraph" w:customStyle="1" w:styleId="67">
    <w:name w:val="样式 首行缩进:  0 字符"/>
    <w:basedOn w:val="1"/>
    <w:link w:val="66"/>
    <w:qFormat/>
    <w:uiPriority w:val="0"/>
    <w:pPr>
      <w:widowControl w:val="0"/>
      <w:spacing w:line="360" w:lineRule="auto"/>
      <w:ind w:firstLine="200" w:firstLineChars="200"/>
      <w:textAlignment w:val="auto"/>
    </w:pPr>
    <w:rPr>
      <w:color w:val="auto"/>
      <w:sz w:val="24"/>
    </w:rPr>
  </w:style>
  <w:style w:type="character" w:customStyle="1" w:styleId="68">
    <w:name w:val="正文文本 Char"/>
    <w:basedOn w:val="22"/>
    <w:link w:val="5"/>
    <w:semiHidden/>
    <w:qFormat/>
    <w:uiPriority w:val="99"/>
    <w:rPr>
      <w:color w:val="000000"/>
      <w:sz w:val="21"/>
      <w:u w:color="000000"/>
    </w:rPr>
  </w:style>
  <w:style w:type="character" w:customStyle="1" w:styleId="69">
    <w:name w:val="正文首行缩进 Char"/>
    <w:basedOn w:val="68"/>
    <w:link w:val="19"/>
    <w:semiHidden/>
    <w:qFormat/>
    <w:uiPriority w:val="99"/>
    <w:rPr>
      <w:color w:val="000000"/>
      <w:sz w:val="21"/>
      <w:u w:color="000000"/>
    </w:rPr>
  </w:style>
  <w:style w:type="paragraph" w:customStyle="1" w:styleId="70">
    <w:name w:val="正文文本 (2)"/>
    <w:basedOn w:val="1"/>
    <w:qFormat/>
    <w:uiPriority w:val="0"/>
    <w:pPr>
      <w:widowControl w:val="0"/>
      <w:shd w:val="clear" w:color="auto" w:fill="FFFFFF"/>
      <w:spacing w:after="660" w:line="0" w:lineRule="atLeast"/>
      <w:jc w:val="left"/>
      <w:textAlignment w:val="auto"/>
    </w:pPr>
    <w:rPr>
      <w:rFonts w:ascii="MingLiU" w:hAnsi="MingLiU" w:eastAsia="MingLiU" w:cs="MingLiU"/>
      <w:color w:val="auto"/>
      <w:spacing w:val="30"/>
      <w:sz w:val="30"/>
      <w:szCs w:val="30"/>
    </w:rPr>
  </w:style>
  <w:style w:type="character" w:customStyle="1" w:styleId="71">
    <w:name w:val="正文文本 (2) + 斜体"/>
    <w:qFormat/>
    <w:uiPriority w:val="0"/>
    <w:rPr>
      <w:rFonts w:ascii="MingLiU" w:hAnsi="MingLiU" w:eastAsia="MingLiU" w:cs="MingLiU"/>
      <w:i/>
      <w:iCs/>
      <w:color w:val="000000"/>
      <w:spacing w:val="0"/>
      <w:w w:val="100"/>
      <w:position w:val="0"/>
      <w:sz w:val="30"/>
      <w:szCs w:val="30"/>
      <w:u w:val="none"/>
      <w:lang w:val="zh-CN" w:eastAsia="zh-CN" w:bidi="zh-CN"/>
    </w:rPr>
  </w:style>
  <w:style w:type="character" w:customStyle="1" w:styleId="72">
    <w:name w:val="页眉或页脚 + Calibri"/>
    <w:qFormat/>
    <w:uiPriority w:val="0"/>
    <w:rPr>
      <w:rFonts w:ascii="Calibri" w:hAnsi="Calibri" w:eastAsia="Calibri" w:cs="Calibri"/>
      <w:color w:val="000000"/>
      <w:spacing w:val="0"/>
      <w:w w:val="100"/>
      <w:position w:val="0"/>
      <w:sz w:val="20"/>
      <w:szCs w:val="20"/>
      <w:u w:val="none"/>
      <w:lang w:val="zh-CN" w:eastAsia="zh-CN" w:bidi="zh-CN"/>
    </w:rPr>
  </w:style>
  <w:style w:type="character" w:customStyle="1" w:styleId="73">
    <w:name w:val="页眉或页脚"/>
    <w:qFormat/>
    <w:uiPriority w:val="0"/>
    <w:rPr>
      <w:rFonts w:ascii="MingLiU" w:hAnsi="MingLiU" w:eastAsia="MingLiU" w:cs="MingLiU"/>
      <w:color w:val="000000"/>
      <w:spacing w:val="0"/>
      <w:w w:val="100"/>
      <w:position w:val="0"/>
      <w:sz w:val="18"/>
      <w:szCs w:val="18"/>
      <w:u w:val="none"/>
      <w:lang w:val="zh-CN" w:eastAsia="zh-CN" w:bidi="zh-CN"/>
    </w:rPr>
  </w:style>
  <w:style w:type="paragraph" w:customStyle="1" w:styleId="74">
    <w:name w:val="Table Paragraph"/>
    <w:basedOn w:val="1"/>
    <w:qFormat/>
    <w:uiPriority w:val="1"/>
    <w:pPr>
      <w:widowControl w:val="0"/>
      <w:spacing w:line="240" w:lineRule="auto"/>
      <w:textAlignment w:val="auto"/>
    </w:pPr>
    <w:rPr>
      <w:rFonts w:ascii="Calibri" w:hAnsi="Calibri"/>
      <w:color w:val="auto"/>
      <w:kern w:val="2"/>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37</Pages>
  <Words>42868</Words>
  <Characters>44836</Characters>
  <Lines>462</Lines>
  <Paragraphs>130</Paragraphs>
  <TotalTime>32</TotalTime>
  <ScaleCrop>false</ScaleCrop>
  <LinksUpToDate>false</LinksUpToDate>
  <CharactersWithSpaces>46158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2015-09-13T11:01:00Z</dcterms:created>
  <dc:creator>ZM</dc:creator>
  <cp:lastModifiedBy>Administrator</cp:lastModifiedBy>
  <cp:lastPrinted>2019-07-05T02:51:00Z</cp:lastPrinted>
  <dcterms:modified xsi:type="dcterms:W3CDTF">2026-08-14T06:01:11Z</dcterms:modified>
  <cp:revision>472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eyJoZGlkIjoiYzIzZjE4ZmIyOGYzOGE2MTU1YmVlN2UwM2NiZjY5NDkifQ==</vt:lpwstr>
  </property>
  <property fmtid="{D5CDD505-2E9C-101B-9397-08002B2CF9AE}" pid="4" name="ICV">
    <vt:lpwstr>F620795ACC6148FBB8F518E4E1066779_12</vt:lpwstr>
  </property>
</Properties>
</file>