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441AD2">
      <w:pPr>
        <w:widowControl w:val="0"/>
        <w:snapToGrid w:val="0"/>
        <w:spacing w:line="560" w:lineRule="exact"/>
        <w:ind w:firstLine="241" w:firstLineChars="50"/>
        <w:jc w:val="center"/>
        <w:rPr>
          <w:rFonts w:eastAsia="黑体"/>
          <w:b/>
          <w:color w:val="auto"/>
          <w:spacing w:val="40"/>
          <w:sz w:val="40"/>
          <w:szCs w:val="40"/>
        </w:rPr>
      </w:pPr>
    </w:p>
    <w:p w14:paraId="5DC5D6C9">
      <w:pPr>
        <w:widowControl w:val="0"/>
        <w:snapToGrid w:val="0"/>
        <w:spacing w:line="560" w:lineRule="exact"/>
        <w:ind w:firstLine="221" w:firstLineChars="50"/>
        <w:jc w:val="distribute"/>
        <w:rPr>
          <w:rFonts w:ascii="黑体" w:eastAsia="黑体"/>
          <w:b/>
          <w:color w:val="auto"/>
          <w:sz w:val="44"/>
          <w:szCs w:val="44"/>
        </w:rPr>
      </w:pPr>
      <w:r>
        <w:rPr>
          <w:rFonts w:hint="eastAsia" w:ascii="黑体" w:eastAsia="黑体"/>
          <w:b/>
          <w:color w:val="auto"/>
          <w:sz w:val="44"/>
          <w:szCs w:val="44"/>
        </w:rPr>
        <w:t>安阳市智慧城市运行中心</w:t>
      </w:r>
    </w:p>
    <w:p w14:paraId="09CDB776">
      <w:pPr>
        <w:widowControl w:val="0"/>
        <w:snapToGrid w:val="0"/>
        <w:spacing w:line="560" w:lineRule="exact"/>
        <w:ind w:firstLine="221" w:firstLineChars="50"/>
        <w:jc w:val="distribute"/>
        <w:rPr>
          <w:rFonts w:ascii="黑体" w:eastAsia="黑体"/>
          <w:b/>
          <w:color w:val="auto"/>
          <w:spacing w:val="40"/>
          <w:sz w:val="44"/>
          <w:szCs w:val="44"/>
        </w:rPr>
      </w:pPr>
      <w:r>
        <w:rPr>
          <w:rFonts w:hint="eastAsia" w:ascii="黑体" w:eastAsia="黑体"/>
          <w:b/>
          <w:color w:val="auto"/>
          <w:sz w:val="44"/>
          <w:szCs w:val="44"/>
        </w:rPr>
        <w:t>文峰立交桥照明改造工程项目</w:t>
      </w:r>
    </w:p>
    <w:p w14:paraId="3403E68F">
      <w:pPr>
        <w:widowControl w:val="0"/>
        <w:snapToGrid w:val="0"/>
        <w:spacing w:before="240" w:beforeLines="100" w:line="560" w:lineRule="exact"/>
        <w:jc w:val="center"/>
        <w:rPr>
          <w:rFonts w:eastAsia="黑体"/>
          <w:b/>
          <w:color w:val="auto"/>
          <w:sz w:val="44"/>
        </w:rPr>
      </w:pPr>
    </w:p>
    <w:p w14:paraId="14B0DABD">
      <w:pPr>
        <w:widowControl w:val="0"/>
        <w:snapToGrid w:val="0"/>
        <w:spacing w:before="240" w:beforeLines="100" w:line="240" w:lineRule="auto"/>
        <w:jc w:val="center"/>
        <w:rPr>
          <w:rFonts w:eastAsia="黑体"/>
          <w:b/>
          <w:color w:val="auto"/>
          <w:sz w:val="44"/>
        </w:rPr>
      </w:pPr>
    </w:p>
    <w:p w14:paraId="5FC42F84">
      <w:pPr>
        <w:widowControl w:val="0"/>
        <w:snapToGrid w:val="0"/>
        <w:spacing w:before="240" w:beforeLines="100" w:line="240" w:lineRule="auto"/>
        <w:jc w:val="center"/>
        <w:rPr>
          <w:rFonts w:eastAsia="黑体"/>
          <w:b/>
          <w:color w:val="auto"/>
          <w:sz w:val="44"/>
        </w:rPr>
      </w:pPr>
    </w:p>
    <w:p w14:paraId="045FD743">
      <w:pPr>
        <w:widowControl w:val="0"/>
        <w:snapToGrid w:val="0"/>
        <w:spacing w:before="240" w:beforeLines="100" w:line="240" w:lineRule="auto"/>
        <w:jc w:val="center"/>
        <w:rPr>
          <w:rFonts w:eastAsia="黑体"/>
          <w:b/>
          <w:color w:val="auto"/>
          <w:sz w:val="44"/>
        </w:rPr>
      </w:pPr>
    </w:p>
    <w:p w14:paraId="6BD1E5ED">
      <w:pPr>
        <w:widowControl w:val="0"/>
        <w:snapToGrid w:val="0"/>
        <w:spacing w:before="240" w:beforeLines="100" w:line="240" w:lineRule="auto"/>
        <w:jc w:val="center"/>
        <w:rPr>
          <w:rFonts w:hint="eastAsia" w:ascii="华文新魏" w:hAnsi="微软雅黑" w:eastAsia="华文新魏"/>
          <w:b/>
          <w:color w:val="auto"/>
          <w:sz w:val="116"/>
          <w:szCs w:val="116"/>
        </w:rPr>
      </w:pPr>
      <w:r>
        <w:rPr>
          <w:rFonts w:hint="eastAsia" w:ascii="华文新魏" w:hAnsi="微软雅黑" w:eastAsia="华文新魏"/>
          <w:b/>
          <w:color w:val="auto"/>
          <w:sz w:val="116"/>
          <w:szCs w:val="116"/>
        </w:rPr>
        <w:t>磋</w:t>
      </w:r>
      <w:r>
        <w:rPr>
          <w:rFonts w:ascii="华文新魏" w:hAnsi="微软雅黑" w:eastAsia="华文新魏"/>
          <w:b/>
          <w:color w:val="auto"/>
          <w:sz w:val="116"/>
          <w:szCs w:val="116"/>
        </w:rPr>
        <w:t xml:space="preserve"> </w:t>
      </w:r>
      <w:r>
        <w:rPr>
          <w:rFonts w:hint="eastAsia" w:ascii="华文新魏" w:hAnsi="微软雅黑" w:eastAsia="华文新魏"/>
          <w:b/>
          <w:color w:val="auto"/>
          <w:sz w:val="116"/>
          <w:szCs w:val="116"/>
        </w:rPr>
        <w:t>商</w:t>
      </w:r>
      <w:r>
        <w:rPr>
          <w:rFonts w:ascii="华文新魏" w:hAnsi="微软雅黑" w:eastAsia="华文新魏"/>
          <w:b/>
          <w:color w:val="auto"/>
          <w:sz w:val="116"/>
          <w:szCs w:val="116"/>
        </w:rPr>
        <w:t xml:space="preserve"> </w:t>
      </w:r>
      <w:r>
        <w:rPr>
          <w:rFonts w:hint="eastAsia" w:ascii="华文新魏" w:hAnsi="微软雅黑" w:eastAsia="华文新魏"/>
          <w:b/>
          <w:color w:val="auto"/>
          <w:sz w:val="116"/>
          <w:szCs w:val="116"/>
        </w:rPr>
        <w:t>文</w:t>
      </w:r>
      <w:r>
        <w:rPr>
          <w:rFonts w:ascii="华文新魏" w:hAnsi="微软雅黑" w:eastAsia="华文新魏"/>
          <w:b/>
          <w:color w:val="auto"/>
          <w:sz w:val="116"/>
          <w:szCs w:val="116"/>
        </w:rPr>
        <w:t xml:space="preserve"> </w:t>
      </w:r>
      <w:r>
        <w:rPr>
          <w:rFonts w:hint="eastAsia" w:ascii="华文新魏" w:hAnsi="微软雅黑" w:eastAsia="华文新魏"/>
          <w:b/>
          <w:color w:val="auto"/>
          <w:sz w:val="116"/>
          <w:szCs w:val="116"/>
        </w:rPr>
        <w:t>件</w:t>
      </w:r>
    </w:p>
    <w:p w14:paraId="6E6EA4F7">
      <w:pPr>
        <w:widowControl w:val="0"/>
        <w:snapToGrid w:val="0"/>
        <w:spacing w:before="240" w:beforeLines="100" w:line="560" w:lineRule="exact"/>
        <w:jc w:val="center"/>
        <w:rPr>
          <w:rFonts w:hint="eastAsia" w:ascii="宋体" w:hAnsi="宋体"/>
          <w:color w:val="auto"/>
          <w:sz w:val="32"/>
          <w:szCs w:val="32"/>
        </w:rPr>
      </w:pPr>
      <w:r>
        <w:rPr>
          <w:rFonts w:hint="eastAsia" w:ascii="宋体" w:hAnsi="宋体"/>
          <w:color w:val="auto"/>
          <w:sz w:val="32"/>
          <w:szCs w:val="32"/>
        </w:rPr>
        <w:t>项目编号：安财磋商采购-2026-86</w:t>
      </w:r>
    </w:p>
    <w:p w14:paraId="25BB78EA">
      <w:pPr>
        <w:widowControl w:val="0"/>
        <w:snapToGrid w:val="0"/>
        <w:spacing w:before="240" w:beforeLines="100" w:line="560" w:lineRule="exact"/>
        <w:jc w:val="center"/>
        <w:rPr>
          <w:rFonts w:eastAsia="黑体"/>
          <w:b/>
          <w:color w:val="auto"/>
          <w:sz w:val="44"/>
        </w:rPr>
      </w:pPr>
    </w:p>
    <w:p w14:paraId="241A731D">
      <w:pPr>
        <w:widowControl w:val="0"/>
        <w:snapToGrid w:val="0"/>
        <w:spacing w:before="240" w:beforeLines="100" w:line="560" w:lineRule="exact"/>
        <w:jc w:val="center"/>
        <w:rPr>
          <w:rFonts w:eastAsia="黑体"/>
          <w:b/>
          <w:color w:val="auto"/>
          <w:sz w:val="44"/>
        </w:rPr>
      </w:pPr>
    </w:p>
    <w:p w14:paraId="25BEEBAA">
      <w:pPr>
        <w:widowControl w:val="0"/>
        <w:snapToGrid w:val="0"/>
        <w:spacing w:before="240" w:beforeLines="100" w:line="560" w:lineRule="exact"/>
        <w:jc w:val="center"/>
        <w:rPr>
          <w:rFonts w:eastAsia="黑体"/>
          <w:b/>
          <w:color w:val="auto"/>
          <w:sz w:val="44"/>
        </w:rPr>
      </w:pPr>
    </w:p>
    <w:p w14:paraId="2863A137">
      <w:pPr>
        <w:widowControl w:val="0"/>
        <w:snapToGrid w:val="0"/>
        <w:spacing w:before="240" w:beforeLines="100" w:line="560" w:lineRule="exact"/>
        <w:jc w:val="center"/>
        <w:rPr>
          <w:rFonts w:eastAsia="黑体"/>
          <w:b/>
          <w:color w:val="auto"/>
          <w:sz w:val="44"/>
        </w:rPr>
      </w:pPr>
    </w:p>
    <w:p w14:paraId="112C8743">
      <w:pPr>
        <w:widowControl w:val="0"/>
        <w:snapToGrid w:val="0"/>
        <w:spacing w:before="240" w:beforeLines="100" w:line="560" w:lineRule="exact"/>
        <w:jc w:val="center"/>
        <w:rPr>
          <w:rFonts w:eastAsia="黑体"/>
          <w:b/>
          <w:color w:val="auto"/>
          <w:sz w:val="44"/>
        </w:rPr>
      </w:pPr>
    </w:p>
    <w:p w14:paraId="744DC55E">
      <w:pPr>
        <w:widowControl w:val="0"/>
        <w:snapToGrid w:val="0"/>
        <w:spacing w:before="240" w:beforeLines="100" w:line="560" w:lineRule="exact"/>
        <w:rPr>
          <w:rFonts w:eastAsia="黑体"/>
          <w:b/>
          <w:color w:val="auto"/>
          <w:sz w:val="44"/>
        </w:rPr>
      </w:pPr>
    </w:p>
    <w:p w14:paraId="6699918B">
      <w:pPr>
        <w:widowControl w:val="0"/>
        <w:snapToGrid w:val="0"/>
        <w:spacing w:line="660" w:lineRule="exact"/>
        <w:ind w:firstLine="540" w:firstLineChars="168"/>
        <w:rPr>
          <w:rFonts w:hint="eastAsia" w:ascii="黑体" w:hAnsi="黑体" w:eastAsia="黑体"/>
          <w:b/>
          <w:color w:val="auto"/>
          <w:sz w:val="32"/>
          <w:szCs w:val="32"/>
        </w:rPr>
      </w:pPr>
      <w:r>
        <w:rPr>
          <w:rFonts w:hint="eastAsia" w:ascii="黑体" w:hAnsi="黑体" w:eastAsia="黑体"/>
          <w:b/>
          <w:color w:val="auto"/>
          <w:sz w:val="32"/>
          <w:szCs w:val="32"/>
        </w:rPr>
        <w:t>采购人：安阳市智慧城市运行中心</w:t>
      </w:r>
    </w:p>
    <w:p w14:paraId="2C717F01">
      <w:pPr>
        <w:widowControl w:val="0"/>
        <w:snapToGrid w:val="0"/>
        <w:spacing w:line="660" w:lineRule="exact"/>
        <w:ind w:firstLine="540" w:firstLineChars="168"/>
        <w:rPr>
          <w:rFonts w:hint="eastAsia" w:ascii="黑体" w:hAnsi="黑体" w:eastAsia="黑体"/>
          <w:b/>
          <w:color w:val="auto"/>
          <w:sz w:val="32"/>
          <w:szCs w:val="32"/>
        </w:rPr>
        <w:sectPr>
          <w:footerReference r:id="rId8" w:type="first"/>
          <w:headerReference r:id="rId5" w:type="default"/>
          <w:footerReference r:id="rId6" w:type="default"/>
          <w:footerReference r:id="rId7" w:type="even"/>
          <w:pgSz w:w="11905" w:h="16837"/>
          <w:pgMar w:top="1418" w:right="1106" w:bottom="1418" w:left="1418" w:header="567" w:footer="567" w:gutter="0"/>
          <w:pgNumType w:fmt="numberInDash" w:start="0"/>
          <w:cols w:space="720" w:num="1"/>
          <w:titlePg/>
        </w:sectPr>
      </w:pPr>
      <w:r>
        <w:rPr>
          <w:rFonts w:hint="eastAsia" w:ascii="黑体" w:hAnsi="黑体" w:eastAsia="黑体"/>
          <w:b/>
          <w:color w:val="auto"/>
          <w:sz w:val="32"/>
          <w:szCs w:val="32"/>
        </w:rPr>
        <w:t>代理机构：安阳市方正招标采购服务有限责任公司</w:t>
      </w:r>
    </w:p>
    <w:p w14:paraId="1922065C">
      <w:pPr>
        <w:widowControl w:val="0"/>
        <w:snapToGrid w:val="0"/>
        <w:spacing w:line="660" w:lineRule="exact"/>
        <w:ind w:firstLine="540" w:firstLineChars="168"/>
        <w:rPr>
          <w:rFonts w:hint="eastAsia" w:ascii="黑体" w:hAnsi="黑体" w:eastAsia="黑体"/>
          <w:b/>
          <w:color w:val="auto"/>
          <w:sz w:val="32"/>
          <w:szCs w:val="32"/>
        </w:rPr>
      </w:pPr>
    </w:p>
    <w:p w14:paraId="495AA55A">
      <w:pPr>
        <w:jc w:val="center"/>
        <w:rPr>
          <w:color w:val="auto"/>
        </w:rPr>
      </w:pPr>
      <w:r>
        <w:rPr>
          <w:rFonts w:hint="eastAsia" w:ascii="黑体" w:hAnsi="黑体" w:eastAsia="黑体"/>
          <w:color w:val="auto"/>
          <w:sz w:val="36"/>
          <w:szCs w:val="36"/>
          <w:lang w:val="zh-CN"/>
        </w:rPr>
        <w:t>目录</w:t>
      </w:r>
      <w:r>
        <w:rPr>
          <w:color w:val="auto"/>
        </w:rPr>
        <w:fldChar w:fldCharType="begin"/>
      </w:r>
      <w:r>
        <w:rPr>
          <w:color w:val="auto"/>
        </w:rPr>
        <w:instrText xml:space="preserve"> TOC \o "1-3" \h \z \u </w:instrText>
      </w:r>
      <w:r>
        <w:rPr>
          <w:color w:val="auto"/>
        </w:rPr>
        <w:fldChar w:fldCharType="separate"/>
      </w:r>
    </w:p>
    <w:p w14:paraId="358654CC">
      <w:pPr>
        <w:pStyle w:val="14"/>
        <w:tabs>
          <w:tab w:val="right" w:leader="dot" w:pos="9381"/>
        </w:tabs>
        <w:rPr>
          <w:color w:val="auto"/>
        </w:rPr>
      </w:pPr>
    </w:p>
    <w:p w14:paraId="7D6FED8C">
      <w:pPr>
        <w:pStyle w:val="14"/>
        <w:tabs>
          <w:tab w:val="right" w:leader="dot" w:pos="9381"/>
        </w:tabs>
        <w:rPr>
          <w:color w:val="auto"/>
        </w:rPr>
      </w:pPr>
      <w:r>
        <w:fldChar w:fldCharType="begin"/>
      </w:r>
      <w:r>
        <w:instrText xml:space="preserve"> HYPERLINK \l "_Toc14368" </w:instrText>
      </w:r>
      <w:r>
        <w:fldChar w:fldCharType="separate"/>
      </w:r>
      <w:r>
        <w:rPr>
          <w:rFonts w:hint="eastAsia" w:eastAsia="黑体"/>
          <w:color w:val="auto"/>
          <w:szCs w:val="36"/>
        </w:rPr>
        <w:t>第一章</w:t>
      </w:r>
      <w:r>
        <w:rPr>
          <w:rFonts w:eastAsia="黑体"/>
          <w:color w:val="auto"/>
          <w:szCs w:val="36"/>
        </w:rPr>
        <w:t xml:space="preserve">  </w:t>
      </w:r>
      <w:r>
        <w:rPr>
          <w:rFonts w:hint="eastAsia" w:eastAsia="黑体"/>
          <w:color w:val="auto"/>
          <w:szCs w:val="36"/>
        </w:rPr>
        <w:t>竞争性磋商公告</w:t>
      </w:r>
      <w:r>
        <w:rPr>
          <w:color w:val="auto"/>
        </w:rPr>
        <w:tab/>
      </w:r>
      <w:r>
        <w:rPr>
          <w:color w:val="auto"/>
        </w:rPr>
        <w:fldChar w:fldCharType="begin"/>
      </w:r>
      <w:r>
        <w:rPr>
          <w:color w:val="auto"/>
        </w:rPr>
        <w:instrText xml:space="preserve"> PAGEREF _Toc14368 \h </w:instrText>
      </w:r>
      <w:r>
        <w:rPr>
          <w:color w:val="auto"/>
        </w:rPr>
        <w:fldChar w:fldCharType="separate"/>
      </w:r>
      <w:r>
        <w:rPr>
          <w:color w:val="auto"/>
        </w:rPr>
        <w:t>- 1 -</w:t>
      </w:r>
      <w:r>
        <w:rPr>
          <w:color w:val="auto"/>
        </w:rPr>
        <w:fldChar w:fldCharType="end"/>
      </w:r>
      <w:r>
        <w:rPr>
          <w:color w:val="auto"/>
        </w:rPr>
        <w:fldChar w:fldCharType="end"/>
      </w:r>
    </w:p>
    <w:p w14:paraId="49F91316">
      <w:pPr>
        <w:pStyle w:val="14"/>
        <w:tabs>
          <w:tab w:val="right" w:leader="dot" w:pos="9381"/>
        </w:tabs>
        <w:rPr>
          <w:color w:val="auto"/>
        </w:rPr>
      </w:pPr>
      <w:r>
        <w:fldChar w:fldCharType="begin"/>
      </w:r>
      <w:r>
        <w:instrText xml:space="preserve"> HYPERLINK \l "_Toc28256" </w:instrText>
      </w:r>
      <w:r>
        <w:fldChar w:fldCharType="separate"/>
      </w:r>
      <w:r>
        <w:rPr>
          <w:rFonts w:hint="eastAsia" w:eastAsia="黑体"/>
          <w:color w:val="auto"/>
          <w:szCs w:val="36"/>
        </w:rPr>
        <w:t>第二章</w:t>
      </w:r>
      <w:r>
        <w:rPr>
          <w:rFonts w:eastAsia="黑体"/>
          <w:color w:val="auto"/>
          <w:szCs w:val="36"/>
        </w:rPr>
        <w:t xml:space="preserve">  </w:t>
      </w:r>
      <w:r>
        <w:rPr>
          <w:rFonts w:hint="eastAsia" w:eastAsia="黑体"/>
          <w:color w:val="auto"/>
          <w:szCs w:val="36"/>
        </w:rPr>
        <w:t>采购项目及技术服务要求</w:t>
      </w:r>
      <w:r>
        <w:rPr>
          <w:color w:val="auto"/>
        </w:rPr>
        <w:tab/>
      </w:r>
      <w:r>
        <w:rPr>
          <w:color w:val="auto"/>
        </w:rPr>
        <w:fldChar w:fldCharType="begin"/>
      </w:r>
      <w:r>
        <w:rPr>
          <w:color w:val="auto"/>
        </w:rPr>
        <w:instrText xml:space="preserve"> PAGEREF _Toc28256 \h </w:instrText>
      </w:r>
      <w:r>
        <w:rPr>
          <w:color w:val="auto"/>
        </w:rPr>
        <w:fldChar w:fldCharType="separate"/>
      </w:r>
      <w:r>
        <w:rPr>
          <w:color w:val="auto"/>
        </w:rPr>
        <w:t>- 7 -</w:t>
      </w:r>
      <w:r>
        <w:rPr>
          <w:color w:val="auto"/>
        </w:rPr>
        <w:fldChar w:fldCharType="end"/>
      </w:r>
      <w:r>
        <w:rPr>
          <w:color w:val="auto"/>
        </w:rPr>
        <w:fldChar w:fldCharType="end"/>
      </w:r>
    </w:p>
    <w:p w14:paraId="735E1D50">
      <w:pPr>
        <w:pStyle w:val="15"/>
        <w:tabs>
          <w:tab w:val="right" w:leader="dot" w:pos="9381"/>
        </w:tabs>
        <w:rPr>
          <w:color w:val="auto"/>
        </w:rPr>
      </w:pPr>
      <w:r>
        <w:fldChar w:fldCharType="begin"/>
      </w:r>
      <w:r>
        <w:instrText xml:space="preserve"> HYPERLINK \l "_Toc21973" </w:instrText>
      </w:r>
      <w:r>
        <w:fldChar w:fldCharType="separate"/>
      </w:r>
      <w:r>
        <w:rPr>
          <w:rFonts w:ascii="黑体" w:hAnsi="黑体" w:eastAsia="黑体"/>
          <w:color w:val="auto"/>
        </w:rPr>
        <w:t xml:space="preserve">1. </w:t>
      </w:r>
      <w:r>
        <w:rPr>
          <w:rFonts w:hint="eastAsia" w:ascii="黑体" w:hAnsi="黑体" w:eastAsia="黑体"/>
          <w:color w:val="auto"/>
        </w:rPr>
        <w:t>采购项目、标段（包）划分、磋商报价</w:t>
      </w:r>
      <w:r>
        <w:rPr>
          <w:color w:val="auto"/>
        </w:rPr>
        <w:tab/>
      </w:r>
      <w:r>
        <w:rPr>
          <w:color w:val="auto"/>
        </w:rPr>
        <w:fldChar w:fldCharType="begin"/>
      </w:r>
      <w:r>
        <w:rPr>
          <w:color w:val="auto"/>
        </w:rPr>
        <w:instrText xml:space="preserve"> PAGEREF _Toc21973 \h </w:instrText>
      </w:r>
      <w:r>
        <w:rPr>
          <w:color w:val="auto"/>
        </w:rPr>
        <w:fldChar w:fldCharType="separate"/>
      </w:r>
      <w:r>
        <w:rPr>
          <w:color w:val="auto"/>
        </w:rPr>
        <w:t>- 7 -</w:t>
      </w:r>
      <w:r>
        <w:rPr>
          <w:color w:val="auto"/>
        </w:rPr>
        <w:fldChar w:fldCharType="end"/>
      </w:r>
      <w:r>
        <w:rPr>
          <w:color w:val="auto"/>
        </w:rPr>
        <w:fldChar w:fldCharType="end"/>
      </w:r>
    </w:p>
    <w:p w14:paraId="7C977C98">
      <w:pPr>
        <w:pStyle w:val="15"/>
        <w:tabs>
          <w:tab w:val="right" w:leader="dot" w:pos="9381"/>
        </w:tabs>
        <w:rPr>
          <w:color w:val="auto"/>
        </w:rPr>
      </w:pPr>
      <w:r>
        <w:fldChar w:fldCharType="begin"/>
      </w:r>
      <w:r>
        <w:instrText xml:space="preserve"> HYPERLINK \l "_Toc4679" </w:instrText>
      </w:r>
      <w:r>
        <w:fldChar w:fldCharType="separate"/>
      </w:r>
      <w:r>
        <w:rPr>
          <w:rFonts w:ascii="黑体" w:hAnsi="黑体" w:eastAsia="黑体"/>
          <w:color w:val="auto"/>
        </w:rPr>
        <w:t xml:space="preserve">2. </w:t>
      </w:r>
      <w:r>
        <w:rPr>
          <w:rFonts w:hint="eastAsia" w:ascii="黑体" w:hAnsi="黑体" w:eastAsia="黑体"/>
          <w:color w:val="auto"/>
        </w:rPr>
        <w:t>标段（包）内容（范围）及基本技术要求</w:t>
      </w:r>
      <w:r>
        <w:rPr>
          <w:color w:val="auto"/>
        </w:rPr>
        <w:tab/>
      </w:r>
      <w:r>
        <w:rPr>
          <w:color w:val="auto"/>
        </w:rPr>
        <w:fldChar w:fldCharType="begin"/>
      </w:r>
      <w:r>
        <w:rPr>
          <w:color w:val="auto"/>
        </w:rPr>
        <w:instrText xml:space="preserve"> PAGEREF _Toc4679 \h </w:instrText>
      </w:r>
      <w:r>
        <w:rPr>
          <w:color w:val="auto"/>
        </w:rPr>
        <w:fldChar w:fldCharType="separate"/>
      </w:r>
      <w:r>
        <w:rPr>
          <w:color w:val="auto"/>
        </w:rPr>
        <w:t>- 8 -</w:t>
      </w:r>
      <w:r>
        <w:rPr>
          <w:color w:val="auto"/>
        </w:rPr>
        <w:fldChar w:fldCharType="end"/>
      </w:r>
      <w:r>
        <w:rPr>
          <w:color w:val="auto"/>
        </w:rPr>
        <w:fldChar w:fldCharType="end"/>
      </w:r>
    </w:p>
    <w:p w14:paraId="5A93E135">
      <w:pPr>
        <w:pStyle w:val="15"/>
        <w:tabs>
          <w:tab w:val="right" w:leader="dot" w:pos="9381"/>
        </w:tabs>
        <w:rPr>
          <w:color w:val="auto"/>
        </w:rPr>
      </w:pPr>
      <w:r>
        <w:fldChar w:fldCharType="begin"/>
      </w:r>
      <w:r>
        <w:instrText xml:space="preserve"> HYPERLINK \l "_Toc4146" </w:instrText>
      </w:r>
      <w:r>
        <w:fldChar w:fldCharType="separate"/>
      </w:r>
      <w:r>
        <w:rPr>
          <w:rFonts w:hint="eastAsia" w:ascii="黑体" w:hAnsi="黑体" w:eastAsia="黑体"/>
          <w:color w:val="auto"/>
        </w:rPr>
        <w:t>3</w:t>
      </w:r>
      <w:r>
        <w:rPr>
          <w:rFonts w:ascii="黑体" w:hAnsi="黑体" w:eastAsia="黑体"/>
          <w:color w:val="auto"/>
        </w:rPr>
        <w:t xml:space="preserve">. </w:t>
      </w:r>
      <w:r>
        <w:rPr>
          <w:rFonts w:hint="eastAsia" w:ascii="黑体" w:hAnsi="黑体" w:eastAsia="黑体"/>
          <w:color w:val="auto"/>
        </w:rPr>
        <w:t>项目其他要求</w:t>
      </w:r>
      <w:r>
        <w:rPr>
          <w:color w:val="auto"/>
        </w:rPr>
        <w:tab/>
      </w:r>
      <w:r>
        <w:rPr>
          <w:color w:val="auto"/>
        </w:rPr>
        <w:fldChar w:fldCharType="begin"/>
      </w:r>
      <w:r>
        <w:rPr>
          <w:color w:val="auto"/>
        </w:rPr>
        <w:instrText xml:space="preserve"> PAGEREF _Toc4146 \h </w:instrText>
      </w:r>
      <w:r>
        <w:rPr>
          <w:color w:val="auto"/>
        </w:rPr>
        <w:fldChar w:fldCharType="separate"/>
      </w:r>
      <w:r>
        <w:rPr>
          <w:color w:val="auto"/>
        </w:rPr>
        <w:t>- 23 -</w:t>
      </w:r>
      <w:r>
        <w:rPr>
          <w:color w:val="auto"/>
        </w:rPr>
        <w:fldChar w:fldCharType="end"/>
      </w:r>
      <w:r>
        <w:rPr>
          <w:color w:val="auto"/>
        </w:rPr>
        <w:fldChar w:fldCharType="end"/>
      </w:r>
    </w:p>
    <w:p w14:paraId="7633902F">
      <w:pPr>
        <w:pStyle w:val="14"/>
        <w:tabs>
          <w:tab w:val="right" w:leader="dot" w:pos="9381"/>
        </w:tabs>
        <w:rPr>
          <w:color w:val="auto"/>
        </w:rPr>
      </w:pPr>
      <w:r>
        <w:fldChar w:fldCharType="begin"/>
      </w:r>
      <w:r>
        <w:instrText xml:space="preserve"> HYPERLINK \l "_Toc6554" </w:instrText>
      </w:r>
      <w:r>
        <w:fldChar w:fldCharType="separate"/>
      </w:r>
      <w:r>
        <w:rPr>
          <w:rFonts w:hint="eastAsia" w:eastAsia="黑体"/>
          <w:color w:val="auto"/>
          <w:szCs w:val="36"/>
        </w:rPr>
        <w:t>第三章</w:t>
      </w:r>
      <w:r>
        <w:rPr>
          <w:rFonts w:eastAsia="黑体"/>
          <w:color w:val="auto"/>
          <w:szCs w:val="36"/>
        </w:rPr>
        <w:t xml:space="preserve">  </w:t>
      </w:r>
      <w:r>
        <w:rPr>
          <w:rFonts w:hint="eastAsia" w:eastAsia="黑体"/>
          <w:color w:val="auto"/>
          <w:szCs w:val="36"/>
        </w:rPr>
        <w:t>供应商须知</w:t>
      </w:r>
      <w:r>
        <w:rPr>
          <w:color w:val="auto"/>
        </w:rPr>
        <w:tab/>
      </w:r>
      <w:r>
        <w:rPr>
          <w:color w:val="auto"/>
        </w:rPr>
        <w:fldChar w:fldCharType="begin"/>
      </w:r>
      <w:r>
        <w:rPr>
          <w:color w:val="auto"/>
        </w:rPr>
        <w:instrText xml:space="preserve"> PAGEREF _Toc6554 \h </w:instrText>
      </w:r>
      <w:r>
        <w:rPr>
          <w:color w:val="auto"/>
        </w:rPr>
        <w:fldChar w:fldCharType="separate"/>
      </w:r>
      <w:r>
        <w:rPr>
          <w:color w:val="auto"/>
        </w:rPr>
        <w:t>- 24 -</w:t>
      </w:r>
      <w:r>
        <w:rPr>
          <w:color w:val="auto"/>
        </w:rPr>
        <w:fldChar w:fldCharType="end"/>
      </w:r>
      <w:r>
        <w:rPr>
          <w:color w:val="auto"/>
        </w:rPr>
        <w:fldChar w:fldCharType="end"/>
      </w:r>
    </w:p>
    <w:p w14:paraId="332F446D">
      <w:pPr>
        <w:pStyle w:val="15"/>
        <w:tabs>
          <w:tab w:val="right" w:leader="dot" w:pos="9381"/>
        </w:tabs>
        <w:rPr>
          <w:color w:val="auto"/>
        </w:rPr>
      </w:pPr>
      <w:r>
        <w:fldChar w:fldCharType="begin"/>
      </w:r>
      <w:r>
        <w:instrText xml:space="preserve"> HYPERLINK \l "_Toc23832" </w:instrText>
      </w:r>
      <w:r>
        <w:fldChar w:fldCharType="separate"/>
      </w:r>
      <w:r>
        <w:rPr>
          <w:rFonts w:hint="eastAsia" w:eastAsia="黑体"/>
          <w:color w:val="auto"/>
          <w:szCs w:val="28"/>
        </w:rPr>
        <w:t>供应商须知前附表</w:t>
      </w:r>
      <w:r>
        <w:rPr>
          <w:color w:val="auto"/>
        </w:rPr>
        <w:tab/>
      </w:r>
      <w:r>
        <w:rPr>
          <w:color w:val="auto"/>
        </w:rPr>
        <w:fldChar w:fldCharType="begin"/>
      </w:r>
      <w:r>
        <w:rPr>
          <w:color w:val="auto"/>
        </w:rPr>
        <w:instrText xml:space="preserve"> PAGEREF _Toc23832 \h </w:instrText>
      </w:r>
      <w:r>
        <w:rPr>
          <w:color w:val="auto"/>
        </w:rPr>
        <w:fldChar w:fldCharType="separate"/>
      </w:r>
      <w:r>
        <w:rPr>
          <w:color w:val="auto"/>
        </w:rPr>
        <w:t>- 24 -</w:t>
      </w:r>
      <w:r>
        <w:rPr>
          <w:color w:val="auto"/>
        </w:rPr>
        <w:fldChar w:fldCharType="end"/>
      </w:r>
      <w:r>
        <w:rPr>
          <w:color w:val="auto"/>
        </w:rPr>
        <w:fldChar w:fldCharType="end"/>
      </w:r>
    </w:p>
    <w:p w14:paraId="3760CC0F">
      <w:pPr>
        <w:pStyle w:val="15"/>
        <w:tabs>
          <w:tab w:val="right" w:leader="dot" w:pos="9381"/>
        </w:tabs>
        <w:rPr>
          <w:color w:val="auto"/>
        </w:rPr>
      </w:pPr>
      <w:r>
        <w:fldChar w:fldCharType="begin"/>
      </w:r>
      <w:r>
        <w:instrText xml:space="preserve"> HYPERLINK \l "_Toc30701" </w:instrText>
      </w:r>
      <w:r>
        <w:fldChar w:fldCharType="separate"/>
      </w:r>
      <w:r>
        <w:rPr>
          <w:rFonts w:ascii="黑体" w:hAnsi="黑体" w:eastAsia="黑体" w:cs="楷体_GB2312"/>
          <w:bCs/>
          <w:color w:val="auto"/>
          <w:szCs w:val="28"/>
          <w:lang w:val="zh-CN"/>
        </w:rPr>
        <w:t xml:space="preserve">1. </w:t>
      </w:r>
      <w:r>
        <w:rPr>
          <w:rFonts w:hint="eastAsia" w:ascii="黑体" w:hAnsi="黑体" w:eastAsia="黑体" w:cs="楷体_GB2312"/>
          <w:bCs/>
          <w:color w:val="auto"/>
          <w:szCs w:val="28"/>
          <w:lang w:val="zh-CN"/>
        </w:rPr>
        <w:t>总则</w:t>
      </w:r>
      <w:r>
        <w:rPr>
          <w:color w:val="auto"/>
        </w:rPr>
        <w:tab/>
      </w:r>
      <w:r>
        <w:rPr>
          <w:color w:val="auto"/>
        </w:rPr>
        <w:fldChar w:fldCharType="begin"/>
      </w:r>
      <w:r>
        <w:rPr>
          <w:color w:val="auto"/>
        </w:rPr>
        <w:instrText xml:space="preserve"> PAGEREF _Toc30701 \h </w:instrText>
      </w:r>
      <w:r>
        <w:rPr>
          <w:color w:val="auto"/>
        </w:rPr>
        <w:fldChar w:fldCharType="separate"/>
      </w:r>
      <w:r>
        <w:rPr>
          <w:color w:val="auto"/>
        </w:rPr>
        <w:t>- 27 -</w:t>
      </w:r>
      <w:r>
        <w:rPr>
          <w:color w:val="auto"/>
        </w:rPr>
        <w:fldChar w:fldCharType="end"/>
      </w:r>
      <w:r>
        <w:rPr>
          <w:color w:val="auto"/>
        </w:rPr>
        <w:fldChar w:fldCharType="end"/>
      </w:r>
    </w:p>
    <w:p w14:paraId="178139B6">
      <w:pPr>
        <w:pStyle w:val="15"/>
        <w:tabs>
          <w:tab w:val="right" w:leader="dot" w:pos="9381"/>
        </w:tabs>
        <w:rPr>
          <w:color w:val="auto"/>
        </w:rPr>
      </w:pPr>
      <w:r>
        <w:fldChar w:fldCharType="begin"/>
      </w:r>
      <w:r>
        <w:instrText xml:space="preserve"> HYPERLINK \l "_Toc10806" </w:instrText>
      </w:r>
      <w:r>
        <w:fldChar w:fldCharType="separate"/>
      </w:r>
      <w:r>
        <w:rPr>
          <w:rFonts w:ascii="黑体" w:hAnsi="黑体" w:eastAsia="黑体" w:cs="楷体_GB2312"/>
          <w:bCs/>
          <w:color w:val="auto"/>
          <w:szCs w:val="28"/>
          <w:lang w:val="zh-CN"/>
        </w:rPr>
        <w:t xml:space="preserve">2. </w:t>
      </w:r>
      <w:r>
        <w:rPr>
          <w:rFonts w:hint="eastAsia" w:ascii="黑体" w:hAnsi="黑体" w:eastAsia="黑体" w:cs="楷体_GB2312"/>
          <w:bCs/>
          <w:color w:val="auto"/>
          <w:szCs w:val="28"/>
          <w:lang w:val="zh-CN"/>
        </w:rPr>
        <w:t>《磋商文件》</w:t>
      </w:r>
      <w:r>
        <w:rPr>
          <w:color w:val="auto"/>
        </w:rPr>
        <w:tab/>
      </w:r>
      <w:r>
        <w:rPr>
          <w:color w:val="auto"/>
        </w:rPr>
        <w:fldChar w:fldCharType="begin"/>
      </w:r>
      <w:r>
        <w:rPr>
          <w:color w:val="auto"/>
        </w:rPr>
        <w:instrText xml:space="preserve"> PAGEREF _Toc10806 \h </w:instrText>
      </w:r>
      <w:r>
        <w:rPr>
          <w:color w:val="auto"/>
        </w:rPr>
        <w:fldChar w:fldCharType="separate"/>
      </w:r>
      <w:r>
        <w:rPr>
          <w:color w:val="auto"/>
        </w:rPr>
        <w:t>- 30 -</w:t>
      </w:r>
      <w:r>
        <w:rPr>
          <w:color w:val="auto"/>
        </w:rPr>
        <w:fldChar w:fldCharType="end"/>
      </w:r>
      <w:r>
        <w:rPr>
          <w:color w:val="auto"/>
        </w:rPr>
        <w:fldChar w:fldCharType="end"/>
      </w:r>
    </w:p>
    <w:p w14:paraId="538FC1EC">
      <w:pPr>
        <w:pStyle w:val="15"/>
        <w:tabs>
          <w:tab w:val="right" w:leader="dot" w:pos="9381"/>
        </w:tabs>
        <w:rPr>
          <w:color w:val="auto"/>
        </w:rPr>
      </w:pPr>
      <w:r>
        <w:fldChar w:fldCharType="begin"/>
      </w:r>
      <w:r>
        <w:instrText xml:space="preserve"> HYPERLINK \l "_Toc13038" </w:instrText>
      </w:r>
      <w:r>
        <w:fldChar w:fldCharType="separate"/>
      </w:r>
      <w:r>
        <w:rPr>
          <w:rFonts w:ascii="黑体" w:hAnsi="黑体" w:eastAsia="黑体" w:cs="楷体_GB2312"/>
          <w:bCs/>
          <w:color w:val="auto"/>
          <w:szCs w:val="28"/>
          <w:lang w:val="zh-CN"/>
        </w:rPr>
        <w:t xml:space="preserve">3. </w:t>
      </w:r>
      <w:r>
        <w:rPr>
          <w:rFonts w:hint="eastAsia" w:ascii="黑体" w:hAnsi="黑体" w:eastAsia="黑体" w:cs="楷体_GB2312"/>
          <w:bCs/>
          <w:color w:val="auto"/>
          <w:szCs w:val="28"/>
          <w:lang w:val="zh-CN"/>
        </w:rPr>
        <w:t>《响应文件》</w:t>
      </w:r>
      <w:r>
        <w:rPr>
          <w:color w:val="auto"/>
        </w:rPr>
        <w:tab/>
      </w:r>
      <w:r>
        <w:rPr>
          <w:color w:val="auto"/>
        </w:rPr>
        <w:fldChar w:fldCharType="begin"/>
      </w:r>
      <w:r>
        <w:rPr>
          <w:color w:val="auto"/>
        </w:rPr>
        <w:instrText xml:space="preserve"> PAGEREF _Toc13038 \h </w:instrText>
      </w:r>
      <w:r>
        <w:rPr>
          <w:color w:val="auto"/>
        </w:rPr>
        <w:fldChar w:fldCharType="separate"/>
      </w:r>
      <w:r>
        <w:rPr>
          <w:color w:val="auto"/>
        </w:rPr>
        <w:t>- 31 -</w:t>
      </w:r>
      <w:r>
        <w:rPr>
          <w:color w:val="auto"/>
        </w:rPr>
        <w:fldChar w:fldCharType="end"/>
      </w:r>
      <w:r>
        <w:rPr>
          <w:color w:val="auto"/>
        </w:rPr>
        <w:fldChar w:fldCharType="end"/>
      </w:r>
    </w:p>
    <w:p w14:paraId="4D0F6D86">
      <w:pPr>
        <w:pStyle w:val="15"/>
        <w:tabs>
          <w:tab w:val="right" w:leader="dot" w:pos="9381"/>
        </w:tabs>
        <w:rPr>
          <w:color w:val="auto"/>
        </w:rPr>
      </w:pPr>
      <w:r>
        <w:fldChar w:fldCharType="begin"/>
      </w:r>
      <w:r>
        <w:instrText xml:space="preserve"> HYPERLINK \l "_Toc569" </w:instrText>
      </w:r>
      <w:r>
        <w:fldChar w:fldCharType="separate"/>
      </w:r>
      <w:r>
        <w:rPr>
          <w:rFonts w:ascii="黑体" w:hAnsi="黑体" w:eastAsia="黑体" w:cs="楷体_GB2312"/>
          <w:bCs/>
          <w:color w:val="auto"/>
          <w:szCs w:val="28"/>
          <w:lang w:val="zh-CN"/>
        </w:rPr>
        <w:t>4.</w:t>
      </w:r>
      <w:r>
        <w:rPr>
          <w:rFonts w:hint="eastAsia" w:ascii="黑体" w:hAnsi="黑体" w:eastAsia="黑体" w:cs="楷体_GB2312"/>
          <w:bCs/>
          <w:color w:val="auto"/>
          <w:szCs w:val="28"/>
          <w:lang w:val="zh-CN"/>
        </w:rPr>
        <w:t>《响应文件》的提交</w:t>
      </w:r>
      <w:r>
        <w:rPr>
          <w:color w:val="auto"/>
        </w:rPr>
        <w:tab/>
      </w:r>
      <w:r>
        <w:rPr>
          <w:color w:val="auto"/>
        </w:rPr>
        <w:fldChar w:fldCharType="begin"/>
      </w:r>
      <w:r>
        <w:rPr>
          <w:color w:val="auto"/>
        </w:rPr>
        <w:instrText xml:space="preserve"> PAGEREF _Toc569 \h </w:instrText>
      </w:r>
      <w:r>
        <w:rPr>
          <w:color w:val="auto"/>
        </w:rPr>
        <w:fldChar w:fldCharType="separate"/>
      </w:r>
      <w:r>
        <w:rPr>
          <w:color w:val="auto"/>
        </w:rPr>
        <w:t>- 34 -</w:t>
      </w:r>
      <w:r>
        <w:rPr>
          <w:color w:val="auto"/>
        </w:rPr>
        <w:fldChar w:fldCharType="end"/>
      </w:r>
      <w:r>
        <w:rPr>
          <w:color w:val="auto"/>
        </w:rPr>
        <w:fldChar w:fldCharType="end"/>
      </w:r>
    </w:p>
    <w:p w14:paraId="63E99202">
      <w:pPr>
        <w:pStyle w:val="15"/>
        <w:tabs>
          <w:tab w:val="right" w:leader="dot" w:pos="9381"/>
        </w:tabs>
        <w:rPr>
          <w:color w:val="auto"/>
        </w:rPr>
      </w:pPr>
      <w:r>
        <w:fldChar w:fldCharType="begin"/>
      </w:r>
      <w:r>
        <w:instrText xml:space="preserve"> HYPERLINK \l "_Toc16240" </w:instrText>
      </w:r>
      <w:r>
        <w:fldChar w:fldCharType="separate"/>
      </w:r>
      <w:r>
        <w:rPr>
          <w:rFonts w:ascii="黑体" w:hAnsi="黑体" w:eastAsia="黑体" w:cs="楷体_GB2312"/>
          <w:bCs/>
          <w:color w:val="auto"/>
          <w:szCs w:val="28"/>
          <w:lang w:val="zh-CN"/>
        </w:rPr>
        <w:t>5.</w:t>
      </w:r>
      <w:r>
        <w:rPr>
          <w:rFonts w:hint="eastAsia" w:ascii="黑体" w:hAnsi="黑体" w:eastAsia="黑体" w:cs="楷体_GB2312"/>
          <w:bCs/>
          <w:color w:val="auto"/>
          <w:szCs w:val="28"/>
          <w:lang w:val="zh-CN"/>
        </w:rPr>
        <w:t>《响应文件》的开启</w:t>
      </w:r>
      <w:r>
        <w:rPr>
          <w:color w:val="auto"/>
        </w:rPr>
        <w:tab/>
      </w:r>
      <w:r>
        <w:rPr>
          <w:color w:val="auto"/>
        </w:rPr>
        <w:fldChar w:fldCharType="begin"/>
      </w:r>
      <w:r>
        <w:rPr>
          <w:color w:val="auto"/>
        </w:rPr>
        <w:instrText xml:space="preserve"> PAGEREF _Toc16240 \h </w:instrText>
      </w:r>
      <w:r>
        <w:rPr>
          <w:color w:val="auto"/>
        </w:rPr>
        <w:fldChar w:fldCharType="separate"/>
      </w:r>
      <w:r>
        <w:rPr>
          <w:color w:val="auto"/>
        </w:rPr>
        <w:t>- 35 -</w:t>
      </w:r>
      <w:r>
        <w:rPr>
          <w:color w:val="auto"/>
        </w:rPr>
        <w:fldChar w:fldCharType="end"/>
      </w:r>
      <w:r>
        <w:rPr>
          <w:color w:val="auto"/>
        </w:rPr>
        <w:fldChar w:fldCharType="end"/>
      </w:r>
    </w:p>
    <w:p w14:paraId="129338E3">
      <w:pPr>
        <w:pStyle w:val="15"/>
        <w:tabs>
          <w:tab w:val="right" w:leader="dot" w:pos="9381"/>
        </w:tabs>
        <w:rPr>
          <w:color w:val="auto"/>
        </w:rPr>
      </w:pPr>
      <w:r>
        <w:fldChar w:fldCharType="begin"/>
      </w:r>
      <w:r>
        <w:instrText xml:space="preserve"> HYPERLINK \l "_Toc4151" </w:instrText>
      </w:r>
      <w:r>
        <w:fldChar w:fldCharType="separate"/>
      </w:r>
      <w:r>
        <w:rPr>
          <w:rFonts w:ascii="黑体" w:hAnsi="黑体" w:eastAsia="黑体" w:cs="楷体_GB2312"/>
          <w:bCs/>
          <w:color w:val="auto"/>
          <w:szCs w:val="28"/>
          <w:lang w:val="zh-CN"/>
        </w:rPr>
        <w:t xml:space="preserve">6. </w:t>
      </w:r>
      <w:r>
        <w:rPr>
          <w:rFonts w:hint="eastAsia" w:ascii="黑体" w:hAnsi="黑体" w:eastAsia="黑体" w:cs="楷体_GB2312"/>
          <w:bCs/>
          <w:color w:val="auto"/>
          <w:szCs w:val="28"/>
          <w:lang w:val="zh-CN"/>
        </w:rPr>
        <w:t>评审</w:t>
      </w:r>
      <w:r>
        <w:rPr>
          <w:color w:val="auto"/>
        </w:rPr>
        <w:tab/>
      </w:r>
      <w:r>
        <w:rPr>
          <w:color w:val="auto"/>
        </w:rPr>
        <w:fldChar w:fldCharType="begin"/>
      </w:r>
      <w:r>
        <w:rPr>
          <w:color w:val="auto"/>
        </w:rPr>
        <w:instrText xml:space="preserve"> PAGEREF _Toc4151 \h </w:instrText>
      </w:r>
      <w:r>
        <w:rPr>
          <w:color w:val="auto"/>
        </w:rPr>
        <w:fldChar w:fldCharType="separate"/>
      </w:r>
      <w:r>
        <w:rPr>
          <w:color w:val="auto"/>
        </w:rPr>
        <w:t>- 36 -</w:t>
      </w:r>
      <w:r>
        <w:rPr>
          <w:color w:val="auto"/>
        </w:rPr>
        <w:fldChar w:fldCharType="end"/>
      </w:r>
      <w:r>
        <w:rPr>
          <w:color w:val="auto"/>
        </w:rPr>
        <w:fldChar w:fldCharType="end"/>
      </w:r>
    </w:p>
    <w:p w14:paraId="34FA0DFE">
      <w:pPr>
        <w:pStyle w:val="15"/>
        <w:tabs>
          <w:tab w:val="right" w:leader="dot" w:pos="9381"/>
        </w:tabs>
        <w:rPr>
          <w:color w:val="auto"/>
        </w:rPr>
      </w:pPr>
      <w:r>
        <w:fldChar w:fldCharType="begin"/>
      </w:r>
      <w:r>
        <w:instrText xml:space="preserve"> HYPERLINK \l "_Toc10125" </w:instrText>
      </w:r>
      <w:r>
        <w:fldChar w:fldCharType="separate"/>
      </w:r>
      <w:r>
        <w:rPr>
          <w:rFonts w:ascii="黑体" w:hAnsi="黑体" w:eastAsia="黑体" w:cs="楷体_GB2312"/>
          <w:bCs/>
          <w:color w:val="auto"/>
          <w:szCs w:val="28"/>
          <w:lang w:val="zh-CN"/>
        </w:rPr>
        <w:t xml:space="preserve">7. </w:t>
      </w:r>
      <w:r>
        <w:rPr>
          <w:rFonts w:hint="eastAsia" w:ascii="黑体" w:hAnsi="黑体" w:eastAsia="黑体" w:cs="楷体_GB2312"/>
          <w:bCs/>
          <w:color w:val="auto"/>
          <w:szCs w:val="28"/>
          <w:lang w:val="zh-CN"/>
        </w:rPr>
        <w:t>授予合同</w:t>
      </w:r>
      <w:r>
        <w:rPr>
          <w:color w:val="auto"/>
        </w:rPr>
        <w:tab/>
      </w:r>
      <w:r>
        <w:rPr>
          <w:color w:val="auto"/>
        </w:rPr>
        <w:fldChar w:fldCharType="begin"/>
      </w:r>
      <w:r>
        <w:rPr>
          <w:color w:val="auto"/>
        </w:rPr>
        <w:instrText xml:space="preserve"> PAGEREF _Toc10125 \h </w:instrText>
      </w:r>
      <w:r>
        <w:rPr>
          <w:color w:val="auto"/>
        </w:rPr>
        <w:fldChar w:fldCharType="separate"/>
      </w:r>
      <w:r>
        <w:rPr>
          <w:color w:val="auto"/>
        </w:rPr>
        <w:t>- 37 -</w:t>
      </w:r>
      <w:r>
        <w:rPr>
          <w:color w:val="auto"/>
        </w:rPr>
        <w:fldChar w:fldCharType="end"/>
      </w:r>
      <w:r>
        <w:rPr>
          <w:color w:val="auto"/>
        </w:rPr>
        <w:fldChar w:fldCharType="end"/>
      </w:r>
    </w:p>
    <w:p w14:paraId="77F7A595">
      <w:pPr>
        <w:pStyle w:val="15"/>
        <w:tabs>
          <w:tab w:val="right" w:leader="dot" w:pos="9381"/>
        </w:tabs>
        <w:rPr>
          <w:color w:val="auto"/>
        </w:rPr>
      </w:pPr>
      <w:r>
        <w:fldChar w:fldCharType="begin"/>
      </w:r>
      <w:r>
        <w:instrText xml:space="preserve"> HYPERLINK \l "_Toc7096" </w:instrText>
      </w:r>
      <w:r>
        <w:fldChar w:fldCharType="separate"/>
      </w:r>
      <w:r>
        <w:rPr>
          <w:rFonts w:ascii="黑体" w:hAnsi="黑体" w:eastAsia="黑体" w:cs="楷体_GB2312"/>
          <w:bCs/>
          <w:color w:val="auto"/>
          <w:szCs w:val="28"/>
          <w:lang w:val="zh-CN"/>
        </w:rPr>
        <w:t xml:space="preserve">8. </w:t>
      </w:r>
      <w:r>
        <w:rPr>
          <w:rFonts w:hint="eastAsia" w:ascii="黑体" w:hAnsi="黑体" w:eastAsia="黑体" w:cs="楷体_GB2312"/>
          <w:bCs/>
          <w:color w:val="auto"/>
          <w:szCs w:val="28"/>
          <w:lang w:val="zh-CN"/>
        </w:rPr>
        <w:t>验收</w:t>
      </w:r>
      <w:r>
        <w:rPr>
          <w:color w:val="auto"/>
        </w:rPr>
        <w:tab/>
      </w:r>
      <w:r>
        <w:rPr>
          <w:color w:val="auto"/>
        </w:rPr>
        <w:fldChar w:fldCharType="begin"/>
      </w:r>
      <w:r>
        <w:rPr>
          <w:color w:val="auto"/>
        </w:rPr>
        <w:instrText xml:space="preserve"> PAGEREF _Toc7096 \h </w:instrText>
      </w:r>
      <w:r>
        <w:rPr>
          <w:color w:val="auto"/>
        </w:rPr>
        <w:fldChar w:fldCharType="separate"/>
      </w:r>
      <w:r>
        <w:rPr>
          <w:color w:val="auto"/>
        </w:rPr>
        <w:t>- 38 -</w:t>
      </w:r>
      <w:r>
        <w:rPr>
          <w:color w:val="auto"/>
        </w:rPr>
        <w:fldChar w:fldCharType="end"/>
      </w:r>
      <w:r>
        <w:rPr>
          <w:color w:val="auto"/>
        </w:rPr>
        <w:fldChar w:fldCharType="end"/>
      </w:r>
    </w:p>
    <w:p w14:paraId="72983CF0">
      <w:pPr>
        <w:pStyle w:val="15"/>
        <w:tabs>
          <w:tab w:val="right" w:leader="dot" w:pos="9381"/>
        </w:tabs>
        <w:rPr>
          <w:color w:val="auto"/>
        </w:rPr>
      </w:pPr>
      <w:r>
        <w:fldChar w:fldCharType="begin"/>
      </w:r>
      <w:r>
        <w:instrText xml:space="preserve"> HYPERLINK \l "_Toc19235" </w:instrText>
      </w:r>
      <w:r>
        <w:fldChar w:fldCharType="separate"/>
      </w:r>
      <w:r>
        <w:rPr>
          <w:rFonts w:ascii="黑体" w:hAnsi="黑体" w:eastAsia="黑体" w:cs="楷体_GB2312"/>
          <w:bCs/>
          <w:color w:val="auto"/>
          <w:szCs w:val="28"/>
          <w:lang w:val="zh-CN"/>
        </w:rPr>
        <w:t>9.</w:t>
      </w:r>
      <w:r>
        <w:rPr>
          <w:rFonts w:hint="eastAsia" w:ascii="黑体" w:hAnsi="黑体" w:eastAsia="黑体" w:cs="楷体_GB2312"/>
          <w:bCs/>
          <w:color w:val="auto"/>
          <w:szCs w:val="28"/>
          <w:lang w:val="zh-CN"/>
        </w:rPr>
        <w:t>付款</w:t>
      </w:r>
      <w:r>
        <w:rPr>
          <w:color w:val="auto"/>
        </w:rPr>
        <w:tab/>
      </w:r>
      <w:r>
        <w:rPr>
          <w:color w:val="auto"/>
        </w:rPr>
        <w:fldChar w:fldCharType="begin"/>
      </w:r>
      <w:r>
        <w:rPr>
          <w:color w:val="auto"/>
        </w:rPr>
        <w:instrText xml:space="preserve"> PAGEREF _Toc19235 \h </w:instrText>
      </w:r>
      <w:r>
        <w:rPr>
          <w:color w:val="auto"/>
        </w:rPr>
        <w:fldChar w:fldCharType="separate"/>
      </w:r>
      <w:r>
        <w:rPr>
          <w:color w:val="auto"/>
        </w:rPr>
        <w:t>- 39 -</w:t>
      </w:r>
      <w:r>
        <w:rPr>
          <w:color w:val="auto"/>
        </w:rPr>
        <w:fldChar w:fldCharType="end"/>
      </w:r>
      <w:r>
        <w:rPr>
          <w:color w:val="auto"/>
        </w:rPr>
        <w:fldChar w:fldCharType="end"/>
      </w:r>
    </w:p>
    <w:p w14:paraId="5566AE1C">
      <w:pPr>
        <w:pStyle w:val="15"/>
        <w:tabs>
          <w:tab w:val="right" w:leader="dot" w:pos="9381"/>
        </w:tabs>
        <w:rPr>
          <w:color w:val="auto"/>
        </w:rPr>
      </w:pPr>
      <w:r>
        <w:fldChar w:fldCharType="begin"/>
      </w:r>
      <w:r>
        <w:instrText xml:space="preserve"> HYPERLINK \l "_Toc10702" </w:instrText>
      </w:r>
      <w:r>
        <w:fldChar w:fldCharType="separate"/>
      </w:r>
      <w:r>
        <w:rPr>
          <w:rFonts w:ascii="黑体" w:hAnsi="黑体" w:eastAsia="黑体" w:cs="楷体_GB2312"/>
          <w:bCs/>
          <w:color w:val="auto"/>
          <w:szCs w:val="28"/>
          <w:lang w:val="zh-CN"/>
        </w:rPr>
        <w:t xml:space="preserve">10. </w:t>
      </w:r>
      <w:r>
        <w:rPr>
          <w:rFonts w:hint="eastAsia" w:ascii="黑体" w:hAnsi="黑体" w:eastAsia="黑体" w:cs="楷体_GB2312"/>
          <w:bCs/>
          <w:color w:val="auto"/>
          <w:szCs w:val="28"/>
          <w:lang w:val="zh-CN"/>
        </w:rPr>
        <w:t>其他</w:t>
      </w:r>
      <w:r>
        <w:rPr>
          <w:color w:val="auto"/>
        </w:rPr>
        <w:tab/>
      </w:r>
      <w:r>
        <w:rPr>
          <w:color w:val="auto"/>
        </w:rPr>
        <w:fldChar w:fldCharType="begin"/>
      </w:r>
      <w:r>
        <w:rPr>
          <w:color w:val="auto"/>
        </w:rPr>
        <w:instrText xml:space="preserve"> PAGEREF _Toc10702 \h </w:instrText>
      </w:r>
      <w:r>
        <w:rPr>
          <w:color w:val="auto"/>
        </w:rPr>
        <w:fldChar w:fldCharType="separate"/>
      </w:r>
      <w:r>
        <w:rPr>
          <w:color w:val="auto"/>
        </w:rPr>
        <w:t>- 40 -</w:t>
      </w:r>
      <w:r>
        <w:rPr>
          <w:color w:val="auto"/>
        </w:rPr>
        <w:fldChar w:fldCharType="end"/>
      </w:r>
      <w:r>
        <w:rPr>
          <w:color w:val="auto"/>
        </w:rPr>
        <w:fldChar w:fldCharType="end"/>
      </w:r>
    </w:p>
    <w:p w14:paraId="5F3249CD">
      <w:pPr>
        <w:pStyle w:val="15"/>
        <w:tabs>
          <w:tab w:val="right" w:leader="dot" w:pos="9381"/>
        </w:tabs>
        <w:rPr>
          <w:color w:val="auto"/>
        </w:rPr>
      </w:pPr>
      <w:r>
        <w:fldChar w:fldCharType="begin"/>
      </w:r>
      <w:r>
        <w:instrText xml:space="preserve"> HYPERLINK \l "_Toc21755" </w:instrText>
      </w:r>
      <w:r>
        <w:fldChar w:fldCharType="separate"/>
      </w:r>
      <w:r>
        <w:rPr>
          <w:rFonts w:hint="eastAsia" w:ascii="黑体" w:hAnsi="黑体" w:eastAsia="黑体" w:cs="楷体_GB2312"/>
          <w:bCs/>
          <w:color w:val="auto"/>
          <w:szCs w:val="28"/>
          <w:lang w:val="zh-CN"/>
        </w:rPr>
        <w:t>11. 河南省政府采购合同融资政策告知函</w:t>
      </w:r>
      <w:r>
        <w:rPr>
          <w:color w:val="auto"/>
        </w:rPr>
        <w:tab/>
      </w:r>
      <w:r>
        <w:rPr>
          <w:color w:val="auto"/>
        </w:rPr>
        <w:fldChar w:fldCharType="begin"/>
      </w:r>
      <w:r>
        <w:rPr>
          <w:color w:val="auto"/>
        </w:rPr>
        <w:instrText xml:space="preserve"> PAGEREF _Toc21755 \h </w:instrText>
      </w:r>
      <w:r>
        <w:rPr>
          <w:color w:val="auto"/>
        </w:rPr>
        <w:fldChar w:fldCharType="separate"/>
      </w:r>
      <w:r>
        <w:rPr>
          <w:color w:val="auto"/>
        </w:rPr>
        <w:t>- 40 -</w:t>
      </w:r>
      <w:r>
        <w:rPr>
          <w:color w:val="auto"/>
        </w:rPr>
        <w:fldChar w:fldCharType="end"/>
      </w:r>
      <w:r>
        <w:rPr>
          <w:color w:val="auto"/>
        </w:rPr>
        <w:fldChar w:fldCharType="end"/>
      </w:r>
    </w:p>
    <w:p w14:paraId="27463150">
      <w:pPr>
        <w:pStyle w:val="14"/>
        <w:tabs>
          <w:tab w:val="right" w:leader="dot" w:pos="9381"/>
        </w:tabs>
        <w:rPr>
          <w:color w:val="auto"/>
        </w:rPr>
      </w:pPr>
      <w:r>
        <w:fldChar w:fldCharType="begin"/>
      </w:r>
      <w:r>
        <w:instrText xml:space="preserve"> HYPERLINK \l "_Toc5141" </w:instrText>
      </w:r>
      <w:r>
        <w:fldChar w:fldCharType="separate"/>
      </w:r>
      <w:r>
        <w:rPr>
          <w:rFonts w:hint="eastAsia" w:ascii="黑体" w:hAnsi="黑体" w:eastAsia="黑体"/>
          <w:color w:val="auto"/>
          <w:szCs w:val="36"/>
          <w:lang w:val="zh-CN"/>
        </w:rPr>
        <w:t>第四章</w:t>
      </w:r>
      <w:r>
        <w:rPr>
          <w:rFonts w:ascii="黑体" w:hAnsi="黑体" w:eastAsia="黑体"/>
          <w:color w:val="auto"/>
          <w:szCs w:val="36"/>
          <w:lang w:val="zh-CN"/>
        </w:rPr>
        <w:t xml:space="preserve">  </w:t>
      </w:r>
      <w:r>
        <w:rPr>
          <w:rFonts w:hint="eastAsia" w:ascii="黑体" w:hAnsi="黑体" w:eastAsia="黑体"/>
          <w:color w:val="auto"/>
          <w:szCs w:val="36"/>
          <w:lang w:val="zh-CN"/>
        </w:rPr>
        <w:t>评审办法</w:t>
      </w:r>
      <w:r>
        <w:rPr>
          <w:color w:val="auto"/>
        </w:rPr>
        <w:tab/>
      </w:r>
      <w:r>
        <w:rPr>
          <w:color w:val="auto"/>
        </w:rPr>
        <w:fldChar w:fldCharType="begin"/>
      </w:r>
      <w:r>
        <w:rPr>
          <w:color w:val="auto"/>
        </w:rPr>
        <w:instrText xml:space="preserve"> PAGEREF _Toc5141 \h </w:instrText>
      </w:r>
      <w:r>
        <w:rPr>
          <w:color w:val="auto"/>
        </w:rPr>
        <w:fldChar w:fldCharType="separate"/>
      </w:r>
      <w:r>
        <w:rPr>
          <w:color w:val="auto"/>
        </w:rPr>
        <w:t>- 41 -</w:t>
      </w:r>
      <w:r>
        <w:rPr>
          <w:color w:val="auto"/>
        </w:rPr>
        <w:fldChar w:fldCharType="end"/>
      </w:r>
      <w:r>
        <w:rPr>
          <w:color w:val="auto"/>
        </w:rPr>
        <w:fldChar w:fldCharType="end"/>
      </w:r>
    </w:p>
    <w:p w14:paraId="4ADE9CDC">
      <w:pPr>
        <w:pStyle w:val="15"/>
        <w:tabs>
          <w:tab w:val="right" w:leader="dot" w:pos="9381"/>
        </w:tabs>
        <w:rPr>
          <w:color w:val="auto"/>
        </w:rPr>
      </w:pPr>
      <w:r>
        <w:fldChar w:fldCharType="begin"/>
      </w:r>
      <w:r>
        <w:instrText xml:space="preserve"> HYPERLINK \l "_Toc4695" </w:instrText>
      </w:r>
      <w:r>
        <w:fldChar w:fldCharType="separate"/>
      </w:r>
      <w:r>
        <w:rPr>
          <w:rFonts w:hint="eastAsia" w:ascii="黑体" w:hAnsi="黑体" w:eastAsia="黑体"/>
          <w:color w:val="auto"/>
          <w:szCs w:val="28"/>
        </w:rPr>
        <w:t>评审办法前附表</w:t>
      </w:r>
      <w:r>
        <w:rPr>
          <w:color w:val="auto"/>
        </w:rPr>
        <w:tab/>
      </w:r>
      <w:r>
        <w:rPr>
          <w:color w:val="auto"/>
        </w:rPr>
        <w:fldChar w:fldCharType="begin"/>
      </w:r>
      <w:r>
        <w:rPr>
          <w:color w:val="auto"/>
        </w:rPr>
        <w:instrText xml:space="preserve"> PAGEREF _Toc4695 \h </w:instrText>
      </w:r>
      <w:r>
        <w:rPr>
          <w:color w:val="auto"/>
        </w:rPr>
        <w:fldChar w:fldCharType="separate"/>
      </w:r>
      <w:r>
        <w:rPr>
          <w:color w:val="auto"/>
        </w:rPr>
        <w:t>- 41 -</w:t>
      </w:r>
      <w:r>
        <w:rPr>
          <w:color w:val="auto"/>
        </w:rPr>
        <w:fldChar w:fldCharType="end"/>
      </w:r>
      <w:r>
        <w:rPr>
          <w:color w:val="auto"/>
        </w:rPr>
        <w:fldChar w:fldCharType="end"/>
      </w:r>
    </w:p>
    <w:p w14:paraId="593472BF">
      <w:pPr>
        <w:pStyle w:val="15"/>
        <w:tabs>
          <w:tab w:val="right" w:leader="dot" w:pos="9381"/>
        </w:tabs>
        <w:rPr>
          <w:color w:val="auto"/>
        </w:rPr>
      </w:pPr>
      <w:r>
        <w:fldChar w:fldCharType="begin"/>
      </w:r>
      <w:r>
        <w:instrText xml:space="preserve"> HYPERLINK \l "_Toc11414" </w:instrText>
      </w:r>
      <w:r>
        <w:fldChar w:fldCharType="separate"/>
      </w:r>
      <w:r>
        <w:rPr>
          <w:rFonts w:ascii="黑体" w:hAnsi="黑体" w:eastAsia="黑体" w:cs="楷体_GB2312"/>
          <w:bCs/>
          <w:color w:val="auto"/>
          <w:szCs w:val="28"/>
          <w:lang w:val="zh-CN"/>
        </w:rPr>
        <w:t xml:space="preserve">1. </w:t>
      </w:r>
      <w:r>
        <w:rPr>
          <w:rFonts w:hint="eastAsia" w:ascii="黑体" w:hAnsi="黑体" w:eastAsia="黑体" w:cs="楷体_GB2312"/>
          <w:bCs/>
          <w:color w:val="auto"/>
          <w:szCs w:val="28"/>
          <w:lang w:val="zh-CN"/>
        </w:rPr>
        <w:t>评审方法（评定成交的标准）</w:t>
      </w:r>
      <w:r>
        <w:rPr>
          <w:color w:val="auto"/>
        </w:rPr>
        <w:tab/>
      </w:r>
      <w:r>
        <w:rPr>
          <w:color w:val="auto"/>
        </w:rPr>
        <w:fldChar w:fldCharType="begin"/>
      </w:r>
      <w:r>
        <w:rPr>
          <w:color w:val="auto"/>
        </w:rPr>
        <w:instrText xml:space="preserve"> PAGEREF _Toc11414 \h </w:instrText>
      </w:r>
      <w:r>
        <w:rPr>
          <w:color w:val="auto"/>
        </w:rPr>
        <w:fldChar w:fldCharType="separate"/>
      </w:r>
      <w:r>
        <w:rPr>
          <w:color w:val="auto"/>
        </w:rPr>
        <w:t>- 45 -</w:t>
      </w:r>
      <w:r>
        <w:rPr>
          <w:color w:val="auto"/>
        </w:rPr>
        <w:fldChar w:fldCharType="end"/>
      </w:r>
      <w:r>
        <w:rPr>
          <w:color w:val="auto"/>
        </w:rPr>
        <w:fldChar w:fldCharType="end"/>
      </w:r>
    </w:p>
    <w:p w14:paraId="4C22E686">
      <w:pPr>
        <w:pStyle w:val="15"/>
        <w:tabs>
          <w:tab w:val="right" w:leader="dot" w:pos="9381"/>
        </w:tabs>
        <w:rPr>
          <w:color w:val="auto"/>
        </w:rPr>
      </w:pPr>
      <w:r>
        <w:fldChar w:fldCharType="begin"/>
      </w:r>
      <w:r>
        <w:instrText xml:space="preserve"> HYPERLINK \l "_Toc1976" </w:instrText>
      </w:r>
      <w:r>
        <w:fldChar w:fldCharType="separate"/>
      </w:r>
      <w:r>
        <w:rPr>
          <w:rFonts w:ascii="黑体" w:hAnsi="黑体" w:eastAsia="黑体" w:cs="楷体_GB2312"/>
          <w:bCs/>
          <w:color w:val="auto"/>
          <w:szCs w:val="28"/>
          <w:lang w:val="zh-CN"/>
        </w:rPr>
        <w:t xml:space="preserve">2. </w:t>
      </w:r>
      <w:r>
        <w:rPr>
          <w:rFonts w:hint="eastAsia" w:ascii="黑体" w:hAnsi="黑体" w:eastAsia="黑体" w:cs="楷体_GB2312"/>
          <w:bCs/>
          <w:color w:val="auto"/>
          <w:szCs w:val="28"/>
          <w:lang w:val="zh-CN"/>
        </w:rPr>
        <w:t>评审标准</w:t>
      </w:r>
      <w:r>
        <w:rPr>
          <w:color w:val="auto"/>
        </w:rPr>
        <w:tab/>
      </w:r>
      <w:r>
        <w:rPr>
          <w:color w:val="auto"/>
        </w:rPr>
        <w:fldChar w:fldCharType="begin"/>
      </w:r>
      <w:r>
        <w:rPr>
          <w:color w:val="auto"/>
        </w:rPr>
        <w:instrText xml:space="preserve"> PAGEREF _Toc1976 \h </w:instrText>
      </w:r>
      <w:r>
        <w:rPr>
          <w:color w:val="auto"/>
        </w:rPr>
        <w:fldChar w:fldCharType="separate"/>
      </w:r>
      <w:r>
        <w:rPr>
          <w:color w:val="auto"/>
        </w:rPr>
        <w:t>- 45 -</w:t>
      </w:r>
      <w:r>
        <w:rPr>
          <w:color w:val="auto"/>
        </w:rPr>
        <w:fldChar w:fldCharType="end"/>
      </w:r>
      <w:r>
        <w:rPr>
          <w:color w:val="auto"/>
        </w:rPr>
        <w:fldChar w:fldCharType="end"/>
      </w:r>
    </w:p>
    <w:p w14:paraId="71F2740D">
      <w:pPr>
        <w:pStyle w:val="15"/>
        <w:tabs>
          <w:tab w:val="right" w:leader="dot" w:pos="9381"/>
        </w:tabs>
        <w:rPr>
          <w:color w:val="auto"/>
        </w:rPr>
      </w:pPr>
      <w:r>
        <w:fldChar w:fldCharType="begin"/>
      </w:r>
      <w:r>
        <w:instrText xml:space="preserve"> HYPERLINK \l "_Toc32226" </w:instrText>
      </w:r>
      <w:r>
        <w:fldChar w:fldCharType="separate"/>
      </w:r>
      <w:r>
        <w:rPr>
          <w:rFonts w:ascii="黑体" w:hAnsi="黑体" w:eastAsia="黑体" w:cs="楷体_GB2312"/>
          <w:bCs/>
          <w:color w:val="auto"/>
          <w:szCs w:val="28"/>
          <w:lang w:val="zh-CN"/>
        </w:rPr>
        <w:t xml:space="preserve">3. </w:t>
      </w:r>
      <w:r>
        <w:rPr>
          <w:rFonts w:hint="eastAsia" w:ascii="黑体" w:hAnsi="黑体" w:eastAsia="黑体" w:cs="楷体_GB2312"/>
          <w:bCs/>
          <w:color w:val="auto"/>
          <w:szCs w:val="28"/>
          <w:lang w:val="zh-CN"/>
        </w:rPr>
        <w:t>评审程序</w:t>
      </w:r>
      <w:r>
        <w:rPr>
          <w:color w:val="auto"/>
        </w:rPr>
        <w:tab/>
      </w:r>
      <w:r>
        <w:rPr>
          <w:color w:val="auto"/>
        </w:rPr>
        <w:fldChar w:fldCharType="begin"/>
      </w:r>
      <w:r>
        <w:rPr>
          <w:color w:val="auto"/>
        </w:rPr>
        <w:instrText xml:space="preserve"> PAGEREF _Toc32226 \h </w:instrText>
      </w:r>
      <w:r>
        <w:rPr>
          <w:color w:val="auto"/>
        </w:rPr>
        <w:fldChar w:fldCharType="separate"/>
      </w:r>
      <w:r>
        <w:rPr>
          <w:color w:val="auto"/>
        </w:rPr>
        <w:t>- 45 -</w:t>
      </w:r>
      <w:r>
        <w:rPr>
          <w:color w:val="auto"/>
        </w:rPr>
        <w:fldChar w:fldCharType="end"/>
      </w:r>
      <w:r>
        <w:rPr>
          <w:color w:val="auto"/>
        </w:rPr>
        <w:fldChar w:fldCharType="end"/>
      </w:r>
    </w:p>
    <w:p w14:paraId="7D5AFA99">
      <w:pPr>
        <w:pStyle w:val="15"/>
        <w:tabs>
          <w:tab w:val="right" w:leader="dot" w:pos="9381"/>
        </w:tabs>
        <w:rPr>
          <w:color w:val="auto"/>
        </w:rPr>
      </w:pPr>
      <w:r>
        <w:fldChar w:fldCharType="begin"/>
      </w:r>
      <w:r>
        <w:instrText xml:space="preserve"> HYPERLINK \l "_Toc13601" </w:instrText>
      </w:r>
      <w:r>
        <w:fldChar w:fldCharType="separate"/>
      </w:r>
      <w:r>
        <w:rPr>
          <w:rFonts w:ascii="黑体" w:hAnsi="黑体" w:eastAsia="黑体" w:cs="楷体_GB2312"/>
          <w:bCs/>
          <w:color w:val="auto"/>
          <w:szCs w:val="28"/>
          <w:lang w:val="zh-CN"/>
        </w:rPr>
        <w:t xml:space="preserve">4. </w:t>
      </w:r>
      <w:r>
        <w:rPr>
          <w:rFonts w:hint="eastAsia" w:ascii="黑体" w:hAnsi="黑体" w:eastAsia="黑体" w:cs="楷体_GB2312"/>
          <w:bCs/>
          <w:color w:val="auto"/>
          <w:szCs w:val="28"/>
          <w:lang w:val="zh-CN"/>
        </w:rPr>
        <w:t>政府采购促进中小企业发展扶持政策</w:t>
      </w:r>
      <w:r>
        <w:rPr>
          <w:color w:val="auto"/>
        </w:rPr>
        <w:tab/>
      </w:r>
      <w:r>
        <w:rPr>
          <w:color w:val="auto"/>
        </w:rPr>
        <w:fldChar w:fldCharType="begin"/>
      </w:r>
      <w:r>
        <w:rPr>
          <w:color w:val="auto"/>
        </w:rPr>
        <w:instrText xml:space="preserve"> PAGEREF _Toc13601 \h </w:instrText>
      </w:r>
      <w:r>
        <w:rPr>
          <w:color w:val="auto"/>
        </w:rPr>
        <w:fldChar w:fldCharType="separate"/>
      </w:r>
      <w:r>
        <w:rPr>
          <w:color w:val="auto"/>
        </w:rPr>
        <w:t>- 50 -</w:t>
      </w:r>
      <w:r>
        <w:rPr>
          <w:color w:val="auto"/>
        </w:rPr>
        <w:fldChar w:fldCharType="end"/>
      </w:r>
      <w:r>
        <w:rPr>
          <w:color w:val="auto"/>
        </w:rPr>
        <w:fldChar w:fldCharType="end"/>
      </w:r>
    </w:p>
    <w:p w14:paraId="264CC4BB">
      <w:pPr>
        <w:pStyle w:val="15"/>
        <w:tabs>
          <w:tab w:val="right" w:leader="dot" w:pos="9381"/>
        </w:tabs>
        <w:rPr>
          <w:color w:val="auto"/>
        </w:rPr>
      </w:pPr>
      <w:r>
        <w:fldChar w:fldCharType="begin"/>
      </w:r>
      <w:r>
        <w:instrText xml:space="preserve"> HYPERLINK \l "_Toc28895" </w:instrText>
      </w:r>
      <w:r>
        <w:fldChar w:fldCharType="separate"/>
      </w:r>
      <w:r>
        <w:rPr>
          <w:rFonts w:hint="eastAsia" w:ascii="黑体" w:hAnsi="黑体" w:eastAsia="黑体" w:cs="楷体_GB2312"/>
          <w:bCs/>
          <w:color w:val="auto"/>
          <w:szCs w:val="28"/>
        </w:rPr>
        <w:t>5.</w:t>
      </w:r>
      <w:r>
        <w:rPr>
          <w:rFonts w:hint="eastAsia" w:ascii="黑体" w:hAnsi="黑体" w:eastAsia="黑体" w:cs="楷体_GB2312"/>
          <w:bCs/>
          <w:color w:val="auto"/>
          <w:szCs w:val="28"/>
          <w:lang w:val="zh-CN"/>
        </w:rPr>
        <w:t>异常低价审查</w:t>
      </w:r>
      <w:r>
        <w:rPr>
          <w:color w:val="auto"/>
        </w:rPr>
        <w:tab/>
      </w:r>
      <w:r>
        <w:rPr>
          <w:color w:val="auto"/>
        </w:rPr>
        <w:fldChar w:fldCharType="begin"/>
      </w:r>
      <w:r>
        <w:rPr>
          <w:color w:val="auto"/>
        </w:rPr>
        <w:instrText xml:space="preserve"> PAGEREF _Toc28895 \h </w:instrText>
      </w:r>
      <w:r>
        <w:rPr>
          <w:color w:val="auto"/>
        </w:rPr>
        <w:fldChar w:fldCharType="separate"/>
      </w:r>
      <w:r>
        <w:rPr>
          <w:color w:val="auto"/>
        </w:rPr>
        <w:t>- 52 -</w:t>
      </w:r>
      <w:r>
        <w:rPr>
          <w:color w:val="auto"/>
        </w:rPr>
        <w:fldChar w:fldCharType="end"/>
      </w:r>
      <w:r>
        <w:rPr>
          <w:color w:val="auto"/>
        </w:rPr>
        <w:fldChar w:fldCharType="end"/>
      </w:r>
    </w:p>
    <w:p w14:paraId="6A240B3B">
      <w:pPr>
        <w:pStyle w:val="14"/>
        <w:tabs>
          <w:tab w:val="right" w:leader="dot" w:pos="9381"/>
        </w:tabs>
        <w:rPr>
          <w:color w:val="auto"/>
        </w:rPr>
      </w:pPr>
      <w:r>
        <w:fldChar w:fldCharType="begin"/>
      </w:r>
      <w:r>
        <w:instrText xml:space="preserve"> HYPERLINK \l "_Toc19744" </w:instrText>
      </w:r>
      <w:r>
        <w:fldChar w:fldCharType="separate"/>
      </w:r>
      <w:r>
        <w:rPr>
          <w:rFonts w:hint="eastAsia" w:ascii="黑体" w:eastAsia="黑体"/>
          <w:color w:val="auto"/>
          <w:szCs w:val="36"/>
        </w:rPr>
        <w:t>第五章</w:t>
      </w:r>
      <w:r>
        <w:rPr>
          <w:rFonts w:ascii="黑体" w:eastAsia="黑体"/>
          <w:color w:val="auto"/>
          <w:szCs w:val="36"/>
        </w:rPr>
        <w:t xml:space="preserve">  </w:t>
      </w:r>
      <w:r>
        <w:rPr>
          <w:rFonts w:hint="eastAsia" w:ascii="黑体" w:eastAsia="黑体"/>
          <w:color w:val="auto"/>
          <w:szCs w:val="36"/>
        </w:rPr>
        <w:t>合同主要条款</w:t>
      </w:r>
      <w:r>
        <w:rPr>
          <w:color w:val="auto"/>
        </w:rPr>
        <w:tab/>
      </w:r>
      <w:r>
        <w:rPr>
          <w:color w:val="auto"/>
        </w:rPr>
        <w:fldChar w:fldCharType="begin"/>
      </w:r>
      <w:r>
        <w:rPr>
          <w:color w:val="auto"/>
        </w:rPr>
        <w:instrText xml:space="preserve"> PAGEREF _Toc19744 \h </w:instrText>
      </w:r>
      <w:r>
        <w:rPr>
          <w:color w:val="auto"/>
        </w:rPr>
        <w:fldChar w:fldCharType="separate"/>
      </w:r>
      <w:r>
        <w:rPr>
          <w:color w:val="auto"/>
        </w:rPr>
        <w:t>- 54 -</w:t>
      </w:r>
      <w:r>
        <w:rPr>
          <w:color w:val="auto"/>
        </w:rPr>
        <w:fldChar w:fldCharType="end"/>
      </w:r>
      <w:r>
        <w:rPr>
          <w:color w:val="auto"/>
        </w:rPr>
        <w:fldChar w:fldCharType="end"/>
      </w:r>
    </w:p>
    <w:p w14:paraId="03CFB359">
      <w:pPr>
        <w:pStyle w:val="14"/>
        <w:tabs>
          <w:tab w:val="right" w:leader="dot" w:pos="9381"/>
        </w:tabs>
        <w:rPr>
          <w:color w:val="auto"/>
        </w:rPr>
      </w:pPr>
      <w:r>
        <w:fldChar w:fldCharType="begin"/>
      </w:r>
      <w:r>
        <w:instrText xml:space="preserve"> HYPERLINK \l "_Toc11804" </w:instrText>
      </w:r>
      <w:r>
        <w:fldChar w:fldCharType="separate"/>
      </w:r>
      <w:r>
        <w:rPr>
          <w:rFonts w:hint="eastAsia" w:ascii="黑体" w:hAnsi="黑体" w:eastAsia="黑体"/>
          <w:color w:val="auto"/>
          <w:szCs w:val="36"/>
          <w:lang w:val="zh-CN"/>
        </w:rPr>
        <w:t>第六章</w:t>
      </w:r>
      <w:r>
        <w:rPr>
          <w:rFonts w:ascii="黑体" w:hAnsi="黑体" w:eastAsia="黑体"/>
          <w:color w:val="auto"/>
          <w:szCs w:val="36"/>
          <w:lang w:val="zh-CN"/>
        </w:rPr>
        <w:t xml:space="preserve">  </w:t>
      </w:r>
      <w:r>
        <w:rPr>
          <w:rFonts w:hint="eastAsia" w:ascii="黑体" w:hAnsi="黑体" w:eastAsia="黑体"/>
          <w:color w:val="auto"/>
          <w:szCs w:val="36"/>
          <w:lang w:val="zh-CN"/>
        </w:rPr>
        <w:t>《响应文件》格式</w:t>
      </w:r>
      <w:r>
        <w:rPr>
          <w:color w:val="auto"/>
        </w:rPr>
        <w:tab/>
      </w:r>
      <w:r>
        <w:rPr>
          <w:color w:val="auto"/>
        </w:rPr>
        <w:fldChar w:fldCharType="begin"/>
      </w:r>
      <w:r>
        <w:rPr>
          <w:color w:val="auto"/>
        </w:rPr>
        <w:instrText xml:space="preserve"> PAGEREF _Toc11804 \h </w:instrText>
      </w:r>
      <w:r>
        <w:rPr>
          <w:color w:val="auto"/>
        </w:rPr>
        <w:fldChar w:fldCharType="separate"/>
      </w:r>
      <w:r>
        <w:rPr>
          <w:color w:val="auto"/>
        </w:rPr>
        <w:t>- 56 -</w:t>
      </w:r>
      <w:r>
        <w:rPr>
          <w:color w:val="auto"/>
        </w:rPr>
        <w:fldChar w:fldCharType="end"/>
      </w:r>
      <w:r>
        <w:rPr>
          <w:color w:val="auto"/>
        </w:rPr>
        <w:fldChar w:fldCharType="end"/>
      </w:r>
    </w:p>
    <w:p w14:paraId="522019CC">
      <w:pPr>
        <w:pStyle w:val="52"/>
        <w:jc w:val="center"/>
        <w:rPr>
          <w:color w:val="auto"/>
        </w:rPr>
      </w:pPr>
      <w:r>
        <w:rPr>
          <w:color w:val="auto"/>
        </w:rPr>
        <w:fldChar w:fldCharType="end"/>
      </w:r>
    </w:p>
    <w:p w14:paraId="348A975A">
      <w:pPr>
        <w:widowControl w:val="0"/>
        <w:snapToGrid w:val="0"/>
        <w:spacing w:line="560" w:lineRule="exact"/>
        <w:ind w:firstLine="181" w:firstLineChars="50"/>
        <w:rPr>
          <w:rFonts w:ascii="黑体" w:eastAsia="黑体"/>
          <w:b/>
          <w:color w:val="auto"/>
          <w:sz w:val="36"/>
          <w:szCs w:val="36"/>
        </w:rPr>
        <w:sectPr>
          <w:pgSz w:w="11905" w:h="16837"/>
          <w:pgMar w:top="1418" w:right="1106" w:bottom="1418" w:left="1418" w:header="567" w:footer="567" w:gutter="0"/>
          <w:pgNumType w:fmt="numberInDash" w:start="0"/>
          <w:cols w:space="720" w:num="1"/>
          <w:titlePg/>
        </w:sectPr>
      </w:pPr>
    </w:p>
    <w:p w14:paraId="43DD3548">
      <w:pPr>
        <w:widowControl w:val="0"/>
        <w:snapToGrid w:val="0"/>
        <w:spacing w:line="560" w:lineRule="exact"/>
        <w:jc w:val="center"/>
        <w:outlineLvl w:val="0"/>
        <w:rPr>
          <w:color w:val="auto"/>
          <w:sz w:val="36"/>
          <w:szCs w:val="36"/>
        </w:rPr>
      </w:pPr>
      <w:bookmarkStart w:id="0" w:name="_Toc14368"/>
      <w:r>
        <w:rPr>
          <w:rFonts w:hint="eastAsia" w:eastAsia="黑体"/>
          <w:b/>
          <w:color w:val="auto"/>
          <w:sz w:val="36"/>
          <w:szCs w:val="36"/>
        </w:rPr>
        <w:t>第一章</w:t>
      </w:r>
      <w:r>
        <w:rPr>
          <w:rFonts w:eastAsia="黑体"/>
          <w:b/>
          <w:color w:val="auto"/>
          <w:sz w:val="36"/>
          <w:szCs w:val="36"/>
        </w:rPr>
        <w:t xml:space="preserve">  </w:t>
      </w:r>
      <w:r>
        <w:rPr>
          <w:rFonts w:hint="eastAsia" w:eastAsia="黑体"/>
          <w:b/>
          <w:color w:val="auto"/>
          <w:sz w:val="36"/>
          <w:szCs w:val="36"/>
        </w:rPr>
        <w:t>竞争性磋商公告</w:t>
      </w:r>
      <w:bookmarkEnd w:id="0"/>
    </w:p>
    <w:p w14:paraId="1851DFFA">
      <w:pPr>
        <w:widowControl w:val="0"/>
        <w:snapToGrid w:val="0"/>
        <w:spacing w:line="360" w:lineRule="auto"/>
        <w:ind w:firstLine="566"/>
        <w:rPr>
          <w:color w:val="auto"/>
          <w:sz w:val="28"/>
          <w:szCs w:val="28"/>
        </w:rPr>
      </w:pPr>
    </w:p>
    <w:p w14:paraId="180A44FA">
      <w:pPr>
        <w:widowControl w:val="0"/>
        <w:adjustRightInd w:val="0"/>
        <w:snapToGrid w:val="0"/>
        <w:spacing w:line="360" w:lineRule="auto"/>
        <w:ind w:firstLine="632" w:firstLineChars="225"/>
        <w:jc w:val="left"/>
        <w:rPr>
          <w:rFonts w:hint="eastAsia" w:ascii="黑体" w:hAnsi="黑体" w:eastAsia="黑体"/>
          <w:b/>
          <w:color w:val="auto"/>
          <w:sz w:val="28"/>
          <w:szCs w:val="28"/>
        </w:rPr>
      </w:pPr>
      <w:r>
        <w:rPr>
          <w:rFonts w:hint="eastAsia" w:ascii="黑体" w:hAnsi="黑体" w:eastAsia="黑体"/>
          <w:b/>
          <w:color w:val="auto"/>
          <w:sz w:val="28"/>
          <w:szCs w:val="28"/>
        </w:rPr>
        <w:t>1.项目基本情况</w:t>
      </w:r>
    </w:p>
    <w:p w14:paraId="5D04E56A">
      <w:pPr>
        <w:widowControl w:val="0"/>
        <w:adjustRightInd w:val="0"/>
        <w:snapToGrid w:val="0"/>
        <w:spacing w:line="360" w:lineRule="auto"/>
        <w:ind w:firstLine="540" w:firstLineChars="225"/>
        <w:jc w:val="left"/>
        <w:rPr>
          <w:rFonts w:hint="default" w:ascii="宋体" w:hAnsi="宋体" w:eastAsia="宋体"/>
          <w:color w:val="auto"/>
          <w:sz w:val="24"/>
          <w:szCs w:val="24"/>
          <w:lang w:val="en-US" w:eastAsia="zh-CN"/>
        </w:rPr>
      </w:pPr>
      <w:r>
        <w:rPr>
          <w:rFonts w:ascii="宋体" w:hAnsi="宋体"/>
          <w:color w:val="auto"/>
          <w:sz w:val="24"/>
          <w:szCs w:val="24"/>
        </w:rPr>
        <w:t>1.1</w:t>
      </w:r>
      <w:r>
        <w:rPr>
          <w:rFonts w:hint="eastAsia" w:ascii="宋体" w:hAnsi="宋体"/>
          <w:color w:val="auto"/>
          <w:sz w:val="24"/>
          <w:szCs w:val="24"/>
        </w:rPr>
        <w:t>项目编号：安财磋商采购</w:t>
      </w:r>
      <w:r>
        <w:rPr>
          <w:rFonts w:hint="eastAsia" w:ascii="宋体" w:hAnsi="宋体"/>
          <w:color w:val="auto"/>
          <w:sz w:val="24"/>
          <w:szCs w:val="24"/>
          <w:lang w:val="en-US" w:eastAsia="zh-CN"/>
        </w:rPr>
        <w:t>-2026-86</w:t>
      </w:r>
    </w:p>
    <w:p w14:paraId="1FE1EEFF">
      <w:pPr>
        <w:widowControl w:val="0"/>
        <w:adjustRightInd w:val="0"/>
        <w:snapToGrid w:val="0"/>
        <w:spacing w:line="360" w:lineRule="auto"/>
        <w:ind w:firstLine="540" w:firstLineChars="225"/>
        <w:jc w:val="left"/>
        <w:rPr>
          <w:rFonts w:hint="eastAsia" w:ascii="宋体" w:hAnsi="宋体"/>
          <w:color w:val="auto"/>
          <w:sz w:val="24"/>
          <w:szCs w:val="24"/>
        </w:rPr>
      </w:pPr>
      <w:r>
        <w:rPr>
          <w:rFonts w:ascii="宋体" w:hAnsi="宋体"/>
          <w:color w:val="auto"/>
          <w:sz w:val="24"/>
          <w:szCs w:val="24"/>
        </w:rPr>
        <w:t>1.2</w:t>
      </w:r>
      <w:r>
        <w:rPr>
          <w:rFonts w:hint="eastAsia" w:ascii="宋体" w:hAnsi="宋体"/>
          <w:color w:val="auto"/>
          <w:sz w:val="24"/>
          <w:szCs w:val="24"/>
        </w:rPr>
        <w:t>项目名称：安阳市智慧城市运行中心文峰立交桥照明改造工程项目</w:t>
      </w:r>
    </w:p>
    <w:p w14:paraId="399A7E29">
      <w:pPr>
        <w:widowControl w:val="0"/>
        <w:adjustRightInd w:val="0"/>
        <w:snapToGrid w:val="0"/>
        <w:spacing w:line="360" w:lineRule="auto"/>
        <w:ind w:firstLine="540" w:firstLineChars="225"/>
        <w:jc w:val="left"/>
        <w:rPr>
          <w:rFonts w:hint="eastAsia" w:ascii="宋体" w:hAnsi="宋体"/>
          <w:color w:val="auto"/>
          <w:sz w:val="24"/>
          <w:szCs w:val="24"/>
        </w:rPr>
      </w:pPr>
      <w:r>
        <w:rPr>
          <w:rFonts w:hint="eastAsia" w:ascii="宋体" w:hAnsi="宋体"/>
          <w:color w:val="auto"/>
          <w:sz w:val="24"/>
          <w:szCs w:val="24"/>
        </w:rPr>
        <w:t>1.3采购方式：竞争性磋商</w:t>
      </w:r>
    </w:p>
    <w:p w14:paraId="76E6B658">
      <w:pPr>
        <w:widowControl w:val="0"/>
        <w:adjustRightInd w:val="0"/>
        <w:snapToGrid w:val="0"/>
        <w:spacing w:line="360" w:lineRule="auto"/>
        <w:ind w:firstLine="540" w:firstLineChars="225"/>
        <w:jc w:val="left"/>
        <w:rPr>
          <w:rFonts w:hint="eastAsia" w:ascii="宋体" w:hAnsi="宋体"/>
          <w:color w:val="auto"/>
          <w:sz w:val="24"/>
          <w:szCs w:val="24"/>
        </w:rPr>
      </w:pPr>
      <w:r>
        <w:rPr>
          <w:rFonts w:ascii="宋体" w:hAnsi="宋体"/>
          <w:color w:val="auto"/>
          <w:sz w:val="24"/>
          <w:szCs w:val="24"/>
        </w:rPr>
        <w:t>1.</w:t>
      </w:r>
      <w:r>
        <w:rPr>
          <w:rFonts w:hint="eastAsia" w:ascii="宋体" w:hAnsi="宋体"/>
          <w:color w:val="auto"/>
          <w:sz w:val="24"/>
          <w:szCs w:val="24"/>
        </w:rPr>
        <w:t>4预算金额：657571.28元</w:t>
      </w:r>
    </w:p>
    <w:p w14:paraId="0BEE4ACE">
      <w:pPr>
        <w:adjustRightInd w:val="0"/>
        <w:snapToGrid w:val="0"/>
        <w:spacing w:line="360" w:lineRule="auto"/>
        <w:ind w:firstLine="540" w:firstLineChars="225"/>
        <w:rPr>
          <w:color w:val="auto"/>
          <w:sz w:val="24"/>
          <w:szCs w:val="24"/>
        </w:rPr>
      </w:pPr>
      <w:r>
        <w:rPr>
          <w:rFonts w:hint="eastAsia" w:ascii="宋体" w:hAnsi="宋体"/>
          <w:color w:val="auto"/>
          <w:sz w:val="24"/>
          <w:szCs w:val="24"/>
        </w:rPr>
        <w:t>1.5采购需求：文峰立交桥照明改造工程，技术参数详见《磋商文件》“基本技术要求”</w:t>
      </w:r>
      <w:r>
        <w:rPr>
          <w:rFonts w:hint="eastAsia"/>
          <w:color w:val="auto"/>
          <w:sz w:val="24"/>
          <w:szCs w:val="24"/>
        </w:rPr>
        <w:t>。</w:t>
      </w:r>
    </w:p>
    <w:p w14:paraId="4FB865A0">
      <w:pPr>
        <w:adjustRightInd w:val="0"/>
        <w:snapToGrid w:val="0"/>
        <w:spacing w:line="360" w:lineRule="auto"/>
        <w:ind w:firstLine="540" w:firstLineChars="225"/>
        <w:rPr>
          <w:color w:val="auto"/>
          <w:sz w:val="24"/>
          <w:szCs w:val="24"/>
        </w:rPr>
      </w:pPr>
      <w:r>
        <w:rPr>
          <w:rFonts w:hint="eastAsia" w:ascii="宋体" w:hAnsi="宋体"/>
          <w:color w:val="auto"/>
          <w:sz w:val="24"/>
          <w:szCs w:val="24"/>
        </w:rPr>
        <w:t>1.6合同履行期限：</w:t>
      </w:r>
      <w:r>
        <w:rPr>
          <w:rFonts w:hint="eastAsia"/>
          <w:color w:val="auto"/>
          <w:sz w:val="24"/>
          <w:szCs w:val="24"/>
        </w:rPr>
        <w:t>合同签订日起</w:t>
      </w:r>
      <w:r>
        <w:rPr>
          <w:rFonts w:hint="eastAsia" w:ascii="宋体" w:hAnsi="宋体"/>
          <w:color w:val="auto"/>
          <w:sz w:val="24"/>
          <w:szCs w:val="24"/>
        </w:rPr>
        <w:t>50日内</w:t>
      </w:r>
    </w:p>
    <w:p w14:paraId="701F8C14">
      <w:pPr>
        <w:widowControl w:val="0"/>
        <w:adjustRightInd w:val="0"/>
        <w:snapToGrid w:val="0"/>
        <w:spacing w:line="360" w:lineRule="auto"/>
        <w:ind w:firstLine="540" w:firstLineChars="225"/>
        <w:jc w:val="left"/>
        <w:rPr>
          <w:rFonts w:hint="eastAsia" w:ascii="宋体" w:hAnsi="宋体"/>
          <w:color w:val="auto"/>
          <w:sz w:val="24"/>
          <w:szCs w:val="24"/>
        </w:rPr>
      </w:pPr>
      <w:r>
        <w:rPr>
          <w:rFonts w:hint="eastAsia" w:ascii="宋体" w:hAnsi="宋体"/>
          <w:color w:val="auto"/>
          <w:sz w:val="24"/>
          <w:szCs w:val="24"/>
        </w:rPr>
        <w:t>1.7本项目（是/否）接受联合体投标：否</w:t>
      </w:r>
    </w:p>
    <w:p w14:paraId="054DDD1F">
      <w:pPr>
        <w:widowControl w:val="0"/>
        <w:adjustRightInd w:val="0"/>
        <w:snapToGrid w:val="0"/>
        <w:spacing w:line="360" w:lineRule="auto"/>
        <w:ind w:firstLine="540" w:firstLineChars="225"/>
        <w:jc w:val="left"/>
        <w:rPr>
          <w:rFonts w:hint="eastAsia" w:ascii="宋体" w:hAnsi="宋体"/>
          <w:color w:val="auto"/>
          <w:sz w:val="24"/>
          <w:szCs w:val="24"/>
        </w:rPr>
      </w:pPr>
      <w:r>
        <w:rPr>
          <w:rFonts w:hint="eastAsia" w:ascii="宋体" w:hAnsi="宋体"/>
          <w:color w:val="auto"/>
          <w:sz w:val="24"/>
          <w:szCs w:val="24"/>
        </w:rPr>
        <w:t>1.8是否接受进口产品：否</w:t>
      </w:r>
    </w:p>
    <w:p w14:paraId="17289980">
      <w:pPr>
        <w:widowControl w:val="0"/>
        <w:adjustRightInd w:val="0"/>
        <w:snapToGrid w:val="0"/>
        <w:spacing w:line="360" w:lineRule="auto"/>
        <w:ind w:firstLine="540" w:firstLineChars="225"/>
        <w:jc w:val="left"/>
        <w:rPr>
          <w:rFonts w:hint="eastAsia" w:ascii="宋体" w:hAnsi="宋体"/>
          <w:color w:val="auto"/>
          <w:sz w:val="24"/>
          <w:szCs w:val="24"/>
        </w:rPr>
      </w:pPr>
      <w:r>
        <w:rPr>
          <w:rFonts w:hint="eastAsia" w:ascii="宋体" w:hAnsi="宋体"/>
          <w:color w:val="auto"/>
          <w:sz w:val="24"/>
          <w:szCs w:val="24"/>
        </w:rPr>
        <w:t>1.9是否专门面向中小企业：是</w:t>
      </w:r>
    </w:p>
    <w:p w14:paraId="0B956F90">
      <w:pPr>
        <w:widowControl w:val="0"/>
        <w:adjustRightInd w:val="0"/>
        <w:snapToGrid w:val="0"/>
        <w:spacing w:line="360" w:lineRule="auto"/>
        <w:ind w:firstLine="540" w:firstLineChars="225"/>
        <w:jc w:val="left"/>
        <w:rPr>
          <w:rFonts w:ascii="宋体"/>
          <w:color w:val="auto"/>
          <w:sz w:val="24"/>
          <w:szCs w:val="24"/>
        </w:rPr>
      </w:pPr>
    </w:p>
    <w:p w14:paraId="7EE5934B">
      <w:pPr>
        <w:widowControl w:val="0"/>
        <w:snapToGrid w:val="0"/>
        <w:spacing w:line="360" w:lineRule="auto"/>
        <w:ind w:firstLine="562" w:firstLineChars="200"/>
        <w:rPr>
          <w:rFonts w:hint="eastAsia" w:ascii="黑体" w:hAnsi="黑体" w:eastAsia="黑体"/>
          <w:b/>
          <w:color w:val="auto"/>
          <w:sz w:val="28"/>
          <w:szCs w:val="28"/>
        </w:rPr>
      </w:pPr>
      <w:r>
        <w:rPr>
          <w:rFonts w:hint="eastAsia" w:ascii="黑体" w:hAnsi="黑体" w:eastAsia="黑体"/>
          <w:b/>
          <w:color w:val="auto"/>
          <w:sz w:val="28"/>
          <w:szCs w:val="28"/>
        </w:rPr>
        <w:t>2.申请人的资格要求：</w:t>
      </w:r>
    </w:p>
    <w:p w14:paraId="485095FD">
      <w:pPr>
        <w:spacing w:line="360" w:lineRule="auto"/>
        <w:ind w:firstLine="480" w:firstLineChars="200"/>
        <w:rPr>
          <w:rFonts w:hint="eastAsia" w:ascii="宋体" w:hAnsi="宋体"/>
          <w:color w:val="auto"/>
          <w:sz w:val="24"/>
          <w:szCs w:val="24"/>
        </w:rPr>
      </w:pPr>
      <w:r>
        <w:rPr>
          <w:rFonts w:hint="eastAsia" w:ascii="宋体" w:hAnsi="宋体"/>
          <w:color w:val="auto"/>
          <w:sz w:val="24"/>
          <w:szCs w:val="24"/>
        </w:rPr>
        <w:t>2.1满足《中华人民共和国政府采购法》第二十二条规定；</w:t>
      </w:r>
    </w:p>
    <w:p w14:paraId="5696DA8F">
      <w:pPr>
        <w:widowControl w:val="0"/>
        <w:adjustRightInd w:val="0"/>
        <w:snapToGrid w:val="0"/>
        <w:spacing w:line="360" w:lineRule="auto"/>
        <w:ind w:firstLine="540" w:firstLineChars="225"/>
        <w:jc w:val="left"/>
        <w:rPr>
          <w:rFonts w:hint="eastAsia" w:ascii="宋体" w:hAnsi="宋体"/>
          <w:color w:val="auto"/>
          <w:sz w:val="24"/>
          <w:szCs w:val="24"/>
        </w:rPr>
      </w:pPr>
      <w:r>
        <w:rPr>
          <w:rFonts w:hint="eastAsia" w:ascii="宋体" w:hAnsi="宋体"/>
          <w:color w:val="auto"/>
          <w:sz w:val="24"/>
          <w:szCs w:val="24"/>
        </w:rPr>
        <w:t>2.</w:t>
      </w:r>
      <w:r>
        <w:rPr>
          <w:rFonts w:ascii="宋体" w:hAnsi="宋体"/>
          <w:color w:val="auto"/>
          <w:sz w:val="24"/>
          <w:szCs w:val="24"/>
        </w:rPr>
        <w:t>2</w:t>
      </w:r>
      <w:r>
        <w:rPr>
          <w:rFonts w:hint="eastAsia" w:ascii="宋体" w:hAnsi="宋体"/>
          <w:color w:val="auto"/>
          <w:sz w:val="24"/>
          <w:szCs w:val="24"/>
        </w:rPr>
        <w:t>落实政府采购政策需满足的资格要求：本项目专门面向中小企业采购，■提供《中小企业声明函》。</w:t>
      </w:r>
    </w:p>
    <w:p w14:paraId="744B7D02">
      <w:pPr>
        <w:spacing w:line="360" w:lineRule="auto"/>
        <w:ind w:firstLine="480" w:firstLineChars="200"/>
        <w:rPr>
          <w:rFonts w:hint="eastAsia" w:ascii="宋体" w:hAnsi="宋体"/>
          <w:color w:val="auto"/>
          <w:sz w:val="24"/>
          <w:szCs w:val="24"/>
        </w:rPr>
      </w:pPr>
      <w:r>
        <w:rPr>
          <w:rFonts w:hint="eastAsia" w:ascii="宋体" w:hAnsi="宋体"/>
          <w:color w:val="auto"/>
          <w:sz w:val="24"/>
          <w:szCs w:val="24"/>
        </w:rPr>
        <w:t>2.3本项目的特定资格要求：</w:t>
      </w:r>
    </w:p>
    <w:p w14:paraId="0F07A67F">
      <w:pPr>
        <w:widowControl w:val="0"/>
        <w:adjustRightInd w:val="0"/>
        <w:snapToGrid w:val="0"/>
        <w:spacing w:line="360" w:lineRule="auto"/>
        <w:ind w:firstLine="540" w:firstLineChars="225"/>
        <w:rPr>
          <w:rFonts w:ascii="宋体"/>
          <w:color w:val="auto"/>
          <w:sz w:val="24"/>
          <w:szCs w:val="24"/>
        </w:rPr>
      </w:pPr>
      <w:r>
        <w:rPr>
          <w:rFonts w:hint="eastAsia" w:ascii="宋体" w:hAnsi="宋体"/>
          <w:color w:val="auto"/>
          <w:sz w:val="24"/>
          <w:szCs w:val="24"/>
        </w:rPr>
        <w:t>2.3</w:t>
      </w:r>
      <w:r>
        <w:rPr>
          <w:rFonts w:ascii="宋体" w:hAnsi="宋体"/>
          <w:color w:val="auto"/>
          <w:sz w:val="24"/>
          <w:szCs w:val="24"/>
        </w:rPr>
        <w:t>.1</w:t>
      </w:r>
      <w:r>
        <w:rPr>
          <w:rFonts w:hint="eastAsia" w:ascii="宋体" w:hAnsi="宋体"/>
          <w:color w:val="auto"/>
          <w:sz w:val="24"/>
          <w:szCs w:val="24"/>
        </w:rPr>
        <w:t>《政府采购法》第二十二条第一款--法定基本资格条件需提供的相关资格证明材料（文件）：</w:t>
      </w:r>
    </w:p>
    <w:p w14:paraId="338B17DA">
      <w:pPr>
        <w:widowControl w:val="0"/>
        <w:snapToGrid w:val="0"/>
        <w:spacing w:line="360" w:lineRule="auto"/>
        <w:ind w:firstLine="540" w:firstLineChars="225"/>
        <w:rPr>
          <w:rFonts w:ascii="宋体"/>
          <w:color w:val="auto"/>
          <w:szCs w:val="21"/>
        </w:rPr>
      </w:pPr>
      <w:r>
        <w:rPr>
          <w:rFonts w:hint="eastAsia" w:ascii="宋体" w:hAnsi="宋体"/>
          <w:color w:val="auto"/>
          <w:sz w:val="24"/>
          <w:szCs w:val="24"/>
        </w:rPr>
        <w:t>（</w:t>
      </w:r>
      <w:r>
        <w:rPr>
          <w:rFonts w:ascii="宋体" w:hAnsi="宋体"/>
          <w:color w:val="auto"/>
          <w:sz w:val="24"/>
          <w:szCs w:val="24"/>
        </w:rPr>
        <w:t>1</w:t>
      </w:r>
      <w:r>
        <w:rPr>
          <w:rFonts w:hint="eastAsia" w:ascii="宋体" w:hAnsi="宋体"/>
          <w:color w:val="auto"/>
          <w:sz w:val="24"/>
          <w:szCs w:val="24"/>
        </w:rPr>
        <w:t>）具有独立承担民事责任的能力。■提供营业执照或事业单位法人证书，■提供税务登记证（三证合一的只需提供三证合一的营业执照）</w:t>
      </w:r>
      <w:r>
        <w:rPr>
          <w:rFonts w:hint="eastAsia" w:ascii="微软雅黑" w:hAnsi="微软雅黑" w:eastAsia="微软雅黑"/>
          <w:color w:val="auto"/>
          <w:szCs w:val="21"/>
          <w:shd w:val="clear" w:color="auto" w:fill="FFFFFF"/>
        </w:rPr>
        <w:t>。</w:t>
      </w:r>
    </w:p>
    <w:p w14:paraId="7A1EC522">
      <w:pPr>
        <w:widowControl w:val="0"/>
        <w:snapToGrid w:val="0"/>
        <w:spacing w:line="360" w:lineRule="auto"/>
        <w:ind w:firstLine="540" w:firstLineChars="225"/>
        <w:rPr>
          <w:rFonts w:hint="eastAsia" w:ascii="宋体" w:hAnsi="宋体"/>
          <w:color w:val="auto"/>
          <w:sz w:val="24"/>
          <w:szCs w:val="24"/>
        </w:rPr>
      </w:pPr>
      <w:r>
        <w:rPr>
          <w:rFonts w:hint="eastAsia" w:ascii="宋体" w:hAnsi="宋体"/>
          <w:color w:val="auto"/>
          <w:sz w:val="24"/>
          <w:szCs w:val="24"/>
        </w:rPr>
        <w:t>（</w:t>
      </w:r>
      <w:r>
        <w:rPr>
          <w:rFonts w:ascii="宋体" w:hAnsi="宋体"/>
          <w:color w:val="auto"/>
          <w:sz w:val="24"/>
          <w:szCs w:val="24"/>
        </w:rPr>
        <w:t>2</w:t>
      </w:r>
      <w:r>
        <w:rPr>
          <w:rFonts w:hint="eastAsia" w:ascii="宋体" w:hAnsi="宋体"/>
          <w:color w:val="auto"/>
          <w:sz w:val="24"/>
          <w:szCs w:val="24"/>
        </w:rPr>
        <w:t>）具有良好的商业信誉和健全的财务会计制度，有依法缴纳税收和社会保障资金的良好记录。■提供银行出具的近</w:t>
      </w:r>
      <w:r>
        <w:rPr>
          <w:rFonts w:ascii="宋体" w:hAnsi="宋体"/>
          <w:color w:val="auto"/>
          <w:sz w:val="24"/>
          <w:szCs w:val="24"/>
        </w:rPr>
        <w:t>1</w:t>
      </w:r>
      <w:r>
        <w:rPr>
          <w:rFonts w:hint="eastAsia" w:ascii="宋体" w:hAnsi="宋体"/>
          <w:color w:val="auto"/>
          <w:sz w:val="24"/>
          <w:szCs w:val="24"/>
        </w:rPr>
        <w:t>年内资信证明（法人为基本开户行）、或2025年度以来（任一年度）经审计的财务报告、或银行（保险公司）出具的投标担保函；■提供近</w:t>
      </w:r>
      <w:r>
        <w:rPr>
          <w:rFonts w:ascii="宋体" w:hAnsi="宋体"/>
          <w:color w:val="auto"/>
          <w:sz w:val="24"/>
          <w:szCs w:val="24"/>
        </w:rPr>
        <w:t>12</w:t>
      </w:r>
      <w:r>
        <w:rPr>
          <w:rFonts w:hint="eastAsia" w:ascii="宋体" w:hAnsi="宋体"/>
          <w:color w:val="auto"/>
          <w:sz w:val="24"/>
          <w:szCs w:val="24"/>
        </w:rPr>
        <w:t>个月内（任意</w:t>
      </w:r>
      <w:r>
        <w:rPr>
          <w:rFonts w:ascii="宋体" w:hAnsi="宋体"/>
          <w:color w:val="auto"/>
          <w:sz w:val="24"/>
          <w:szCs w:val="24"/>
        </w:rPr>
        <w:t>1</w:t>
      </w:r>
      <w:r>
        <w:rPr>
          <w:rFonts w:hint="eastAsia" w:ascii="宋体" w:hAnsi="宋体"/>
          <w:color w:val="auto"/>
          <w:sz w:val="24"/>
          <w:szCs w:val="24"/>
        </w:rPr>
        <w:t>个月）已依法缴纳税收的凭据；■提供近</w:t>
      </w:r>
      <w:r>
        <w:rPr>
          <w:rFonts w:ascii="宋体" w:hAnsi="宋体"/>
          <w:color w:val="auto"/>
          <w:sz w:val="24"/>
          <w:szCs w:val="24"/>
        </w:rPr>
        <w:t>12</w:t>
      </w:r>
      <w:r>
        <w:rPr>
          <w:rFonts w:hint="eastAsia" w:ascii="宋体" w:hAnsi="宋体"/>
          <w:color w:val="auto"/>
          <w:sz w:val="24"/>
          <w:szCs w:val="24"/>
        </w:rPr>
        <w:t>个月内（任意</w:t>
      </w:r>
      <w:r>
        <w:rPr>
          <w:rFonts w:ascii="宋体" w:hAnsi="宋体"/>
          <w:color w:val="auto"/>
          <w:sz w:val="24"/>
          <w:szCs w:val="24"/>
        </w:rPr>
        <w:t>1</w:t>
      </w:r>
      <w:r>
        <w:rPr>
          <w:rFonts w:hint="eastAsia" w:ascii="宋体" w:hAnsi="宋体"/>
          <w:color w:val="auto"/>
          <w:sz w:val="24"/>
          <w:szCs w:val="24"/>
        </w:rPr>
        <w:t>个月）已依法缴纳社会保险的凭据。</w:t>
      </w:r>
    </w:p>
    <w:p w14:paraId="097D995F">
      <w:pPr>
        <w:widowControl w:val="0"/>
        <w:snapToGrid w:val="0"/>
        <w:spacing w:line="360" w:lineRule="auto"/>
        <w:ind w:firstLine="540" w:firstLineChars="225"/>
        <w:rPr>
          <w:rFonts w:hint="eastAsia" w:ascii="宋体" w:hAnsi="宋体"/>
          <w:color w:val="auto"/>
          <w:sz w:val="24"/>
          <w:szCs w:val="24"/>
        </w:rPr>
      </w:pPr>
      <w:r>
        <w:rPr>
          <w:rFonts w:hint="eastAsia" w:ascii="宋体" w:hAnsi="宋体"/>
          <w:color w:val="auto"/>
          <w:sz w:val="24"/>
          <w:szCs w:val="24"/>
        </w:rPr>
        <w:t>依法免税或不需要缴纳社会保障资金的供应商，应提供相应证明文件。</w:t>
      </w:r>
    </w:p>
    <w:p w14:paraId="32719A45">
      <w:pPr>
        <w:widowControl w:val="0"/>
        <w:numPr>
          <w:ilvl w:val="0"/>
          <w:numId w:val="1"/>
        </w:numPr>
        <w:snapToGrid w:val="0"/>
        <w:spacing w:line="360" w:lineRule="auto"/>
        <w:ind w:firstLine="540" w:firstLineChars="225"/>
        <w:rPr>
          <w:rFonts w:hint="eastAsia" w:ascii="宋体" w:hAnsi="宋体"/>
          <w:color w:val="auto"/>
          <w:sz w:val="24"/>
          <w:szCs w:val="24"/>
        </w:rPr>
      </w:pPr>
      <w:r>
        <w:rPr>
          <w:rFonts w:hint="eastAsia" w:ascii="宋体" w:hAnsi="宋体"/>
          <w:color w:val="auto"/>
          <w:sz w:val="24"/>
          <w:szCs w:val="24"/>
        </w:rPr>
        <w:t>具备履行合同所必需的设备和专业技术能力。■提供工程施工所需相关设备或设施的购置发票或单据（任一），■拟派项目经理具备机电或市政贰级（含）及以上注册建造师资格（不含临时建造师），提供建造师注册证书和有效安全生产考核合格证书（B证），提供2026年1月1日以来任意1个月已依法缴纳社会保险的凭据，不允许再担任其他在建工程的项目经理（供应商提供项目经理无在建承诺函）。</w:t>
      </w:r>
    </w:p>
    <w:p w14:paraId="4B380ADA">
      <w:pPr>
        <w:widowControl w:val="0"/>
        <w:snapToGrid w:val="0"/>
        <w:spacing w:line="360" w:lineRule="auto"/>
        <w:ind w:firstLine="480" w:firstLineChars="200"/>
        <w:rPr>
          <w:rFonts w:ascii="宋体"/>
          <w:color w:val="auto"/>
          <w:sz w:val="24"/>
          <w:szCs w:val="24"/>
        </w:rPr>
      </w:pPr>
      <w:r>
        <w:rPr>
          <w:rFonts w:hint="eastAsia" w:ascii="宋体" w:hAnsi="宋体"/>
          <w:color w:val="auto"/>
          <w:sz w:val="24"/>
          <w:szCs w:val="24"/>
        </w:rPr>
        <w:t>（</w:t>
      </w:r>
      <w:r>
        <w:rPr>
          <w:rFonts w:ascii="宋体" w:hAnsi="宋体"/>
          <w:color w:val="auto"/>
          <w:sz w:val="24"/>
          <w:szCs w:val="24"/>
        </w:rPr>
        <w:t>4</w:t>
      </w:r>
      <w:r>
        <w:rPr>
          <w:rFonts w:hint="eastAsia" w:ascii="宋体" w:hAnsi="宋体"/>
          <w:color w:val="auto"/>
          <w:sz w:val="24"/>
          <w:szCs w:val="24"/>
        </w:rPr>
        <w:t>）参加政府采购活动前</w:t>
      </w:r>
      <w:r>
        <w:rPr>
          <w:rFonts w:ascii="宋体" w:hAnsi="宋体"/>
          <w:color w:val="auto"/>
          <w:sz w:val="24"/>
          <w:szCs w:val="24"/>
        </w:rPr>
        <w:t>3</w:t>
      </w:r>
      <w:r>
        <w:rPr>
          <w:rFonts w:hint="eastAsia" w:ascii="宋体" w:hAnsi="宋体"/>
          <w:color w:val="auto"/>
          <w:sz w:val="24"/>
          <w:szCs w:val="24"/>
        </w:rPr>
        <w:t>年内在经营活动中没有重大违法记录。■提供供应商书面声明；供应商自行承诺并承担后果，声明函不实的，按《政府采购法》有关提供虚假材料的有关规定给予处罚。</w:t>
      </w:r>
    </w:p>
    <w:p w14:paraId="40053978">
      <w:pPr>
        <w:widowControl w:val="0"/>
        <w:snapToGrid w:val="0"/>
        <w:spacing w:line="360" w:lineRule="auto"/>
        <w:ind w:firstLine="540" w:firstLineChars="225"/>
        <w:rPr>
          <w:rFonts w:hint="eastAsia" w:ascii="宋体" w:hAnsi="宋体"/>
          <w:color w:val="auto"/>
          <w:sz w:val="24"/>
          <w:szCs w:val="24"/>
        </w:rPr>
      </w:pPr>
      <w:r>
        <w:rPr>
          <w:rFonts w:hint="eastAsia" w:ascii="宋体" w:hAnsi="宋体"/>
          <w:color w:val="auto"/>
          <w:sz w:val="24"/>
          <w:szCs w:val="24"/>
        </w:rPr>
        <w:t>2.3</w:t>
      </w:r>
      <w:r>
        <w:rPr>
          <w:rFonts w:ascii="宋体" w:hAnsi="宋体"/>
          <w:color w:val="auto"/>
          <w:sz w:val="24"/>
          <w:szCs w:val="24"/>
        </w:rPr>
        <w:t>.</w:t>
      </w:r>
      <w:r>
        <w:rPr>
          <w:rFonts w:hint="eastAsia" w:ascii="宋体" w:hAnsi="宋体"/>
          <w:color w:val="auto"/>
          <w:sz w:val="24"/>
          <w:szCs w:val="24"/>
        </w:rPr>
        <w:t>2对供</w:t>
      </w:r>
      <w:r>
        <w:rPr>
          <w:rFonts w:ascii="宋体" w:hAnsi="宋体"/>
          <w:color w:val="auto"/>
          <w:sz w:val="24"/>
          <w:szCs w:val="24"/>
        </w:rPr>
        <w:t>应商的限制性规定</w:t>
      </w:r>
    </w:p>
    <w:p w14:paraId="237A7621">
      <w:pPr>
        <w:widowControl w:val="0"/>
        <w:snapToGrid w:val="0"/>
        <w:spacing w:line="360" w:lineRule="auto"/>
        <w:ind w:firstLine="540" w:firstLineChars="225"/>
        <w:rPr>
          <w:rFonts w:hint="eastAsia" w:ascii="宋体" w:hAnsi="宋体"/>
          <w:color w:val="auto"/>
          <w:sz w:val="24"/>
          <w:szCs w:val="24"/>
        </w:rPr>
      </w:pPr>
      <w:r>
        <w:rPr>
          <w:rFonts w:hint="eastAsia" w:ascii="宋体" w:hAnsi="宋体"/>
          <w:color w:val="auto"/>
          <w:sz w:val="24"/>
          <w:szCs w:val="24"/>
        </w:rPr>
        <w:t>（1）供应商应当无不良信用记录。</w:t>
      </w:r>
      <w:r>
        <w:rPr>
          <w:rFonts w:ascii="宋体" w:hAnsi="宋体"/>
          <w:color w:val="auto"/>
          <w:sz w:val="24"/>
          <w:szCs w:val="24"/>
        </w:rPr>
        <w:t>(</w:t>
      </w:r>
      <w:r>
        <w:rPr>
          <w:rFonts w:hint="eastAsia" w:ascii="宋体" w:hAnsi="宋体"/>
          <w:color w:val="auto"/>
          <w:sz w:val="24"/>
          <w:szCs w:val="24"/>
        </w:rPr>
        <w:t>在“信用中国”</w:t>
      </w:r>
      <w:r>
        <w:rPr>
          <w:rFonts w:ascii="宋体" w:hAnsi="宋体"/>
          <w:color w:val="auto"/>
          <w:sz w:val="24"/>
          <w:szCs w:val="24"/>
        </w:rPr>
        <w:t>&lt;www.creditchina.gov.cn&gt;</w:t>
      </w:r>
      <w:r>
        <w:rPr>
          <w:rFonts w:hint="eastAsia" w:ascii="宋体" w:hAnsi="宋体"/>
          <w:color w:val="auto"/>
          <w:sz w:val="24"/>
          <w:szCs w:val="24"/>
        </w:rPr>
        <w:t>网站的“失信被执行人”和“重大税收违法失信主体”及“中国政府采购网”</w:t>
      </w:r>
      <w:r>
        <w:rPr>
          <w:rFonts w:ascii="宋体" w:hAnsi="宋体"/>
          <w:color w:val="auto"/>
          <w:sz w:val="24"/>
          <w:szCs w:val="24"/>
        </w:rPr>
        <w:t>&lt;www.ccgp.gov.cn&gt;</w:t>
      </w:r>
      <w:r>
        <w:rPr>
          <w:rFonts w:hint="eastAsia" w:ascii="宋体" w:hAnsi="宋体"/>
          <w:color w:val="auto"/>
          <w:sz w:val="24"/>
          <w:szCs w:val="24"/>
        </w:rPr>
        <w:t>网站的“政府采购严重违法失信行为记录名单”</w:t>
      </w:r>
      <w:r>
        <w:rPr>
          <w:rFonts w:hint="eastAsia" w:ascii="宋体" w:hAnsi="宋体"/>
          <w:b/>
          <w:color w:val="auto"/>
          <w:sz w:val="24"/>
          <w:szCs w:val="24"/>
        </w:rPr>
        <w:t>均未列入</w:t>
      </w:r>
      <w:r>
        <w:rPr>
          <w:rFonts w:ascii="宋体" w:hAnsi="宋体"/>
          <w:color w:val="auto"/>
          <w:sz w:val="24"/>
          <w:szCs w:val="24"/>
        </w:rPr>
        <w:t>)</w:t>
      </w:r>
    </w:p>
    <w:p w14:paraId="2C12990B">
      <w:pPr>
        <w:widowControl w:val="0"/>
        <w:snapToGrid w:val="0"/>
        <w:spacing w:line="360" w:lineRule="auto"/>
        <w:ind w:firstLine="540" w:firstLineChars="225"/>
        <w:rPr>
          <w:rFonts w:hint="eastAsia" w:ascii="宋体" w:hAnsi="宋体"/>
          <w:color w:val="auto"/>
          <w:sz w:val="24"/>
          <w:szCs w:val="24"/>
        </w:rPr>
      </w:pPr>
      <w:r>
        <w:rPr>
          <w:rFonts w:hint="eastAsia" w:ascii="宋体" w:hAnsi="宋体"/>
          <w:color w:val="auto"/>
          <w:sz w:val="24"/>
          <w:szCs w:val="24"/>
        </w:rPr>
        <w:t>供应商递交《响应文件》后，采购人或者采购代理机构将按以上信用信息查询渠道在解密《响应文件》之前对参加本项目的供应商信用记录进行查询，供应商有上述任一不良信用记录的，其</w:t>
      </w:r>
      <w:r>
        <w:rPr>
          <w:rFonts w:ascii="宋体" w:hAnsi="宋体"/>
          <w:color w:val="auto"/>
          <w:sz w:val="24"/>
          <w:szCs w:val="24"/>
        </w:rPr>
        <w:t>投标将被</w:t>
      </w:r>
      <w:r>
        <w:rPr>
          <w:rFonts w:hint="eastAsia" w:ascii="宋体" w:hAnsi="宋体"/>
          <w:color w:val="auto"/>
          <w:sz w:val="24"/>
          <w:szCs w:val="24"/>
        </w:rPr>
        <w:t>拒</w:t>
      </w:r>
      <w:r>
        <w:rPr>
          <w:rFonts w:ascii="宋体" w:hAnsi="宋体"/>
          <w:color w:val="auto"/>
          <w:sz w:val="24"/>
          <w:szCs w:val="24"/>
        </w:rPr>
        <w:t>绝</w:t>
      </w:r>
      <w:r>
        <w:rPr>
          <w:rFonts w:hint="eastAsia" w:ascii="宋体" w:hAnsi="宋体"/>
          <w:color w:val="auto"/>
          <w:sz w:val="24"/>
          <w:szCs w:val="24"/>
        </w:rPr>
        <w:t>、</w:t>
      </w:r>
      <w:r>
        <w:rPr>
          <w:rFonts w:ascii="宋体" w:hAnsi="宋体"/>
          <w:color w:val="auto"/>
          <w:sz w:val="24"/>
          <w:szCs w:val="24"/>
        </w:rPr>
        <w:t>为无效投</w:t>
      </w:r>
      <w:r>
        <w:rPr>
          <w:rFonts w:hint="eastAsia" w:ascii="宋体" w:hAnsi="宋体"/>
          <w:color w:val="auto"/>
          <w:sz w:val="24"/>
          <w:szCs w:val="24"/>
        </w:rPr>
        <w:t>标。查询的网页内容将以截图或者拍照作为证据留存。</w:t>
      </w:r>
    </w:p>
    <w:p w14:paraId="608618A8">
      <w:pPr>
        <w:widowControl w:val="0"/>
        <w:snapToGrid w:val="0"/>
        <w:spacing w:line="360" w:lineRule="auto"/>
        <w:ind w:firstLine="540" w:firstLineChars="225"/>
        <w:rPr>
          <w:rFonts w:hint="eastAsia" w:ascii="宋体" w:hAnsi="宋体"/>
          <w:color w:val="auto"/>
          <w:sz w:val="24"/>
          <w:szCs w:val="24"/>
        </w:rPr>
      </w:pPr>
      <w:r>
        <w:rPr>
          <w:rFonts w:hint="eastAsia" w:ascii="宋体" w:hAnsi="宋体"/>
          <w:color w:val="auto"/>
          <w:sz w:val="24"/>
          <w:szCs w:val="24"/>
        </w:rPr>
        <w:t>（2）单位负责人为同一人或者存在直接控股、管理关系的不同供应商，不得参加本合同项下的政府采购活动。供应商自行承诺并提供《国家企业信用信息公示系统》中本公司企业信用信息公示报告（包含公司基本信息、股东信息及股权变更信息）。承诺书不实的，按《政府采购法》有关提供虚假材料的有关规定给予处罚。</w:t>
      </w:r>
    </w:p>
    <w:p w14:paraId="136CC0D2">
      <w:pPr>
        <w:widowControl w:val="0"/>
        <w:snapToGrid w:val="0"/>
        <w:spacing w:line="360" w:lineRule="auto"/>
        <w:ind w:firstLine="540" w:firstLineChars="225"/>
        <w:rPr>
          <w:rFonts w:hint="eastAsia" w:ascii="宋体" w:hAnsi="宋体"/>
          <w:color w:val="auto"/>
          <w:sz w:val="24"/>
          <w:szCs w:val="24"/>
        </w:rPr>
      </w:pPr>
      <w:r>
        <w:rPr>
          <w:rFonts w:hint="eastAsia" w:ascii="宋体" w:hAnsi="宋体"/>
          <w:color w:val="auto"/>
          <w:sz w:val="24"/>
          <w:szCs w:val="24"/>
        </w:rPr>
        <w:t>（3）为本采购项目提供整体设计、规范编制或者项目管理、监理、检测等服务的供应商，不得再参加本采购项目。供应商自行承诺并承担后果，承诺书不实的，按《政府采购法》有关提供虚假材料的有关规定给予处罚。</w:t>
      </w:r>
    </w:p>
    <w:p w14:paraId="4E2DFF52">
      <w:pPr>
        <w:widowControl w:val="0"/>
        <w:snapToGrid w:val="0"/>
        <w:spacing w:line="360" w:lineRule="auto"/>
        <w:ind w:firstLine="540" w:firstLineChars="225"/>
        <w:rPr>
          <w:color w:val="auto"/>
        </w:rPr>
      </w:pPr>
      <w:r>
        <w:rPr>
          <w:rFonts w:hint="eastAsia" w:ascii="宋体" w:hAnsi="宋体"/>
          <w:color w:val="auto"/>
          <w:sz w:val="24"/>
          <w:szCs w:val="24"/>
        </w:rPr>
        <w:t>2.3</w:t>
      </w:r>
      <w:r>
        <w:rPr>
          <w:rFonts w:ascii="宋体" w:hAnsi="宋体"/>
          <w:color w:val="auto"/>
          <w:sz w:val="24"/>
          <w:szCs w:val="24"/>
        </w:rPr>
        <w:t>.</w:t>
      </w:r>
      <w:r>
        <w:rPr>
          <w:rFonts w:hint="eastAsia" w:ascii="宋体" w:hAnsi="宋体"/>
          <w:color w:val="auto"/>
          <w:sz w:val="24"/>
          <w:szCs w:val="24"/>
        </w:rPr>
        <w:t>3项目的特定资格要求：</w:t>
      </w:r>
    </w:p>
    <w:p w14:paraId="55A8CE1F">
      <w:pPr>
        <w:widowControl w:val="0"/>
        <w:numPr>
          <w:ilvl w:val="0"/>
          <w:numId w:val="2"/>
        </w:numPr>
        <w:snapToGrid w:val="0"/>
        <w:spacing w:before="120" w:beforeLines="50" w:line="360" w:lineRule="auto"/>
        <w:ind w:firstLine="720" w:firstLineChars="300"/>
        <w:rPr>
          <w:rFonts w:hint="eastAsia" w:ascii="宋体" w:hAnsi="宋体"/>
          <w:color w:val="auto"/>
          <w:sz w:val="24"/>
          <w:szCs w:val="24"/>
        </w:rPr>
      </w:pPr>
      <w:r>
        <w:rPr>
          <w:rFonts w:hint="eastAsia" w:ascii="宋体" w:hAnsi="宋体"/>
          <w:color w:val="auto"/>
          <w:sz w:val="24"/>
          <w:szCs w:val="24"/>
        </w:rPr>
        <w:t>具有城市及道路照明工程专业承包三级（含）及以上资质或市政公用工程施工总承包二级（含）及以上资质，及有效的安全生产许可证，■提供相应证书。</w:t>
      </w:r>
    </w:p>
    <w:p w14:paraId="47F8533A">
      <w:pPr>
        <w:widowControl w:val="0"/>
        <w:numPr>
          <w:ilvl w:val="0"/>
          <w:numId w:val="2"/>
        </w:numPr>
        <w:snapToGrid w:val="0"/>
        <w:spacing w:before="120" w:beforeLines="50" w:line="360" w:lineRule="auto"/>
        <w:ind w:firstLine="720" w:firstLineChars="300"/>
        <w:rPr>
          <w:rFonts w:hint="eastAsia" w:ascii="宋体" w:hAnsi="宋体"/>
          <w:color w:val="auto"/>
          <w:sz w:val="24"/>
          <w:szCs w:val="24"/>
        </w:rPr>
      </w:pPr>
      <w:r>
        <w:rPr>
          <w:rFonts w:hint="eastAsia" w:ascii="宋体" w:hAnsi="宋体"/>
          <w:color w:val="auto"/>
          <w:sz w:val="24"/>
          <w:szCs w:val="24"/>
        </w:rPr>
        <w:t>具备法律、行政法规规定的其他条件。</w:t>
      </w:r>
    </w:p>
    <w:p w14:paraId="1C9DBB5A">
      <w:pPr>
        <w:widowControl w:val="0"/>
        <w:numPr>
          <w:ilvl w:val="0"/>
          <w:numId w:val="2"/>
        </w:numPr>
        <w:snapToGrid w:val="0"/>
        <w:spacing w:before="120" w:beforeLines="50" w:line="360" w:lineRule="auto"/>
        <w:ind w:firstLine="720" w:firstLineChars="300"/>
        <w:rPr>
          <w:rFonts w:hint="eastAsia" w:ascii="宋体" w:hAnsi="宋体"/>
          <w:color w:val="auto"/>
          <w:sz w:val="24"/>
          <w:szCs w:val="24"/>
        </w:rPr>
      </w:pPr>
      <w:r>
        <w:rPr>
          <w:rFonts w:hint="eastAsia" w:ascii="宋体" w:hAnsi="宋体"/>
          <w:color w:val="auto"/>
          <w:sz w:val="24"/>
          <w:szCs w:val="24"/>
        </w:rPr>
        <w:t>本项目（是/否）接受联合体投标：同“项目基本情况”1.7款要求。</w:t>
      </w:r>
    </w:p>
    <w:p w14:paraId="6A293905">
      <w:pPr>
        <w:widowControl w:val="0"/>
        <w:snapToGrid w:val="0"/>
        <w:spacing w:before="120" w:beforeLines="50" w:line="360" w:lineRule="auto"/>
        <w:ind w:firstLine="480" w:firstLineChars="200"/>
        <w:rPr>
          <w:rFonts w:hint="eastAsia" w:ascii="宋体" w:hAnsi="宋体"/>
          <w:color w:val="auto"/>
          <w:sz w:val="24"/>
          <w:szCs w:val="24"/>
        </w:rPr>
      </w:pPr>
      <w:r>
        <w:rPr>
          <w:rFonts w:hint="eastAsia" w:ascii="宋体" w:hAnsi="宋体"/>
          <w:color w:val="auto"/>
          <w:sz w:val="24"/>
          <w:szCs w:val="24"/>
        </w:rPr>
        <w:t>按上级专项整治工作文件精神，严禁投标人借用资质参与该项目投标。</w:t>
      </w:r>
    </w:p>
    <w:p w14:paraId="4A7D600A">
      <w:pPr>
        <w:widowControl w:val="0"/>
        <w:adjustRightInd w:val="0"/>
        <w:spacing w:before="120" w:beforeLines="50" w:line="300" w:lineRule="auto"/>
        <w:ind w:firstLine="540" w:firstLineChars="225"/>
        <w:rPr>
          <w:color w:val="auto"/>
          <w:sz w:val="24"/>
          <w:szCs w:val="24"/>
        </w:rPr>
      </w:pPr>
      <w:r>
        <w:rPr>
          <w:rFonts w:hint="eastAsia"/>
          <w:color w:val="auto"/>
          <w:sz w:val="24"/>
          <w:szCs w:val="24"/>
        </w:rPr>
        <w:t>注：（1）所有证照均应为有效的证照；文中“近”、“前”指距投标截止时间。</w:t>
      </w:r>
    </w:p>
    <w:p w14:paraId="46DA36B3">
      <w:pPr>
        <w:widowControl w:val="0"/>
        <w:adjustRightInd w:val="0"/>
        <w:spacing w:before="120" w:beforeLines="50" w:line="300" w:lineRule="auto"/>
        <w:ind w:firstLine="540" w:firstLineChars="225"/>
        <w:rPr>
          <w:color w:val="auto"/>
          <w:sz w:val="24"/>
          <w:szCs w:val="24"/>
        </w:rPr>
      </w:pPr>
      <w:r>
        <w:rPr>
          <w:rFonts w:hint="eastAsia"/>
          <w:color w:val="auto"/>
          <w:sz w:val="24"/>
          <w:szCs w:val="24"/>
        </w:rPr>
        <w:t>（2）资格证明材料（文件）应附于《响应文件》中并经供应商</w:t>
      </w:r>
      <w:r>
        <w:rPr>
          <w:rFonts w:hint="eastAsia" w:ascii="宋体" w:hAnsi="宋体" w:cs="楷体_GB2312"/>
          <w:color w:val="auto"/>
          <w:sz w:val="24"/>
        </w:rPr>
        <w:t>电子签章</w:t>
      </w:r>
      <w:r>
        <w:rPr>
          <w:rFonts w:hint="eastAsia"/>
          <w:color w:val="auto"/>
          <w:sz w:val="24"/>
          <w:szCs w:val="24"/>
        </w:rPr>
        <w:t>。供应商对资格证明文件真实性有效合规承担责任，提供虚假材料的为无效投标并将进一步追究其责任。</w:t>
      </w:r>
      <w:r>
        <w:rPr>
          <w:rFonts w:hint="eastAsia" w:ascii="宋体" w:hAnsi="宋体"/>
          <w:color w:val="auto"/>
          <w:sz w:val="24"/>
          <w:szCs w:val="24"/>
        </w:rPr>
        <w:t>（按</w:t>
      </w:r>
      <w:r>
        <w:rPr>
          <w:rFonts w:hint="eastAsia" w:ascii="宋体" w:cs="楷体_GB2312"/>
          <w:color w:val="auto"/>
          <w:sz w:val="24"/>
          <w:lang w:val="zh-CN"/>
        </w:rPr>
        <w:t>第六章</w:t>
      </w:r>
      <w:r>
        <w:rPr>
          <w:rFonts w:hint="eastAsia" w:ascii="宋体" w:hAnsi="宋体"/>
          <w:color w:val="auto"/>
          <w:sz w:val="24"/>
          <w:szCs w:val="24"/>
        </w:rPr>
        <w:t>14-2附件提供核验材料）</w:t>
      </w:r>
    </w:p>
    <w:p w14:paraId="3C714D6A">
      <w:pPr>
        <w:pStyle w:val="16"/>
        <w:shd w:val="clear" w:color="auto" w:fill="FFFFFF"/>
        <w:adjustRightInd w:val="0"/>
        <w:spacing w:before="50" w:beforeAutospacing="0" w:after="0" w:afterAutospacing="0" w:line="300" w:lineRule="auto"/>
        <w:ind w:firstLine="540" w:firstLineChars="225"/>
        <w:rPr>
          <w:rFonts w:hint="eastAsia"/>
          <w:color w:val="auto"/>
        </w:rPr>
      </w:pPr>
      <w:r>
        <w:rPr>
          <w:rFonts w:hint="eastAsia"/>
          <w:color w:val="auto"/>
        </w:rPr>
        <w:t>（3）本项目采取资格后审，开标后，将由磋商小组对供应商的资格证明材料（文件）进行资格审核，未按要求逐一提供、或资格审查不合格的为无效投标，供应商应自负其风险费用。</w:t>
      </w:r>
    </w:p>
    <w:p w14:paraId="61B3B3EC">
      <w:pPr>
        <w:pStyle w:val="16"/>
        <w:shd w:val="clear" w:color="auto" w:fill="FFFFFF"/>
        <w:adjustRightInd w:val="0"/>
        <w:spacing w:before="50" w:beforeAutospacing="0" w:after="0" w:afterAutospacing="0" w:line="300" w:lineRule="auto"/>
        <w:rPr>
          <w:rFonts w:hint="eastAsia"/>
          <w:b/>
          <w:color w:val="auto"/>
        </w:rPr>
      </w:pPr>
    </w:p>
    <w:p w14:paraId="460A4B76">
      <w:pPr>
        <w:widowControl w:val="0"/>
        <w:snapToGrid w:val="0"/>
        <w:spacing w:line="360" w:lineRule="auto"/>
        <w:ind w:firstLine="562" w:firstLineChars="200"/>
        <w:rPr>
          <w:rFonts w:hint="eastAsia" w:ascii="黑体" w:hAnsi="黑体" w:eastAsia="黑体"/>
          <w:b/>
          <w:color w:val="auto"/>
          <w:sz w:val="28"/>
          <w:szCs w:val="28"/>
        </w:rPr>
      </w:pPr>
      <w:r>
        <w:rPr>
          <w:rFonts w:ascii="黑体" w:hAnsi="黑体" w:eastAsia="黑体"/>
          <w:b/>
          <w:color w:val="auto"/>
          <w:sz w:val="28"/>
          <w:szCs w:val="28"/>
        </w:rPr>
        <w:t>3</w:t>
      </w:r>
      <w:r>
        <w:rPr>
          <w:rFonts w:hint="eastAsia" w:ascii="黑体" w:hAnsi="黑体" w:eastAsia="黑体"/>
          <w:b/>
          <w:color w:val="auto"/>
          <w:sz w:val="28"/>
          <w:szCs w:val="28"/>
        </w:rPr>
        <w:t>．获取磋商文件</w:t>
      </w:r>
    </w:p>
    <w:p w14:paraId="13FDC8D5">
      <w:pPr>
        <w:snapToGrid w:val="0"/>
        <w:spacing w:line="360" w:lineRule="auto"/>
        <w:ind w:firstLine="540" w:firstLineChars="225"/>
        <w:jc w:val="left"/>
        <w:rPr>
          <w:b/>
          <w:bCs/>
          <w:color w:val="auto"/>
          <w:sz w:val="24"/>
          <w:szCs w:val="24"/>
        </w:rPr>
      </w:pPr>
      <w:r>
        <w:rPr>
          <w:rFonts w:hint="eastAsia" w:ascii="宋体" w:hAnsi="宋体"/>
          <w:color w:val="auto"/>
          <w:sz w:val="24"/>
          <w:szCs w:val="24"/>
        </w:rPr>
        <w:t>3.1</w:t>
      </w:r>
      <w:r>
        <w:rPr>
          <w:rFonts w:hint="eastAsia"/>
          <w:color w:val="auto"/>
          <w:sz w:val="24"/>
          <w:szCs w:val="24"/>
        </w:rPr>
        <w:t>时间：</w:t>
      </w:r>
      <w:r>
        <w:rPr>
          <w:rFonts w:hint="eastAsia"/>
          <w:color w:val="auto"/>
          <w:sz w:val="24"/>
          <w:szCs w:val="24"/>
          <w:u w:val="single"/>
          <w:lang w:val="en-US" w:eastAsia="zh-CN"/>
        </w:rPr>
        <w:t>2026</w:t>
      </w:r>
      <w:r>
        <w:rPr>
          <w:rFonts w:hint="eastAsia"/>
          <w:color w:val="auto"/>
          <w:sz w:val="24"/>
          <w:szCs w:val="24"/>
        </w:rPr>
        <w:t>年</w:t>
      </w:r>
      <w:r>
        <w:rPr>
          <w:rFonts w:hint="eastAsia"/>
          <w:color w:val="auto"/>
          <w:sz w:val="24"/>
          <w:szCs w:val="24"/>
          <w:u w:val="single"/>
          <w:lang w:val="en-US" w:eastAsia="zh-CN"/>
        </w:rPr>
        <w:t>9</w:t>
      </w:r>
      <w:r>
        <w:rPr>
          <w:rFonts w:hint="eastAsia"/>
          <w:color w:val="auto"/>
          <w:sz w:val="24"/>
          <w:szCs w:val="24"/>
        </w:rPr>
        <w:t>月</w:t>
      </w:r>
      <w:r>
        <w:rPr>
          <w:rFonts w:hint="eastAsia"/>
          <w:color w:val="auto"/>
          <w:sz w:val="24"/>
          <w:szCs w:val="24"/>
          <w:u w:val="single"/>
          <w:lang w:val="en-US" w:eastAsia="zh-CN"/>
        </w:rPr>
        <w:t>29</w:t>
      </w:r>
      <w:r>
        <w:rPr>
          <w:rFonts w:hint="eastAsia"/>
          <w:color w:val="auto"/>
          <w:sz w:val="24"/>
          <w:szCs w:val="24"/>
        </w:rPr>
        <w:t>日至</w:t>
      </w:r>
      <w:r>
        <w:rPr>
          <w:rFonts w:hint="eastAsia"/>
          <w:color w:val="auto"/>
          <w:sz w:val="24"/>
          <w:szCs w:val="24"/>
          <w:u w:val="single"/>
          <w:lang w:val="en-US" w:eastAsia="zh-CN"/>
        </w:rPr>
        <w:t>2026</w:t>
      </w:r>
      <w:r>
        <w:rPr>
          <w:rFonts w:hint="eastAsia"/>
          <w:color w:val="auto"/>
          <w:sz w:val="24"/>
          <w:szCs w:val="24"/>
        </w:rPr>
        <w:t>年</w:t>
      </w:r>
      <w:r>
        <w:rPr>
          <w:rFonts w:hint="eastAsia"/>
          <w:color w:val="auto"/>
          <w:sz w:val="24"/>
          <w:szCs w:val="24"/>
          <w:u w:val="single"/>
          <w:lang w:val="en-US" w:eastAsia="zh-CN"/>
        </w:rPr>
        <w:t>10</w:t>
      </w:r>
      <w:r>
        <w:rPr>
          <w:rFonts w:hint="eastAsia"/>
          <w:color w:val="auto"/>
          <w:sz w:val="24"/>
          <w:szCs w:val="24"/>
        </w:rPr>
        <w:t>月</w:t>
      </w:r>
      <w:r>
        <w:rPr>
          <w:rFonts w:hint="eastAsia"/>
          <w:color w:val="auto"/>
          <w:sz w:val="24"/>
          <w:szCs w:val="24"/>
          <w:u w:val="single"/>
          <w:lang w:val="en-US" w:eastAsia="zh-CN"/>
        </w:rPr>
        <w:t>10</w:t>
      </w:r>
      <w:r>
        <w:rPr>
          <w:rFonts w:hint="eastAsia"/>
          <w:color w:val="auto"/>
          <w:sz w:val="24"/>
          <w:szCs w:val="24"/>
        </w:rPr>
        <w:t>日，每天上午</w:t>
      </w:r>
      <w:r>
        <w:rPr>
          <w:rFonts w:hint="eastAsia"/>
          <w:color w:val="auto"/>
          <w:sz w:val="24"/>
          <w:szCs w:val="24"/>
          <w:u w:val="single"/>
          <w:lang w:val="en-US" w:eastAsia="zh-CN"/>
        </w:rPr>
        <w:t>00：00</w:t>
      </w:r>
      <w:r>
        <w:rPr>
          <w:rFonts w:hint="eastAsia"/>
          <w:color w:val="auto"/>
          <w:sz w:val="24"/>
          <w:szCs w:val="24"/>
        </w:rPr>
        <w:t>至</w:t>
      </w:r>
      <w:r>
        <w:rPr>
          <w:rFonts w:hint="eastAsia"/>
          <w:color w:val="auto"/>
          <w:sz w:val="24"/>
          <w:szCs w:val="24"/>
          <w:u w:val="single"/>
          <w:lang w:val="en-US" w:eastAsia="zh-CN"/>
        </w:rPr>
        <w:t>12：00</w:t>
      </w:r>
      <w:r>
        <w:rPr>
          <w:rFonts w:hint="eastAsia"/>
          <w:color w:val="auto"/>
          <w:sz w:val="24"/>
          <w:szCs w:val="24"/>
        </w:rPr>
        <w:t>，下午</w:t>
      </w:r>
      <w:r>
        <w:rPr>
          <w:rFonts w:hint="eastAsia"/>
          <w:color w:val="auto"/>
          <w:sz w:val="24"/>
          <w:szCs w:val="24"/>
          <w:u w:val="single"/>
          <w:lang w:val="en-US" w:eastAsia="zh-CN"/>
        </w:rPr>
        <w:t>12：00</w:t>
      </w:r>
      <w:r>
        <w:rPr>
          <w:rFonts w:hint="eastAsia"/>
          <w:color w:val="auto"/>
          <w:sz w:val="24"/>
          <w:szCs w:val="24"/>
        </w:rPr>
        <w:t>至</w:t>
      </w:r>
      <w:r>
        <w:rPr>
          <w:rFonts w:hint="eastAsia"/>
          <w:color w:val="auto"/>
          <w:sz w:val="24"/>
          <w:szCs w:val="24"/>
          <w:u w:val="single"/>
          <w:lang w:val="en-US" w:eastAsia="zh-CN"/>
        </w:rPr>
        <w:t>23：59</w:t>
      </w:r>
      <w:r>
        <w:rPr>
          <w:rFonts w:hint="eastAsia"/>
          <w:color w:val="auto"/>
          <w:sz w:val="24"/>
          <w:szCs w:val="24"/>
        </w:rPr>
        <w:t>（北京时间，</w:t>
      </w:r>
      <w:r>
        <w:rPr>
          <w:color w:val="auto"/>
          <w:sz w:val="24"/>
          <w:szCs w:val="24"/>
        </w:rPr>
        <w:t>法定节假日</w:t>
      </w:r>
      <w:r>
        <w:rPr>
          <w:rFonts w:hint="eastAsia"/>
          <w:color w:val="auto"/>
          <w:sz w:val="24"/>
          <w:szCs w:val="24"/>
        </w:rPr>
        <w:t>除外）</w:t>
      </w:r>
    </w:p>
    <w:p w14:paraId="0A0E5A7D">
      <w:pPr>
        <w:widowControl w:val="0"/>
        <w:snapToGrid w:val="0"/>
        <w:spacing w:line="360" w:lineRule="auto"/>
        <w:ind w:left="55" w:leftChars="26" w:firstLine="540" w:firstLineChars="225"/>
        <w:rPr>
          <w:rFonts w:hint="eastAsia" w:ascii="宋体" w:hAnsi="宋体"/>
          <w:b/>
          <w:color w:val="auto"/>
          <w:sz w:val="24"/>
          <w:szCs w:val="24"/>
        </w:rPr>
      </w:pPr>
      <w:r>
        <w:rPr>
          <w:rFonts w:hint="eastAsia" w:ascii="宋体" w:hAnsi="宋体"/>
          <w:color w:val="auto"/>
          <w:sz w:val="24"/>
          <w:szCs w:val="24"/>
        </w:rPr>
        <w:t>3.2地点</w:t>
      </w:r>
      <w:r>
        <w:rPr>
          <w:rFonts w:hint="eastAsia"/>
          <w:color w:val="auto"/>
          <w:sz w:val="24"/>
          <w:szCs w:val="24"/>
        </w:rPr>
        <w:t>：</w:t>
      </w:r>
      <w:r>
        <w:rPr>
          <w:rFonts w:hint="eastAsia"/>
          <w:b/>
          <w:bCs/>
          <w:color w:val="auto"/>
          <w:sz w:val="24"/>
          <w:szCs w:val="24"/>
        </w:rPr>
        <w:t>登录安阳市公共资源交易中心网站（</w:t>
      </w:r>
      <w:r>
        <w:rPr>
          <w:b/>
          <w:bCs/>
          <w:color w:val="auto"/>
          <w:sz w:val="24"/>
          <w:szCs w:val="24"/>
        </w:rPr>
        <w:t>https://ggzy.anyang.gov.cn</w:t>
      </w:r>
      <w:r>
        <w:rPr>
          <w:rFonts w:hint="eastAsia"/>
          <w:b/>
          <w:bCs/>
          <w:color w:val="auto"/>
          <w:sz w:val="24"/>
          <w:szCs w:val="24"/>
        </w:rPr>
        <w:t>），在【交易主体登录】入口完成注册。凭数字证书下载磋商文件及其它资料。</w:t>
      </w:r>
    </w:p>
    <w:p w14:paraId="63B22F58">
      <w:pPr>
        <w:spacing w:line="360" w:lineRule="auto"/>
        <w:ind w:firstLine="540"/>
        <w:rPr>
          <w:b/>
          <w:bCs/>
          <w:color w:val="auto"/>
          <w:sz w:val="24"/>
          <w:szCs w:val="24"/>
        </w:rPr>
      </w:pPr>
      <w:r>
        <w:rPr>
          <w:rFonts w:hint="eastAsia" w:ascii="宋体" w:hAnsi="宋体"/>
          <w:color w:val="auto"/>
          <w:sz w:val="24"/>
          <w:szCs w:val="24"/>
        </w:rPr>
        <w:t>3.3方式：</w:t>
      </w:r>
      <w:r>
        <w:rPr>
          <w:rFonts w:hint="eastAsia"/>
          <w:b/>
          <w:bCs/>
          <w:color w:val="auto"/>
          <w:sz w:val="24"/>
          <w:szCs w:val="24"/>
        </w:rPr>
        <w:t>网上</w:t>
      </w:r>
      <w:r>
        <w:rPr>
          <w:b/>
          <w:bCs/>
          <w:color w:val="auto"/>
          <w:sz w:val="24"/>
          <w:szCs w:val="24"/>
        </w:rPr>
        <w:t>下载</w:t>
      </w:r>
      <w:r>
        <w:rPr>
          <w:rFonts w:hint="eastAsia"/>
          <w:b/>
          <w:bCs/>
          <w:color w:val="auto"/>
          <w:sz w:val="24"/>
          <w:szCs w:val="24"/>
        </w:rPr>
        <w:t>；</w:t>
      </w:r>
    </w:p>
    <w:p w14:paraId="45CF3D2D">
      <w:pPr>
        <w:spacing w:line="360" w:lineRule="auto"/>
        <w:ind w:firstLine="540"/>
        <w:rPr>
          <w:b/>
          <w:bCs/>
          <w:color w:val="auto"/>
          <w:sz w:val="24"/>
          <w:szCs w:val="24"/>
        </w:rPr>
      </w:pPr>
      <w:r>
        <w:rPr>
          <w:rFonts w:hint="eastAsia"/>
          <w:b/>
          <w:bCs/>
          <w:color w:val="auto"/>
          <w:sz w:val="24"/>
          <w:szCs w:val="24"/>
        </w:rPr>
        <w:t>具体流程请查询安阳市公共资源交易中心网站-服务指南-操作手册-《安阳市公共资源交易系统投标人（供应商）操作手册》。</w:t>
      </w:r>
      <w:r>
        <w:rPr>
          <w:b/>
          <w:bCs/>
          <w:color w:val="auto"/>
          <w:sz w:val="24"/>
          <w:szCs w:val="24"/>
        </w:rPr>
        <w:t>如有技术问题请咨询</w:t>
      </w:r>
      <w:r>
        <w:rPr>
          <w:rFonts w:hint="eastAsia"/>
          <w:b/>
          <w:bCs/>
          <w:color w:val="auto"/>
          <w:sz w:val="24"/>
          <w:szCs w:val="24"/>
        </w:rPr>
        <w:t>400-998-0000、0372-3387739。</w:t>
      </w:r>
    </w:p>
    <w:p w14:paraId="3A6ACB01">
      <w:pPr>
        <w:spacing w:line="360" w:lineRule="auto"/>
        <w:ind w:firstLine="540"/>
        <w:rPr>
          <w:rFonts w:hint="eastAsia" w:ascii="宋体" w:hAnsi="宋体" w:cs="宋体"/>
          <w:color w:val="auto"/>
          <w:sz w:val="24"/>
          <w:szCs w:val="24"/>
        </w:rPr>
      </w:pPr>
      <w:r>
        <w:rPr>
          <w:rFonts w:hint="eastAsia" w:ascii="宋体" w:hAnsi="宋体"/>
          <w:color w:val="auto"/>
          <w:sz w:val="24"/>
          <w:szCs w:val="24"/>
        </w:rPr>
        <w:t>3.4售价：</w:t>
      </w:r>
      <w:r>
        <w:rPr>
          <w:rFonts w:hint="eastAsia" w:ascii="宋体" w:hAnsi="宋体" w:cs="宋体"/>
          <w:color w:val="auto"/>
          <w:sz w:val="24"/>
          <w:szCs w:val="24"/>
        </w:rPr>
        <w:t>0元</w:t>
      </w:r>
    </w:p>
    <w:p w14:paraId="2DFAAF2B">
      <w:pPr>
        <w:widowControl w:val="0"/>
        <w:snapToGrid w:val="0"/>
        <w:spacing w:line="360" w:lineRule="auto"/>
        <w:rPr>
          <w:color w:val="auto"/>
          <w:sz w:val="24"/>
          <w:szCs w:val="24"/>
        </w:rPr>
      </w:pPr>
    </w:p>
    <w:p w14:paraId="051EDB3E">
      <w:pPr>
        <w:widowControl w:val="0"/>
        <w:snapToGrid w:val="0"/>
        <w:spacing w:line="360" w:lineRule="auto"/>
        <w:ind w:firstLine="562" w:firstLineChars="200"/>
        <w:rPr>
          <w:rFonts w:hint="eastAsia" w:ascii="黑体" w:hAnsi="黑体" w:eastAsia="黑体"/>
          <w:b/>
          <w:color w:val="auto"/>
          <w:sz w:val="28"/>
          <w:szCs w:val="28"/>
        </w:rPr>
      </w:pPr>
      <w:r>
        <w:rPr>
          <w:rFonts w:ascii="黑体" w:hAnsi="黑体" w:eastAsia="黑体"/>
          <w:b/>
          <w:color w:val="auto"/>
          <w:sz w:val="28"/>
          <w:szCs w:val="28"/>
        </w:rPr>
        <w:t>4</w:t>
      </w:r>
      <w:r>
        <w:rPr>
          <w:rFonts w:hint="eastAsia" w:ascii="黑体" w:hAnsi="黑体" w:eastAsia="黑体"/>
          <w:b/>
          <w:color w:val="auto"/>
          <w:sz w:val="28"/>
          <w:szCs w:val="28"/>
        </w:rPr>
        <w:t>.首次响应文件提交</w:t>
      </w:r>
    </w:p>
    <w:p w14:paraId="0BCD8C1B">
      <w:pPr>
        <w:widowControl w:val="0"/>
        <w:adjustRightInd w:val="0"/>
        <w:spacing w:before="120" w:beforeLines="50" w:line="300" w:lineRule="auto"/>
        <w:ind w:firstLine="540" w:firstLineChars="225"/>
        <w:rPr>
          <w:color w:val="auto"/>
          <w:sz w:val="24"/>
          <w:szCs w:val="24"/>
        </w:rPr>
      </w:pPr>
      <w:r>
        <w:rPr>
          <w:rFonts w:hint="eastAsia"/>
          <w:color w:val="auto"/>
          <w:sz w:val="24"/>
          <w:szCs w:val="24"/>
        </w:rPr>
        <w:t>4.1截止时间：2026年</w:t>
      </w:r>
      <w:r>
        <w:rPr>
          <w:rFonts w:hint="eastAsia"/>
          <w:color w:val="auto"/>
          <w:sz w:val="24"/>
          <w:szCs w:val="24"/>
          <w:lang w:val="en-US" w:eastAsia="zh-CN"/>
        </w:rPr>
        <w:t>10</w:t>
      </w:r>
      <w:r>
        <w:rPr>
          <w:rFonts w:hint="eastAsia"/>
          <w:color w:val="auto"/>
          <w:sz w:val="24"/>
          <w:szCs w:val="24"/>
        </w:rPr>
        <w:t>月</w:t>
      </w:r>
      <w:r>
        <w:rPr>
          <w:rFonts w:hint="eastAsia"/>
          <w:color w:val="auto"/>
          <w:sz w:val="24"/>
          <w:szCs w:val="24"/>
          <w:lang w:val="en-US" w:eastAsia="zh-CN"/>
        </w:rPr>
        <w:t>15</w:t>
      </w:r>
      <w:r>
        <w:rPr>
          <w:rFonts w:hint="eastAsia"/>
          <w:color w:val="auto"/>
          <w:sz w:val="24"/>
          <w:szCs w:val="24"/>
        </w:rPr>
        <w:t>日09时00分（北京时间）</w:t>
      </w:r>
    </w:p>
    <w:p w14:paraId="67848C39">
      <w:pPr>
        <w:widowControl w:val="0"/>
        <w:adjustRightInd w:val="0"/>
        <w:spacing w:before="120" w:beforeLines="50" w:line="300" w:lineRule="auto"/>
        <w:ind w:firstLine="540" w:firstLineChars="225"/>
        <w:rPr>
          <w:color w:val="auto"/>
          <w:sz w:val="24"/>
          <w:szCs w:val="24"/>
        </w:rPr>
      </w:pPr>
      <w:r>
        <w:rPr>
          <w:rFonts w:hint="eastAsia"/>
          <w:color w:val="auto"/>
          <w:sz w:val="24"/>
          <w:szCs w:val="24"/>
        </w:rPr>
        <w:t>4.2地点：于安阳市公共资源交易平台网上上传递交、并由供应商在规定时间远程解密。</w:t>
      </w:r>
    </w:p>
    <w:p w14:paraId="63044B2F">
      <w:pPr>
        <w:widowControl w:val="0"/>
        <w:snapToGrid w:val="0"/>
        <w:spacing w:line="360" w:lineRule="auto"/>
        <w:ind w:left="55" w:leftChars="26" w:firstLine="540" w:firstLineChars="225"/>
        <w:rPr>
          <w:color w:val="auto"/>
          <w:sz w:val="24"/>
          <w:szCs w:val="24"/>
        </w:rPr>
      </w:pPr>
    </w:p>
    <w:p w14:paraId="36C53A2B">
      <w:pPr>
        <w:widowControl w:val="0"/>
        <w:snapToGrid w:val="0"/>
        <w:spacing w:line="360" w:lineRule="auto"/>
        <w:ind w:firstLine="562" w:firstLineChars="200"/>
        <w:rPr>
          <w:rFonts w:hint="eastAsia" w:ascii="黑体" w:hAnsi="黑体" w:eastAsia="黑体"/>
          <w:b/>
          <w:color w:val="auto"/>
          <w:sz w:val="28"/>
          <w:szCs w:val="28"/>
        </w:rPr>
      </w:pPr>
      <w:r>
        <w:rPr>
          <w:rFonts w:hint="eastAsia" w:ascii="黑体" w:hAnsi="黑体" w:eastAsia="黑体"/>
          <w:b/>
          <w:color w:val="auto"/>
          <w:sz w:val="28"/>
          <w:szCs w:val="28"/>
        </w:rPr>
        <w:t>5.首次响应文件开启</w:t>
      </w:r>
    </w:p>
    <w:p w14:paraId="47555345">
      <w:pPr>
        <w:widowControl w:val="0"/>
        <w:adjustRightInd w:val="0"/>
        <w:spacing w:before="120" w:beforeLines="50" w:line="300" w:lineRule="auto"/>
        <w:ind w:firstLine="540" w:firstLineChars="225"/>
        <w:rPr>
          <w:color w:val="auto"/>
          <w:sz w:val="24"/>
          <w:szCs w:val="24"/>
        </w:rPr>
      </w:pPr>
      <w:r>
        <w:rPr>
          <w:rFonts w:hint="eastAsia"/>
          <w:color w:val="auto"/>
          <w:sz w:val="24"/>
          <w:szCs w:val="24"/>
        </w:rPr>
        <w:t>5.1时间：2026年</w:t>
      </w:r>
      <w:r>
        <w:rPr>
          <w:rFonts w:hint="eastAsia"/>
          <w:color w:val="auto"/>
          <w:sz w:val="24"/>
          <w:szCs w:val="24"/>
          <w:lang w:val="en-US" w:eastAsia="zh-CN"/>
        </w:rPr>
        <w:t>10</w:t>
      </w:r>
      <w:r>
        <w:rPr>
          <w:rFonts w:hint="eastAsia"/>
          <w:color w:val="auto"/>
          <w:sz w:val="24"/>
          <w:szCs w:val="24"/>
        </w:rPr>
        <w:t>月</w:t>
      </w:r>
      <w:r>
        <w:rPr>
          <w:rFonts w:hint="eastAsia"/>
          <w:color w:val="auto"/>
          <w:sz w:val="24"/>
          <w:szCs w:val="24"/>
          <w:lang w:val="en-US" w:eastAsia="zh-CN"/>
        </w:rPr>
        <w:t>15</w:t>
      </w:r>
      <w:r>
        <w:rPr>
          <w:rFonts w:hint="eastAsia"/>
          <w:color w:val="auto"/>
          <w:sz w:val="24"/>
          <w:szCs w:val="24"/>
        </w:rPr>
        <w:t>日09时00分（北京时间）</w:t>
      </w:r>
    </w:p>
    <w:p w14:paraId="2F685B21">
      <w:pPr>
        <w:widowControl w:val="0"/>
        <w:adjustRightInd w:val="0"/>
        <w:spacing w:before="120" w:beforeLines="50" w:line="300" w:lineRule="auto"/>
        <w:ind w:firstLine="540" w:firstLineChars="225"/>
        <w:rPr>
          <w:color w:val="auto"/>
          <w:sz w:val="24"/>
          <w:szCs w:val="24"/>
        </w:rPr>
      </w:pPr>
      <w:r>
        <w:rPr>
          <w:rFonts w:hint="eastAsia"/>
          <w:color w:val="auto"/>
          <w:sz w:val="24"/>
          <w:szCs w:val="24"/>
        </w:rPr>
        <w:t>5.2地点（管理员网上操作地点）：安阳市公共资源交易中心五楼集中开标大厅</w:t>
      </w:r>
      <w:r>
        <w:rPr>
          <w:rFonts w:hint="eastAsia"/>
          <w:color w:val="auto"/>
          <w:sz w:val="24"/>
          <w:szCs w:val="24"/>
          <w:lang w:val="en-US" w:eastAsia="zh-CN"/>
        </w:rPr>
        <w:t>八</w:t>
      </w:r>
      <w:bookmarkStart w:id="55" w:name="_GoBack"/>
      <w:bookmarkEnd w:id="55"/>
      <w:r>
        <w:rPr>
          <w:rFonts w:hint="eastAsia"/>
          <w:color w:val="auto"/>
          <w:sz w:val="24"/>
          <w:szCs w:val="24"/>
        </w:rPr>
        <w:t>室（安阳市文峰大道东段559号安阳市民之家）。</w:t>
      </w:r>
    </w:p>
    <w:p w14:paraId="517CCB64">
      <w:pPr>
        <w:widowControl w:val="0"/>
        <w:adjustRightInd w:val="0"/>
        <w:spacing w:before="120" w:beforeLines="50" w:line="300" w:lineRule="auto"/>
        <w:ind w:firstLine="540" w:firstLineChars="225"/>
        <w:rPr>
          <w:b/>
          <w:bCs/>
          <w:color w:val="auto"/>
          <w:sz w:val="24"/>
          <w:szCs w:val="24"/>
        </w:rPr>
      </w:pPr>
      <w:r>
        <w:rPr>
          <w:rFonts w:hint="eastAsia" w:ascii="宋体" w:hAnsi="宋体"/>
          <w:color w:val="auto"/>
          <w:sz w:val="24"/>
          <w:szCs w:val="24"/>
        </w:rPr>
        <w:t>5.3</w:t>
      </w:r>
      <w:r>
        <w:rPr>
          <w:b/>
          <w:bCs/>
          <w:color w:val="auto"/>
          <w:sz w:val="24"/>
          <w:szCs w:val="24"/>
        </w:rPr>
        <w:t>本项目采用远程不见面交易的模式，开标当日，</w:t>
      </w:r>
      <w:r>
        <w:rPr>
          <w:rFonts w:hint="eastAsia"/>
          <w:b/>
          <w:bCs/>
          <w:color w:val="auto"/>
          <w:sz w:val="24"/>
          <w:szCs w:val="24"/>
        </w:rPr>
        <w:t>供应商</w:t>
      </w:r>
      <w:r>
        <w:rPr>
          <w:b/>
          <w:bCs/>
          <w:color w:val="auto"/>
          <w:sz w:val="24"/>
          <w:szCs w:val="24"/>
        </w:rPr>
        <w:t>无需到开标现场参加开标会议，</w:t>
      </w:r>
      <w:r>
        <w:rPr>
          <w:rFonts w:hint="eastAsia"/>
          <w:b/>
          <w:bCs/>
          <w:color w:val="auto"/>
          <w:sz w:val="24"/>
          <w:szCs w:val="24"/>
        </w:rPr>
        <w:t>供应商</w:t>
      </w:r>
      <w:r>
        <w:rPr>
          <w:b/>
          <w:bCs/>
          <w:color w:val="auto"/>
          <w:sz w:val="24"/>
          <w:szCs w:val="24"/>
        </w:rPr>
        <w:t>应当在投标截止时间前，使用IE浏览器登录到安阳市公共资源交易不见面开标大厅，点击右上方【登录】按钮进入，在线准时参加开标活动并进行</w:t>
      </w:r>
      <w:r>
        <w:rPr>
          <w:rFonts w:hint="eastAsia"/>
          <w:b/>
          <w:bCs/>
          <w:color w:val="auto"/>
          <w:sz w:val="24"/>
          <w:szCs w:val="24"/>
        </w:rPr>
        <w:t>响应</w:t>
      </w:r>
      <w:r>
        <w:rPr>
          <w:b/>
          <w:bCs/>
          <w:color w:val="auto"/>
          <w:sz w:val="24"/>
          <w:szCs w:val="24"/>
        </w:rPr>
        <w:t>文件解密等。因</w:t>
      </w:r>
      <w:r>
        <w:rPr>
          <w:rFonts w:hint="eastAsia"/>
          <w:b/>
          <w:bCs/>
          <w:color w:val="auto"/>
          <w:sz w:val="24"/>
          <w:szCs w:val="24"/>
        </w:rPr>
        <w:t>供应商</w:t>
      </w:r>
      <w:r>
        <w:rPr>
          <w:b/>
          <w:bCs/>
          <w:color w:val="auto"/>
          <w:sz w:val="24"/>
          <w:szCs w:val="24"/>
        </w:rPr>
        <w:t>原因未能解密、解密失败或解密超时的将被拒绝。</w:t>
      </w:r>
    </w:p>
    <w:p w14:paraId="3B93A354">
      <w:pPr>
        <w:widowControl w:val="0"/>
        <w:snapToGrid w:val="0"/>
        <w:spacing w:line="360" w:lineRule="auto"/>
        <w:ind w:firstLine="562" w:firstLineChars="200"/>
        <w:rPr>
          <w:rFonts w:hint="eastAsia" w:ascii="黑体" w:hAnsi="黑体" w:eastAsia="黑体"/>
          <w:b/>
          <w:color w:val="auto"/>
          <w:sz w:val="28"/>
          <w:szCs w:val="28"/>
        </w:rPr>
      </w:pPr>
    </w:p>
    <w:p w14:paraId="29EDABDA">
      <w:pPr>
        <w:widowControl w:val="0"/>
        <w:snapToGrid w:val="0"/>
        <w:spacing w:line="360" w:lineRule="auto"/>
        <w:ind w:firstLine="562" w:firstLineChars="200"/>
        <w:rPr>
          <w:rFonts w:hint="eastAsia" w:ascii="黑体" w:hAnsi="黑体" w:eastAsia="黑体"/>
          <w:b/>
          <w:color w:val="auto"/>
          <w:sz w:val="28"/>
          <w:szCs w:val="28"/>
        </w:rPr>
      </w:pPr>
      <w:r>
        <w:rPr>
          <w:rFonts w:hint="eastAsia" w:ascii="黑体" w:hAnsi="黑体" w:eastAsia="黑体"/>
          <w:b/>
          <w:color w:val="auto"/>
          <w:sz w:val="28"/>
          <w:szCs w:val="28"/>
        </w:rPr>
        <w:t>6.</w:t>
      </w:r>
      <w:r>
        <w:rPr>
          <w:rFonts w:hint="eastAsia"/>
          <w:color w:val="auto"/>
        </w:rPr>
        <w:t xml:space="preserve"> </w:t>
      </w:r>
      <w:r>
        <w:rPr>
          <w:rFonts w:hint="eastAsia" w:ascii="黑体" w:hAnsi="黑体" w:eastAsia="黑体"/>
          <w:b/>
          <w:color w:val="auto"/>
          <w:sz w:val="28"/>
          <w:szCs w:val="28"/>
        </w:rPr>
        <w:t>发布公告的媒介及公告期限</w:t>
      </w:r>
    </w:p>
    <w:p w14:paraId="1DE697F9">
      <w:pPr>
        <w:widowControl w:val="0"/>
        <w:tabs>
          <w:tab w:val="left" w:pos="39"/>
          <w:tab w:val="left" w:pos="96"/>
        </w:tabs>
        <w:snapToGrid w:val="0"/>
        <w:spacing w:line="360" w:lineRule="auto"/>
        <w:ind w:firstLine="566" w:firstLineChars="236"/>
        <w:rPr>
          <w:rFonts w:hint="eastAsia" w:ascii="宋体" w:hAnsi="宋体"/>
          <w:color w:val="auto"/>
          <w:sz w:val="24"/>
          <w:szCs w:val="24"/>
        </w:rPr>
      </w:pPr>
      <w:r>
        <w:rPr>
          <w:rFonts w:hint="eastAsia" w:ascii="宋体" w:hAnsi="宋体"/>
          <w:color w:val="auto"/>
          <w:sz w:val="24"/>
          <w:szCs w:val="24"/>
        </w:rPr>
        <w:t>本项目在“河南省政府采购网（安阳市政府采购网）”、“</w:t>
      </w:r>
      <w:r>
        <w:rPr>
          <w:rFonts w:hint="eastAsia" w:ascii="宋体" w:hAnsi="宋体" w:cs="宋体"/>
          <w:color w:val="auto"/>
          <w:sz w:val="24"/>
          <w:szCs w:val="24"/>
        </w:rPr>
        <w:t>全国公共资源交易平台（河南省·安阳市）</w:t>
      </w:r>
      <w:r>
        <w:rPr>
          <w:rFonts w:hint="eastAsia" w:ascii="宋体" w:hAnsi="宋体"/>
          <w:color w:val="auto"/>
          <w:sz w:val="24"/>
          <w:szCs w:val="24"/>
        </w:rPr>
        <w:t>安阳市公共资源交易中心”</w:t>
      </w:r>
      <w:r>
        <w:rPr>
          <w:rFonts w:hint="eastAsia" w:ascii="宋体" w:hAnsi="宋体" w:cs="宋体"/>
          <w:color w:val="auto"/>
          <w:sz w:val="24"/>
          <w:szCs w:val="24"/>
        </w:rPr>
        <w:t>、</w:t>
      </w:r>
      <w:r>
        <w:rPr>
          <w:rFonts w:hint="eastAsia" w:ascii="宋体" w:hAnsi="宋体"/>
          <w:color w:val="auto"/>
          <w:sz w:val="24"/>
          <w:szCs w:val="24"/>
        </w:rPr>
        <w:t>“安阳招标采购网”网站上同期发布。公告期限为三个工作日</w:t>
      </w:r>
      <w:r>
        <w:rPr>
          <w:rFonts w:hint="eastAsia" w:ascii="宋体" w:hAnsi="宋体" w:cs="宋体"/>
          <w:color w:val="auto"/>
          <w:sz w:val="24"/>
          <w:szCs w:val="24"/>
        </w:rPr>
        <w:t>。</w:t>
      </w:r>
    </w:p>
    <w:p w14:paraId="3260F3C4">
      <w:pPr>
        <w:widowControl w:val="0"/>
        <w:tabs>
          <w:tab w:val="left" w:pos="39"/>
          <w:tab w:val="left" w:pos="96"/>
        </w:tabs>
        <w:snapToGrid w:val="0"/>
        <w:spacing w:line="360" w:lineRule="auto"/>
        <w:ind w:firstLine="566" w:firstLineChars="236"/>
        <w:rPr>
          <w:rFonts w:hint="eastAsia" w:ascii="宋体" w:hAnsi="宋体" w:cs="宋体"/>
          <w:color w:val="auto"/>
          <w:sz w:val="24"/>
          <w:szCs w:val="24"/>
        </w:rPr>
      </w:pPr>
    </w:p>
    <w:p w14:paraId="4C74648B">
      <w:pPr>
        <w:widowControl w:val="0"/>
        <w:tabs>
          <w:tab w:val="left" w:pos="39"/>
          <w:tab w:val="left" w:pos="96"/>
        </w:tabs>
        <w:snapToGrid w:val="0"/>
        <w:spacing w:line="360" w:lineRule="auto"/>
        <w:ind w:firstLine="663" w:firstLineChars="236"/>
        <w:rPr>
          <w:rFonts w:hint="eastAsia" w:ascii="黑体" w:hAnsi="黑体" w:eastAsia="黑体"/>
          <w:b/>
          <w:color w:val="auto"/>
          <w:sz w:val="28"/>
          <w:szCs w:val="28"/>
        </w:rPr>
      </w:pPr>
      <w:r>
        <w:rPr>
          <w:rFonts w:hint="eastAsia" w:ascii="黑体" w:hAnsi="黑体" w:eastAsia="黑体"/>
          <w:b/>
          <w:color w:val="auto"/>
          <w:sz w:val="28"/>
          <w:szCs w:val="28"/>
        </w:rPr>
        <w:t>7. 其他补充事宜</w:t>
      </w:r>
    </w:p>
    <w:p w14:paraId="28420722">
      <w:pPr>
        <w:widowControl w:val="0"/>
        <w:snapToGrid w:val="0"/>
        <w:spacing w:line="360" w:lineRule="auto"/>
        <w:ind w:firstLine="540" w:firstLineChars="225"/>
        <w:jc w:val="left"/>
        <w:rPr>
          <w:color w:val="auto"/>
          <w:sz w:val="24"/>
          <w:szCs w:val="24"/>
        </w:rPr>
      </w:pPr>
      <w:r>
        <w:rPr>
          <w:rFonts w:hint="eastAsia" w:ascii="宋体" w:hAnsi="宋体"/>
          <w:color w:val="auto"/>
          <w:sz w:val="24"/>
          <w:szCs w:val="24"/>
        </w:rPr>
        <w:t>7.1项目落实的政府采购政策：</w:t>
      </w:r>
      <w:r>
        <w:rPr>
          <w:rFonts w:hint="eastAsia"/>
          <w:color w:val="auto"/>
          <w:sz w:val="24"/>
          <w:szCs w:val="24"/>
        </w:rPr>
        <w:t>强制节能产品强制采购、节能产品、环境标志产品优先采购、促进中小企业发展扶持政策、进口产品政策、信息安全产品、社会信用体系建设、促进残疾人就业、支持监狱企业发展、</w:t>
      </w:r>
      <w:r>
        <w:rPr>
          <w:rFonts w:hint="eastAsia" w:ascii="宋体" w:hAnsi="宋体"/>
          <w:color w:val="auto"/>
          <w:sz w:val="24"/>
          <w:szCs w:val="24"/>
        </w:rPr>
        <w:t>支持绿色建筑、绿色建材，支持不发达、少数民族地区的企业，促进自主创新产业发展，支持脱贫攻坚等</w:t>
      </w:r>
      <w:r>
        <w:rPr>
          <w:rFonts w:hint="eastAsia"/>
          <w:color w:val="auto"/>
          <w:sz w:val="24"/>
          <w:szCs w:val="24"/>
        </w:rPr>
        <w:t>。</w:t>
      </w:r>
    </w:p>
    <w:p w14:paraId="081866A4">
      <w:pPr>
        <w:widowControl w:val="0"/>
        <w:snapToGrid w:val="0"/>
        <w:spacing w:line="360" w:lineRule="auto"/>
        <w:ind w:firstLine="540" w:firstLineChars="225"/>
        <w:jc w:val="left"/>
        <w:rPr>
          <w:rFonts w:hint="eastAsia" w:ascii="宋体" w:hAnsi="宋体"/>
          <w:color w:val="auto"/>
          <w:sz w:val="24"/>
          <w:szCs w:val="24"/>
        </w:rPr>
      </w:pPr>
      <w:r>
        <w:rPr>
          <w:rFonts w:hint="eastAsia" w:ascii="宋体" w:hAnsi="宋体"/>
          <w:color w:val="auto"/>
          <w:sz w:val="24"/>
          <w:szCs w:val="24"/>
        </w:rPr>
        <w:t>7.2政府采购合同融资</w:t>
      </w:r>
    </w:p>
    <w:p w14:paraId="2B265967">
      <w:pPr>
        <w:widowControl w:val="0"/>
        <w:adjustRightInd w:val="0"/>
        <w:snapToGrid w:val="0"/>
        <w:spacing w:line="360" w:lineRule="auto"/>
        <w:ind w:firstLine="540" w:firstLineChars="225"/>
        <w:rPr>
          <w:rFonts w:hint="eastAsia" w:ascii="宋体" w:hAnsi="宋体"/>
          <w:color w:val="auto"/>
          <w:sz w:val="24"/>
          <w:szCs w:val="24"/>
        </w:rPr>
      </w:pPr>
      <w:r>
        <w:rPr>
          <w:rFonts w:hint="eastAsia" w:ascii="宋体" w:hAnsi="宋体"/>
          <w:color w:val="auto"/>
          <w:sz w:val="24"/>
          <w:szCs w:val="24"/>
        </w:rPr>
        <w:t>根据豫财购〔2017〕10号和安财购〔2017〕7号文要求，参加政府采购项目的中小微企业供应商，持中标（成交）通知书可向金融机构申请合同融资，详情请登录安阳市政府采购网，进入网站飘窗或业务指南窗口了解金融机构提供的融资服务内容。</w:t>
      </w:r>
    </w:p>
    <w:p w14:paraId="79408441">
      <w:pPr>
        <w:pStyle w:val="16"/>
        <w:shd w:val="clear" w:color="auto" w:fill="FFFFFF"/>
        <w:adjustRightInd w:val="0"/>
        <w:spacing w:before="50" w:beforeAutospacing="0" w:after="0" w:afterAutospacing="0" w:line="300" w:lineRule="auto"/>
        <w:ind w:firstLine="540" w:firstLineChars="225"/>
        <w:rPr>
          <w:rFonts w:hint="eastAsia" w:cs="Times New Roman"/>
          <w:color w:val="auto"/>
        </w:rPr>
      </w:pPr>
      <w:bookmarkStart w:id="1" w:name="_Toc28359008"/>
      <w:bookmarkStart w:id="2" w:name="_Toc28359085"/>
      <w:bookmarkStart w:id="3" w:name="_Toc35393627"/>
      <w:bookmarkStart w:id="4" w:name="_Toc35393796"/>
      <w:r>
        <w:rPr>
          <w:rFonts w:hint="eastAsia"/>
          <w:color w:val="auto"/>
        </w:rPr>
        <w:t>7.3</w:t>
      </w:r>
      <w:r>
        <w:rPr>
          <w:color w:val="auto"/>
        </w:rPr>
        <w:t>.</w:t>
      </w:r>
      <w:r>
        <w:rPr>
          <w:rFonts w:hint="eastAsia" w:cs="Times New Roman"/>
          <w:color w:val="auto"/>
        </w:rPr>
        <w:t>网</w:t>
      </w:r>
      <w:r>
        <w:rPr>
          <w:rFonts w:cs="Times New Roman"/>
          <w:color w:val="auto"/>
        </w:rPr>
        <w:t>上</w:t>
      </w:r>
      <w:r>
        <w:rPr>
          <w:rFonts w:hint="eastAsia" w:cs="Times New Roman"/>
          <w:color w:val="auto"/>
        </w:rPr>
        <w:t>电子交易系</w:t>
      </w:r>
      <w:r>
        <w:rPr>
          <w:rFonts w:cs="Times New Roman"/>
          <w:color w:val="auto"/>
        </w:rPr>
        <w:t>统</w:t>
      </w:r>
      <w:r>
        <w:rPr>
          <w:rFonts w:hint="eastAsia" w:cs="Times New Roman"/>
          <w:color w:val="auto"/>
        </w:rPr>
        <w:t>网</w:t>
      </w:r>
      <w:r>
        <w:rPr>
          <w:rFonts w:cs="Times New Roman"/>
          <w:color w:val="auto"/>
        </w:rPr>
        <w:t>址</w:t>
      </w:r>
    </w:p>
    <w:p w14:paraId="3B1EA886">
      <w:pPr>
        <w:widowControl w:val="0"/>
        <w:tabs>
          <w:tab w:val="left" w:pos="39"/>
          <w:tab w:val="left" w:pos="96"/>
        </w:tabs>
        <w:snapToGrid w:val="0"/>
        <w:spacing w:line="360" w:lineRule="auto"/>
        <w:ind w:firstLine="590" w:firstLineChars="245"/>
        <w:rPr>
          <w:b/>
          <w:color w:val="auto"/>
          <w:sz w:val="24"/>
          <w:szCs w:val="24"/>
        </w:rPr>
      </w:pPr>
      <w:r>
        <w:rPr>
          <w:rFonts w:hint="eastAsia" w:ascii="宋体"/>
          <w:b/>
          <w:color w:val="auto"/>
          <w:sz w:val="24"/>
          <w:szCs w:val="24"/>
        </w:rPr>
        <w:t>7</w:t>
      </w:r>
      <w:r>
        <w:rPr>
          <w:rFonts w:ascii="宋体"/>
          <w:b/>
          <w:color w:val="auto"/>
          <w:sz w:val="24"/>
          <w:szCs w:val="24"/>
        </w:rPr>
        <w:t>.</w:t>
      </w:r>
      <w:r>
        <w:rPr>
          <w:rFonts w:hint="eastAsia" w:ascii="宋体"/>
          <w:b/>
          <w:color w:val="auto"/>
          <w:sz w:val="24"/>
          <w:szCs w:val="24"/>
        </w:rPr>
        <w:t>3.</w:t>
      </w:r>
      <w:r>
        <w:rPr>
          <w:rFonts w:ascii="宋体"/>
          <w:b/>
          <w:color w:val="auto"/>
          <w:sz w:val="24"/>
          <w:szCs w:val="24"/>
        </w:rPr>
        <w:t>1</w:t>
      </w:r>
      <w:r>
        <w:rPr>
          <w:rFonts w:hint="eastAsia" w:ascii="宋体" w:hAnsi="宋体"/>
          <w:b/>
          <w:color w:val="auto"/>
          <w:sz w:val="24"/>
          <w:szCs w:val="24"/>
        </w:rPr>
        <w:t>全国公共资源交易平</w:t>
      </w:r>
      <w:r>
        <w:rPr>
          <w:rFonts w:ascii="宋体" w:hAnsi="宋体"/>
          <w:b/>
          <w:color w:val="auto"/>
          <w:sz w:val="24"/>
          <w:szCs w:val="24"/>
        </w:rPr>
        <w:t>台</w:t>
      </w:r>
      <w:r>
        <w:rPr>
          <w:rFonts w:hint="eastAsia" w:ascii="宋体" w:hAnsi="宋体"/>
          <w:b/>
          <w:color w:val="auto"/>
          <w:sz w:val="24"/>
          <w:szCs w:val="24"/>
        </w:rPr>
        <w:t>（河南</w:t>
      </w:r>
      <w:r>
        <w:rPr>
          <w:rFonts w:ascii="宋体" w:hAnsi="宋体"/>
          <w:b/>
          <w:color w:val="auto"/>
          <w:sz w:val="24"/>
          <w:szCs w:val="24"/>
        </w:rPr>
        <w:t>省</w:t>
      </w:r>
      <w:r>
        <w:rPr>
          <w:rFonts w:hint="eastAsia" w:ascii="宋体" w:hAnsi="宋体" w:cs="宋体"/>
          <w:color w:val="auto"/>
          <w:sz w:val="24"/>
          <w:szCs w:val="24"/>
        </w:rPr>
        <w:t>·</w:t>
      </w:r>
      <w:r>
        <w:rPr>
          <w:rFonts w:hint="eastAsia" w:ascii="宋体" w:hAnsi="宋体"/>
          <w:b/>
          <w:color w:val="auto"/>
          <w:sz w:val="24"/>
          <w:szCs w:val="24"/>
        </w:rPr>
        <w:t>安</w:t>
      </w:r>
      <w:r>
        <w:rPr>
          <w:rFonts w:ascii="宋体" w:hAnsi="宋体"/>
          <w:b/>
          <w:color w:val="auto"/>
          <w:sz w:val="24"/>
          <w:szCs w:val="24"/>
        </w:rPr>
        <w:t>阳</w:t>
      </w:r>
      <w:r>
        <w:rPr>
          <w:rFonts w:hint="eastAsia" w:ascii="宋体" w:hAnsi="宋体"/>
          <w:b/>
          <w:color w:val="auto"/>
          <w:sz w:val="24"/>
          <w:szCs w:val="24"/>
        </w:rPr>
        <w:t>市</w:t>
      </w:r>
      <w:r>
        <w:rPr>
          <w:rFonts w:ascii="宋体" w:hAnsi="宋体"/>
          <w:b/>
          <w:color w:val="auto"/>
          <w:sz w:val="24"/>
          <w:szCs w:val="24"/>
        </w:rPr>
        <w:t>）</w:t>
      </w:r>
      <w:r>
        <w:fldChar w:fldCharType="begin"/>
      </w:r>
      <w:r>
        <w:instrText xml:space="preserve"> HYPERLINK "https://ggzy.anyang.gov.cn" </w:instrText>
      </w:r>
      <w:r>
        <w:fldChar w:fldCharType="separate"/>
      </w:r>
      <w:r>
        <w:rPr>
          <w:rStyle w:val="24"/>
          <w:b/>
          <w:color w:val="auto"/>
          <w:sz w:val="24"/>
          <w:szCs w:val="24"/>
        </w:rPr>
        <w:t>https://ggzy.anyang.gov.cn</w:t>
      </w:r>
      <w:r>
        <w:rPr>
          <w:rStyle w:val="24"/>
          <w:b/>
          <w:color w:val="auto"/>
          <w:sz w:val="24"/>
          <w:szCs w:val="24"/>
        </w:rPr>
        <w:fldChar w:fldCharType="end"/>
      </w:r>
    </w:p>
    <w:p w14:paraId="223400B6">
      <w:pPr>
        <w:widowControl w:val="0"/>
        <w:tabs>
          <w:tab w:val="left" w:pos="39"/>
          <w:tab w:val="left" w:pos="96"/>
        </w:tabs>
        <w:snapToGrid w:val="0"/>
        <w:spacing w:line="360" w:lineRule="auto"/>
        <w:ind w:firstLine="590" w:firstLineChars="245"/>
        <w:rPr>
          <w:rFonts w:ascii="宋体"/>
          <w:b/>
          <w:color w:val="auto"/>
          <w:sz w:val="24"/>
          <w:szCs w:val="24"/>
        </w:rPr>
      </w:pPr>
      <w:r>
        <w:rPr>
          <w:rFonts w:hint="eastAsia" w:ascii="宋体" w:hAnsi="宋体"/>
          <w:b/>
          <w:color w:val="auto"/>
          <w:sz w:val="24"/>
          <w:szCs w:val="24"/>
        </w:rPr>
        <w:t>磋商文件</w:t>
      </w:r>
      <w:r>
        <w:rPr>
          <w:rFonts w:ascii="宋体" w:hAnsi="宋体"/>
          <w:b/>
          <w:color w:val="auto"/>
          <w:sz w:val="24"/>
          <w:szCs w:val="24"/>
        </w:rPr>
        <w:t>简称“</w:t>
      </w:r>
      <w:r>
        <w:rPr>
          <w:rFonts w:hint="eastAsia" w:ascii="宋体" w:hAnsi="宋体"/>
          <w:b/>
          <w:color w:val="auto"/>
          <w:sz w:val="24"/>
          <w:szCs w:val="24"/>
        </w:rPr>
        <w:t>安</w:t>
      </w:r>
      <w:r>
        <w:rPr>
          <w:rFonts w:ascii="宋体" w:hAnsi="宋体"/>
          <w:b/>
          <w:color w:val="auto"/>
          <w:sz w:val="24"/>
          <w:szCs w:val="24"/>
        </w:rPr>
        <w:t>阳</w:t>
      </w:r>
      <w:r>
        <w:rPr>
          <w:rFonts w:hint="eastAsia" w:ascii="宋体" w:hAnsi="宋体"/>
          <w:b/>
          <w:color w:val="auto"/>
          <w:sz w:val="24"/>
          <w:szCs w:val="24"/>
        </w:rPr>
        <w:t>市公共资源交易平</w:t>
      </w:r>
      <w:r>
        <w:rPr>
          <w:rFonts w:ascii="宋体" w:hAnsi="宋体"/>
          <w:b/>
          <w:color w:val="auto"/>
          <w:sz w:val="24"/>
          <w:szCs w:val="24"/>
        </w:rPr>
        <w:t>台”</w:t>
      </w:r>
    </w:p>
    <w:p w14:paraId="400C0C66">
      <w:pPr>
        <w:widowControl w:val="0"/>
        <w:tabs>
          <w:tab w:val="left" w:pos="39"/>
          <w:tab w:val="left" w:pos="96"/>
        </w:tabs>
        <w:snapToGrid w:val="0"/>
        <w:spacing w:line="360" w:lineRule="auto"/>
        <w:ind w:firstLine="602" w:firstLineChars="250"/>
        <w:rPr>
          <w:rFonts w:ascii="宋体"/>
          <w:b/>
          <w:color w:val="auto"/>
          <w:sz w:val="24"/>
          <w:szCs w:val="24"/>
        </w:rPr>
      </w:pPr>
      <w:r>
        <w:rPr>
          <w:rFonts w:hint="eastAsia" w:ascii="宋体"/>
          <w:b/>
          <w:color w:val="auto"/>
          <w:sz w:val="24"/>
          <w:szCs w:val="24"/>
        </w:rPr>
        <w:t>7</w:t>
      </w:r>
      <w:r>
        <w:rPr>
          <w:rFonts w:ascii="宋体"/>
          <w:b/>
          <w:color w:val="auto"/>
          <w:sz w:val="24"/>
          <w:szCs w:val="24"/>
        </w:rPr>
        <w:t>.</w:t>
      </w:r>
      <w:r>
        <w:rPr>
          <w:rFonts w:hint="eastAsia" w:ascii="宋体"/>
          <w:b/>
          <w:color w:val="auto"/>
          <w:sz w:val="24"/>
          <w:szCs w:val="24"/>
        </w:rPr>
        <w:t>3.</w:t>
      </w:r>
      <w:r>
        <w:rPr>
          <w:rFonts w:ascii="宋体"/>
          <w:b/>
          <w:color w:val="auto"/>
          <w:sz w:val="24"/>
          <w:szCs w:val="24"/>
        </w:rPr>
        <w:t>2</w:t>
      </w:r>
      <w:r>
        <w:rPr>
          <w:rFonts w:hint="eastAsia" w:ascii="宋体"/>
          <w:b/>
          <w:color w:val="auto"/>
          <w:sz w:val="24"/>
          <w:szCs w:val="24"/>
        </w:rPr>
        <w:t>投标文件制作软件：在安阳市公共资源交易平台进行下载、并安装投标文件制作工具，查看磋商文件和制作电子投标文件。</w:t>
      </w:r>
    </w:p>
    <w:p w14:paraId="29448D6E">
      <w:pPr>
        <w:widowControl w:val="0"/>
        <w:snapToGrid w:val="0"/>
        <w:spacing w:line="360" w:lineRule="auto"/>
        <w:jc w:val="left"/>
        <w:rPr>
          <w:rFonts w:hint="eastAsia" w:ascii="黑体" w:hAnsi="黑体" w:eastAsia="黑体"/>
          <w:b/>
          <w:color w:val="auto"/>
          <w:sz w:val="28"/>
          <w:szCs w:val="28"/>
        </w:rPr>
      </w:pPr>
    </w:p>
    <w:p w14:paraId="45F28FC6">
      <w:pPr>
        <w:widowControl w:val="0"/>
        <w:snapToGrid w:val="0"/>
        <w:spacing w:line="360" w:lineRule="auto"/>
        <w:ind w:firstLine="562" w:firstLineChars="200"/>
        <w:rPr>
          <w:rFonts w:hint="eastAsia" w:ascii="黑体" w:hAnsi="黑体" w:eastAsia="黑体"/>
          <w:b/>
          <w:color w:val="auto"/>
          <w:sz w:val="28"/>
          <w:szCs w:val="28"/>
        </w:rPr>
      </w:pPr>
      <w:r>
        <w:rPr>
          <w:rFonts w:hint="eastAsia" w:ascii="黑体" w:hAnsi="黑体" w:eastAsia="黑体"/>
          <w:b/>
          <w:color w:val="auto"/>
          <w:sz w:val="28"/>
          <w:szCs w:val="28"/>
        </w:rPr>
        <w:t>8.凡对本次采购提出询问，请按</w:t>
      </w:r>
      <w:r>
        <w:rPr>
          <w:rFonts w:ascii="黑体" w:hAnsi="黑体" w:eastAsia="黑体"/>
          <w:b/>
          <w:color w:val="auto"/>
          <w:sz w:val="28"/>
          <w:szCs w:val="28"/>
        </w:rPr>
        <w:t>以下方式</w:t>
      </w:r>
      <w:r>
        <w:rPr>
          <w:rFonts w:hint="eastAsia" w:ascii="黑体" w:hAnsi="黑体" w:eastAsia="黑体"/>
          <w:b/>
          <w:color w:val="auto"/>
          <w:sz w:val="28"/>
          <w:szCs w:val="28"/>
        </w:rPr>
        <w:t>联系。</w:t>
      </w:r>
      <w:bookmarkEnd w:id="1"/>
      <w:bookmarkEnd w:id="2"/>
      <w:bookmarkEnd w:id="3"/>
      <w:bookmarkEnd w:id="4"/>
    </w:p>
    <w:p w14:paraId="05827E78">
      <w:pPr>
        <w:ind w:firstLine="600" w:firstLineChars="250"/>
        <w:jc w:val="left"/>
        <w:rPr>
          <w:rFonts w:hint="eastAsia" w:ascii="宋体" w:hAnsi="宋体"/>
          <w:color w:val="auto"/>
          <w:sz w:val="24"/>
          <w:szCs w:val="24"/>
        </w:rPr>
      </w:pPr>
      <w:r>
        <w:rPr>
          <w:rFonts w:hint="eastAsia" w:ascii="宋体" w:hAnsi="宋体" w:cs="宋体"/>
          <w:color w:val="auto"/>
          <w:sz w:val="24"/>
          <w:szCs w:val="24"/>
        </w:rPr>
        <w:t>8.1采购人信息</w:t>
      </w:r>
    </w:p>
    <w:p w14:paraId="7A3A6568">
      <w:pPr>
        <w:spacing w:line="360" w:lineRule="auto"/>
        <w:ind w:left="1079" w:leftChars="371" w:hanging="300" w:hangingChars="125"/>
        <w:jc w:val="left"/>
        <w:rPr>
          <w:rFonts w:hint="eastAsia" w:ascii="宋体" w:hAnsi="宋体"/>
          <w:color w:val="auto"/>
          <w:sz w:val="24"/>
          <w:szCs w:val="24"/>
        </w:rPr>
      </w:pPr>
      <w:r>
        <w:rPr>
          <w:rFonts w:hint="eastAsia" w:ascii="宋体" w:hAnsi="宋体"/>
          <w:color w:val="auto"/>
          <w:sz w:val="24"/>
          <w:szCs w:val="24"/>
        </w:rPr>
        <w:t>名 称：安阳市智慧城市运行中心</w:t>
      </w:r>
    </w:p>
    <w:p w14:paraId="2D51403E">
      <w:pPr>
        <w:spacing w:line="360" w:lineRule="auto"/>
        <w:ind w:left="1079" w:leftChars="371" w:hanging="300" w:hangingChars="125"/>
        <w:jc w:val="left"/>
        <w:rPr>
          <w:rFonts w:hint="eastAsia" w:ascii="宋体" w:hAnsi="宋体"/>
          <w:color w:val="auto"/>
          <w:sz w:val="24"/>
          <w:szCs w:val="24"/>
        </w:rPr>
      </w:pPr>
      <w:r>
        <w:rPr>
          <w:rFonts w:hint="eastAsia" w:ascii="宋体" w:hAnsi="宋体"/>
          <w:color w:val="auto"/>
          <w:sz w:val="24"/>
          <w:szCs w:val="24"/>
        </w:rPr>
        <w:t>地址：安阳市永明路联通大厦　       　</w:t>
      </w:r>
    </w:p>
    <w:p w14:paraId="211A4EEF">
      <w:pPr>
        <w:spacing w:line="360" w:lineRule="auto"/>
        <w:ind w:left="1079" w:leftChars="371" w:hanging="300" w:hangingChars="125"/>
        <w:jc w:val="left"/>
        <w:rPr>
          <w:rFonts w:hint="eastAsia" w:ascii="宋体" w:hAnsi="宋体"/>
          <w:color w:val="auto"/>
          <w:sz w:val="24"/>
          <w:szCs w:val="24"/>
        </w:rPr>
      </w:pPr>
      <w:r>
        <w:rPr>
          <w:rFonts w:hint="eastAsia" w:ascii="宋体" w:hAnsi="宋体"/>
          <w:color w:val="auto"/>
          <w:sz w:val="24"/>
          <w:szCs w:val="24"/>
        </w:rPr>
        <w:t xml:space="preserve">联系人： 田袁青   </w:t>
      </w:r>
    </w:p>
    <w:p w14:paraId="0952FA73">
      <w:pPr>
        <w:spacing w:line="360" w:lineRule="auto"/>
        <w:ind w:left="1079" w:leftChars="371" w:hanging="300" w:hangingChars="125"/>
        <w:jc w:val="left"/>
        <w:rPr>
          <w:rFonts w:hint="eastAsia" w:ascii="宋体" w:hAnsi="宋体"/>
          <w:color w:val="auto"/>
          <w:sz w:val="24"/>
          <w:szCs w:val="24"/>
        </w:rPr>
      </w:pPr>
      <w:r>
        <w:rPr>
          <w:rFonts w:hint="eastAsia" w:ascii="宋体" w:hAnsi="宋体"/>
          <w:color w:val="auto"/>
          <w:sz w:val="24"/>
          <w:szCs w:val="24"/>
        </w:rPr>
        <w:t xml:space="preserve">联系方式：16603728285    </w:t>
      </w:r>
      <w:bookmarkStart w:id="5" w:name="_Toc28359086"/>
      <w:bookmarkStart w:id="6" w:name="_Toc28359009"/>
    </w:p>
    <w:p w14:paraId="4F5EB62A">
      <w:pPr>
        <w:spacing w:line="360" w:lineRule="auto"/>
        <w:ind w:firstLine="480" w:firstLineChars="200"/>
        <w:jc w:val="left"/>
        <w:rPr>
          <w:rFonts w:hint="eastAsia" w:ascii="宋体" w:hAnsi="宋体"/>
          <w:color w:val="auto"/>
          <w:sz w:val="24"/>
          <w:szCs w:val="24"/>
        </w:rPr>
      </w:pPr>
      <w:r>
        <w:rPr>
          <w:rFonts w:hint="eastAsia" w:ascii="宋体" w:hAnsi="宋体" w:cs="宋体"/>
          <w:color w:val="auto"/>
          <w:sz w:val="24"/>
          <w:szCs w:val="24"/>
        </w:rPr>
        <w:t>8.2采购代理机构信息</w:t>
      </w:r>
      <w:bookmarkEnd w:id="5"/>
      <w:bookmarkEnd w:id="6"/>
    </w:p>
    <w:p w14:paraId="7F7F3F6C">
      <w:pPr>
        <w:spacing w:line="360" w:lineRule="auto"/>
        <w:ind w:firstLine="720" w:firstLineChars="300"/>
        <w:rPr>
          <w:rFonts w:hint="eastAsia" w:ascii="宋体" w:hAnsi="宋体"/>
          <w:color w:val="auto"/>
          <w:sz w:val="24"/>
          <w:szCs w:val="24"/>
        </w:rPr>
      </w:pPr>
      <w:r>
        <w:rPr>
          <w:rFonts w:hint="eastAsia" w:ascii="宋体" w:hAnsi="宋体"/>
          <w:color w:val="auto"/>
          <w:sz w:val="24"/>
          <w:szCs w:val="24"/>
        </w:rPr>
        <w:t>名 称：安阳市方正招标采购服务有限责任公司  　</w:t>
      </w:r>
    </w:p>
    <w:p w14:paraId="4FB10E17">
      <w:pPr>
        <w:spacing w:line="360" w:lineRule="auto"/>
        <w:ind w:left="1798" w:leftChars="342" w:hanging="1080" w:hangingChars="450"/>
        <w:rPr>
          <w:rFonts w:hint="eastAsia" w:ascii="宋体" w:hAnsi="宋体"/>
          <w:color w:val="auto"/>
          <w:sz w:val="24"/>
          <w:szCs w:val="24"/>
        </w:rPr>
      </w:pPr>
      <w:r>
        <w:rPr>
          <w:rFonts w:hint="eastAsia" w:ascii="宋体" w:hAnsi="宋体"/>
          <w:color w:val="auto"/>
          <w:sz w:val="24"/>
          <w:szCs w:val="24"/>
        </w:rPr>
        <w:t>地　址：安阳市安钢大道39号（人民大道北地下道口南侧、安阳粮食产业集团-后院办公楼五楼）　　</w:t>
      </w:r>
    </w:p>
    <w:p w14:paraId="56766BEF">
      <w:pPr>
        <w:spacing w:line="360" w:lineRule="auto"/>
        <w:ind w:firstLine="720" w:firstLineChars="300"/>
        <w:rPr>
          <w:rFonts w:hint="eastAsia" w:ascii="宋体" w:hAnsi="宋体"/>
          <w:color w:val="auto"/>
          <w:sz w:val="24"/>
          <w:szCs w:val="24"/>
        </w:rPr>
      </w:pPr>
      <w:r>
        <w:rPr>
          <w:rFonts w:hint="eastAsia" w:ascii="宋体" w:hAnsi="宋体"/>
          <w:color w:val="auto"/>
          <w:sz w:val="24"/>
          <w:szCs w:val="24"/>
        </w:rPr>
        <w:t>联系人：陶文雯</w:t>
      </w:r>
    </w:p>
    <w:p w14:paraId="18179907">
      <w:pPr>
        <w:spacing w:line="360" w:lineRule="auto"/>
        <w:ind w:firstLine="720" w:firstLineChars="300"/>
        <w:rPr>
          <w:rFonts w:hint="eastAsia" w:ascii="宋体" w:hAnsi="宋体"/>
          <w:color w:val="auto"/>
          <w:sz w:val="24"/>
          <w:szCs w:val="24"/>
        </w:rPr>
      </w:pPr>
      <w:r>
        <w:rPr>
          <w:rFonts w:hint="eastAsia" w:ascii="宋体" w:hAnsi="宋体"/>
          <w:color w:val="auto"/>
          <w:sz w:val="24"/>
          <w:szCs w:val="24"/>
        </w:rPr>
        <w:t>联系方式：</w:t>
      </w:r>
      <w:bookmarkStart w:id="7" w:name="_Toc28359010"/>
      <w:bookmarkStart w:id="8" w:name="_Toc28359087"/>
      <w:r>
        <w:rPr>
          <w:rFonts w:hint="eastAsia" w:ascii="宋体" w:hAnsi="宋体"/>
          <w:color w:val="auto"/>
          <w:sz w:val="24"/>
          <w:szCs w:val="24"/>
        </w:rPr>
        <w:t>0372-2283981、2283982   财务部咨询电话：0372-2283983　</w:t>
      </w:r>
    </w:p>
    <w:p w14:paraId="5C5655EB">
      <w:pPr>
        <w:spacing w:line="360" w:lineRule="auto"/>
        <w:ind w:firstLine="480" w:firstLineChars="200"/>
        <w:rPr>
          <w:rFonts w:hint="eastAsia" w:ascii="宋体" w:hAnsi="宋体"/>
          <w:color w:val="auto"/>
          <w:sz w:val="24"/>
          <w:szCs w:val="24"/>
        </w:rPr>
      </w:pPr>
      <w:r>
        <w:rPr>
          <w:rFonts w:hint="eastAsia" w:ascii="宋体" w:hAnsi="宋体" w:cs="宋体"/>
          <w:color w:val="auto"/>
          <w:sz w:val="24"/>
          <w:szCs w:val="24"/>
        </w:rPr>
        <w:t>8.3项目</w:t>
      </w:r>
      <w:r>
        <w:rPr>
          <w:rFonts w:ascii="宋体" w:hAnsi="宋体" w:cs="宋体"/>
          <w:color w:val="auto"/>
          <w:sz w:val="24"/>
          <w:szCs w:val="24"/>
        </w:rPr>
        <w:t>联系方式</w:t>
      </w:r>
      <w:bookmarkEnd w:id="7"/>
      <w:bookmarkEnd w:id="8"/>
    </w:p>
    <w:p w14:paraId="772AF0EF">
      <w:pPr>
        <w:pStyle w:val="9"/>
        <w:spacing w:line="360" w:lineRule="auto"/>
        <w:ind w:firstLine="720" w:firstLineChars="300"/>
        <w:rPr>
          <w:rFonts w:hint="eastAsia" w:hAnsi="宋体"/>
          <w:sz w:val="24"/>
          <w:szCs w:val="24"/>
        </w:rPr>
      </w:pPr>
      <w:r>
        <w:rPr>
          <w:rFonts w:hint="eastAsia" w:hAnsi="宋体"/>
          <w:sz w:val="24"/>
          <w:szCs w:val="24"/>
        </w:rPr>
        <w:t xml:space="preserve">项目联系人：陶文雯  </w:t>
      </w:r>
    </w:p>
    <w:p w14:paraId="4569F57D">
      <w:pPr>
        <w:spacing w:line="360" w:lineRule="auto"/>
        <w:ind w:firstLine="720" w:firstLineChars="300"/>
        <w:rPr>
          <w:rFonts w:hint="eastAsia" w:ascii="宋体" w:hAnsi="宋体"/>
          <w:color w:val="auto"/>
          <w:sz w:val="24"/>
          <w:szCs w:val="24"/>
        </w:rPr>
      </w:pPr>
      <w:r>
        <w:rPr>
          <w:rFonts w:hint="eastAsia" w:ascii="宋体" w:hAnsi="宋体"/>
          <w:color w:val="auto"/>
          <w:sz w:val="24"/>
          <w:szCs w:val="24"/>
        </w:rPr>
        <w:t>联系方式：13937245785</w:t>
      </w:r>
    </w:p>
    <w:p w14:paraId="0CFB8F36">
      <w:pPr>
        <w:pStyle w:val="16"/>
        <w:shd w:val="clear" w:color="auto" w:fill="FFFFFF"/>
        <w:adjustRightInd w:val="0"/>
        <w:spacing w:before="50" w:beforeAutospacing="0" w:after="0" w:afterAutospacing="0" w:line="300" w:lineRule="auto"/>
        <w:rPr>
          <w:rFonts w:hint="eastAsia"/>
          <w:color w:val="auto"/>
        </w:rPr>
      </w:pPr>
    </w:p>
    <w:p w14:paraId="29B1B315">
      <w:pPr>
        <w:widowControl w:val="0"/>
        <w:snapToGrid w:val="0"/>
        <w:spacing w:line="360" w:lineRule="auto"/>
        <w:ind w:firstLine="562" w:firstLineChars="200"/>
        <w:rPr>
          <w:rFonts w:hint="eastAsia" w:ascii="黑体" w:hAnsi="黑体" w:eastAsia="黑体"/>
          <w:b/>
          <w:color w:val="auto"/>
          <w:sz w:val="28"/>
          <w:szCs w:val="28"/>
        </w:rPr>
      </w:pPr>
      <w:r>
        <w:rPr>
          <w:rFonts w:hint="eastAsia" w:ascii="黑体" w:hAnsi="黑体" w:eastAsia="黑体"/>
          <w:b/>
          <w:color w:val="auto"/>
          <w:sz w:val="28"/>
          <w:szCs w:val="28"/>
        </w:rPr>
        <w:t>9</w:t>
      </w:r>
      <w:r>
        <w:rPr>
          <w:rFonts w:ascii="黑体" w:hAnsi="黑体" w:eastAsia="黑体"/>
          <w:b/>
          <w:color w:val="auto"/>
          <w:sz w:val="28"/>
          <w:szCs w:val="28"/>
        </w:rPr>
        <w:t>.</w:t>
      </w:r>
      <w:r>
        <w:rPr>
          <w:rFonts w:hint="eastAsia" w:ascii="黑体" w:hAnsi="黑体" w:eastAsia="黑体"/>
          <w:b/>
          <w:color w:val="auto"/>
          <w:sz w:val="28"/>
          <w:szCs w:val="28"/>
        </w:rPr>
        <w:t>网</w:t>
      </w:r>
      <w:r>
        <w:rPr>
          <w:rFonts w:ascii="黑体" w:hAnsi="黑体" w:eastAsia="黑体"/>
          <w:b/>
          <w:color w:val="auto"/>
          <w:sz w:val="28"/>
          <w:szCs w:val="28"/>
        </w:rPr>
        <w:t>上</w:t>
      </w:r>
      <w:r>
        <w:rPr>
          <w:rFonts w:hint="eastAsia" w:ascii="黑体" w:hAnsi="黑体" w:eastAsia="黑体"/>
          <w:b/>
          <w:color w:val="auto"/>
          <w:sz w:val="28"/>
          <w:szCs w:val="28"/>
        </w:rPr>
        <w:t>电子交易提示：</w:t>
      </w:r>
      <w:r>
        <w:rPr>
          <w:rFonts w:ascii="黑体" w:hAnsi="黑体" w:eastAsia="黑体"/>
          <w:b/>
          <w:color w:val="auto"/>
          <w:sz w:val="28"/>
          <w:szCs w:val="28"/>
        </w:rPr>
        <w:t xml:space="preserve"> </w:t>
      </w:r>
    </w:p>
    <w:p w14:paraId="212FE367">
      <w:pPr>
        <w:widowControl w:val="0"/>
        <w:tabs>
          <w:tab w:val="left" w:pos="39"/>
          <w:tab w:val="left" w:pos="96"/>
        </w:tabs>
        <w:snapToGrid w:val="0"/>
        <w:spacing w:line="360" w:lineRule="auto"/>
        <w:ind w:firstLine="540" w:firstLineChars="225"/>
        <w:rPr>
          <w:rFonts w:hint="eastAsia" w:ascii="宋体" w:hAnsi="宋体"/>
          <w:color w:val="auto"/>
          <w:sz w:val="24"/>
          <w:szCs w:val="24"/>
        </w:rPr>
      </w:pPr>
      <w:r>
        <w:rPr>
          <w:rFonts w:hint="eastAsia" w:ascii="宋体" w:hAnsi="宋体"/>
          <w:color w:val="auto"/>
          <w:sz w:val="24"/>
          <w:szCs w:val="24"/>
        </w:rPr>
        <w:t>9</w:t>
      </w:r>
      <w:r>
        <w:rPr>
          <w:rFonts w:ascii="宋体" w:hAnsi="宋体"/>
          <w:color w:val="auto"/>
          <w:sz w:val="24"/>
          <w:szCs w:val="24"/>
        </w:rPr>
        <w:t>.1</w:t>
      </w:r>
      <w:r>
        <w:rPr>
          <w:rFonts w:hint="eastAsia" w:ascii="宋体" w:hAnsi="宋体"/>
          <w:color w:val="auto"/>
          <w:sz w:val="24"/>
          <w:szCs w:val="24"/>
        </w:rPr>
        <w:t xml:space="preserve"> 注</w:t>
      </w:r>
      <w:r>
        <w:rPr>
          <w:rFonts w:ascii="宋体" w:hAnsi="宋体"/>
          <w:color w:val="auto"/>
          <w:sz w:val="24"/>
          <w:szCs w:val="24"/>
        </w:rPr>
        <w:t>册</w:t>
      </w:r>
      <w:r>
        <w:rPr>
          <w:rFonts w:hint="eastAsia" w:ascii="宋体" w:hAnsi="宋体"/>
          <w:color w:val="auto"/>
          <w:sz w:val="24"/>
          <w:szCs w:val="24"/>
        </w:rPr>
        <w:t>：供应商完成注</w:t>
      </w:r>
      <w:r>
        <w:rPr>
          <w:rFonts w:ascii="宋体" w:hAnsi="宋体"/>
          <w:color w:val="auto"/>
          <w:sz w:val="24"/>
          <w:szCs w:val="24"/>
        </w:rPr>
        <w:t>册</w:t>
      </w:r>
      <w:r>
        <w:rPr>
          <w:rFonts w:hint="eastAsia" w:ascii="宋体" w:hAnsi="宋体"/>
          <w:color w:val="auto"/>
          <w:sz w:val="24"/>
          <w:szCs w:val="24"/>
        </w:rPr>
        <w:t>、办理数字证书后</w:t>
      </w:r>
      <w:r>
        <w:rPr>
          <w:rFonts w:ascii="宋体" w:hAnsi="宋体"/>
          <w:color w:val="auto"/>
          <w:sz w:val="24"/>
          <w:szCs w:val="24"/>
        </w:rPr>
        <w:t>，方可</w:t>
      </w:r>
      <w:r>
        <w:rPr>
          <w:rFonts w:hint="eastAsia" w:ascii="宋体" w:hAnsi="宋体"/>
          <w:color w:val="auto"/>
          <w:sz w:val="24"/>
          <w:szCs w:val="24"/>
        </w:rPr>
        <w:t>获</w:t>
      </w:r>
      <w:r>
        <w:rPr>
          <w:rFonts w:ascii="宋体" w:hAnsi="宋体"/>
          <w:color w:val="auto"/>
          <w:sz w:val="24"/>
          <w:szCs w:val="24"/>
        </w:rPr>
        <w:t>取</w:t>
      </w:r>
      <w:r>
        <w:rPr>
          <w:rFonts w:hint="eastAsia" w:ascii="宋体" w:hAnsi="宋体"/>
          <w:color w:val="auto"/>
          <w:sz w:val="24"/>
          <w:szCs w:val="24"/>
        </w:rPr>
        <w:t>《</w:t>
      </w:r>
      <w:r>
        <w:rPr>
          <w:rFonts w:ascii="宋体" w:hAnsi="宋体"/>
          <w:color w:val="auto"/>
          <w:sz w:val="24"/>
          <w:szCs w:val="24"/>
        </w:rPr>
        <w:t>磋商文件</w:t>
      </w:r>
      <w:r>
        <w:rPr>
          <w:rFonts w:hint="eastAsia" w:ascii="宋体" w:hAnsi="宋体"/>
          <w:color w:val="auto"/>
          <w:sz w:val="24"/>
          <w:szCs w:val="24"/>
        </w:rPr>
        <w:t>》</w:t>
      </w:r>
      <w:r>
        <w:rPr>
          <w:rFonts w:ascii="宋体" w:hAnsi="宋体"/>
          <w:color w:val="auto"/>
          <w:sz w:val="24"/>
          <w:szCs w:val="24"/>
        </w:rPr>
        <w:t>、</w:t>
      </w:r>
      <w:r>
        <w:rPr>
          <w:rFonts w:hint="eastAsia" w:ascii="宋体" w:hAnsi="宋体"/>
          <w:color w:val="auto"/>
          <w:sz w:val="24"/>
          <w:szCs w:val="24"/>
        </w:rPr>
        <w:t>参</w:t>
      </w:r>
      <w:r>
        <w:rPr>
          <w:rFonts w:ascii="宋体" w:hAnsi="宋体"/>
          <w:color w:val="auto"/>
          <w:sz w:val="24"/>
          <w:szCs w:val="24"/>
        </w:rPr>
        <w:t>加</w:t>
      </w:r>
      <w:r>
        <w:rPr>
          <w:rFonts w:hint="eastAsia" w:ascii="宋体" w:hAnsi="宋体"/>
          <w:color w:val="auto"/>
          <w:sz w:val="24"/>
          <w:szCs w:val="24"/>
        </w:rPr>
        <w:t>投标等网上电子交易。</w:t>
      </w:r>
    </w:p>
    <w:p w14:paraId="4533B7CA">
      <w:pPr>
        <w:widowControl w:val="0"/>
        <w:tabs>
          <w:tab w:val="left" w:pos="39"/>
          <w:tab w:val="left" w:pos="96"/>
        </w:tabs>
        <w:snapToGrid w:val="0"/>
        <w:spacing w:line="360" w:lineRule="auto"/>
        <w:ind w:firstLine="540" w:firstLineChars="225"/>
        <w:rPr>
          <w:rFonts w:hint="eastAsia" w:ascii="宋体" w:hAnsi="宋体"/>
          <w:color w:val="auto"/>
          <w:sz w:val="24"/>
          <w:szCs w:val="24"/>
        </w:rPr>
      </w:pPr>
      <w:r>
        <w:rPr>
          <w:rFonts w:hint="eastAsia" w:ascii="宋体" w:hAnsi="宋体"/>
          <w:color w:val="auto"/>
          <w:sz w:val="24"/>
          <w:szCs w:val="24"/>
        </w:rPr>
        <w:t>9.2 获取《磋商文件》：</w:t>
      </w:r>
      <w:r>
        <w:rPr>
          <w:rFonts w:ascii="宋体" w:hAnsi="宋体"/>
          <w:color w:val="auto"/>
          <w:sz w:val="24"/>
          <w:szCs w:val="24"/>
        </w:rPr>
        <w:t>按</w:t>
      </w:r>
      <w:r>
        <w:rPr>
          <w:rFonts w:hint="eastAsia" w:ascii="宋体" w:hAnsi="宋体"/>
          <w:color w:val="auto"/>
          <w:sz w:val="24"/>
          <w:szCs w:val="24"/>
        </w:rPr>
        <w:t>本</w:t>
      </w:r>
      <w:r>
        <w:rPr>
          <w:rFonts w:ascii="宋体" w:hAnsi="宋体"/>
          <w:color w:val="auto"/>
          <w:sz w:val="24"/>
          <w:szCs w:val="24"/>
        </w:rPr>
        <w:t>章第</w:t>
      </w:r>
      <w:r>
        <w:rPr>
          <w:rFonts w:hint="eastAsia" w:ascii="宋体" w:hAnsi="宋体"/>
          <w:color w:val="auto"/>
          <w:sz w:val="24"/>
          <w:szCs w:val="24"/>
        </w:rPr>
        <w:t>3条</w:t>
      </w:r>
      <w:r>
        <w:rPr>
          <w:rFonts w:ascii="宋体" w:hAnsi="宋体"/>
          <w:color w:val="auto"/>
          <w:sz w:val="24"/>
          <w:szCs w:val="24"/>
        </w:rPr>
        <w:t>“</w:t>
      </w:r>
      <w:r>
        <w:rPr>
          <w:rFonts w:hint="eastAsia" w:ascii="宋体" w:hAnsi="宋体"/>
          <w:color w:val="auto"/>
          <w:sz w:val="24"/>
          <w:szCs w:val="24"/>
        </w:rPr>
        <w:t>获取磋商文件</w:t>
      </w:r>
      <w:r>
        <w:rPr>
          <w:rFonts w:ascii="宋体" w:hAnsi="宋体"/>
          <w:color w:val="auto"/>
          <w:sz w:val="24"/>
          <w:szCs w:val="24"/>
        </w:rPr>
        <w:t>”</w:t>
      </w:r>
      <w:r>
        <w:rPr>
          <w:rFonts w:hint="eastAsia" w:ascii="宋体" w:hAnsi="宋体"/>
          <w:color w:val="auto"/>
          <w:sz w:val="24"/>
          <w:szCs w:val="24"/>
        </w:rPr>
        <w:t>办</w:t>
      </w:r>
      <w:r>
        <w:rPr>
          <w:rFonts w:ascii="宋体" w:hAnsi="宋体"/>
          <w:color w:val="auto"/>
          <w:sz w:val="24"/>
          <w:szCs w:val="24"/>
        </w:rPr>
        <w:t>理。</w:t>
      </w:r>
    </w:p>
    <w:p w14:paraId="6C1EA443">
      <w:pPr>
        <w:widowControl w:val="0"/>
        <w:tabs>
          <w:tab w:val="left" w:pos="39"/>
          <w:tab w:val="left" w:pos="96"/>
        </w:tabs>
        <w:snapToGrid w:val="0"/>
        <w:spacing w:line="360" w:lineRule="auto"/>
        <w:ind w:firstLine="540" w:firstLineChars="225"/>
        <w:rPr>
          <w:rFonts w:hint="eastAsia" w:ascii="黑体" w:hAnsi="黑体" w:eastAsia="黑体" w:cs="楷体_GB2312"/>
          <w:b/>
          <w:color w:val="auto"/>
          <w:sz w:val="24"/>
          <w:lang w:val="zh-CN"/>
        </w:rPr>
      </w:pPr>
      <w:r>
        <w:rPr>
          <w:rFonts w:hint="eastAsia" w:ascii="宋体" w:hAnsi="宋体"/>
          <w:color w:val="auto"/>
          <w:sz w:val="24"/>
          <w:szCs w:val="24"/>
        </w:rPr>
        <w:t>9.3 《磋商文件》的澄清与修改或延期的</w:t>
      </w:r>
      <w:r>
        <w:rPr>
          <w:rFonts w:ascii="宋体" w:hAnsi="宋体"/>
          <w:color w:val="auto"/>
          <w:sz w:val="24"/>
          <w:szCs w:val="24"/>
        </w:rPr>
        <w:t>通知</w:t>
      </w:r>
      <w:r>
        <w:rPr>
          <w:rFonts w:hint="eastAsia" w:ascii="宋体" w:hAnsi="宋体"/>
          <w:color w:val="auto"/>
          <w:sz w:val="24"/>
          <w:szCs w:val="24"/>
        </w:rPr>
        <w:t>：</w:t>
      </w:r>
      <w:r>
        <w:rPr>
          <w:rFonts w:ascii="宋体" w:hAnsi="宋体"/>
          <w:color w:val="auto"/>
          <w:sz w:val="24"/>
          <w:szCs w:val="24"/>
        </w:rPr>
        <w:t>按</w:t>
      </w:r>
      <w:r>
        <w:rPr>
          <w:rFonts w:hint="eastAsia" w:ascii="宋体" w:hAnsi="宋体"/>
          <w:color w:val="auto"/>
          <w:sz w:val="24"/>
          <w:szCs w:val="24"/>
        </w:rPr>
        <w:t>《</w:t>
      </w:r>
      <w:r>
        <w:rPr>
          <w:rFonts w:ascii="宋体" w:hAnsi="宋体"/>
          <w:color w:val="auto"/>
          <w:sz w:val="24"/>
          <w:szCs w:val="24"/>
        </w:rPr>
        <w:t>磋商文件</w:t>
      </w:r>
      <w:r>
        <w:rPr>
          <w:rFonts w:hint="eastAsia" w:ascii="宋体" w:hAnsi="宋体"/>
          <w:color w:val="auto"/>
          <w:sz w:val="24"/>
          <w:szCs w:val="24"/>
        </w:rPr>
        <w:t>》</w:t>
      </w:r>
      <w:r>
        <w:rPr>
          <w:rFonts w:ascii="宋体" w:hAnsi="宋体"/>
          <w:color w:val="auto"/>
          <w:sz w:val="24"/>
          <w:szCs w:val="24"/>
        </w:rPr>
        <w:t>第三</w:t>
      </w:r>
      <w:r>
        <w:rPr>
          <w:rFonts w:hint="eastAsia" w:ascii="宋体" w:hAnsi="宋体"/>
          <w:color w:val="auto"/>
          <w:sz w:val="24"/>
          <w:szCs w:val="24"/>
        </w:rPr>
        <w:t>章“供应商</w:t>
      </w:r>
      <w:r>
        <w:rPr>
          <w:rFonts w:ascii="宋体" w:hAnsi="宋体"/>
          <w:color w:val="auto"/>
          <w:sz w:val="24"/>
          <w:szCs w:val="24"/>
        </w:rPr>
        <w:t>须知”</w:t>
      </w:r>
      <w:r>
        <w:rPr>
          <w:rFonts w:hint="eastAsia" w:ascii="宋体" w:hAnsi="宋体"/>
          <w:color w:val="auto"/>
          <w:sz w:val="24"/>
          <w:szCs w:val="24"/>
        </w:rPr>
        <w:t>第</w:t>
      </w:r>
      <w:r>
        <w:rPr>
          <w:rFonts w:ascii="宋体" w:hAnsi="宋体"/>
          <w:color w:val="auto"/>
          <w:sz w:val="24"/>
          <w:szCs w:val="24"/>
        </w:rPr>
        <w:t>2</w:t>
      </w:r>
      <w:r>
        <w:rPr>
          <w:rFonts w:hint="eastAsia" w:ascii="宋体" w:hAnsi="宋体"/>
          <w:color w:val="auto"/>
          <w:sz w:val="24"/>
          <w:szCs w:val="24"/>
        </w:rPr>
        <w:t>条“2.4 磋商文件的澄清、修改、补充的通知，及相应时间变更</w:t>
      </w:r>
      <w:r>
        <w:rPr>
          <w:rFonts w:ascii="宋体" w:hAnsi="宋体"/>
          <w:color w:val="auto"/>
          <w:sz w:val="24"/>
          <w:szCs w:val="24"/>
        </w:rPr>
        <w:t>”执行</w:t>
      </w:r>
      <w:r>
        <w:rPr>
          <w:rFonts w:hint="eastAsia" w:ascii="宋体" w:hAnsi="宋体"/>
          <w:color w:val="auto"/>
          <w:sz w:val="24"/>
          <w:szCs w:val="24"/>
        </w:rPr>
        <w:t>。</w:t>
      </w:r>
      <w:r>
        <w:rPr>
          <w:rFonts w:hint="eastAsia" w:ascii="黑体" w:hAnsi="黑体" w:eastAsia="黑体" w:cs="楷体_GB2312"/>
          <w:b/>
          <w:color w:val="auto"/>
          <w:sz w:val="24"/>
          <w:lang w:val="zh-CN"/>
        </w:rPr>
        <w:t>不</w:t>
      </w:r>
      <w:r>
        <w:rPr>
          <w:rFonts w:ascii="黑体" w:hAnsi="黑体" w:eastAsia="黑体" w:cs="楷体_GB2312"/>
          <w:b/>
          <w:color w:val="auto"/>
          <w:sz w:val="24"/>
          <w:lang w:val="zh-CN"/>
        </w:rPr>
        <w:t>另行通知。</w:t>
      </w:r>
    </w:p>
    <w:p w14:paraId="6E907D0C">
      <w:pPr>
        <w:widowControl w:val="0"/>
        <w:tabs>
          <w:tab w:val="left" w:pos="39"/>
          <w:tab w:val="left" w:pos="96"/>
        </w:tabs>
        <w:snapToGrid w:val="0"/>
        <w:spacing w:line="360" w:lineRule="auto"/>
        <w:ind w:firstLine="540" w:firstLineChars="225"/>
        <w:rPr>
          <w:rFonts w:hint="eastAsia" w:ascii="黑体" w:hAnsi="黑体" w:eastAsia="黑体" w:cs="楷体_GB2312"/>
          <w:b/>
          <w:color w:val="auto"/>
          <w:sz w:val="24"/>
          <w:lang w:val="zh-CN"/>
        </w:rPr>
      </w:pPr>
      <w:r>
        <w:rPr>
          <w:rFonts w:hint="eastAsia" w:ascii="宋体" w:hAnsi="宋体"/>
          <w:color w:val="auto"/>
          <w:sz w:val="24"/>
          <w:szCs w:val="24"/>
        </w:rPr>
        <w:t>9.4《响应文件》编制：在安阳市公共资源交易中心网站下载并安装投标文件制作工具、进行编制，按《磋商文件》第三章“供应商须知”第3条第</w:t>
      </w:r>
      <w:r>
        <w:rPr>
          <w:rFonts w:ascii="宋体" w:hAnsi="宋体"/>
          <w:color w:val="auto"/>
          <w:sz w:val="24"/>
          <w:szCs w:val="24"/>
        </w:rPr>
        <w:t>7</w:t>
      </w:r>
      <w:r>
        <w:rPr>
          <w:rFonts w:hint="eastAsia" w:ascii="宋体" w:hAnsi="宋体"/>
          <w:color w:val="auto"/>
          <w:sz w:val="24"/>
          <w:szCs w:val="24"/>
        </w:rPr>
        <w:t>款“</w:t>
      </w:r>
      <w:r>
        <w:rPr>
          <w:rFonts w:ascii="宋体" w:hAnsi="宋体"/>
          <w:color w:val="auto"/>
          <w:sz w:val="24"/>
          <w:szCs w:val="24"/>
        </w:rPr>
        <w:t>3.7</w:t>
      </w:r>
      <w:r>
        <w:rPr>
          <w:rFonts w:hint="eastAsia" w:ascii="宋体" w:hAnsi="宋体"/>
          <w:color w:val="auto"/>
          <w:sz w:val="24"/>
          <w:szCs w:val="24"/>
        </w:rPr>
        <w:t>《响应文件》的编制”执行，</w:t>
      </w:r>
      <w:r>
        <w:rPr>
          <w:rFonts w:hint="eastAsia" w:ascii="黑体" w:hAnsi="黑体" w:eastAsia="黑体" w:cs="楷体_GB2312"/>
          <w:b/>
          <w:color w:val="auto"/>
          <w:sz w:val="24"/>
          <w:lang w:val="zh-CN"/>
        </w:rPr>
        <w:t>否则将会评定为无效投标。</w:t>
      </w:r>
    </w:p>
    <w:p w14:paraId="381A25FA">
      <w:pPr>
        <w:widowControl w:val="0"/>
        <w:tabs>
          <w:tab w:val="left" w:pos="39"/>
          <w:tab w:val="left" w:pos="96"/>
        </w:tabs>
        <w:snapToGrid w:val="0"/>
        <w:spacing w:line="360" w:lineRule="auto"/>
        <w:ind w:firstLine="540" w:firstLineChars="225"/>
        <w:rPr>
          <w:rFonts w:hint="eastAsia" w:ascii="宋体" w:hAnsi="宋体"/>
          <w:color w:val="auto"/>
          <w:sz w:val="24"/>
          <w:szCs w:val="24"/>
        </w:rPr>
      </w:pPr>
      <w:r>
        <w:rPr>
          <w:rFonts w:hint="eastAsia" w:ascii="宋体"/>
          <w:color w:val="auto"/>
          <w:sz w:val="24"/>
          <w:szCs w:val="24"/>
        </w:rPr>
        <w:t>9.5《响应文件》递交：</w:t>
      </w:r>
      <w:r>
        <w:rPr>
          <w:rFonts w:hint="eastAsia" w:ascii="宋体" w:hAnsi="宋体"/>
          <w:color w:val="auto"/>
          <w:sz w:val="24"/>
          <w:szCs w:val="24"/>
        </w:rPr>
        <w:t>供应商应在投标截止时间前上传加密的电子投标文件（*.aytf）到安阳市公共资源交易平台，</w:t>
      </w:r>
      <w:r>
        <w:rPr>
          <w:rFonts w:ascii="宋体" w:hAnsi="宋体"/>
          <w:color w:val="auto"/>
          <w:sz w:val="24"/>
          <w:szCs w:val="24"/>
        </w:rPr>
        <w:t>按</w:t>
      </w:r>
      <w:r>
        <w:rPr>
          <w:rFonts w:hint="eastAsia" w:ascii="宋体" w:hAnsi="宋体"/>
          <w:color w:val="auto"/>
          <w:sz w:val="24"/>
          <w:szCs w:val="24"/>
        </w:rPr>
        <w:t>《</w:t>
      </w:r>
      <w:r>
        <w:rPr>
          <w:rFonts w:ascii="宋体" w:hAnsi="宋体"/>
          <w:color w:val="auto"/>
          <w:sz w:val="24"/>
          <w:szCs w:val="24"/>
        </w:rPr>
        <w:t>磋商文件</w:t>
      </w:r>
      <w:r>
        <w:rPr>
          <w:rFonts w:hint="eastAsia" w:ascii="宋体" w:hAnsi="宋体"/>
          <w:color w:val="auto"/>
          <w:sz w:val="24"/>
          <w:szCs w:val="24"/>
        </w:rPr>
        <w:t>》</w:t>
      </w:r>
      <w:r>
        <w:rPr>
          <w:rFonts w:ascii="宋体" w:hAnsi="宋体"/>
          <w:color w:val="auto"/>
          <w:sz w:val="24"/>
          <w:szCs w:val="24"/>
        </w:rPr>
        <w:t>第三</w:t>
      </w:r>
      <w:r>
        <w:rPr>
          <w:rFonts w:hint="eastAsia" w:ascii="宋体" w:hAnsi="宋体"/>
          <w:color w:val="auto"/>
          <w:sz w:val="24"/>
          <w:szCs w:val="24"/>
        </w:rPr>
        <w:t>章“供应商</w:t>
      </w:r>
      <w:r>
        <w:rPr>
          <w:rFonts w:ascii="宋体" w:hAnsi="宋体"/>
          <w:color w:val="auto"/>
          <w:sz w:val="24"/>
          <w:szCs w:val="24"/>
        </w:rPr>
        <w:t>须知”</w:t>
      </w:r>
      <w:r>
        <w:rPr>
          <w:rFonts w:hint="eastAsia" w:ascii="宋体" w:hAnsi="宋体"/>
          <w:color w:val="auto"/>
          <w:sz w:val="24"/>
          <w:szCs w:val="24"/>
        </w:rPr>
        <w:t>第</w:t>
      </w:r>
      <w:r>
        <w:rPr>
          <w:rFonts w:ascii="宋体" w:hAnsi="宋体"/>
          <w:color w:val="auto"/>
          <w:sz w:val="24"/>
          <w:szCs w:val="24"/>
        </w:rPr>
        <w:t>4</w:t>
      </w:r>
      <w:r>
        <w:rPr>
          <w:rFonts w:hint="eastAsia" w:ascii="宋体" w:hAnsi="宋体"/>
          <w:color w:val="auto"/>
          <w:sz w:val="24"/>
          <w:szCs w:val="24"/>
        </w:rPr>
        <w:t>条</w:t>
      </w:r>
      <w:r>
        <w:rPr>
          <w:rFonts w:ascii="宋体" w:hAnsi="宋体"/>
          <w:color w:val="auto"/>
          <w:sz w:val="24"/>
          <w:szCs w:val="24"/>
        </w:rPr>
        <w:t xml:space="preserve"> “</w:t>
      </w:r>
      <w:r>
        <w:rPr>
          <w:rFonts w:hint="eastAsia"/>
          <w:b/>
          <w:color w:val="auto"/>
          <w:sz w:val="24"/>
          <w:szCs w:val="24"/>
        </w:rPr>
        <w:t>4. 《响应文件》的提交</w:t>
      </w:r>
      <w:r>
        <w:rPr>
          <w:rFonts w:hint="eastAsia" w:ascii="宋体" w:hAnsi="宋体"/>
          <w:color w:val="auto"/>
          <w:sz w:val="24"/>
          <w:szCs w:val="24"/>
        </w:rPr>
        <w:t>”</w:t>
      </w:r>
      <w:r>
        <w:rPr>
          <w:rFonts w:ascii="宋体" w:hAnsi="宋体"/>
          <w:color w:val="auto"/>
          <w:sz w:val="24"/>
          <w:szCs w:val="24"/>
        </w:rPr>
        <w:t>执行，</w:t>
      </w:r>
      <w:r>
        <w:rPr>
          <w:rFonts w:hint="eastAsia" w:ascii="黑体" w:hAnsi="黑体" w:eastAsia="黑体" w:cs="楷体_GB2312"/>
          <w:b/>
          <w:color w:val="auto"/>
          <w:sz w:val="24"/>
          <w:lang w:val="zh-CN"/>
        </w:rPr>
        <w:t>否</w:t>
      </w:r>
      <w:r>
        <w:rPr>
          <w:rFonts w:ascii="黑体" w:hAnsi="黑体" w:eastAsia="黑体" w:cs="楷体_GB2312"/>
          <w:b/>
          <w:color w:val="auto"/>
          <w:sz w:val="24"/>
          <w:lang w:val="zh-CN"/>
        </w:rPr>
        <w:t>则将会</w:t>
      </w:r>
      <w:r>
        <w:rPr>
          <w:rFonts w:hint="eastAsia" w:ascii="黑体" w:hAnsi="黑体" w:eastAsia="黑体" w:cs="楷体_GB2312"/>
          <w:b/>
          <w:color w:val="auto"/>
          <w:sz w:val="24"/>
          <w:lang w:val="zh-CN"/>
        </w:rPr>
        <w:t>评</w:t>
      </w:r>
      <w:r>
        <w:rPr>
          <w:rFonts w:ascii="黑体" w:hAnsi="黑体" w:eastAsia="黑体" w:cs="楷体_GB2312"/>
          <w:b/>
          <w:color w:val="auto"/>
          <w:sz w:val="24"/>
          <w:lang w:val="zh-CN"/>
        </w:rPr>
        <w:t>定为无效投标。</w:t>
      </w:r>
    </w:p>
    <w:p w14:paraId="5E2FC1F5">
      <w:pPr>
        <w:widowControl w:val="0"/>
        <w:tabs>
          <w:tab w:val="left" w:pos="39"/>
          <w:tab w:val="left" w:pos="96"/>
        </w:tabs>
        <w:snapToGrid w:val="0"/>
        <w:spacing w:line="360" w:lineRule="auto"/>
        <w:ind w:firstLine="480" w:firstLineChars="200"/>
        <w:rPr>
          <w:rFonts w:hint="eastAsia" w:ascii="宋体" w:hAnsi="宋体"/>
          <w:color w:val="auto"/>
          <w:sz w:val="24"/>
          <w:szCs w:val="24"/>
        </w:rPr>
      </w:pPr>
      <w:r>
        <w:rPr>
          <w:rFonts w:hint="eastAsia" w:ascii="宋体"/>
          <w:color w:val="auto"/>
          <w:sz w:val="24"/>
          <w:szCs w:val="24"/>
        </w:rPr>
        <w:t>9</w:t>
      </w:r>
      <w:r>
        <w:rPr>
          <w:rFonts w:ascii="宋体"/>
          <w:color w:val="auto"/>
          <w:sz w:val="24"/>
          <w:szCs w:val="24"/>
        </w:rPr>
        <w:t>.</w:t>
      </w:r>
      <w:r>
        <w:rPr>
          <w:rFonts w:hint="eastAsia" w:ascii="宋体"/>
          <w:color w:val="auto"/>
          <w:sz w:val="24"/>
          <w:szCs w:val="24"/>
        </w:rPr>
        <w:t>6《响应文件》</w:t>
      </w:r>
      <w:r>
        <w:rPr>
          <w:rFonts w:hint="eastAsia" w:ascii="宋体" w:hAnsi="宋体"/>
          <w:color w:val="auto"/>
          <w:sz w:val="24"/>
          <w:szCs w:val="24"/>
        </w:rPr>
        <w:t>解密</w:t>
      </w:r>
      <w:r>
        <w:rPr>
          <w:rFonts w:hint="eastAsia" w:ascii="宋体"/>
          <w:color w:val="auto"/>
          <w:sz w:val="24"/>
          <w:szCs w:val="24"/>
        </w:rPr>
        <w:t>：：</w:t>
      </w:r>
      <w:r>
        <w:rPr>
          <w:bCs/>
          <w:color w:val="auto"/>
          <w:sz w:val="24"/>
          <w:szCs w:val="24"/>
        </w:rPr>
        <w:t>本项目采用远程不见面交易的模式，开标当日，</w:t>
      </w:r>
      <w:r>
        <w:rPr>
          <w:rFonts w:hint="eastAsia"/>
          <w:bCs/>
          <w:color w:val="auto"/>
          <w:sz w:val="24"/>
          <w:szCs w:val="24"/>
        </w:rPr>
        <w:t>供应商</w:t>
      </w:r>
      <w:r>
        <w:rPr>
          <w:bCs/>
          <w:color w:val="auto"/>
          <w:sz w:val="24"/>
          <w:szCs w:val="24"/>
        </w:rPr>
        <w:t>无需到开标现场参加开标会议，投标人应当在投标截止时间前，使用IE浏览器登录到安阳市公共资源交易不见面开标大厅，点击右上方【登录】按钮进入，在线准时参加开标活动并进行投标文件解密等。</w:t>
      </w:r>
      <w:r>
        <w:rPr>
          <w:rFonts w:ascii="宋体" w:hAnsi="宋体"/>
          <w:color w:val="auto"/>
          <w:sz w:val="24"/>
          <w:szCs w:val="24"/>
        </w:rPr>
        <w:t>按</w:t>
      </w:r>
      <w:r>
        <w:rPr>
          <w:rFonts w:hint="eastAsia" w:ascii="宋体" w:hAnsi="宋体"/>
          <w:color w:val="auto"/>
          <w:sz w:val="24"/>
          <w:szCs w:val="24"/>
        </w:rPr>
        <w:t>《</w:t>
      </w:r>
      <w:r>
        <w:rPr>
          <w:rFonts w:ascii="宋体" w:hAnsi="宋体"/>
          <w:color w:val="auto"/>
          <w:sz w:val="24"/>
          <w:szCs w:val="24"/>
        </w:rPr>
        <w:t>磋商文件</w:t>
      </w:r>
      <w:r>
        <w:rPr>
          <w:rFonts w:hint="eastAsia" w:ascii="宋体" w:hAnsi="宋体"/>
          <w:color w:val="auto"/>
          <w:sz w:val="24"/>
          <w:szCs w:val="24"/>
        </w:rPr>
        <w:t>》</w:t>
      </w:r>
      <w:r>
        <w:rPr>
          <w:rFonts w:ascii="宋体" w:hAnsi="宋体"/>
          <w:color w:val="auto"/>
          <w:sz w:val="24"/>
          <w:szCs w:val="24"/>
        </w:rPr>
        <w:t>第三</w:t>
      </w:r>
      <w:r>
        <w:rPr>
          <w:rFonts w:hint="eastAsia" w:ascii="宋体" w:hAnsi="宋体"/>
          <w:color w:val="auto"/>
          <w:sz w:val="24"/>
          <w:szCs w:val="24"/>
        </w:rPr>
        <w:t>章“供应商</w:t>
      </w:r>
      <w:r>
        <w:rPr>
          <w:rFonts w:ascii="宋体" w:hAnsi="宋体"/>
          <w:color w:val="auto"/>
          <w:sz w:val="24"/>
          <w:szCs w:val="24"/>
        </w:rPr>
        <w:t>须知”</w:t>
      </w:r>
      <w:r>
        <w:rPr>
          <w:rFonts w:hint="eastAsia" w:ascii="宋体" w:hAnsi="宋体"/>
          <w:color w:val="auto"/>
          <w:sz w:val="24"/>
          <w:szCs w:val="24"/>
        </w:rPr>
        <w:t>第</w:t>
      </w:r>
      <w:r>
        <w:rPr>
          <w:rFonts w:ascii="宋体" w:hAnsi="宋体"/>
          <w:color w:val="auto"/>
          <w:sz w:val="24"/>
          <w:szCs w:val="24"/>
        </w:rPr>
        <w:t>5</w:t>
      </w:r>
      <w:r>
        <w:rPr>
          <w:rFonts w:hint="eastAsia" w:ascii="宋体" w:hAnsi="宋体"/>
          <w:color w:val="auto"/>
          <w:sz w:val="24"/>
          <w:szCs w:val="24"/>
        </w:rPr>
        <w:t>条</w:t>
      </w:r>
      <w:r>
        <w:rPr>
          <w:rFonts w:ascii="宋体" w:hAnsi="宋体"/>
          <w:color w:val="auto"/>
          <w:sz w:val="24"/>
          <w:szCs w:val="24"/>
        </w:rPr>
        <w:t>“5</w:t>
      </w:r>
      <w:r>
        <w:rPr>
          <w:rFonts w:hint="eastAsia"/>
          <w:b/>
          <w:color w:val="auto"/>
          <w:sz w:val="24"/>
          <w:szCs w:val="24"/>
        </w:rPr>
        <w:t>《响应文件》的开启</w:t>
      </w:r>
      <w:r>
        <w:rPr>
          <w:rFonts w:hint="eastAsia" w:ascii="宋体" w:hAnsi="宋体"/>
          <w:color w:val="auto"/>
          <w:sz w:val="24"/>
          <w:szCs w:val="24"/>
        </w:rPr>
        <w:t>”</w:t>
      </w:r>
      <w:r>
        <w:rPr>
          <w:rFonts w:ascii="宋体" w:hAnsi="宋体"/>
          <w:color w:val="auto"/>
          <w:sz w:val="24"/>
          <w:szCs w:val="24"/>
        </w:rPr>
        <w:t>执行，</w:t>
      </w:r>
      <w:r>
        <w:rPr>
          <w:rFonts w:hint="eastAsia" w:ascii="宋体" w:hAnsi="宋体" w:cs="楷体_GB2312"/>
          <w:color w:val="auto"/>
          <w:sz w:val="24"/>
          <w:lang w:val="zh-CN"/>
        </w:rPr>
        <w:t>否</w:t>
      </w:r>
      <w:r>
        <w:rPr>
          <w:rFonts w:ascii="宋体" w:hAnsi="宋体" w:cs="楷体_GB2312"/>
          <w:color w:val="auto"/>
          <w:sz w:val="24"/>
          <w:lang w:val="zh-CN"/>
        </w:rPr>
        <w:t>则</w:t>
      </w:r>
      <w:r>
        <w:rPr>
          <w:rFonts w:hint="eastAsia" w:ascii="宋体" w:hAnsi="宋体" w:cs="楷体_GB2312"/>
          <w:color w:val="auto"/>
          <w:sz w:val="24"/>
          <w:lang w:val="zh-CN"/>
        </w:rPr>
        <w:t>其投标将不能被接受</w:t>
      </w:r>
      <w:r>
        <w:rPr>
          <w:rFonts w:ascii="宋体" w:hAnsi="宋体" w:cs="楷体_GB2312"/>
          <w:color w:val="auto"/>
          <w:sz w:val="24"/>
          <w:lang w:val="zh-CN"/>
        </w:rPr>
        <w:t>。</w:t>
      </w:r>
    </w:p>
    <w:p w14:paraId="6930C18C">
      <w:pPr>
        <w:widowControl w:val="0"/>
        <w:tabs>
          <w:tab w:val="left" w:pos="39"/>
          <w:tab w:val="left" w:pos="96"/>
        </w:tabs>
        <w:snapToGrid w:val="0"/>
        <w:spacing w:line="360" w:lineRule="auto"/>
        <w:ind w:firstLine="480" w:firstLineChars="200"/>
        <w:rPr>
          <w:rFonts w:hint="eastAsia" w:ascii="黑体" w:hAnsi="黑体" w:eastAsia="黑体" w:cs="楷体_GB2312"/>
          <w:b/>
          <w:color w:val="auto"/>
          <w:sz w:val="24"/>
          <w:lang w:val="zh-CN"/>
        </w:rPr>
      </w:pPr>
      <w:r>
        <w:rPr>
          <w:rFonts w:hint="eastAsia" w:ascii="宋体" w:hAnsi="宋体"/>
          <w:color w:val="auto"/>
          <w:sz w:val="24"/>
          <w:szCs w:val="24"/>
        </w:rPr>
        <w:t>9</w:t>
      </w:r>
      <w:r>
        <w:rPr>
          <w:rFonts w:ascii="宋体" w:hAnsi="宋体"/>
          <w:color w:val="auto"/>
          <w:sz w:val="24"/>
          <w:szCs w:val="24"/>
        </w:rPr>
        <w:t>.</w:t>
      </w:r>
      <w:r>
        <w:rPr>
          <w:rFonts w:hint="eastAsia" w:ascii="宋体" w:hAnsi="宋体"/>
          <w:color w:val="auto"/>
          <w:sz w:val="24"/>
          <w:szCs w:val="24"/>
        </w:rPr>
        <w:t>7</w:t>
      </w:r>
      <w:r>
        <w:rPr>
          <w:rFonts w:ascii="宋体" w:hAnsi="宋体"/>
          <w:color w:val="auto"/>
          <w:sz w:val="24"/>
          <w:szCs w:val="24"/>
        </w:rPr>
        <w:t xml:space="preserve"> </w:t>
      </w:r>
      <w:r>
        <w:rPr>
          <w:rFonts w:hint="eastAsia"/>
          <w:b/>
          <w:color w:val="auto"/>
          <w:sz w:val="24"/>
          <w:szCs w:val="24"/>
        </w:rPr>
        <w:t>磋商</w:t>
      </w:r>
      <w:r>
        <w:rPr>
          <w:b/>
          <w:color w:val="auto"/>
          <w:sz w:val="24"/>
          <w:szCs w:val="24"/>
        </w:rPr>
        <w:t>：</w:t>
      </w:r>
      <w:r>
        <w:rPr>
          <w:rFonts w:hint="eastAsia" w:ascii="宋体" w:hAnsi="宋体"/>
          <w:color w:val="auto"/>
          <w:sz w:val="24"/>
        </w:rPr>
        <w:t>时刻关注电子开标室并及时澄清，有</w:t>
      </w:r>
      <w:r>
        <w:rPr>
          <w:rFonts w:ascii="宋体" w:hAnsi="宋体"/>
          <w:color w:val="auto"/>
          <w:sz w:val="24"/>
        </w:rPr>
        <w:t>效</w:t>
      </w:r>
      <w:r>
        <w:rPr>
          <w:rFonts w:hint="eastAsia" w:ascii="宋体" w:hAnsi="宋体"/>
          <w:color w:val="auto"/>
          <w:sz w:val="24"/>
        </w:rPr>
        <w:t>供应商</w:t>
      </w:r>
      <w:r>
        <w:rPr>
          <w:rFonts w:ascii="宋体" w:hAnsi="宋体"/>
          <w:color w:val="auto"/>
          <w:sz w:val="24"/>
        </w:rPr>
        <w:t>在规定时间进行</w:t>
      </w:r>
      <w:r>
        <w:rPr>
          <w:rFonts w:hint="eastAsia" w:ascii="宋体" w:hAnsi="宋体"/>
          <w:color w:val="auto"/>
          <w:sz w:val="24"/>
        </w:rPr>
        <w:t>最后报价</w:t>
      </w:r>
      <w:r>
        <w:rPr>
          <w:rFonts w:ascii="宋体" w:hAnsi="宋体"/>
          <w:color w:val="auto"/>
          <w:sz w:val="24"/>
        </w:rPr>
        <w:t>，</w:t>
      </w:r>
      <w:r>
        <w:rPr>
          <w:rFonts w:ascii="宋体" w:hAnsi="宋体"/>
          <w:color w:val="auto"/>
          <w:sz w:val="24"/>
          <w:szCs w:val="24"/>
        </w:rPr>
        <w:t>按</w:t>
      </w:r>
      <w:r>
        <w:rPr>
          <w:rFonts w:hint="eastAsia" w:ascii="宋体" w:hAnsi="宋体"/>
          <w:color w:val="auto"/>
          <w:sz w:val="24"/>
          <w:szCs w:val="24"/>
        </w:rPr>
        <w:t>《</w:t>
      </w:r>
      <w:r>
        <w:rPr>
          <w:rFonts w:ascii="宋体" w:hAnsi="宋体"/>
          <w:color w:val="auto"/>
          <w:sz w:val="24"/>
          <w:szCs w:val="24"/>
        </w:rPr>
        <w:t>磋商文件</w:t>
      </w:r>
      <w:r>
        <w:rPr>
          <w:rFonts w:hint="eastAsia" w:ascii="宋体" w:hAnsi="宋体"/>
          <w:color w:val="auto"/>
          <w:sz w:val="24"/>
          <w:szCs w:val="24"/>
        </w:rPr>
        <w:t>》第四章“评审办法”</w:t>
      </w:r>
      <w:r>
        <w:rPr>
          <w:rFonts w:ascii="宋体" w:hAnsi="宋体"/>
          <w:color w:val="auto"/>
          <w:sz w:val="24"/>
          <w:szCs w:val="24"/>
        </w:rPr>
        <w:t>执行，</w:t>
      </w:r>
      <w:r>
        <w:rPr>
          <w:rFonts w:hint="eastAsia" w:ascii="黑体" w:hAnsi="黑体" w:eastAsia="黑体" w:cs="楷体_GB2312"/>
          <w:b/>
          <w:color w:val="auto"/>
          <w:sz w:val="24"/>
          <w:lang w:val="zh-CN"/>
        </w:rPr>
        <w:t>否</w:t>
      </w:r>
      <w:r>
        <w:rPr>
          <w:rFonts w:ascii="黑体" w:hAnsi="黑体" w:eastAsia="黑体" w:cs="楷体_GB2312"/>
          <w:b/>
          <w:color w:val="auto"/>
          <w:sz w:val="24"/>
          <w:lang w:val="zh-CN"/>
        </w:rPr>
        <w:t>则将会</w:t>
      </w:r>
      <w:r>
        <w:rPr>
          <w:rFonts w:hint="eastAsia" w:ascii="黑体" w:hAnsi="黑体" w:eastAsia="黑体" w:cs="楷体_GB2312"/>
          <w:b/>
          <w:color w:val="auto"/>
          <w:sz w:val="24"/>
          <w:lang w:val="zh-CN"/>
        </w:rPr>
        <w:t>评</w:t>
      </w:r>
      <w:r>
        <w:rPr>
          <w:rFonts w:ascii="黑体" w:hAnsi="黑体" w:eastAsia="黑体" w:cs="楷体_GB2312"/>
          <w:b/>
          <w:color w:val="auto"/>
          <w:sz w:val="24"/>
          <w:lang w:val="zh-CN"/>
        </w:rPr>
        <w:t>定为无效投标。</w:t>
      </w:r>
    </w:p>
    <w:p w14:paraId="0E7E0722">
      <w:pPr>
        <w:widowControl w:val="0"/>
        <w:tabs>
          <w:tab w:val="left" w:pos="39"/>
          <w:tab w:val="left" w:pos="96"/>
        </w:tabs>
        <w:snapToGrid w:val="0"/>
        <w:spacing w:line="360" w:lineRule="auto"/>
        <w:ind w:firstLine="540" w:firstLineChars="225"/>
        <w:rPr>
          <w:rFonts w:hint="eastAsia" w:ascii="宋体" w:hAnsi="宋体" w:cs="楷体_GB2312"/>
          <w:color w:val="auto"/>
          <w:sz w:val="24"/>
          <w:lang w:val="zh-CN"/>
        </w:rPr>
      </w:pPr>
      <w:r>
        <w:rPr>
          <w:rFonts w:hint="eastAsia" w:ascii="宋体" w:hAnsi="宋体" w:cs="楷体_GB2312"/>
          <w:color w:val="auto"/>
          <w:sz w:val="24"/>
          <w:lang w:val="zh-CN"/>
        </w:rPr>
        <w:t>9.8锁名称变更或者延期可能会导致开标过程无法正常解密标书。开标过程中解密必须使用生成标书时使用的CA锁，丢失、变更、延期都会导致无法解密。如无待开标解密项目，变更或者延期不影响正常的业务操作，但需要注意如下事项：</w:t>
      </w:r>
    </w:p>
    <w:p w14:paraId="13E44CB7">
      <w:pPr>
        <w:widowControl w:val="0"/>
        <w:tabs>
          <w:tab w:val="left" w:pos="39"/>
          <w:tab w:val="left" w:pos="96"/>
        </w:tabs>
        <w:snapToGrid w:val="0"/>
        <w:spacing w:line="360" w:lineRule="auto"/>
        <w:ind w:firstLine="540" w:firstLineChars="225"/>
        <w:rPr>
          <w:rFonts w:hint="eastAsia" w:ascii="宋体" w:hAnsi="宋体" w:cs="楷体_GB2312"/>
          <w:color w:val="auto"/>
          <w:sz w:val="24"/>
          <w:lang w:val="zh-CN"/>
        </w:rPr>
      </w:pPr>
      <w:r>
        <w:rPr>
          <w:rFonts w:hint="eastAsia" w:ascii="宋体" w:hAnsi="宋体" w:cs="楷体_GB2312"/>
          <w:color w:val="auto"/>
          <w:sz w:val="24"/>
          <w:lang w:val="zh-CN"/>
        </w:rPr>
        <w:t>①锁名称变更前建议先在交易系统修改单位名称为最新的，变更完成后再变更锁名称，以免因名称不一致无法正常登录系统。</w:t>
      </w:r>
    </w:p>
    <w:p w14:paraId="385FC626">
      <w:pPr>
        <w:widowControl w:val="0"/>
        <w:tabs>
          <w:tab w:val="left" w:pos="39"/>
          <w:tab w:val="left" w:pos="96"/>
        </w:tabs>
        <w:snapToGrid w:val="0"/>
        <w:spacing w:line="360" w:lineRule="auto"/>
        <w:ind w:firstLine="540" w:firstLineChars="225"/>
        <w:rPr>
          <w:rFonts w:hint="eastAsia" w:ascii="宋体" w:hAnsi="宋体"/>
          <w:color w:val="auto"/>
          <w:sz w:val="24"/>
          <w:szCs w:val="24"/>
        </w:rPr>
      </w:pPr>
      <w:r>
        <w:rPr>
          <w:rFonts w:hint="eastAsia" w:ascii="宋体" w:hAnsi="宋体" w:cs="楷体_GB2312"/>
          <w:color w:val="auto"/>
          <w:sz w:val="24"/>
          <w:lang w:val="zh-CN"/>
        </w:rPr>
        <w:t>②锁延期之后序列号可能会发生改变（视不同CA而定），变更后需要重新进行绑定。</w:t>
      </w:r>
    </w:p>
    <w:p w14:paraId="4D416616">
      <w:pPr>
        <w:widowControl w:val="0"/>
        <w:tabs>
          <w:tab w:val="left" w:pos="39"/>
          <w:tab w:val="left" w:pos="96"/>
        </w:tabs>
        <w:snapToGrid w:val="0"/>
        <w:spacing w:line="360" w:lineRule="auto"/>
        <w:ind w:firstLine="480" w:firstLineChars="200"/>
        <w:rPr>
          <w:rFonts w:hint="eastAsia" w:ascii="宋体" w:hAnsi="宋体"/>
          <w:color w:val="auto"/>
          <w:sz w:val="24"/>
          <w:szCs w:val="24"/>
        </w:rPr>
      </w:pPr>
      <w:r>
        <w:rPr>
          <w:rFonts w:hint="eastAsia" w:ascii="宋体" w:hAnsi="宋体"/>
          <w:color w:val="auto"/>
          <w:sz w:val="24"/>
          <w:szCs w:val="24"/>
        </w:rPr>
        <w:t>9.9 政府采购电子交易中，供应商网上电子交易的系统操作规则应以安阳市公共资源交易平台即时发布的相关规则为准。</w:t>
      </w:r>
    </w:p>
    <w:p w14:paraId="60F6425E">
      <w:pPr>
        <w:widowControl w:val="0"/>
        <w:tabs>
          <w:tab w:val="left" w:pos="39"/>
          <w:tab w:val="left" w:pos="96"/>
        </w:tabs>
        <w:snapToGrid w:val="0"/>
        <w:spacing w:line="360" w:lineRule="auto"/>
        <w:ind w:firstLine="540" w:firstLineChars="225"/>
        <w:rPr>
          <w:rFonts w:ascii="宋体"/>
          <w:color w:val="auto"/>
          <w:sz w:val="24"/>
          <w:szCs w:val="24"/>
        </w:rPr>
      </w:pPr>
      <w:r>
        <w:rPr>
          <w:rFonts w:hint="eastAsia" w:ascii="宋体" w:hAnsi="宋体"/>
          <w:color w:val="auto"/>
          <w:sz w:val="24"/>
          <w:szCs w:val="24"/>
        </w:rPr>
        <w:t>9.10 望供应商充分熟悉网上电子交易操作流程、以便有效投标。</w:t>
      </w:r>
    </w:p>
    <w:p w14:paraId="625CEAF6">
      <w:pPr>
        <w:widowControl w:val="0"/>
        <w:tabs>
          <w:tab w:val="left" w:pos="39"/>
          <w:tab w:val="left" w:pos="96"/>
        </w:tabs>
        <w:snapToGrid w:val="0"/>
        <w:spacing w:line="360" w:lineRule="auto"/>
        <w:ind w:firstLine="540" w:firstLineChars="225"/>
        <w:rPr>
          <w:rFonts w:hint="eastAsia" w:ascii="宋体" w:hAnsi="宋体"/>
          <w:color w:val="auto"/>
          <w:sz w:val="24"/>
          <w:szCs w:val="24"/>
        </w:rPr>
      </w:pPr>
      <w:r>
        <w:rPr>
          <w:rFonts w:hint="eastAsia"/>
          <w:bCs/>
          <w:color w:val="auto"/>
          <w:sz w:val="24"/>
          <w:szCs w:val="24"/>
        </w:rPr>
        <w:t>9.11 如遇到网上系统操作等技术问题请咨询</w:t>
      </w:r>
      <w:r>
        <w:rPr>
          <w:rFonts w:hint="eastAsia" w:ascii="宋体" w:hAnsi="宋体"/>
          <w:color w:val="auto"/>
          <w:sz w:val="24"/>
          <w:szCs w:val="24"/>
        </w:rPr>
        <w:t>400-998-0000、0372-3387739。</w:t>
      </w:r>
    </w:p>
    <w:p w14:paraId="21AEBEE7">
      <w:pPr>
        <w:widowControl w:val="0"/>
        <w:tabs>
          <w:tab w:val="left" w:pos="39"/>
          <w:tab w:val="left" w:pos="96"/>
        </w:tabs>
        <w:snapToGrid w:val="0"/>
        <w:spacing w:line="360" w:lineRule="auto"/>
        <w:ind w:firstLine="540" w:firstLineChars="225"/>
        <w:rPr>
          <w:rFonts w:ascii="宋体"/>
          <w:color w:val="auto"/>
          <w:sz w:val="24"/>
          <w:szCs w:val="24"/>
        </w:rPr>
      </w:pPr>
    </w:p>
    <w:p w14:paraId="47DE6E19">
      <w:pPr>
        <w:widowControl w:val="0"/>
        <w:tabs>
          <w:tab w:val="left" w:pos="39"/>
          <w:tab w:val="left" w:pos="96"/>
        </w:tabs>
        <w:snapToGrid w:val="0"/>
        <w:spacing w:line="360" w:lineRule="auto"/>
        <w:ind w:firstLine="540" w:firstLineChars="225"/>
        <w:rPr>
          <w:rFonts w:ascii="宋体"/>
          <w:color w:val="auto"/>
          <w:sz w:val="24"/>
          <w:szCs w:val="24"/>
        </w:rPr>
      </w:pPr>
    </w:p>
    <w:p w14:paraId="3B32882E">
      <w:pPr>
        <w:widowControl w:val="0"/>
        <w:tabs>
          <w:tab w:val="left" w:pos="39"/>
          <w:tab w:val="left" w:pos="96"/>
        </w:tabs>
        <w:snapToGrid w:val="0"/>
        <w:spacing w:line="360" w:lineRule="auto"/>
        <w:ind w:firstLine="5220" w:firstLineChars="2175"/>
        <w:jc w:val="right"/>
        <w:rPr>
          <w:rFonts w:ascii="宋体"/>
          <w:color w:val="auto"/>
          <w:sz w:val="24"/>
          <w:szCs w:val="24"/>
        </w:rPr>
      </w:pPr>
      <w:r>
        <w:rPr>
          <w:rFonts w:hint="eastAsia" w:ascii="宋体"/>
          <w:color w:val="auto"/>
          <w:sz w:val="24"/>
          <w:szCs w:val="24"/>
        </w:rPr>
        <w:t>安阳市方正招标采购服务有限责任公司</w:t>
      </w:r>
    </w:p>
    <w:p w14:paraId="1C9F110C">
      <w:pPr>
        <w:widowControl w:val="0"/>
        <w:tabs>
          <w:tab w:val="left" w:pos="39"/>
          <w:tab w:val="left" w:pos="96"/>
        </w:tabs>
        <w:snapToGrid w:val="0"/>
        <w:spacing w:line="360" w:lineRule="auto"/>
        <w:ind w:firstLine="540" w:firstLineChars="225"/>
        <w:jc w:val="right"/>
        <w:rPr>
          <w:rFonts w:ascii="宋体"/>
          <w:color w:val="auto"/>
          <w:sz w:val="24"/>
          <w:szCs w:val="24"/>
        </w:rPr>
      </w:pPr>
      <w:r>
        <w:rPr>
          <w:rFonts w:hint="eastAsia" w:ascii="宋体"/>
          <w:color w:val="auto"/>
          <w:sz w:val="24"/>
          <w:szCs w:val="24"/>
        </w:rPr>
        <w:t>二〇二六年</w:t>
      </w:r>
      <w:r>
        <w:rPr>
          <w:rFonts w:hint="eastAsia" w:ascii="宋体"/>
          <w:color w:val="auto"/>
          <w:sz w:val="24"/>
          <w:szCs w:val="24"/>
          <w:lang w:val="en-US" w:eastAsia="zh-CN"/>
        </w:rPr>
        <w:t>九</w:t>
      </w:r>
      <w:r>
        <w:rPr>
          <w:rFonts w:hint="eastAsia" w:ascii="宋体"/>
          <w:color w:val="auto"/>
          <w:sz w:val="24"/>
          <w:szCs w:val="24"/>
        </w:rPr>
        <w:t>月</w:t>
      </w:r>
      <w:r>
        <w:rPr>
          <w:rFonts w:hint="eastAsia" w:ascii="宋体"/>
          <w:color w:val="auto"/>
          <w:sz w:val="24"/>
          <w:szCs w:val="24"/>
          <w:lang w:val="en-US" w:eastAsia="zh-CN"/>
        </w:rPr>
        <w:t>二十八</w:t>
      </w:r>
      <w:r>
        <w:rPr>
          <w:rFonts w:hint="eastAsia" w:ascii="宋体"/>
          <w:color w:val="auto"/>
          <w:sz w:val="24"/>
          <w:szCs w:val="24"/>
        </w:rPr>
        <w:t>日</w:t>
      </w:r>
    </w:p>
    <w:p w14:paraId="1D5DC603">
      <w:pPr>
        <w:widowControl w:val="0"/>
        <w:snapToGrid w:val="0"/>
        <w:spacing w:line="360" w:lineRule="auto"/>
        <w:jc w:val="center"/>
        <w:outlineLvl w:val="0"/>
        <w:rPr>
          <w:rFonts w:hint="eastAsia" w:ascii="黑体" w:hAnsi="黑体" w:eastAsia="黑体"/>
          <w:b/>
          <w:color w:val="auto"/>
          <w:sz w:val="28"/>
          <w:szCs w:val="28"/>
          <w:highlight w:val="yellow"/>
        </w:rPr>
      </w:pPr>
      <w:r>
        <w:rPr>
          <w:rFonts w:ascii="黑体" w:hAnsi="黑体" w:eastAsia="黑体"/>
          <w:b/>
          <w:color w:val="auto"/>
          <w:sz w:val="28"/>
          <w:szCs w:val="28"/>
          <w:highlight w:val="yellow"/>
        </w:rPr>
        <w:br w:type="page"/>
      </w:r>
    </w:p>
    <w:p w14:paraId="318233F6">
      <w:pPr>
        <w:widowControl w:val="0"/>
        <w:snapToGrid w:val="0"/>
        <w:spacing w:line="360" w:lineRule="auto"/>
        <w:jc w:val="center"/>
        <w:outlineLvl w:val="0"/>
        <w:rPr>
          <w:rFonts w:eastAsia="方正黑体简体"/>
          <w:color w:val="auto"/>
          <w:sz w:val="36"/>
          <w:szCs w:val="36"/>
        </w:rPr>
      </w:pPr>
      <w:bookmarkStart w:id="9" w:name="_Toc28256"/>
      <w:r>
        <w:rPr>
          <w:rFonts w:hint="eastAsia" w:eastAsia="黑体"/>
          <w:b/>
          <w:color w:val="auto"/>
          <w:sz w:val="36"/>
          <w:szCs w:val="36"/>
        </w:rPr>
        <w:t>第二章</w:t>
      </w:r>
      <w:r>
        <w:rPr>
          <w:rFonts w:eastAsia="黑体"/>
          <w:b/>
          <w:color w:val="auto"/>
          <w:sz w:val="36"/>
          <w:szCs w:val="36"/>
        </w:rPr>
        <w:t xml:space="preserve">  </w:t>
      </w:r>
      <w:r>
        <w:rPr>
          <w:rFonts w:hint="eastAsia" w:eastAsia="黑体"/>
          <w:b/>
          <w:color w:val="auto"/>
          <w:sz w:val="36"/>
          <w:szCs w:val="36"/>
        </w:rPr>
        <w:t>采购项目及技术服务要求</w:t>
      </w:r>
      <w:bookmarkEnd w:id="9"/>
    </w:p>
    <w:p w14:paraId="6B103A28">
      <w:pPr>
        <w:widowControl w:val="0"/>
        <w:snapToGrid w:val="0"/>
        <w:spacing w:line="360" w:lineRule="auto"/>
        <w:jc w:val="center"/>
        <w:rPr>
          <w:b/>
          <w:color w:val="auto"/>
          <w:sz w:val="28"/>
        </w:rPr>
      </w:pPr>
    </w:p>
    <w:p w14:paraId="68940FE8">
      <w:pPr>
        <w:widowControl w:val="0"/>
        <w:snapToGrid w:val="0"/>
        <w:spacing w:line="360" w:lineRule="auto"/>
        <w:ind w:firstLine="422" w:firstLineChars="150"/>
        <w:jc w:val="left"/>
        <w:outlineLvl w:val="1"/>
        <w:rPr>
          <w:rFonts w:hint="eastAsia" w:ascii="黑体" w:hAnsi="黑体" w:eastAsia="黑体"/>
          <w:b/>
          <w:color w:val="auto"/>
          <w:sz w:val="28"/>
        </w:rPr>
      </w:pPr>
      <w:bookmarkStart w:id="10" w:name="_Toc21973"/>
      <w:r>
        <w:rPr>
          <w:rFonts w:ascii="黑体" w:hAnsi="黑体" w:eastAsia="黑体"/>
          <w:b/>
          <w:color w:val="auto"/>
          <w:sz w:val="28"/>
        </w:rPr>
        <w:t xml:space="preserve">1. </w:t>
      </w:r>
      <w:r>
        <w:rPr>
          <w:rFonts w:hint="eastAsia" w:ascii="黑体" w:hAnsi="黑体" w:eastAsia="黑体"/>
          <w:b/>
          <w:color w:val="auto"/>
          <w:sz w:val="28"/>
        </w:rPr>
        <w:t>采购项目、标段（包）划分、磋商报价</w:t>
      </w:r>
      <w:bookmarkEnd w:id="10"/>
    </w:p>
    <w:p w14:paraId="13332F65">
      <w:pPr>
        <w:widowControl w:val="0"/>
        <w:snapToGrid w:val="0"/>
        <w:spacing w:line="360" w:lineRule="auto"/>
        <w:ind w:firstLine="482" w:firstLineChars="200"/>
        <w:jc w:val="left"/>
        <w:rPr>
          <w:color w:val="auto"/>
          <w:sz w:val="24"/>
          <w:szCs w:val="24"/>
        </w:rPr>
      </w:pPr>
      <w:r>
        <w:rPr>
          <w:rFonts w:ascii="黑体" w:hAnsi="黑体" w:eastAsia="黑体"/>
          <w:b/>
          <w:color w:val="auto"/>
          <w:sz w:val="24"/>
          <w:szCs w:val="24"/>
        </w:rPr>
        <w:t>1.1</w:t>
      </w:r>
      <w:r>
        <w:rPr>
          <w:rFonts w:hint="eastAsia" w:ascii="黑体" w:hAnsi="黑体" w:eastAsia="黑体"/>
          <w:b/>
          <w:color w:val="auto"/>
          <w:sz w:val="24"/>
          <w:szCs w:val="24"/>
        </w:rPr>
        <w:t>采购项目名称</w:t>
      </w:r>
      <w:r>
        <w:rPr>
          <w:rFonts w:hint="eastAsia"/>
          <w:color w:val="auto"/>
          <w:sz w:val="24"/>
          <w:szCs w:val="24"/>
        </w:rPr>
        <w:t>：安阳市智慧城市运行中心文峰立交桥照明改造工程项目</w:t>
      </w:r>
    </w:p>
    <w:p w14:paraId="2DADEFB0">
      <w:pPr>
        <w:widowControl w:val="0"/>
        <w:snapToGrid w:val="0"/>
        <w:spacing w:line="360" w:lineRule="auto"/>
        <w:ind w:firstLine="482" w:firstLineChars="200"/>
        <w:jc w:val="left"/>
        <w:rPr>
          <w:color w:val="auto"/>
          <w:sz w:val="24"/>
          <w:szCs w:val="24"/>
        </w:rPr>
      </w:pPr>
      <w:r>
        <w:rPr>
          <w:rFonts w:ascii="黑体" w:hAnsi="黑体" w:eastAsia="黑体"/>
          <w:b/>
          <w:color w:val="auto"/>
          <w:sz w:val="24"/>
          <w:szCs w:val="24"/>
        </w:rPr>
        <w:t xml:space="preserve">1.2 </w:t>
      </w:r>
      <w:r>
        <w:rPr>
          <w:rFonts w:hint="eastAsia" w:ascii="黑体" w:hAnsi="黑体" w:eastAsia="黑体"/>
          <w:b/>
          <w:color w:val="auto"/>
          <w:sz w:val="24"/>
          <w:szCs w:val="24"/>
        </w:rPr>
        <w:t>标段（包）划分及其工期施工地点</w:t>
      </w:r>
      <w:r>
        <w:rPr>
          <w:rFonts w:hint="eastAsia"/>
          <w:color w:val="auto"/>
          <w:sz w:val="24"/>
          <w:szCs w:val="24"/>
        </w:rPr>
        <w:t>：本次采购项目划分为1个标段（包）。</w:t>
      </w:r>
    </w:p>
    <w:tbl>
      <w:tblPr>
        <w:tblStyle w:val="19"/>
        <w:tblW w:w="96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1800"/>
        <w:gridCol w:w="2520"/>
        <w:gridCol w:w="2142"/>
        <w:gridCol w:w="1378"/>
      </w:tblGrid>
      <w:tr w14:paraId="60885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9604" w:type="dxa"/>
            <w:gridSpan w:val="5"/>
            <w:vAlign w:val="center"/>
          </w:tcPr>
          <w:p w14:paraId="04D0FD0C">
            <w:pPr>
              <w:widowControl w:val="0"/>
              <w:snapToGrid w:val="0"/>
              <w:spacing w:line="240" w:lineRule="auto"/>
              <w:jc w:val="center"/>
              <w:rPr>
                <w:rFonts w:ascii="宋体"/>
                <w:b/>
                <w:color w:val="auto"/>
                <w:sz w:val="24"/>
                <w:szCs w:val="24"/>
              </w:rPr>
            </w:pPr>
            <w:r>
              <w:rPr>
                <w:rFonts w:hint="eastAsia" w:ascii="宋体" w:hAnsi="宋体"/>
                <w:b/>
                <w:color w:val="auto"/>
                <w:sz w:val="24"/>
                <w:szCs w:val="24"/>
              </w:rPr>
              <w:t>标段（包）一览表</w:t>
            </w:r>
          </w:p>
        </w:tc>
      </w:tr>
      <w:tr w14:paraId="66463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764" w:type="dxa"/>
            <w:vAlign w:val="center"/>
          </w:tcPr>
          <w:p w14:paraId="6A1CA314">
            <w:pPr>
              <w:widowControl w:val="0"/>
              <w:snapToGrid w:val="0"/>
              <w:spacing w:line="240" w:lineRule="auto"/>
              <w:jc w:val="center"/>
              <w:rPr>
                <w:b/>
                <w:color w:val="auto"/>
                <w:sz w:val="24"/>
                <w:szCs w:val="24"/>
              </w:rPr>
            </w:pPr>
            <w:r>
              <w:rPr>
                <w:rFonts w:hint="eastAsia"/>
                <w:b/>
                <w:color w:val="auto"/>
                <w:sz w:val="24"/>
                <w:szCs w:val="24"/>
              </w:rPr>
              <w:t>项目名称</w:t>
            </w:r>
          </w:p>
        </w:tc>
        <w:tc>
          <w:tcPr>
            <w:tcW w:w="1800" w:type="dxa"/>
            <w:vAlign w:val="center"/>
          </w:tcPr>
          <w:p w14:paraId="67A928E7">
            <w:pPr>
              <w:widowControl w:val="0"/>
              <w:snapToGrid w:val="0"/>
              <w:spacing w:line="240" w:lineRule="auto"/>
              <w:jc w:val="center"/>
              <w:rPr>
                <w:b/>
                <w:color w:val="auto"/>
                <w:sz w:val="24"/>
                <w:szCs w:val="24"/>
              </w:rPr>
            </w:pPr>
            <w:r>
              <w:rPr>
                <w:rFonts w:hint="eastAsia"/>
                <w:b/>
                <w:color w:val="auto"/>
                <w:sz w:val="24"/>
                <w:szCs w:val="24"/>
              </w:rPr>
              <w:t>标段（包）名称</w:t>
            </w:r>
          </w:p>
        </w:tc>
        <w:tc>
          <w:tcPr>
            <w:tcW w:w="2520" w:type="dxa"/>
            <w:vAlign w:val="center"/>
          </w:tcPr>
          <w:p w14:paraId="5F9322AC">
            <w:pPr>
              <w:widowControl w:val="0"/>
              <w:snapToGrid w:val="0"/>
              <w:spacing w:line="240" w:lineRule="auto"/>
              <w:jc w:val="center"/>
              <w:rPr>
                <w:rFonts w:ascii="宋体"/>
                <w:b/>
                <w:color w:val="auto"/>
                <w:sz w:val="24"/>
                <w:szCs w:val="24"/>
              </w:rPr>
            </w:pPr>
            <w:r>
              <w:rPr>
                <w:rFonts w:hint="eastAsia" w:ascii="宋体" w:hAnsi="宋体"/>
                <w:b/>
                <w:color w:val="auto"/>
                <w:sz w:val="24"/>
                <w:szCs w:val="24"/>
              </w:rPr>
              <w:t>标段（包）内容（范围）</w:t>
            </w:r>
          </w:p>
        </w:tc>
        <w:tc>
          <w:tcPr>
            <w:tcW w:w="2142" w:type="dxa"/>
            <w:vAlign w:val="center"/>
          </w:tcPr>
          <w:p w14:paraId="2AA60AE2">
            <w:pPr>
              <w:widowControl w:val="0"/>
              <w:snapToGrid w:val="0"/>
              <w:spacing w:line="240" w:lineRule="auto"/>
              <w:jc w:val="center"/>
              <w:rPr>
                <w:rFonts w:hint="eastAsia" w:ascii="宋体" w:hAnsi="宋体"/>
                <w:b/>
                <w:color w:val="auto"/>
                <w:sz w:val="24"/>
                <w:szCs w:val="24"/>
              </w:rPr>
            </w:pPr>
            <w:r>
              <w:rPr>
                <w:rFonts w:hint="eastAsia" w:ascii="宋体" w:hAnsi="宋体"/>
                <w:b/>
                <w:color w:val="auto"/>
                <w:sz w:val="24"/>
                <w:szCs w:val="24"/>
              </w:rPr>
              <w:t>合同履行期限</w:t>
            </w:r>
          </w:p>
          <w:p w14:paraId="3EFC573E">
            <w:pPr>
              <w:widowControl w:val="0"/>
              <w:snapToGrid w:val="0"/>
              <w:spacing w:line="240" w:lineRule="auto"/>
              <w:jc w:val="center"/>
              <w:rPr>
                <w:b/>
                <w:color w:val="auto"/>
                <w:sz w:val="24"/>
                <w:szCs w:val="24"/>
              </w:rPr>
            </w:pPr>
            <w:r>
              <w:rPr>
                <w:rFonts w:hint="eastAsia" w:ascii="宋体" w:hAnsi="宋体"/>
                <w:b/>
                <w:color w:val="auto"/>
                <w:sz w:val="24"/>
                <w:szCs w:val="24"/>
              </w:rPr>
              <w:t>（工期）</w:t>
            </w:r>
          </w:p>
        </w:tc>
        <w:tc>
          <w:tcPr>
            <w:tcW w:w="1378" w:type="dxa"/>
            <w:vAlign w:val="center"/>
          </w:tcPr>
          <w:p w14:paraId="71ABC8E0">
            <w:pPr>
              <w:widowControl w:val="0"/>
              <w:snapToGrid w:val="0"/>
              <w:spacing w:line="240" w:lineRule="auto"/>
              <w:jc w:val="center"/>
              <w:rPr>
                <w:b/>
                <w:color w:val="auto"/>
                <w:sz w:val="24"/>
                <w:szCs w:val="24"/>
              </w:rPr>
            </w:pPr>
            <w:r>
              <w:rPr>
                <w:rFonts w:hint="eastAsia" w:ascii="宋体" w:hAnsi="宋体"/>
                <w:b/>
                <w:color w:val="auto"/>
                <w:sz w:val="24"/>
                <w:szCs w:val="24"/>
              </w:rPr>
              <w:t>施工地点</w:t>
            </w:r>
          </w:p>
        </w:tc>
      </w:tr>
      <w:tr w14:paraId="34080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764" w:type="dxa"/>
            <w:vAlign w:val="center"/>
          </w:tcPr>
          <w:p w14:paraId="2E46FE15">
            <w:pPr>
              <w:widowControl w:val="0"/>
              <w:snapToGrid w:val="0"/>
              <w:spacing w:line="240" w:lineRule="auto"/>
              <w:rPr>
                <w:color w:val="auto"/>
                <w:sz w:val="24"/>
                <w:szCs w:val="24"/>
              </w:rPr>
            </w:pPr>
            <w:r>
              <w:rPr>
                <w:rFonts w:hint="eastAsia"/>
                <w:color w:val="auto"/>
                <w:sz w:val="24"/>
                <w:szCs w:val="24"/>
              </w:rPr>
              <w:t>安阳市智慧城市运行中心文峰立交桥照明改造工程项目</w:t>
            </w:r>
          </w:p>
        </w:tc>
        <w:tc>
          <w:tcPr>
            <w:tcW w:w="1800" w:type="dxa"/>
            <w:vAlign w:val="center"/>
          </w:tcPr>
          <w:p w14:paraId="748E4A09">
            <w:pPr>
              <w:widowControl w:val="0"/>
              <w:snapToGrid w:val="0"/>
              <w:spacing w:line="240" w:lineRule="auto"/>
              <w:rPr>
                <w:color w:val="auto"/>
                <w:sz w:val="24"/>
                <w:szCs w:val="24"/>
              </w:rPr>
            </w:pPr>
            <w:r>
              <w:rPr>
                <w:rFonts w:hint="eastAsia"/>
                <w:color w:val="auto"/>
                <w:sz w:val="24"/>
                <w:szCs w:val="24"/>
              </w:rPr>
              <w:t>同项目名称</w:t>
            </w:r>
          </w:p>
        </w:tc>
        <w:tc>
          <w:tcPr>
            <w:tcW w:w="2520" w:type="dxa"/>
            <w:vAlign w:val="center"/>
          </w:tcPr>
          <w:p w14:paraId="11BB3661">
            <w:pPr>
              <w:widowControl w:val="0"/>
              <w:snapToGrid w:val="0"/>
              <w:spacing w:line="240" w:lineRule="auto"/>
              <w:rPr>
                <w:color w:val="auto"/>
                <w:sz w:val="24"/>
                <w:szCs w:val="24"/>
              </w:rPr>
            </w:pPr>
            <w:r>
              <w:rPr>
                <w:rFonts w:hint="eastAsia"/>
                <w:color w:val="auto"/>
                <w:sz w:val="24"/>
                <w:szCs w:val="24"/>
              </w:rPr>
              <w:t>见“第二章第</w:t>
            </w:r>
            <w:r>
              <w:rPr>
                <w:color w:val="auto"/>
                <w:sz w:val="24"/>
                <w:szCs w:val="24"/>
              </w:rPr>
              <w:t>2</w:t>
            </w:r>
            <w:r>
              <w:rPr>
                <w:rFonts w:hint="eastAsia"/>
                <w:color w:val="auto"/>
                <w:sz w:val="24"/>
                <w:szCs w:val="24"/>
              </w:rPr>
              <w:t>条：标段（包）内容（范围）及基本技术要求”</w:t>
            </w:r>
          </w:p>
        </w:tc>
        <w:tc>
          <w:tcPr>
            <w:tcW w:w="2142" w:type="dxa"/>
            <w:vAlign w:val="center"/>
          </w:tcPr>
          <w:p w14:paraId="5621EB7F">
            <w:pPr>
              <w:widowControl w:val="0"/>
              <w:snapToGrid w:val="0"/>
              <w:spacing w:line="240" w:lineRule="auto"/>
              <w:rPr>
                <w:color w:val="auto"/>
                <w:sz w:val="24"/>
                <w:szCs w:val="24"/>
              </w:rPr>
            </w:pPr>
            <w:r>
              <w:rPr>
                <w:rFonts w:hint="eastAsia"/>
                <w:color w:val="auto"/>
                <w:sz w:val="24"/>
                <w:szCs w:val="24"/>
              </w:rPr>
              <w:t>见竞争性磋商公告</w:t>
            </w:r>
            <w:r>
              <w:rPr>
                <w:color w:val="auto"/>
                <w:sz w:val="24"/>
                <w:szCs w:val="24"/>
              </w:rPr>
              <w:t>1.6</w:t>
            </w:r>
          </w:p>
        </w:tc>
        <w:tc>
          <w:tcPr>
            <w:tcW w:w="1378" w:type="dxa"/>
            <w:vAlign w:val="center"/>
          </w:tcPr>
          <w:p w14:paraId="6E54532E">
            <w:pPr>
              <w:widowControl w:val="0"/>
              <w:snapToGrid w:val="0"/>
              <w:spacing w:line="240" w:lineRule="auto"/>
              <w:rPr>
                <w:color w:val="auto"/>
                <w:sz w:val="24"/>
                <w:szCs w:val="24"/>
              </w:rPr>
            </w:pPr>
            <w:r>
              <w:rPr>
                <w:rFonts w:hint="eastAsia"/>
                <w:color w:val="auto"/>
                <w:sz w:val="24"/>
                <w:szCs w:val="24"/>
              </w:rPr>
              <w:t>采购人指定地点</w:t>
            </w:r>
          </w:p>
        </w:tc>
      </w:tr>
    </w:tbl>
    <w:p w14:paraId="3350A6AC">
      <w:pPr>
        <w:spacing w:line="560" w:lineRule="exact"/>
        <w:ind w:firstLine="482" w:firstLineChars="200"/>
        <w:rPr>
          <w:rFonts w:hint="eastAsia" w:ascii="黑体" w:hAnsi="黑体" w:eastAsia="黑体"/>
          <w:b/>
          <w:color w:val="auto"/>
          <w:sz w:val="24"/>
          <w:szCs w:val="24"/>
        </w:rPr>
      </w:pPr>
      <w:r>
        <w:rPr>
          <w:rFonts w:ascii="黑体" w:hAnsi="黑体" w:eastAsia="黑体"/>
          <w:b/>
          <w:color w:val="auto"/>
          <w:sz w:val="24"/>
          <w:szCs w:val="24"/>
        </w:rPr>
        <w:t xml:space="preserve">1.3 </w:t>
      </w:r>
      <w:r>
        <w:rPr>
          <w:rFonts w:hint="eastAsia" w:ascii="黑体" w:hAnsi="黑体" w:eastAsia="黑体"/>
          <w:b/>
          <w:color w:val="auto"/>
          <w:sz w:val="24"/>
          <w:szCs w:val="24"/>
        </w:rPr>
        <w:t>磋商报价（价格构成）</w:t>
      </w:r>
    </w:p>
    <w:p w14:paraId="3816D1A0">
      <w:pPr>
        <w:widowControl w:val="0"/>
        <w:snapToGrid w:val="0"/>
        <w:spacing w:line="360" w:lineRule="auto"/>
        <w:ind w:firstLine="360" w:firstLineChars="150"/>
        <w:jc w:val="left"/>
        <w:rPr>
          <w:color w:val="auto"/>
          <w:sz w:val="24"/>
          <w:szCs w:val="24"/>
        </w:rPr>
      </w:pPr>
      <w:r>
        <w:rPr>
          <w:color w:val="auto"/>
          <w:sz w:val="24"/>
          <w:szCs w:val="24"/>
        </w:rPr>
        <w:t>1.3.1</w:t>
      </w:r>
      <w:r>
        <w:rPr>
          <w:rFonts w:hint="eastAsia"/>
          <w:color w:val="auto"/>
          <w:sz w:val="24"/>
          <w:szCs w:val="24"/>
        </w:rPr>
        <w:t>供应商的磋商报价应为施工地完工交验价，包括材料及设备费、人工费、施工机械使用费、施工达到现行环保要求所需费用、现场遇到意外突发情况处置费用、运输、现场协调、现场安装、现场配合验收、抢工措施、检验试验、材料二次搬运、垃圾清运费、施工水电、缺陷修复费、保险费，知识产权（如有）、所涉货物包装、因质量问题引起的维修和更换、技术指导和培训、成品保护、供应商的利润、税金、政策性文件的规定以及包括但不限于原材料涨价等明示或暗示的所有一切风险、责任和义务的费用等与采购项目相关的、必须的款项及费用（包括未列明而完成交验所必须的所有费用、材料、工具、设施）。</w:t>
      </w:r>
    </w:p>
    <w:p w14:paraId="5E74C95B">
      <w:pPr>
        <w:widowControl w:val="0"/>
        <w:snapToGrid w:val="0"/>
        <w:spacing w:line="360" w:lineRule="auto"/>
        <w:ind w:firstLine="480" w:firstLineChars="200"/>
        <w:jc w:val="left"/>
        <w:rPr>
          <w:color w:val="auto"/>
          <w:sz w:val="24"/>
          <w:szCs w:val="24"/>
        </w:rPr>
      </w:pPr>
      <w:r>
        <w:rPr>
          <w:color w:val="auto"/>
          <w:sz w:val="24"/>
          <w:szCs w:val="24"/>
        </w:rPr>
        <w:t>1.3.2</w:t>
      </w:r>
      <w:r>
        <w:rPr>
          <w:rFonts w:hint="eastAsia"/>
          <w:color w:val="auto"/>
          <w:sz w:val="24"/>
          <w:szCs w:val="24"/>
        </w:rPr>
        <w:t>本次竞争性磋商共二次报价（含系统中</w:t>
      </w:r>
      <w:r>
        <w:rPr>
          <w:rFonts w:hint="eastAsia"/>
          <w:b/>
          <w:color w:val="auto"/>
          <w:sz w:val="24"/>
          <w:szCs w:val="24"/>
        </w:rPr>
        <w:t>开标一览表</w:t>
      </w:r>
      <w:r>
        <w:rPr>
          <w:rFonts w:hint="eastAsia"/>
          <w:color w:val="auto"/>
          <w:sz w:val="24"/>
          <w:szCs w:val="24"/>
        </w:rPr>
        <w:t>报价共二次价格磋商）。磋商小组未对《磋</w:t>
      </w:r>
      <w:r>
        <w:rPr>
          <w:rFonts w:hint="eastAsia" w:ascii="宋体" w:hAnsi="宋体"/>
          <w:color w:val="auto"/>
          <w:sz w:val="24"/>
          <w:szCs w:val="24"/>
        </w:rPr>
        <w:t>商文件》作优化变更增加的，磋商中的报价均不应超过前次报价，供应商擅自调高报价的，磋商小组将按二次报价中的最低报价作为有效报价。供应商拒绝接受上述意见的，磋商小组将视</w:t>
      </w:r>
      <w:r>
        <w:rPr>
          <w:rFonts w:hint="eastAsia"/>
          <w:color w:val="auto"/>
          <w:sz w:val="24"/>
          <w:szCs w:val="24"/>
        </w:rPr>
        <w:t>为变相在提交《响应文件》截止时间后撤回《响应文件》，并评定其为无效投标，</w:t>
      </w:r>
      <w:r>
        <w:rPr>
          <w:rFonts w:hint="eastAsia" w:ascii="宋体" w:hAnsi="宋体"/>
          <w:color w:val="auto"/>
          <w:sz w:val="24"/>
          <w:szCs w:val="24"/>
        </w:rPr>
        <w:t>依据磋商文件“第三章</w:t>
      </w:r>
      <w:r>
        <w:rPr>
          <w:rFonts w:hint="eastAsia" w:ascii="宋体" w:hAnsi="宋体" w:cs="楷体_GB2312"/>
          <w:color w:val="auto"/>
          <w:sz w:val="24"/>
          <w:szCs w:val="22"/>
        </w:rPr>
        <w:t>3.5.5 违背承诺的责任追究措施</w:t>
      </w:r>
      <w:r>
        <w:rPr>
          <w:rFonts w:hint="eastAsia" w:ascii="宋体" w:hAnsi="宋体"/>
          <w:color w:val="auto"/>
          <w:sz w:val="24"/>
          <w:szCs w:val="24"/>
        </w:rPr>
        <w:t>”，供应商</w:t>
      </w:r>
      <w:r>
        <w:rPr>
          <w:rFonts w:hint="eastAsia" w:ascii="宋体" w:hAnsi="宋体" w:cs="楷体_GB2312"/>
          <w:color w:val="auto"/>
          <w:sz w:val="24"/>
          <w:szCs w:val="22"/>
        </w:rPr>
        <w:t>承担相应法律责任及违约责任。</w:t>
      </w:r>
    </w:p>
    <w:p w14:paraId="415D86EB">
      <w:pPr>
        <w:autoSpaceDE w:val="0"/>
        <w:autoSpaceDN w:val="0"/>
        <w:adjustRightInd w:val="0"/>
        <w:snapToGrid w:val="0"/>
        <w:spacing w:before="120" w:beforeLines="50" w:line="300" w:lineRule="auto"/>
        <w:ind w:firstLine="569" w:firstLineChars="236"/>
        <w:jc w:val="left"/>
        <w:rPr>
          <w:b/>
          <w:color w:val="auto"/>
          <w:sz w:val="24"/>
          <w:szCs w:val="24"/>
        </w:rPr>
      </w:pPr>
      <w:r>
        <w:rPr>
          <w:rFonts w:hint="eastAsia"/>
          <w:b/>
          <w:color w:val="auto"/>
          <w:sz w:val="24"/>
          <w:szCs w:val="24"/>
        </w:rPr>
        <w:t>价</w:t>
      </w:r>
      <w:r>
        <w:rPr>
          <w:b/>
          <w:color w:val="auto"/>
          <w:sz w:val="24"/>
          <w:szCs w:val="24"/>
        </w:rPr>
        <w:t>格</w:t>
      </w:r>
      <w:r>
        <w:rPr>
          <w:rFonts w:hint="eastAsia"/>
          <w:b/>
          <w:color w:val="auto"/>
          <w:sz w:val="24"/>
          <w:szCs w:val="24"/>
        </w:rPr>
        <w:t>磋商</w:t>
      </w:r>
      <w:r>
        <w:rPr>
          <w:b/>
          <w:color w:val="auto"/>
          <w:sz w:val="24"/>
          <w:szCs w:val="24"/>
        </w:rPr>
        <w:t>规</w:t>
      </w:r>
      <w:r>
        <w:rPr>
          <w:rFonts w:hint="eastAsia"/>
          <w:b/>
          <w:color w:val="auto"/>
          <w:sz w:val="24"/>
          <w:szCs w:val="24"/>
        </w:rPr>
        <w:t>则</w:t>
      </w:r>
      <w:r>
        <w:rPr>
          <w:b/>
          <w:color w:val="auto"/>
          <w:sz w:val="24"/>
          <w:szCs w:val="24"/>
        </w:rPr>
        <w:t>详见第四章</w:t>
      </w:r>
      <w:r>
        <w:rPr>
          <w:rFonts w:hint="eastAsia"/>
          <w:b/>
          <w:color w:val="auto"/>
          <w:sz w:val="24"/>
          <w:szCs w:val="24"/>
        </w:rPr>
        <w:t>“评审办法”</w:t>
      </w:r>
      <w:r>
        <w:rPr>
          <w:b/>
          <w:color w:val="auto"/>
          <w:sz w:val="24"/>
          <w:szCs w:val="24"/>
        </w:rPr>
        <w:t>第</w:t>
      </w:r>
      <w:r>
        <w:rPr>
          <w:rFonts w:hint="eastAsia"/>
          <w:b/>
          <w:color w:val="auto"/>
          <w:sz w:val="24"/>
          <w:szCs w:val="24"/>
        </w:rPr>
        <w:t>“</w:t>
      </w:r>
      <w:r>
        <w:rPr>
          <w:b/>
          <w:color w:val="auto"/>
          <w:sz w:val="24"/>
          <w:szCs w:val="24"/>
        </w:rPr>
        <w:t>3.</w:t>
      </w:r>
      <w:r>
        <w:rPr>
          <w:rFonts w:hint="eastAsia"/>
          <w:b/>
          <w:color w:val="auto"/>
          <w:sz w:val="24"/>
          <w:szCs w:val="24"/>
        </w:rPr>
        <w:t>4</w:t>
      </w:r>
      <w:r>
        <w:rPr>
          <w:b/>
          <w:color w:val="auto"/>
          <w:sz w:val="24"/>
          <w:szCs w:val="24"/>
        </w:rPr>
        <w:t xml:space="preserve">.7 </w:t>
      </w:r>
      <w:r>
        <w:rPr>
          <w:rFonts w:hint="eastAsia"/>
          <w:b/>
          <w:color w:val="auto"/>
          <w:sz w:val="24"/>
          <w:szCs w:val="24"/>
        </w:rPr>
        <w:t>价格磋商”</w:t>
      </w:r>
      <w:r>
        <w:rPr>
          <w:b/>
          <w:color w:val="auto"/>
          <w:sz w:val="24"/>
          <w:szCs w:val="24"/>
        </w:rPr>
        <w:t>条款</w:t>
      </w:r>
      <w:r>
        <w:rPr>
          <w:rFonts w:hint="eastAsia"/>
          <w:b/>
          <w:color w:val="auto"/>
          <w:sz w:val="24"/>
          <w:szCs w:val="24"/>
        </w:rPr>
        <w:t>。</w:t>
      </w:r>
    </w:p>
    <w:p w14:paraId="3C0DBD90">
      <w:pPr>
        <w:widowControl w:val="0"/>
        <w:snapToGrid w:val="0"/>
        <w:spacing w:line="360" w:lineRule="auto"/>
        <w:ind w:firstLine="480" w:firstLineChars="200"/>
        <w:jc w:val="left"/>
        <w:rPr>
          <w:color w:val="auto"/>
          <w:sz w:val="24"/>
          <w:szCs w:val="24"/>
        </w:rPr>
      </w:pPr>
    </w:p>
    <w:p w14:paraId="762E0F22">
      <w:pPr>
        <w:widowControl w:val="0"/>
        <w:snapToGrid w:val="0"/>
        <w:spacing w:line="360" w:lineRule="auto"/>
        <w:ind w:firstLine="480" w:firstLineChars="200"/>
        <w:jc w:val="left"/>
        <w:rPr>
          <w:color w:val="auto"/>
          <w:sz w:val="24"/>
          <w:szCs w:val="24"/>
        </w:rPr>
      </w:pPr>
      <w:r>
        <w:rPr>
          <w:color w:val="auto"/>
          <w:sz w:val="24"/>
          <w:szCs w:val="24"/>
        </w:rPr>
        <w:t xml:space="preserve">1.3.3 </w:t>
      </w:r>
      <w:r>
        <w:rPr>
          <w:rFonts w:hint="eastAsia"/>
          <w:color w:val="auto"/>
          <w:sz w:val="24"/>
          <w:szCs w:val="24"/>
        </w:rPr>
        <w:t>如供应商的磋商报价未超过</w:t>
      </w:r>
      <w:r>
        <w:rPr>
          <w:rFonts w:hint="eastAsia" w:ascii="宋体" w:hAnsi="宋体" w:cs="楷体_GB2312"/>
          <w:bCs/>
          <w:color w:val="auto"/>
          <w:sz w:val="24"/>
          <w:lang w:val="zh-CN"/>
        </w:rPr>
        <w:t>预算金额</w:t>
      </w:r>
      <w:r>
        <w:rPr>
          <w:rFonts w:hint="eastAsia"/>
          <w:color w:val="auto"/>
          <w:sz w:val="24"/>
          <w:szCs w:val="24"/>
        </w:rPr>
        <w:t>（见竞争性磋商公告</w:t>
      </w:r>
      <w:r>
        <w:rPr>
          <w:color w:val="auto"/>
          <w:sz w:val="24"/>
          <w:szCs w:val="24"/>
        </w:rPr>
        <w:t>1.</w:t>
      </w:r>
      <w:r>
        <w:rPr>
          <w:rFonts w:hint="eastAsia"/>
          <w:color w:val="auto"/>
          <w:sz w:val="24"/>
          <w:szCs w:val="24"/>
        </w:rPr>
        <w:t>4）的供应商不足三家的，该标段（包）做废标处理。</w:t>
      </w:r>
    </w:p>
    <w:p w14:paraId="600772AD">
      <w:pPr>
        <w:widowControl w:val="0"/>
        <w:snapToGrid w:val="0"/>
        <w:spacing w:line="360" w:lineRule="auto"/>
        <w:ind w:firstLine="480" w:firstLineChars="200"/>
        <w:jc w:val="left"/>
        <w:rPr>
          <w:rFonts w:hint="eastAsia" w:ascii="黑体" w:hAnsi="黑体" w:eastAsia="黑体"/>
          <w:b/>
          <w:color w:val="auto"/>
          <w:sz w:val="28"/>
        </w:rPr>
      </w:pPr>
      <w:r>
        <w:rPr>
          <w:color w:val="auto"/>
          <w:sz w:val="24"/>
          <w:szCs w:val="24"/>
        </w:rPr>
        <w:t>1.3.4</w:t>
      </w:r>
      <w:r>
        <w:rPr>
          <w:rFonts w:hint="eastAsia"/>
          <w:color w:val="auto"/>
          <w:sz w:val="24"/>
          <w:szCs w:val="24"/>
        </w:rPr>
        <w:t>遵循第三章供应商须知</w:t>
      </w:r>
      <w:r>
        <w:rPr>
          <w:color w:val="auto"/>
          <w:sz w:val="24"/>
          <w:szCs w:val="24"/>
        </w:rPr>
        <w:t>3.7.</w:t>
      </w:r>
      <w:r>
        <w:rPr>
          <w:rFonts w:hint="eastAsia"/>
          <w:color w:val="auto"/>
          <w:sz w:val="24"/>
          <w:szCs w:val="24"/>
        </w:rPr>
        <w:t>5项规定。</w:t>
      </w:r>
    </w:p>
    <w:p w14:paraId="18C74346">
      <w:pPr>
        <w:spacing w:line="560" w:lineRule="exact"/>
        <w:ind w:firstLine="562" w:firstLineChars="200"/>
        <w:outlineLvl w:val="1"/>
        <w:rPr>
          <w:rFonts w:hint="eastAsia" w:ascii="黑体" w:hAnsi="黑体" w:eastAsia="黑体"/>
          <w:b/>
          <w:color w:val="auto"/>
          <w:sz w:val="28"/>
        </w:rPr>
      </w:pPr>
      <w:bookmarkStart w:id="11" w:name="_Toc4679"/>
      <w:r>
        <w:rPr>
          <w:rFonts w:ascii="黑体" w:hAnsi="黑体" w:eastAsia="黑体"/>
          <w:b/>
          <w:color w:val="auto"/>
          <w:sz w:val="28"/>
        </w:rPr>
        <w:t xml:space="preserve">2. </w:t>
      </w:r>
      <w:r>
        <w:rPr>
          <w:rFonts w:hint="eastAsia" w:ascii="黑体" w:hAnsi="黑体" w:eastAsia="黑体"/>
          <w:b/>
          <w:color w:val="auto"/>
          <w:sz w:val="28"/>
        </w:rPr>
        <w:t>标段（包）内容（范围）及基本技术要求</w:t>
      </w:r>
      <w:bookmarkEnd w:id="11"/>
    </w:p>
    <w:p w14:paraId="2F6C818A">
      <w:pPr>
        <w:widowControl w:val="0"/>
        <w:adjustRightInd w:val="0"/>
        <w:snapToGrid w:val="0"/>
        <w:spacing w:before="120" w:beforeLines="50" w:line="300" w:lineRule="auto"/>
        <w:ind w:firstLine="463" w:firstLineChars="192"/>
        <w:rPr>
          <w:rFonts w:ascii="宋体"/>
          <w:b/>
          <w:color w:val="auto"/>
          <w:sz w:val="24"/>
          <w:szCs w:val="24"/>
        </w:rPr>
      </w:pPr>
      <w:r>
        <w:rPr>
          <w:rFonts w:hint="eastAsia" w:ascii="宋体" w:hAnsi="宋体"/>
          <w:b/>
          <w:color w:val="auto"/>
          <w:sz w:val="24"/>
          <w:szCs w:val="24"/>
        </w:rPr>
        <w:t>2.1 工程概况：</w:t>
      </w:r>
    </w:p>
    <w:p w14:paraId="70B24BF1">
      <w:pPr>
        <w:widowControl w:val="0"/>
        <w:snapToGrid w:val="0"/>
        <w:spacing w:line="360" w:lineRule="auto"/>
        <w:ind w:firstLine="480" w:firstLineChars="200"/>
        <w:jc w:val="left"/>
        <w:rPr>
          <w:color w:val="auto"/>
          <w:sz w:val="24"/>
          <w:szCs w:val="24"/>
        </w:rPr>
      </w:pPr>
      <w:r>
        <w:rPr>
          <w:rFonts w:hint="eastAsia"/>
          <w:color w:val="auto"/>
          <w:sz w:val="24"/>
          <w:szCs w:val="24"/>
        </w:rPr>
        <w:t>本项目为安阳市智慧城市运行中心文峰立交桥照明改造工程项目。本次照明改造工程范围：西起铁西路，东至彰德路，全长950.67米。工程内容包含但不限于：</w:t>
      </w:r>
    </w:p>
    <w:p w14:paraId="03186154">
      <w:pPr>
        <w:widowControl w:val="0"/>
        <w:snapToGrid w:val="0"/>
        <w:spacing w:line="360" w:lineRule="auto"/>
        <w:ind w:firstLine="480" w:firstLineChars="200"/>
        <w:jc w:val="left"/>
        <w:rPr>
          <w:color w:val="auto"/>
          <w:sz w:val="24"/>
          <w:szCs w:val="24"/>
        </w:rPr>
      </w:pPr>
      <w:r>
        <w:rPr>
          <w:rFonts w:hint="eastAsia"/>
          <w:color w:val="auto"/>
          <w:sz w:val="24"/>
          <w:szCs w:val="24"/>
        </w:rPr>
        <w:t>（1）拆除新兴街-彰德路段原有灯杆灯具，拆除桥两端以及到路灯控制柜处已建管线；</w:t>
      </w:r>
    </w:p>
    <w:p w14:paraId="595A81E5">
      <w:pPr>
        <w:widowControl w:val="0"/>
        <w:snapToGrid w:val="0"/>
        <w:spacing w:line="360" w:lineRule="auto"/>
        <w:ind w:firstLine="480" w:firstLineChars="200"/>
        <w:jc w:val="left"/>
        <w:rPr>
          <w:color w:val="auto"/>
          <w:sz w:val="24"/>
          <w:szCs w:val="24"/>
        </w:rPr>
      </w:pPr>
      <w:r>
        <w:rPr>
          <w:rFonts w:hint="eastAsia"/>
          <w:color w:val="auto"/>
          <w:sz w:val="24"/>
          <w:szCs w:val="24"/>
        </w:rPr>
        <w:t>（2）安装铁西路-彰德路段新购灯杆灯具，新建照明管线敷设、接地系统、照明的供电与控制系统。</w:t>
      </w:r>
    </w:p>
    <w:p w14:paraId="003618BF">
      <w:pPr>
        <w:widowControl w:val="0"/>
        <w:snapToGrid w:val="0"/>
        <w:spacing w:line="360" w:lineRule="auto"/>
        <w:ind w:firstLine="480" w:firstLineChars="200"/>
        <w:jc w:val="left"/>
        <w:rPr>
          <w:color w:val="auto"/>
          <w:sz w:val="24"/>
          <w:szCs w:val="24"/>
        </w:rPr>
      </w:pPr>
      <w:r>
        <w:rPr>
          <w:rFonts w:hint="eastAsia"/>
          <w:color w:val="auto"/>
          <w:sz w:val="24"/>
          <w:szCs w:val="24"/>
        </w:rPr>
        <w:t>注：具体招标内容及技术要求以施工图纸和工程量清单为准（施工图纸详见附件）。</w:t>
      </w:r>
    </w:p>
    <w:p w14:paraId="366006BE">
      <w:pPr>
        <w:widowControl w:val="0"/>
        <w:snapToGrid w:val="0"/>
        <w:spacing w:line="360" w:lineRule="auto"/>
        <w:ind w:firstLine="482" w:firstLineChars="200"/>
        <w:jc w:val="left"/>
        <w:rPr>
          <w:b/>
          <w:bCs/>
          <w:color w:val="auto"/>
          <w:sz w:val="24"/>
          <w:szCs w:val="24"/>
        </w:rPr>
      </w:pPr>
      <w:r>
        <w:rPr>
          <w:rFonts w:hint="eastAsia"/>
          <w:b/>
          <w:bCs/>
          <w:color w:val="auto"/>
          <w:sz w:val="24"/>
          <w:szCs w:val="24"/>
        </w:rPr>
        <w:t>2.2工程建设标准及技术规范：</w:t>
      </w:r>
    </w:p>
    <w:p w14:paraId="1CEF7913">
      <w:pPr>
        <w:widowControl w:val="0"/>
        <w:snapToGrid w:val="0"/>
        <w:spacing w:line="360" w:lineRule="auto"/>
        <w:ind w:firstLine="480" w:firstLineChars="200"/>
        <w:jc w:val="left"/>
        <w:rPr>
          <w:rFonts w:hint="eastAsia" w:ascii="宋体" w:hAnsi="宋体"/>
          <w:color w:val="auto"/>
          <w:sz w:val="24"/>
          <w:szCs w:val="24"/>
        </w:rPr>
      </w:pPr>
      <w:r>
        <w:rPr>
          <w:rFonts w:hint="eastAsia" w:ascii="宋体" w:hAnsi="宋体"/>
          <w:color w:val="auto"/>
          <w:sz w:val="24"/>
          <w:szCs w:val="24"/>
        </w:rPr>
        <w:t>（1）施工验收规范、规程及标准</w:t>
      </w:r>
    </w:p>
    <w:p w14:paraId="2A048BCB">
      <w:pPr>
        <w:widowControl w:val="0"/>
        <w:snapToGrid w:val="0"/>
        <w:spacing w:line="360" w:lineRule="auto"/>
        <w:ind w:firstLine="480" w:firstLineChars="200"/>
        <w:jc w:val="left"/>
        <w:rPr>
          <w:rFonts w:hint="eastAsia" w:ascii="宋体" w:hAnsi="宋体"/>
          <w:color w:val="auto"/>
          <w:sz w:val="24"/>
          <w:szCs w:val="24"/>
        </w:rPr>
      </w:pPr>
      <w:r>
        <w:rPr>
          <w:rFonts w:hint="eastAsia" w:ascii="宋体" w:hAnsi="宋体"/>
          <w:color w:val="auto"/>
          <w:sz w:val="24"/>
          <w:szCs w:val="24"/>
        </w:rPr>
        <w:t>本采购工程项目的材料（工程设备）、施工须达到现行国家、河南省以及安阳市建设部门或行业的工程建设标准、规范的要求；本采购工程项目的材料（工程设备），应优先选购采用环保生产工艺、使用环保材料产品，优先选购具有自主知识产权的产品。</w:t>
      </w:r>
    </w:p>
    <w:p w14:paraId="0B73C5F0">
      <w:pPr>
        <w:widowControl w:val="0"/>
        <w:snapToGrid w:val="0"/>
        <w:spacing w:line="360" w:lineRule="auto"/>
        <w:ind w:firstLine="480" w:firstLineChars="200"/>
        <w:jc w:val="left"/>
        <w:rPr>
          <w:rFonts w:hint="eastAsia" w:ascii="宋体" w:hAnsi="宋体"/>
          <w:color w:val="auto"/>
          <w:sz w:val="24"/>
          <w:szCs w:val="24"/>
        </w:rPr>
      </w:pPr>
      <w:r>
        <w:rPr>
          <w:rFonts w:hint="eastAsia" w:ascii="宋体" w:hAnsi="宋体"/>
          <w:color w:val="auto"/>
          <w:sz w:val="24"/>
          <w:szCs w:val="24"/>
        </w:rPr>
        <w:t>施工方案的编制要符合国家、地方现行的技术规范、标准。</w:t>
      </w:r>
    </w:p>
    <w:p w14:paraId="737D3DD5">
      <w:pPr>
        <w:widowControl w:val="0"/>
        <w:snapToGrid w:val="0"/>
        <w:spacing w:line="360" w:lineRule="auto"/>
        <w:ind w:firstLine="480" w:firstLineChars="200"/>
        <w:jc w:val="left"/>
        <w:rPr>
          <w:rFonts w:hint="eastAsia" w:ascii="宋体" w:hAnsi="宋体"/>
          <w:color w:val="auto"/>
          <w:sz w:val="24"/>
          <w:szCs w:val="24"/>
        </w:rPr>
      </w:pPr>
      <w:r>
        <w:rPr>
          <w:rFonts w:hint="eastAsia" w:ascii="宋体" w:hAnsi="宋体"/>
          <w:color w:val="auto"/>
          <w:sz w:val="24"/>
          <w:szCs w:val="24"/>
        </w:rPr>
        <w:t>（2）施工安全管理规范、规程及规定</w:t>
      </w:r>
    </w:p>
    <w:p w14:paraId="26BA16AE">
      <w:pPr>
        <w:widowControl w:val="0"/>
        <w:snapToGrid w:val="0"/>
        <w:spacing w:line="360" w:lineRule="auto"/>
        <w:ind w:firstLine="480" w:firstLineChars="200"/>
        <w:jc w:val="left"/>
        <w:rPr>
          <w:rFonts w:hint="eastAsia" w:ascii="宋体" w:hAnsi="宋体"/>
          <w:color w:val="auto"/>
          <w:sz w:val="24"/>
          <w:szCs w:val="24"/>
        </w:rPr>
      </w:pPr>
      <w:r>
        <w:rPr>
          <w:rFonts w:hint="eastAsia" w:ascii="宋体" w:hAnsi="宋体"/>
          <w:color w:val="auto"/>
          <w:sz w:val="24"/>
          <w:szCs w:val="24"/>
        </w:rPr>
        <w:t>《建筑机械使用安全技术规程》</w:t>
      </w:r>
    </w:p>
    <w:p w14:paraId="4C04E641">
      <w:pPr>
        <w:widowControl w:val="0"/>
        <w:snapToGrid w:val="0"/>
        <w:spacing w:line="360" w:lineRule="auto"/>
        <w:ind w:firstLine="480" w:firstLineChars="200"/>
        <w:jc w:val="left"/>
        <w:rPr>
          <w:rFonts w:hint="eastAsia" w:ascii="宋体" w:hAnsi="宋体"/>
          <w:color w:val="auto"/>
          <w:sz w:val="24"/>
          <w:szCs w:val="24"/>
        </w:rPr>
      </w:pPr>
      <w:r>
        <w:rPr>
          <w:rFonts w:hint="eastAsia" w:ascii="宋体" w:hAnsi="宋体"/>
          <w:color w:val="auto"/>
          <w:sz w:val="24"/>
          <w:szCs w:val="24"/>
        </w:rPr>
        <w:t>《施工现场临时用电安全技术规范》</w:t>
      </w:r>
    </w:p>
    <w:p w14:paraId="73022BAB">
      <w:pPr>
        <w:widowControl w:val="0"/>
        <w:snapToGrid w:val="0"/>
        <w:spacing w:line="360" w:lineRule="auto"/>
        <w:ind w:firstLine="480" w:firstLineChars="200"/>
        <w:jc w:val="left"/>
        <w:rPr>
          <w:rFonts w:hint="eastAsia" w:ascii="宋体" w:hAnsi="宋体"/>
          <w:color w:val="auto"/>
          <w:sz w:val="24"/>
          <w:szCs w:val="24"/>
        </w:rPr>
      </w:pPr>
      <w:r>
        <w:rPr>
          <w:rFonts w:hint="eastAsia" w:ascii="宋体" w:hAnsi="宋体"/>
          <w:color w:val="auto"/>
          <w:sz w:val="24"/>
          <w:szCs w:val="24"/>
        </w:rPr>
        <w:t>《建筑施工高处作业安全技术规范》</w:t>
      </w:r>
    </w:p>
    <w:p w14:paraId="35523A14">
      <w:pPr>
        <w:widowControl w:val="0"/>
        <w:snapToGrid w:val="0"/>
        <w:spacing w:line="360" w:lineRule="auto"/>
        <w:ind w:firstLine="480" w:firstLineChars="200"/>
        <w:jc w:val="left"/>
        <w:rPr>
          <w:rFonts w:hint="eastAsia" w:ascii="宋体" w:hAnsi="宋体"/>
          <w:color w:val="auto"/>
          <w:sz w:val="24"/>
          <w:szCs w:val="24"/>
        </w:rPr>
      </w:pPr>
      <w:r>
        <w:rPr>
          <w:rFonts w:hint="eastAsia" w:ascii="宋体" w:hAnsi="宋体"/>
          <w:color w:val="auto"/>
          <w:sz w:val="24"/>
          <w:szCs w:val="24"/>
        </w:rPr>
        <w:t>河南省建设厅及安阳市有关部门关于建筑施工现场安全管理的有关规定。</w:t>
      </w:r>
    </w:p>
    <w:p w14:paraId="2E8AEDF4">
      <w:pPr>
        <w:widowControl w:val="0"/>
        <w:snapToGrid w:val="0"/>
        <w:spacing w:line="360" w:lineRule="auto"/>
        <w:ind w:firstLine="480" w:firstLineChars="200"/>
        <w:jc w:val="left"/>
        <w:rPr>
          <w:rFonts w:hint="eastAsia" w:ascii="宋体" w:hAnsi="宋体"/>
          <w:color w:val="auto"/>
          <w:sz w:val="24"/>
          <w:szCs w:val="24"/>
        </w:rPr>
      </w:pPr>
      <w:r>
        <w:rPr>
          <w:rFonts w:hint="eastAsia" w:ascii="宋体" w:hAnsi="宋体"/>
          <w:color w:val="auto"/>
          <w:sz w:val="24"/>
          <w:szCs w:val="24"/>
        </w:rPr>
        <w:t>（3）施工中涉及到的规范、规程和标准及相关技术要求。</w:t>
      </w:r>
    </w:p>
    <w:p w14:paraId="22D77791">
      <w:pPr>
        <w:widowControl w:val="0"/>
        <w:snapToGrid w:val="0"/>
        <w:spacing w:line="360" w:lineRule="auto"/>
        <w:ind w:firstLine="480" w:firstLineChars="200"/>
        <w:jc w:val="left"/>
        <w:rPr>
          <w:rFonts w:hint="eastAsia" w:ascii="宋体" w:hAnsi="宋体"/>
          <w:color w:val="auto"/>
          <w:sz w:val="24"/>
          <w:szCs w:val="24"/>
        </w:rPr>
      </w:pPr>
      <w:r>
        <w:rPr>
          <w:rFonts w:hint="eastAsia" w:ascii="宋体" w:hAnsi="宋体"/>
          <w:color w:val="auto"/>
          <w:sz w:val="24"/>
          <w:szCs w:val="24"/>
        </w:rPr>
        <w:t>（4）采购人或监理工程师依据本工程的特点和具体情况以及国家现行规范、规程和标准制定的本工程特定适用的有关补充规定或要求。</w:t>
      </w:r>
    </w:p>
    <w:p w14:paraId="3F12CBEB">
      <w:pPr>
        <w:widowControl w:val="0"/>
        <w:snapToGrid w:val="0"/>
        <w:spacing w:line="360" w:lineRule="auto"/>
        <w:ind w:firstLine="480" w:firstLineChars="200"/>
        <w:jc w:val="left"/>
        <w:rPr>
          <w:rFonts w:hint="eastAsia" w:ascii="宋体" w:hAnsi="宋体"/>
          <w:color w:val="auto"/>
          <w:sz w:val="24"/>
          <w:szCs w:val="24"/>
        </w:rPr>
      </w:pPr>
      <w:r>
        <w:rPr>
          <w:rFonts w:hint="eastAsia" w:ascii="宋体" w:hAnsi="宋体"/>
          <w:color w:val="auto"/>
          <w:sz w:val="24"/>
          <w:szCs w:val="24"/>
        </w:rPr>
        <w:t>（5）在合同有效期内，如相关主管部门对上述的规范、规程、标准等进行了修订或更新，或者采购人（或监理工程师）对其制定的相关补充规定或要求进行了修订，则成交供应商应以更新或修订后的版本为准，并予以执行。</w:t>
      </w:r>
    </w:p>
    <w:p w14:paraId="4F25D2D5">
      <w:pPr>
        <w:widowControl w:val="0"/>
        <w:adjustRightInd w:val="0"/>
        <w:snapToGrid w:val="0"/>
        <w:spacing w:before="120" w:beforeLines="50" w:line="300" w:lineRule="auto"/>
        <w:ind w:firstLine="463" w:firstLineChars="192"/>
        <w:rPr>
          <w:rFonts w:hint="eastAsia" w:ascii="宋体" w:hAnsi="宋体"/>
          <w:b/>
          <w:color w:val="auto"/>
          <w:sz w:val="24"/>
          <w:szCs w:val="24"/>
        </w:rPr>
      </w:pPr>
      <w:r>
        <w:rPr>
          <w:rFonts w:hint="eastAsia" w:ascii="宋体" w:hAnsi="宋体"/>
          <w:b/>
          <w:color w:val="auto"/>
          <w:sz w:val="24"/>
          <w:szCs w:val="24"/>
        </w:rPr>
        <w:t>2.3 主要工程量概况（含拆除、材料购置、安装及施工、垃圾清运等）</w:t>
      </w:r>
    </w:p>
    <w:p w14:paraId="791614C2">
      <w:pPr>
        <w:widowControl w:val="0"/>
        <w:snapToGrid w:val="0"/>
        <w:spacing w:line="360" w:lineRule="auto"/>
        <w:jc w:val="left"/>
        <w:rPr>
          <w:rFonts w:hint="eastAsia" w:ascii="宋体" w:hAnsi="宋体"/>
          <w:b/>
          <w:bCs/>
          <w:color w:val="auto"/>
          <w:sz w:val="24"/>
          <w:szCs w:val="24"/>
        </w:rPr>
      </w:pPr>
      <w:r>
        <w:rPr>
          <w:rFonts w:hint="eastAsia" w:ascii="宋体" w:hAnsi="宋体"/>
          <w:b/>
          <w:bCs/>
          <w:color w:val="auto"/>
          <w:sz w:val="24"/>
          <w:szCs w:val="24"/>
        </w:rPr>
        <w:t>一、主要工程量清单</w:t>
      </w:r>
    </w:p>
    <w:tbl>
      <w:tblPr>
        <w:tblStyle w:val="19"/>
        <w:tblW w:w="9837" w:type="dxa"/>
        <w:jc w:val="center"/>
        <w:tblLayout w:type="fixed"/>
        <w:tblCellMar>
          <w:top w:w="0" w:type="dxa"/>
          <w:left w:w="108" w:type="dxa"/>
          <w:bottom w:w="0" w:type="dxa"/>
          <w:right w:w="108" w:type="dxa"/>
        </w:tblCellMar>
      </w:tblPr>
      <w:tblGrid>
        <w:gridCol w:w="525"/>
        <w:gridCol w:w="1689"/>
        <w:gridCol w:w="1595"/>
        <w:gridCol w:w="4032"/>
        <w:gridCol w:w="837"/>
        <w:gridCol w:w="1159"/>
      </w:tblGrid>
      <w:tr w14:paraId="5DF9B14F">
        <w:tblPrEx>
          <w:tblCellMar>
            <w:top w:w="0" w:type="dxa"/>
            <w:left w:w="108" w:type="dxa"/>
            <w:bottom w:w="0" w:type="dxa"/>
            <w:right w:w="108" w:type="dxa"/>
          </w:tblCellMar>
        </w:tblPrEx>
        <w:trPr>
          <w:trHeight w:val="357" w:hRule="atLeast"/>
          <w:jc w:val="center"/>
        </w:trPr>
        <w:tc>
          <w:tcPr>
            <w:tcW w:w="525"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14:paraId="5F275F72">
            <w:pPr>
              <w:jc w:val="center"/>
              <w:textAlignment w:val="cente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bidi="ar"/>
              </w:rPr>
              <w:t>序号</w:t>
            </w:r>
          </w:p>
        </w:tc>
        <w:tc>
          <w:tcPr>
            <w:tcW w:w="1689"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048573C1">
            <w:pPr>
              <w:jc w:val="center"/>
              <w:textAlignment w:val="cente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bidi="ar"/>
              </w:rPr>
              <w:t>项目编码</w:t>
            </w:r>
          </w:p>
        </w:tc>
        <w:tc>
          <w:tcPr>
            <w:tcW w:w="1595"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0EB676B4">
            <w:pPr>
              <w:jc w:val="center"/>
              <w:textAlignment w:val="cente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bidi="ar"/>
              </w:rPr>
              <w:t>项目名称</w:t>
            </w:r>
          </w:p>
        </w:tc>
        <w:tc>
          <w:tcPr>
            <w:tcW w:w="4032"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08F484BA">
            <w:pPr>
              <w:jc w:val="center"/>
              <w:textAlignment w:val="cente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bidi="ar"/>
              </w:rPr>
              <w:t>项目特征描述（基本技术要求）</w:t>
            </w:r>
          </w:p>
        </w:tc>
        <w:tc>
          <w:tcPr>
            <w:tcW w:w="837"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279482ED">
            <w:pPr>
              <w:jc w:val="center"/>
              <w:textAlignment w:val="cente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bidi="ar"/>
              </w:rPr>
              <w:t>计量</w:t>
            </w:r>
            <w:r>
              <w:rPr>
                <w:rFonts w:hint="eastAsia" w:asciiTheme="minorEastAsia" w:hAnsiTheme="minorEastAsia" w:eastAsiaTheme="minorEastAsia" w:cstheme="minorEastAsia"/>
                <w:b/>
                <w:bCs/>
                <w:color w:val="auto"/>
                <w:sz w:val="24"/>
                <w:szCs w:val="24"/>
                <w:lang w:bidi="ar"/>
              </w:rPr>
              <w:br w:type="textWrapping"/>
            </w:r>
            <w:r>
              <w:rPr>
                <w:rFonts w:hint="eastAsia" w:asciiTheme="minorEastAsia" w:hAnsiTheme="minorEastAsia" w:eastAsiaTheme="minorEastAsia" w:cstheme="minorEastAsia"/>
                <w:b/>
                <w:bCs/>
                <w:color w:val="auto"/>
                <w:sz w:val="24"/>
                <w:szCs w:val="24"/>
                <w:lang w:bidi="ar"/>
              </w:rPr>
              <w:t>单位</w:t>
            </w:r>
          </w:p>
        </w:tc>
        <w:tc>
          <w:tcPr>
            <w:tcW w:w="1159"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076F9026">
            <w:pPr>
              <w:jc w:val="center"/>
              <w:textAlignment w:val="cente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bidi="ar"/>
              </w:rPr>
              <w:t>工程量</w:t>
            </w:r>
          </w:p>
        </w:tc>
      </w:tr>
      <w:tr w14:paraId="40215742">
        <w:tblPrEx>
          <w:tblCellMar>
            <w:top w:w="0" w:type="dxa"/>
            <w:left w:w="108" w:type="dxa"/>
            <w:bottom w:w="0" w:type="dxa"/>
            <w:right w:w="108" w:type="dxa"/>
          </w:tblCellMar>
        </w:tblPrEx>
        <w:trPr>
          <w:trHeight w:val="360" w:hRule="atLeast"/>
          <w:jc w:val="center"/>
        </w:trPr>
        <w:tc>
          <w:tcPr>
            <w:tcW w:w="525"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14:paraId="4F1403AF">
            <w:pPr>
              <w:jc w:val="center"/>
              <w:rPr>
                <w:rFonts w:hint="eastAsia" w:asciiTheme="minorEastAsia" w:hAnsiTheme="minorEastAsia" w:eastAsiaTheme="minorEastAsia" w:cstheme="minorEastAsia"/>
                <w:color w:val="auto"/>
                <w:sz w:val="24"/>
                <w:szCs w:val="24"/>
              </w:rPr>
            </w:pPr>
          </w:p>
        </w:tc>
        <w:tc>
          <w:tcPr>
            <w:tcW w:w="1689"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4DDE1E33">
            <w:pPr>
              <w:jc w:val="center"/>
              <w:rPr>
                <w:rFonts w:hint="eastAsia" w:asciiTheme="minorEastAsia" w:hAnsiTheme="minorEastAsia" w:eastAsiaTheme="minorEastAsia" w:cstheme="minorEastAsia"/>
                <w:color w:val="auto"/>
                <w:sz w:val="24"/>
                <w:szCs w:val="24"/>
              </w:rPr>
            </w:pPr>
          </w:p>
        </w:tc>
        <w:tc>
          <w:tcPr>
            <w:tcW w:w="1595"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5D396B42">
            <w:pPr>
              <w:jc w:val="center"/>
              <w:rPr>
                <w:rFonts w:hint="eastAsia" w:asciiTheme="minorEastAsia" w:hAnsiTheme="minorEastAsia" w:eastAsiaTheme="minorEastAsia" w:cstheme="minorEastAsia"/>
                <w:color w:val="auto"/>
                <w:sz w:val="24"/>
                <w:szCs w:val="24"/>
              </w:rPr>
            </w:pPr>
          </w:p>
        </w:tc>
        <w:tc>
          <w:tcPr>
            <w:tcW w:w="403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7ED4AFEB">
            <w:pPr>
              <w:rPr>
                <w:rFonts w:hint="eastAsia" w:asciiTheme="minorEastAsia" w:hAnsiTheme="minorEastAsia" w:eastAsiaTheme="minorEastAsia" w:cstheme="minorEastAsia"/>
                <w:color w:val="auto"/>
                <w:sz w:val="24"/>
                <w:szCs w:val="24"/>
              </w:rPr>
            </w:pPr>
          </w:p>
        </w:tc>
        <w:tc>
          <w:tcPr>
            <w:tcW w:w="837"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406DCE9F">
            <w:pPr>
              <w:jc w:val="center"/>
              <w:rPr>
                <w:rFonts w:hint="eastAsia" w:asciiTheme="minorEastAsia" w:hAnsiTheme="minorEastAsia" w:eastAsiaTheme="minorEastAsia" w:cstheme="minorEastAsia"/>
                <w:color w:val="auto"/>
                <w:sz w:val="24"/>
                <w:szCs w:val="24"/>
              </w:rPr>
            </w:pPr>
          </w:p>
        </w:tc>
        <w:tc>
          <w:tcPr>
            <w:tcW w:w="1159"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4F9C742A">
            <w:pPr>
              <w:jc w:val="center"/>
              <w:rPr>
                <w:rFonts w:hint="eastAsia" w:asciiTheme="minorEastAsia" w:hAnsiTheme="minorEastAsia" w:eastAsiaTheme="minorEastAsia" w:cstheme="minorEastAsia"/>
                <w:color w:val="auto"/>
                <w:sz w:val="24"/>
                <w:szCs w:val="24"/>
              </w:rPr>
            </w:pPr>
          </w:p>
        </w:tc>
      </w:tr>
      <w:tr w14:paraId="339193D7">
        <w:tblPrEx>
          <w:tblCellMar>
            <w:top w:w="0" w:type="dxa"/>
            <w:left w:w="108" w:type="dxa"/>
            <w:bottom w:w="0" w:type="dxa"/>
            <w:right w:w="108" w:type="dxa"/>
          </w:tblCellMar>
        </w:tblPrEx>
        <w:trPr>
          <w:trHeight w:val="549" w:hRule="atLeast"/>
          <w:jc w:val="center"/>
        </w:trPr>
        <w:tc>
          <w:tcPr>
            <w:tcW w:w="9837" w:type="dxa"/>
            <w:gridSpan w:val="6"/>
            <w:tcBorders>
              <w:top w:val="single" w:color="000000" w:sz="4" w:space="0"/>
              <w:left w:val="single" w:color="000000" w:sz="8" w:space="0"/>
              <w:bottom w:val="single" w:color="000000" w:sz="4" w:space="0"/>
              <w:right w:val="single" w:color="000000" w:sz="4" w:space="0"/>
            </w:tcBorders>
            <w:shd w:val="clear" w:color="FFFFFF" w:fill="FFFFFF"/>
            <w:vAlign w:val="center"/>
          </w:tcPr>
          <w:p w14:paraId="5A1D5D4F">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土方工程</w:t>
            </w:r>
          </w:p>
        </w:tc>
      </w:tr>
      <w:tr w14:paraId="42DED3BC">
        <w:tblPrEx>
          <w:tblCellMar>
            <w:top w:w="0" w:type="dxa"/>
            <w:left w:w="108" w:type="dxa"/>
            <w:bottom w:w="0" w:type="dxa"/>
            <w:right w:w="108" w:type="dxa"/>
          </w:tblCellMar>
        </w:tblPrEx>
        <w:trPr>
          <w:trHeight w:val="1119" w:hRule="atLeast"/>
          <w:jc w:val="center"/>
        </w:trPr>
        <w:tc>
          <w:tcPr>
            <w:tcW w:w="52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2E16769">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w:t>
            </w:r>
          </w:p>
        </w:tc>
        <w:tc>
          <w:tcPr>
            <w:tcW w:w="1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490BD9">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040402018001</w:t>
            </w:r>
          </w:p>
        </w:tc>
        <w:tc>
          <w:tcPr>
            <w:tcW w:w="1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586278">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切缝</w:t>
            </w:r>
          </w:p>
        </w:tc>
        <w:tc>
          <w:tcPr>
            <w:tcW w:w="40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C658E1">
            <w:pP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1.路面切缝</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2.沥青路面+水泥稳定碎石</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3.具体详见图纸设计</w:t>
            </w:r>
          </w:p>
        </w:tc>
        <w:tc>
          <w:tcPr>
            <w:tcW w:w="8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4C8DEC">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m</w:t>
            </w:r>
          </w:p>
        </w:tc>
        <w:tc>
          <w:tcPr>
            <w:tcW w:w="11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ED7CF0">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169.12</w:t>
            </w:r>
          </w:p>
        </w:tc>
      </w:tr>
      <w:tr w14:paraId="09335AE9">
        <w:tblPrEx>
          <w:tblCellMar>
            <w:top w:w="0" w:type="dxa"/>
            <w:left w:w="108" w:type="dxa"/>
            <w:bottom w:w="0" w:type="dxa"/>
            <w:right w:w="108" w:type="dxa"/>
          </w:tblCellMar>
        </w:tblPrEx>
        <w:trPr>
          <w:trHeight w:val="1138" w:hRule="atLeast"/>
          <w:jc w:val="center"/>
        </w:trPr>
        <w:tc>
          <w:tcPr>
            <w:tcW w:w="52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96DB73F">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2</w:t>
            </w:r>
          </w:p>
        </w:tc>
        <w:tc>
          <w:tcPr>
            <w:tcW w:w="1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1BF7EF">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041001001001</w:t>
            </w:r>
          </w:p>
        </w:tc>
        <w:tc>
          <w:tcPr>
            <w:tcW w:w="1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032BAC">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拆除路面</w:t>
            </w:r>
          </w:p>
        </w:tc>
        <w:tc>
          <w:tcPr>
            <w:tcW w:w="40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AF2087">
            <w:pP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1.材质:拆除原有沥青路面</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2.厚度:8.5cm</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3.具体详见图纸设计</w:t>
            </w:r>
          </w:p>
        </w:tc>
        <w:tc>
          <w:tcPr>
            <w:tcW w:w="8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7FC57A">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m</w:t>
            </w:r>
            <w:r>
              <w:rPr>
                <w:rFonts w:hint="eastAsia" w:asciiTheme="minorEastAsia" w:hAnsiTheme="minorEastAsia" w:eastAsiaTheme="minorEastAsia" w:cstheme="minorEastAsia"/>
                <w:color w:val="auto"/>
                <w:sz w:val="24"/>
                <w:szCs w:val="24"/>
                <w:vertAlign w:val="superscript"/>
                <w:lang w:bidi="ar"/>
              </w:rPr>
              <w:t>2</w:t>
            </w:r>
          </w:p>
        </w:tc>
        <w:tc>
          <w:tcPr>
            <w:tcW w:w="11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C7C73E">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42.28</w:t>
            </w:r>
          </w:p>
        </w:tc>
      </w:tr>
      <w:tr w14:paraId="024E9B08">
        <w:tblPrEx>
          <w:tblCellMar>
            <w:top w:w="0" w:type="dxa"/>
            <w:left w:w="108" w:type="dxa"/>
            <w:bottom w:w="0" w:type="dxa"/>
            <w:right w:w="108" w:type="dxa"/>
          </w:tblCellMar>
        </w:tblPrEx>
        <w:trPr>
          <w:trHeight w:val="1082" w:hRule="atLeast"/>
          <w:jc w:val="center"/>
        </w:trPr>
        <w:tc>
          <w:tcPr>
            <w:tcW w:w="52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23357C4">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3</w:t>
            </w:r>
          </w:p>
        </w:tc>
        <w:tc>
          <w:tcPr>
            <w:tcW w:w="1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BAB9BE">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041001003001</w:t>
            </w:r>
          </w:p>
        </w:tc>
        <w:tc>
          <w:tcPr>
            <w:tcW w:w="1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74890F">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拆除基层</w:t>
            </w:r>
          </w:p>
        </w:tc>
        <w:tc>
          <w:tcPr>
            <w:tcW w:w="40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BAF8E4">
            <w:pP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1.材质:15cm厚水泥稳定碎石</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2.厚度:15cm</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3.具体详见图纸设计</w:t>
            </w:r>
          </w:p>
        </w:tc>
        <w:tc>
          <w:tcPr>
            <w:tcW w:w="8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EB00A5">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m</w:t>
            </w:r>
            <w:r>
              <w:rPr>
                <w:rFonts w:hint="eastAsia" w:asciiTheme="minorEastAsia" w:hAnsiTheme="minorEastAsia" w:eastAsiaTheme="minorEastAsia" w:cstheme="minorEastAsia"/>
                <w:color w:val="auto"/>
                <w:sz w:val="24"/>
                <w:szCs w:val="24"/>
                <w:vertAlign w:val="superscript"/>
                <w:lang w:bidi="ar"/>
              </w:rPr>
              <w:t>2</w:t>
            </w:r>
          </w:p>
        </w:tc>
        <w:tc>
          <w:tcPr>
            <w:tcW w:w="11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848E2A">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42.28</w:t>
            </w:r>
          </w:p>
        </w:tc>
      </w:tr>
      <w:tr w14:paraId="5B9BB8DA">
        <w:tblPrEx>
          <w:tblCellMar>
            <w:top w:w="0" w:type="dxa"/>
            <w:left w:w="108" w:type="dxa"/>
            <w:bottom w:w="0" w:type="dxa"/>
            <w:right w:w="108" w:type="dxa"/>
          </w:tblCellMar>
        </w:tblPrEx>
        <w:trPr>
          <w:trHeight w:val="1100" w:hRule="atLeast"/>
          <w:jc w:val="center"/>
        </w:trPr>
        <w:tc>
          <w:tcPr>
            <w:tcW w:w="52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C9E371C">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4</w:t>
            </w:r>
          </w:p>
        </w:tc>
        <w:tc>
          <w:tcPr>
            <w:tcW w:w="1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B4DF4C">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041001003002</w:t>
            </w:r>
          </w:p>
        </w:tc>
        <w:tc>
          <w:tcPr>
            <w:tcW w:w="1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E76B4F">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拆除基层</w:t>
            </w:r>
          </w:p>
        </w:tc>
        <w:tc>
          <w:tcPr>
            <w:tcW w:w="40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0C838C">
            <w:pP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1.材质:30cm厚石灰稳定土</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2.厚度:30cm</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3.具体详见图纸设计</w:t>
            </w:r>
          </w:p>
        </w:tc>
        <w:tc>
          <w:tcPr>
            <w:tcW w:w="8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1F8780">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m</w:t>
            </w:r>
            <w:r>
              <w:rPr>
                <w:rFonts w:hint="eastAsia" w:asciiTheme="minorEastAsia" w:hAnsiTheme="minorEastAsia" w:eastAsiaTheme="minorEastAsia" w:cstheme="minorEastAsia"/>
                <w:color w:val="auto"/>
                <w:sz w:val="24"/>
                <w:szCs w:val="24"/>
                <w:vertAlign w:val="superscript"/>
                <w:lang w:bidi="ar"/>
              </w:rPr>
              <w:t>2</w:t>
            </w:r>
          </w:p>
        </w:tc>
        <w:tc>
          <w:tcPr>
            <w:tcW w:w="11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9DF3B9">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42.28</w:t>
            </w:r>
          </w:p>
        </w:tc>
      </w:tr>
      <w:tr w14:paraId="38B06024">
        <w:tblPrEx>
          <w:tblCellMar>
            <w:top w:w="0" w:type="dxa"/>
            <w:left w:w="108" w:type="dxa"/>
            <w:bottom w:w="0" w:type="dxa"/>
            <w:right w:w="108" w:type="dxa"/>
          </w:tblCellMar>
        </w:tblPrEx>
        <w:trPr>
          <w:trHeight w:val="1175" w:hRule="atLeast"/>
          <w:jc w:val="center"/>
        </w:trPr>
        <w:tc>
          <w:tcPr>
            <w:tcW w:w="52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00F6954">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5</w:t>
            </w:r>
          </w:p>
        </w:tc>
        <w:tc>
          <w:tcPr>
            <w:tcW w:w="1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485EBB">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040103003002</w:t>
            </w:r>
          </w:p>
        </w:tc>
        <w:tc>
          <w:tcPr>
            <w:tcW w:w="1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671402">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余方弃置</w:t>
            </w:r>
          </w:p>
        </w:tc>
        <w:tc>
          <w:tcPr>
            <w:tcW w:w="40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7783AC">
            <w:pP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1.弃料品种:石渣及沥青面层</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2.运距：自行考虑</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3.具体详见图纸设计</w:t>
            </w:r>
          </w:p>
        </w:tc>
        <w:tc>
          <w:tcPr>
            <w:tcW w:w="8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03032D">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m</w:t>
            </w:r>
            <w:r>
              <w:rPr>
                <w:rFonts w:hint="eastAsia" w:asciiTheme="minorEastAsia" w:hAnsiTheme="minorEastAsia" w:eastAsiaTheme="minorEastAsia" w:cstheme="minorEastAsia"/>
                <w:color w:val="auto"/>
                <w:sz w:val="24"/>
                <w:szCs w:val="24"/>
                <w:vertAlign w:val="superscript"/>
                <w:lang w:bidi="ar"/>
              </w:rPr>
              <w:t>3</w:t>
            </w:r>
          </w:p>
        </w:tc>
        <w:tc>
          <w:tcPr>
            <w:tcW w:w="11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9D96D7">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9.94</w:t>
            </w:r>
          </w:p>
        </w:tc>
      </w:tr>
      <w:tr w14:paraId="6F36C1F2">
        <w:tblPrEx>
          <w:tblCellMar>
            <w:top w:w="0" w:type="dxa"/>
            <w:left w:w="108" w:type="dxa"/>
            <w:bottom w:w="0" w:type="dxa"/>
            <w:right w:w="108" w:type="dxa"/>
          </w:tblCellMar>
        </w:tblPrEx>
        <w:trPr>
          <w:trHeight w:val="1080" w:hRule="atLeast"/>
          <w:jc w:val="center"/>
        </w:trPr>
        <w:tc>
          <w:tcPr>
            <w:tcW w:w="52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1651B18">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6</w:t>
            </w:r>
          </w:p>
        </w:tc>
        <w:tc>
          <w:tcPr>
            <w:tcW w:w="1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CD6119">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040103003003</w:t>
            </w:r>
          </w:p>
        </w:tc>
        <w:tc>
          <w:tcPr>
            <w:tcW w:w="1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13062D">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余方弃置</w:t>
            </w:r>
          </w:p>
        </w:tc>
        <w:tc>
          <w:tcPr>
            <w:tcW w:w="40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E0BD31">
            <w:pP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1.弃料品种:渣土</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2.运距：自行考虑</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3.具体详见图纸设计</w:t>
            </w:r>
          </w:p>
        </w:tc>
        <w:tc>
          <w:tcPr>
            <w:tcW w:w="8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C700A1">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m</w:t>
            </w:r>
            <w:r>
              <w:rPr>
                <w:rFonts w:hint="eastAsia" w:asciiTheme="minorEastAsia" w:hAnsiTheme="minorEastAsia" w:eastAsiaTheme="minorEastAsia" w:cstheme="minorEastAsia"/>
                <w:color w:val="auto"/>
                <w:sz w:val="24"/>
                <w:szCs w:val="24"/>
                <w:vertAlign w:val="superscript"/>
                <w:lang w:bidi="ar"/>
              </w:rPr>
              <w:t>3</w:t>
            </w:r>
          </w:p>
        </w:tc>
        <w:tc>
          <w:tcPr>
            <w:tcW w:w="11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6FF5D4">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12.68</w:t>
            </w:r>
          </w:p>
        </w:tc>
      </w:tr>
      <w:tr w14:paraId="6AF2647D">
        <w:tblPrEx>
          <w:tblCellMar>
            <w:top w:w="0" w:type="dxa"/>
            <w:left w:w="108" w:type="dxa"/>
            <w:bottom w:w="0" w:type="dxa"/>
            <w:right w:w="108" w:type="dxa"/>
          </w:tblCellMar>
        </w:tblPrEx>
        <w:trPr>
          <w:trHeight w:val="1505" w:hRule="atLeast"/>
          <w:jc w:val="center"/>
        </w:trPr>
        <w:tc>
          <w:tcPr>
            <w:tcW w:w="52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2BB4B8A">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7</w:t>
            </w:r>
          </w:p>
        </w:tc>
        <w:tc>
          <w:tcPr>
            <w:tcW w:w="1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4DB2E5">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040203006001</w:t>
            </w:r>
          </w:p>
        </w:tc>
        <w:tc>
          <w:tcPr>
            <w:tcW w:w="1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D4B2C9">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沥青混凝土</w:t>
            </w:r>
          </w:p>
        </w:tc>
        <w:tc>
          <w:tcPr>
            <w:tcW w:w="40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DBC0AF">
            <w:pP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1.沥青混凝土种类:细粒式沥青混泥土AC-13C</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2.厚度:3.5cm</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3.具体详见图纸设计</w:t>
            </w:r>
          </w:p>
        </w:tc>
        <w:tc>
          <w:tcPr>
            <w:tcW w:w="8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7BB032">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m</w:t>
            </w:r>
            <w:r>
              <w:rPr>
                <w:rFonts w:hint="eastAsia" w:asciiTheme="minorEastAsia" w:hAnsiTheme="minorEastAsia" w:eastAsiaTheme="minorEastAsia" w:cstheme="minorEastAsia"/>
                <w:color w:val="auto"/>
                <w:sz w:val="24"/>
                <w:szCs w:val="24"/>
                <w:vertAlign w:val="superscript"/>
                <w:lang w:bidi="ar"/>
              </w:rPr>
              <w:t>2</w:t>
            </w:r>
          </w:p>
        </w:tc>
        <w:tc>
          <w:tcPr>
            <w:tcW w:w="11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2357F6">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42.28</w:t>
            </w:r>
          </w:p>
        </w:tc>
      </w:tr>
      <w:tr w14:paraId="2110550C">
        <w:tblPrEx>
          <w:tblCellMar>
            <w:top w:w="0" w:type="dxa"/>
            <w:left w:w="108" w:type="dxa"/>
            <w:bottom w:w="0" w:type="dxa"/>
            <w:right w:w="108" w:type="dxa"/>
          </w:tblCellMar>
        </w:tblPrEx>
        <w:trPr>
          <w:trHeight w:val="958" w:hRule="atLeast"/>
          <w:jc w:val="center"/>
        </w:trPr>
        <w:tc>
          <w:tcPr>
            <w:tcW w:w="52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005ED5E">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8</w:t>
            </w:r>
          </w:p>
        </w:tc>
        <w:tc>
          <w:tcPr>
            <w:tcW w:w="1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7026F6">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040203004001</w:t>
            </w:r>
          </w:p>
        </w:tc>
        <w:tc>
          <w:tcPr>
            <w:tcW w:w="1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936FEE">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粘层</w:t>
            </w:r>
          </w:p>
        </w:tc>
        <w:tc>
          <w:tcPr>
            <w:tcW w:w="40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39B8A7">
            <w:pP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1.材料品种:乳化沥青粘层0.3Kg/m</w:t>
            </w:r>
            <w:r>
              <w:rPr>
                <w:rFonts w:hint="eastAsia" w:asciiTheme="minorEastAsia" w:hAnsiTheme="minorEastAsia" w:eastAsiaTheme="minorEastAsia" w:cstheme="minorEastAsia"/>
                <w:color w:val="auto"/>
                <w:sz w:val="24"/>
                <w:szCs w:val="24"/>
                <w:vertAlign w:val="superscript"/>
                <w:lang w:bidi="ar"/>
              </w:rPr>
              <w:t>2</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2.具体详见图纸设计</w:t>
            </w:r>
          </w:p>
        </w:tc>
        <w:tc>
          <w:tcPr>
            <w:tcW w:w="8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6DCB8B">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m</w:t>
            </w:r>
            <w:r>
              <w:rPr>
                <w:rFonts w:hint="eastAsia" w:asciiTheme="minorEastAsia" w:hAnsiTheme="minorEastAsia" w:eastAsiaTheme="minorEastAsia" w:cstheme="minorEastAsia"/>
                <w:color w:val="auto"/>
                <w:sz w:val="24"/>
                <w:szCs w:val="24"/>
                <w:vertAlign w:val="superscript"/>
                <w:lang w:bidi="ar"/>
              </w:rPr>
              <w:t>2</w:t>
            </w:r>
          </w:p>
        </w:tc>
        <w:tc>
          <w:tcPr>
            <w:tcW w:w="11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264420">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42.28</w:t>
            </w:r>
          </w:p>
        </w:tc>
      </w:tr>
      <w:tr w14:paraId="19C662B5">
        <w:tblPrEx>
          <w:tblCellMar>
            <w:top w:w="0" w:type="dxa"/>
            <w:left w:w="108" w:type="dxa"/>
            <w:bottom w:w="0" w:type="dxa"/>
            <w:right w:w="108" w:type="dxa"/>
          </w:tblCellMar>
        </w:tblPrEx>
        <w:trPr>
          <w:trHeight w:val="1100" w:hRule="atLeast"/>
          <w:jc w:val="center"/>
        </w:trPr>
        <w:tc>
          <w:tcPr>
            <w:tcW w:w="52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A9B6389">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9</w:t>
            </w:r>
          </w:p>
        </w:tc>
        <w:tc>
          <w:tcPr>
            <w:tcW w:w="1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463EC3">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040101002001</w:t>
            </w:r>
          </w:p>
        </w:tc>
        <w:tc>
          <w:tcPr>
            <w:tcW w:w="1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E276F6">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挖沟槽土方</w:t>
            </w:r>
          </w:p>
        </w:tc>
        <w:tc>
          <w:tcPr>
            <w:tcW w:w="40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FA9714">
            <w:pP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1.土壤类别:一、二类土</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2.挖土深度:2m 内</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3.具体详见图纸设计</w:t>
            </w:r>
          </w:p>
        </w:tc>
        <w:tc>
          <w:tcPr>
            <w:tcW w:w="8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82C0B1">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m</w:t>
            </w:r>
            <w:r>
              <w:rPr>
                <w:rFonts w:hint="eastAsia" w:asciiTheme="minorEastAsia" w:hAnsiTheme="minorEastAsia" w:eastAsiaTheme="minorEastAsia" w:cstheme="minorEastAsia"/>
                <w:color w:val="auto"/>
                <w:sz w:val="24"/>
                <w:szCs w:val="24"/>
                <w:vertAlign w:val="superscript"/>
                <w:lang w:bidi="ar"/>
              </w:rPr>
              <w:t>3</w:t>
            </w:r>
          </w:p>
        </w:tc>
        <w:tc>
          <w:tcPr>
            <w:tcW w:w="11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272BC2">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15.22</w:t>
            </w:r>
          </w:p>
        </w:tc>
      </w:tr>
      <w:tr w14:paraId="79285518">
        <w:tblPrEx>
          <w:tblCellMar>
            <w:top w:w="0" w:type="dxa"/>
            <w:left w:w="108" w:type="dxa"/>
            <w:bottom w:w="0" w:type="dxa"/>
            <w:right w:w="108" w:type="dxa"/>
          </w:tblCellMar>
        </w:tblPrEx>
        <w:trPr>
          <w:trHeight w:val="939" w:hRule="atLeast"/>
          <w:jc w:val="center"/>
        </w:trPr>
        <w:tc>
          <w:tcPr>
            <w:tcW w:w="52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AC57A31">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10</w:t>
            </w:r>
          </w:p>
        </w:tc>
        <w:tc>
          <w:tcPr>
            <w:tcW w:w="1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ED8BBC">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040103001001</w:t>
            </w:r>
          </w:p>
        </w:tc>
        <w:tc>
          <w:tcPr>
            <w:tcW w:w="1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166E5C">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沟槽、基坑回填方</w:t>
            </w:r>
          </w:p>
        </w:tc>
        <w:tc>
          <w:tcPr>
            <w:tcW w:w="40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9488B4">
            <w:pP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1.材料品种、规格:素土回填</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2.具体详见图纸设计</w:t>
            </w:r>
          </w:p>
        </w:tc>
        <w:tc>
          <w:tcPr>
            <w:tcW w:w="8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4D2D97">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m</w:t>
            </w:r>
            <w:r>
              <w:rPr>
                <w:rFonts w:hint="eastAsia" w:asciiTheme="minorEastAsia" w:hAnsiTheme="minorEastAsia" w:eastAsiaTheme="minorEastAsia" w:cstheme="minorEastAsia"/>
                <w:color w:val="auto"/>
                <w:sz w:val="24"/>
                <w:szCs w:val="24"/>
                <w:vertAlign w:val="superscript"/>
                <w:lang w:bidi="ar"/>
              </w:rPr>
              <w:t>3</w:t>
            </w:r>
          </w:p>
        </w:tc>
        <w:tc>
          <w:tcPr>
            <w:tcW w:w="11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DAEFA4">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15.22</w:t>
            </w:r>
          </w:p>
        </w:tc>
      </w:tr>
      <w:tr w14:paraId="38BD49DC">
        <w:tblPrEx>
          <w:tblCellMar>
            <w:top w:w="0" w:type="dxa"/>
            <w:left w:w="108" w:type="dxa"/>
            <w:bottom w:w="0" w:type="dxa"/>
            <w:right w:w="108" w:type="dxa"/>
          </w:tblCellMar>
        </w:tblPrEx>
        <w:trPr>
          <w:trHeight w:val="455" w:hRule="atLeast"/>
          <w:jc w:val="center"/>
        </w:trPr>
        <w:tc>
          <w:tcPr>
            <w:tcW w:w="9837" w:type="dxa"/>
            <w:gridSpan w:val="6"/>
            <w:tcBorders>
              <w:top w:val="single" w:color="000000" w:sz="4" w:space="0"/>
              <w:left w:val="single" w:color="000000" w:sz="8" w:space="0"/>
              <w:bottom w:val="single" w:color="000000" w:sz="4" w:space="0"/>
              <w:right w:val="single" w:color="000000" w:sz="4" w:space="0"/>
            </w:tcBorders>
            <w:shd w:val="clear" w:color="FFFFFF" w:fill="FFFFFF"/>
            <w:vAlign w:val="center"/>
          </w:tcPr>
          <w:p w14:paraId="1B5576DA">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路灯</w:t>
            </w:r>
          </w:p>
        </w:tc>
      </w:tr>
      <w:tr w14:paraId="63F61DFB">
        <w:tblPrEx>
          <w:tblCellMar>
            <w:top w:w="0" w:type="dxa"/>
            <w:left w:w="108" w:type="dxa"/>
            <w:bottom w:w="0" w:type="dxa"/>
            <w:right w:w="108" w:type="dxa"/>
          </w:tblCellMar>
        </w:tblPrEx>
        <w:trPr>
          <w:trHeight w:val="3709" w:hRule="atLeast"/>
          <w:jc w:val="center"/>
        </w:trPr>
        <w:tc>
          <w:tcPr>
            <w:tcW w:w="52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0C74D65">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11</w:t>
            </w:r>
          </w:p>
        </w:tc>
        <w:tc>
          <w:tcPr>
            <w:tcW w:w="1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F0F8AE">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040805001002</w:t>
            </w:r>
          </w:p>
        </w:tc>
        <w:tc>
          <w:tcPr>
            <w:tcW w:w="1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80EEA6">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常规照明灯（10米路灯）</w:t>
            </w:r>
          </w:p>
        </w:tc>
        <w:tc>
          <w:tcPr>
            <w:tcW w:w="40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501C10">
            <w:pP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1.型号:10米高路灯</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2.灯杆材质、高度:Q235-A级热扎钢板，金属杆壁厚不小于3.5mm</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3.灯架形式及臂长:双挑臂型，机动车侧臂长2米，人行道臂长1.5米</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4.光源数量:200W+150W(LED)</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5.附件配置:2个DZ47LE-32/1N C6A 30mA 0.1s</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6.接线端子材质、规格:BVV2*2.5mm2</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7.接地要求:BV2.5mm2与灯杆接地端连接</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8.具体详见图纸设计</w:t>
            </w:r>
          </w:p>
        </w:tc>
        <w:tc>
          <w:tcPr>
            <w:tcW w:w="8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516FC7">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套</w:t>
            </w:r>
          </w:p>
        </w:tc>
        <w:tc>
          <w:tcPr>
            <w:tcW w:w="11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39D03A">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52</w:t>
            </w:r>
          </w:p>
        </w:tc>
      </w:tr>
      <w:tr w14:paraId="57B589F9">
        <w:tblPrEx>
          <w:tblCellMar>
            <w:top w:w="0" w:type="dxa"/>
            <w:left w:w="108" w:type="dxa"/>
            <w:bottom w:w="0" w:type="dxa"/>
            <w:right w:w="108" w:type="dxa"/>
          </w:tblCellMar>
        </w:tblPrEx>
        <w:trPr>
          <w:trHeight w:val="2038" w:hRule="atLeast"/>
          <w:jc w:val="center"/>
        </w:trPr>
        <w:tc>
          <w:tcPr>
            <w:tcW w:w="52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3E90903">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12</w:t>
            </w:r>
          </w:p>
        </w:tc>
        <w:tc>
          <w:tcPr>
            <w:tcW w:w="1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0BA855">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040804004001</w:t>
            </w:r>
          </w:p>
        </w:tc>
        <w:tc>
          <w:tcPr>
            <w:tcW w:w="1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45A29E">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接线盒（灌胶式电缆集成分支连接器）</w:t>
            </w:r>
          </w:p>
        </w:tc>
        <w:tc>
          <w:tcPr>
            <w:tcW w:w="40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7C43CA">
            <w:pP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1.规格::主线截面为10-35mm2；支线截面为2.5-16mm2；</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2.型号:T-GJFZ-35/16</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3.适用电压等级:1KV</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4.防护等级:IP68</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5.具体详见图纸设计</w:t>
            </w:r>
          </w:p>
        </w:tc>
        <w:tc>
          <w:tcPr>
            <w:tcW w:w="8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4185A9">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个</w:t>
            </w:r>
          </w:p>
        </w:tc>
        <w:tc>
          <w:tcPr>
            <w:tcW w:w="11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B15FD0">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52</w:t>
            </w:r>
          </w:p>
        </w:tc>
      </w:tr>
      <w:tr w14:paraId="6BB5563D">
        <w:tblPrEx>
          <w:tblCellMar>
            <w:top w:w="0" w:type="dxa"/>
            <w:left w:w="108" w:type="dxa"/>
            <w:bottom w:w="0" w:type="dxa"/>
            <w:right w:w="108" w:type="dxa"/>
          </w:tblCellMar>
        </w:tblPrEx>
        <w:trPr>
          <w:trHeight w:val="1850" w:hRule="atLeast"/>
          <w:jc w:val="center"/>
        </w:trPr>
        <w:tc>
          <w:tcPr>
            <w:tcW w:w="52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A7B065F">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13</w:t>
            </w:r>
          </w:p>
        </w:tc>
        <w:tc>
          <w:tcPr>
            <w:tcW w:w="1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B06074">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040801006001</w:t>
            </w:r>
          </w:p>
        </w:tc>
        <w:tc>
          <w:tcPr>
            <w:tcW w:w="1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70F1DE">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落地式控制箱</w:t>
            </w:r>
          </w:p>
        </w:tc>
        <w:tc>
          <w:tcPr>
            <w:tcW w:w="40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FBC68A">
            <w:pP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1.型号:路灯控制箱</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2.规格:1500*600*600mm</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3.附件种类、规格:不锈钢外壳</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4.防护等级:IP54（户外型）</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5.具体详见图纸设计</w:t>
            </w:r>
          </w:p>
        </w:tc>
        <w:tc>
          <w:tcPr>
            <w:tcW w:w="8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FC5D66">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套</w:t>
            </w:r>
          </w:p>
        </w:tc>
        <w:tc>
          <w:tcPr>
            <w:tcW w:w="11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97CD8C">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w:t>
            </w:r>
          </w:p>
        </w:tc>
      </w:tr>
      <w:tr w14:paraId="028B3538">
        <w:tblPrEx>
          <w:tblCellMar>
            <w:top w:w="0" w:type="dxa"/>
            <w:left w:w="108" w:type="dxa"/>
            <w:bottom w:w="0" w:type="dxa"/>
            <w:right w:w="108" w:type="dxa"/>
          </w:tblCellMar>
        </w:tblPrEx>
        <w:trPr>
          <w:trHeight w:val="883" w:hRule="atLeast"/>
          <w:jc w:val="center"/>
        </w:trPr>
        <w:tc>
          <w:tcPr>
            <w:tcW w:w="52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6BA4EF5">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14</w:t>
            </w:r>
          </w:p>
        </w:tc>
        <w:tc>
          <w:tcPr>
            <w:tcW w:w="1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73DCF4">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041001010001</w:t>
            </w:r>
          </w:p>
        </w:tc>
        <w:tc>
          <w:tcPr>
            <w:tcW w:w="1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F04F35">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拆除灯杆</w:t>
            </w:r>
          </w:p>
        </w:tc>
        <w:tc>
          <w:tcPr>
            <w:tcW w:w="40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1BAAE6">
            <w:pP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1.拆除原有灯杆（铁西路-新兴街）</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2.具体详见图纸设计</w:t>
            </w:r>
          </w:p>
        </w:tc>
        <w:tc>
          <w:tcPr>
            <w:tcW w:w="8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782321">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根</w:t>
            </w:r>
          </w:p>
        </w:tc>
        <w:tc>
          <w:tcPr>
            <w:tcW w:w="11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E88034">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17</w:t>
            </w:r>
          </w:p>
        </w:tc>
      </w:tr>
      <w:tr w14:paraId="21179AE5">
        <w:tblPrEx>
          <w:tblCellMar>
            <w:top w:w="0" w:type="dxa"/>
            <w:left w:w="108" w:type="dxa"/>
            <w:bottom w:w="0" w:type="dxa"/>
            <w:right w:w="108" w:type="dxa"/>
          </w:tblCellMar>
        </w:tblPrEx>
        <w:trPr>
          <w:trHeight w:val="1310" w:hRule="atLeast"/>
          <w:jc w:val="center"/>
        </w:trPr>
        <w:tc>
          <w:tcPr>
            <w:tcW w:w="52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1854F28">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15</w:t>
            </w:r>
          </w:p>
        </w:tc>
        <w:tc>
          <w:tcPr>
            <w:tcW w:w="1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3A72A5">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041001010002</w:t>
            </w:r>
          </w:p>
        </w:tc>
        <w:tc>
          <w:tcPr>
            <w:tcW w:w="1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4D0EDC">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拆除灯杆</w:t>
            </w:r>
          </w:p>
        </w:tc>
        <w:tc>
          <w:tcPr>
            <w:tcW w:w="40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4015D7">
            <w:pP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1.保护性拆除原有灯杆（新兴街-彰德路）</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2.原有灯杆拆除后运至制定地点</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3.具体详见图纸设计</w:t>
            </w:r>
          </w:p>
        </w:tc>
        <w:tc>
          <w:tcPr>
            <w:tcW w:w="8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92C620">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根</w:t>
            </w:r>
          </w:p>
        </w:tc>
        <w:tc>
          <w:tcPr>
            <w:tcW w:w="11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C79E7A">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10</w:t>
            </w:r>
          </w:p>
        </w:tc>
      </w:tr>
      <w:tr w14:paraId="46B1DE9F">
        <w:tblPrEx>
          <w:tblCellMar>
            <w:top w:w="0" w:type="dxa"/>
            <w:left w:w="108" w:type="dxa"/>
            <w:bottom w:w="0" w:type="dxa"/>
            <w:right w:w="108" w:type="dxa"/>
          </w:tblCellMar>
        </w:tblPrEx>
        <w:trPr>
          <w:trHeight w:val="808" w:hRule="atLeast"/>
          <w:jc w:val="center"/>
        </w:trPr>
        <w:tc>
          <w:tcPr>
            <w:tcW w:w="52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19DFE3D">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16</w:t>
            </w:r>
          </w:p>
        </w:tc>
        <w:tc>
          <w:tcPr>
            <w:tcW w:w="1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2F22BB">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040801006002</w:t>
            </w:r>
          </w:p>
        </w:tc>
        <w:tc>
          <w:tcPr>
            <w:tcW w:w="1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543F18">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落地式控制箱</w:t>
            </w:r>
          </w:p>
        </w:tc>
        <w:tc>
          <w:tcPr>
            <w:tcW w:w="40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05496C">
            <w:pP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1.拆除原有路灯控制箱</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2.具体详见图纸设计</w:t>
            </w:r>
          </w:p>
        </w:tc>
        <w:tc>
          <w:tcPr>
            <w:tcW w:w="8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DE7592">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套</w:t>
            </w:r>
          </w:p>
        </w:tc>
        <w:tc>
          <w:tcPr>
            <w:tcW w:w="11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514ADE">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w:t>
            </w:r>
          </w:p>
        </w:tc>
      </w:tr>
      <w:tr w14:paraId="5BE34170">
        <w:tblPrEx>
          <w:tblCellMar>
            <w:top w:w="0" w:type="dxa"/>
            <w:left w:w="108" w:type="dxa"/>
            <w:bottom w:w="0" w:type="dxa"/>
            <w:right w:w="108" w:type="dxa"/>
          </w:tblCellMar>
        </w:tblPrEx>
        <w:trPr>
          <w:trHeight w:val="417" w:hRule="atLeast"/>
          <w:jc w:val="center"/>
        </w:trPr>
        <w:tc>
          <w:tcPr>
            <w:tcW w:w="9837" w:type="dxa"/>
            <w:gridSpan w:val="6"/>
            <w:tcBorders>
              <w:top w:val="single" w:color="000000" w:sz="4" w:space="0"/>
              <w:left w:val="single" w:color="000000" w:sz="8" w:space="0"/>
              <w:bottom w:val="single" w:color="000000" w:sz="4" w:space="0"/>
              <w:right w:val="single" w:color="000000" w:sz="4" w:space="0"/>
            </w:tcBorders>
            <w:shd w:val="clear" w:color="FFFFFF" w:fill="FFFFFF"/>
            <w:vAlign w:val="center"/>
          </w:tcPr>
          <w:p w14:paraId="30B6478A">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电缆</w:t>
            </w:r>
          </w:p>
        </w:tc>
      </w:tr>
      <w:tr w14:paraId="4B5CC2D3">
        <w:tblPrEx>
          <w:tblCellMar>
            <w:top w:w="0" w:type="dxa"/>
            <w:left w:w="108" w:type="dxa"/>
            <w:bottom w:w="0" w:type="dxa"/>
            <w:right w:w="108" w:type="dxa"/>
          </w:tblCellMar>
        </w:tblPrEx>
        <w:trPr>
          <w:trHeight w:val="2355" w:hRule="atLeast"/>
          <w:jc w:val="center"/>
        </w:trPr>
        <w:tc>
          <w:tcPr>
            <w:tcW w:w="52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8524A64">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17</w:t>
            </w:r>
          </w:p>
        </w:tc>
        <w:tc>
          <w:tcPr>
            <w:tcW w:w="1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FCBCF6">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040803001001</w:t>
            </w:r>
          </w:p>
        </w:tc>
        <w:tc>
          <w:tcPr>
            <w:tcW w:w="1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EA1304">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电缆（ZRC-YJLV-4*50mm2）</w:t>
            </w:r>
          </w:p>
        </w:tc>
        <w:tc>
          <w:tcPr>
            <w:tcW w:w="40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E85EA3">
            <w:pP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1.名称:铝芯电力电缆</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2.型号:ZRC-YJLV</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3.规格:4*50mm2</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4.材质:铝芯电缆</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5.电压（kV):0.6/1KV</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6.具体详见图纸设计</w:t>
            </w:r>
          </w:p>
        </w:tc>
        <w:tc>
          <w:tcPr>
            <w:tcW w:w="8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83796B">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m</w:t>
            </w:r>
          </w:p>
        </w:tc>
        <w:tc>
          <w:tcPr>
            <w:tcW w:w="11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D5CE6B">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1461.96</w:t>
            </w:r>
          </w:p>
        </w:tc>
      </w:tr>
      <w:tr w14:paraId="3F21BEE6">
        <w:tblPrEx>
          <w:tblCellMar>
            <w:top w:w="0" w:type="dxa"/>
            <w:left w:w="108" w:type="dxa"/>
            <w:bottom w:w="0" w:type="dxa"/>
            <w:right w:w="108" w:type="dxa"/>
          </w:tblCellMar>
        </w:tblPrEx>
        <w:trPr>
          <w:trHeight w:val="1335" w:hRule="atLeast"/>
          <w:jc w:val="center"/>
        </w:trPr>
        <w:tc>
          <w:tcPr>
            <w:tcW w:w="52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0AAFE55">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18</w:t>
            </w:r>
          </w:p>
        </w:tc>
        <w:tc>
          <w:tcPr>
            <w:tcW w:w="1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EBC902">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030409003001</w:t>
            </w:r>
          </w:p>
        </w:tc>
        <w:tc>
          <w:tcPr>
            <w:tcW w:w="1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8B5287">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电力电缆头（4*50mm2）</w:t>
            </w:r>
          </w:p>
        </w:tc>
        <w:tc>
          <w:tcPr>
            <w:tcW w:w="40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E9E82C">
            <w:pP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1.名称:电缆终端头</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2.规格:120mm2以下</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3.电压（kV):1KV</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4.具体详见图纸设计</w:t>
            </w:r>
          </w:p>
        </w:tc>
        <w:tc>
          <w:tcPr>
            <w:tcW w:w="8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7CC5BD">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个</w:t>
            </w:r>
          </w:p>
        </w:tc>
        <w:tc>
          <w:tcPr>
            <w:tcW w:w="11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BAB0EA">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6</w:t>
            </w:r>
          </w:p>
        </w:tc>
      </w:tr>
      <w:tr w14:paraId="49E923E4">
        <w:tblPrEx>
          <w:tblCellMar>
            <w:top w:w="0" w:type="dxa"/>
            <w:left w:w="108" w:type="dxa"/>
            <w:bottom w:w="0" w:type="dxa"/>
            <w:right w:w="108" w:type="dxa"/>
          </w:tblCellMar>
        </w:tblPrEx>
        <w:trPr>
          <w:trHeight w:val="2355" w:hRule="atLeast"/>
          <w:jc w:val="center"/>
        </w:trPr>
        <w:tc>
          <w:tcPr>
            <w:tcW w:w="52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CA558BF">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19</w:t>
            </w:r>
          </w:p>
        </w:tc>
        <w:tc>
          <w:tcPr>
            <w:tcW w:w="1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4A4D09">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040803001002</w:t>
            </w:r>
          </w:p>
        </w:tc>
        <w:tc>
          <w:tcPr>
            <w:tcW w:w="1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7A2E35">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电缆（ZRC-YJLV-25mm2）</w:t>
            </w:r>
          </w:p>
        </w:tc>
        <w:tc>
          <w:tcPr>
            <w:tcW w:w="40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4B7C39">
            <w:pP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1.名称:铝芯电力电缆</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2.型号:ZRC-YJLV</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3.规格:25mm2</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4.材质:铝芯电缆</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5.电压（kV):0.6/1KV</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6.具体详见图纸设计</w:t>
            </w:r>
          </w:p>
        </w:tc>
        <w:tc>
          <w:tcPr>
            <w:tcW w:w="8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E96FCD">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m</w:t>
            </w:r>
          </w:p>
        </w:tc>
        <w:tc>
          <w:tcPr>
            <w:tcW w:w="11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72BDD4">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1349.06</w:t>
            </w:r>
          </w:p>
        </w:tc>
      </w:tr>
      <w:tr w14:paraId="2A5B6C48">
        <w:tblPrEx>
          <w:tblCellMar>
            <w:top w:w="0" w:type="dxa"/>
            <w:left w:w="108" w:type="dxa"/>
            <w:bottom w:w="0" w:type="dxa"/>
            <w:right w:w="108" w:type="dxa"/>
          </w:tblCellMar>
        </w:tblPrEx>
        <w:trPr>
          <w:trHeight w:val="1335" w:hRule="atLeast"/>
          <w:jc w:val="center"/>
        </w:trPr>
        <w:tc>
          <w:tcPr>
            <w:tcW w:w="52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012AC4F">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20</w:t>
            </w:r>
          </w:p>
        </w:tc>
        <w:tc>
          <w:tcPr>
            <w:tcW w:w="1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691B4E">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030409003002</w:t>
            </w:r>
          </w:p>
        </w:tc>
        <w:tc>
          <w:tcPr>
            <w:tcW w:w="1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49598C">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电力电缆头（25mm2）</w:t>
            </w:r>
          </w:p>
        </w:tc>
        <w:tc>
          <w:tcPr>
            <w:tcW w:w="40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FD445F">
            <w:pP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1.名称:电缆终端头</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2.规格:35mm2以下</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3.电压（kV):1KV</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4.具体详见图纸设计</w:t>
            </w:r>
          </w:p>
        </w:tc>
        <w:tc>
          <w:tcPr>
            <w:tcW w:w="8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34DBA9">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个</w:t>
            </w:r>
          </w:p>
        </w:tc>
        <w:tc>
          <w:tcPr>
            <w:tcW w:w="11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DBB27D">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6</w:t>
            </w:r>
          </w:p>
        </w:tc>
      </w:tr>
      <w:tr w14:paraId="13BE2B72">
        <w:tblPrEx>
          <w:tblCellMar>
            <w:top w:w="0" w:type="dxa"/>
            <w:left w:w="108" w:type="dxa"/>
            <w:bottom w:w="0" w:type="dxa"/>
            <w:right w:w="108" w:type="dxa"/>
          </w:tblCellMar>
        </w:tblPrEx>
        <w:trPr>
          <w:trHeight w:val="1906" w:hRule="atLeast"/>
          <w:jc w:val="center"/>
        </w:trPr>
        <w:tc>
          <w:tcPr>
            <w:tcW w:w="52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055DE33">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21</w:t>
            </w:r>
          </w:p>
        </w:tc>
        <w:tc>
          <w:tcPr>
            <w:tcW w:w="1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3A0E6A">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040803001003</w:t>
            </w:r>
          </w:p>
        </w:tc>
        <w:tc>
          <w:tcPr>
            <w:tcW w:w="1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47C1B6">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电缆(（ZRC-YJV-4*50+1*25mm2）)</w:t>
            </w:r>
          </w:p>
        </w:tc>
        <w:tc>
          <w:tcPr>
            <w:tcW w:w="40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DF4EB8">
            <w:pP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1.名称:铜芯电力电缆</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2.型号:ZRC-YJV</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3.规格:4*50+1*25mm2</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4.材质:铜芯电缆</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5.电压（kV):0.6/1KV</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6.具体详见图纸设计</w:t>
            </w:r>
          </w:p>
        </w:tc>
        <w:tc>
          <w:tcPr>
            <w:tcW w:w="8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DB9606">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m</w:t>
            </w:r>
          </w:p>
        </w:tc>
        <w:tc>
          <w:tcPr>
            <w:tcW w:w="11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175254">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181.1</w:t>
            </w:r>
          </w:p>
        </w:tc>
      </w:tr>
      <w:tr w14:paraId="0C798F33">
        <w:tblPrEx>
          <w:tblCellMar>
            <w:top w:w="0" w:type="dxa"/>
            <w:left w:w="108" w:type="dxa"/>
            <w:bottom w:w="0" w:type="dxa"/>
            <w:right w:w="108" w:type="dxa"/>
          </w:tblCellMar>
        </w:tblPrEx>
        <w:trPr>
          <w:trHeight w:val="1335" w:hRule="atLeast"/>
          <w:jc w:val="center"/>
        </w:trPr>
        <w:tc>
          <w:tcPr>
            <w:tcW w:w="52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1958078">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22</w:t>
            </w:r>
          </w:p>
        </w:tc>
        <w:tc>
          <w:tcPr>
            <w:tcW w:w="1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6E3D14">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030409004001</w:t>
            </w:r>
          </w:p>
        </w:tc>
        <w:tc>
          <w:tcPr>
            <w:tcW w:w="1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2A1F08">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电缆中间头</w:t>
            </w:r>
          </w:p>
        </w:tc>
        <w:tc>
          <w:tcPr>
            <w:tcW w:w="40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F53107">
            <w:pP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1.名称:穿刺线夹</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2.规格:35mm2以下</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3.电压(kV):1KV</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4.具体详见图纸设计</w:t>
            </w:r>
          </w:p>
        </w:tc>
        <w:tc>
          <w:tcPr>
            <w:tcW w:w="8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669915">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个</w:t>
            </w:r>
          </w:p>
        </w:tc>
        <w:tc>
          <w:tcPr>
            <w:tcW w:w="11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0B95AB">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52</w:t>
            </w:r>
          </w:p>
        </w:tc>
      </w:tr>
      <w:tr w14:paraId="3311E530">
        <w:tblPrEx>
          <w:tblCellMar>
            <w:top w:w="0" w:type="dxa"/>
            <w:left w:w="108" w:type="dxa"/>
            <w:bottom w:w="0" w:type="dxa"/>
            <w:right w:w="108" w:type="dxa"/>
          </w:tblCellMar>
        </w:tblPrEx>
        <w:trPr>
          <w:trHeight w:val="436" w:hRule="atLeast"/>
          <w:jc w:val="center"/>
        </w:trPr>
        <w:tc>
          <w:tcPr>
            <w:tcW w:w="9837" w:type="dxa"/>
            <w:gridSpan w:val="6"/>
            <w:tcBorders>
              <w:top w:val="single" w:color="000000" w:sz="4" w:space="0"/>
              <w:left w:val="single" w:color="000000" w:sz="8" w:space="0"/>
              <w:bottom w:val="single" w:color="000000" w:sz="4" w:space="0"/>
              <w:right w:val="single" w:color="000000" w:sz="4" w:space="0"/>
            </w:tcBorders>
            <w:shd w:val="clear" w:color="FFFFFF" w:fill="FFFFFF"/>
            <w:vAlign w:val="center"/>
          </w:tcPr>
          <w:p w14:paraId="2E775558">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电缆保护管</w:t>
            </w:r>
          </w:p>
        </w:tc>
      </w:tr>
      <w:tr w14:paraId="22C6A828">
        <w:tblPrEx>
          <w:tblCellMar>
            <w:top w:w="0" w:type="dxa"/>
            <w:left w:w="108" w:type="dxa"/>
            <w:bottom w:w="0" w:type="dxa"/>
            <w:right w:w="108" w:type="dxa"/>
          </w:tblCellMar>
        </w:tblPrEx>
        <w:trPr>
          <w:trHeight w:val="999" w:hRule="atLeast"/>
          <w:jc w:val="center"/>
        </w:trPr>
        <w:tc>
          <w:tcPr>
            <w:tcW w:w="52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0924292">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23</w:t>
            </w:r>
          </w:p>
        </w:tc>
        <w:tc>
          <w:tcPr>
            <w:tcW w:w="1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10B69B">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040803003005</w:t>
            </w:r>
          </w:p>
        </w:tc>
        <w:tc>
          <w:tcPr>
            <w:tcW w:w="1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3A0A70">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电缆排管（DN100镀锌钢管）</w:t>
            </w:r>
          </w:p>
        </w:tc>
        <w:tc>
          <w:tcPr>
            <w:tcW w:w="40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AF3205">
            <w:pP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1.规格:DN100*2根</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2.材质:镀锌钢管</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3.敷设方式:埋地敷设</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4.具体详见图纸设计</w:t>
            </w:r>
          </w:p>
        </w:tc>
        <w:tc>
          <w:tcPr>
            <w:tcW w:w="8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1EC0A9">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m</w:t>
            </w:r>
          </w:p>
        </w:tc>
        <w:tc>
          <w:tcPr>
            <w:tcW w:w="11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D1DAE1">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169.1</w:t>
            </w:r>
          </w:p>
        </w:tc>
      </w:tr>
      <w:tr w14:paraId="382FAAB1">
        <w:tblPrEx>
          <w:tblCellMar>
            <w:top w:w="0" w:type="dxa"/>
            <w:left w:w="108" w:type="dxa"/>
            <w:bottom w:w="0" w:type="dxa"/>
            <w:right w:w="108" w:type="dxa"/>
          </w:tblCellMar>
        </w:tblPrEx>
        <w:trPr>
          <w:trHeight w:val="1092" w:hRule="atLeast"/>
          <w:jc w:val="center"/>
        </w:trPr>
        <w:tc>
          <w:tcPr>
            <w:tcW w:w="52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A2DC5C5">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24</w:t>
            </w:r>
          </w:p>
        </w:tc>
        <w:tc>
          <w:tcPr>
            <w:tcW w:w="1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08FC19">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040803004001</w:t>
            </w:r>
          </w:p>
        </w:tc>
        <w:tc>
          <w:tcPr>
            <w:tcW w:w="1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BC0347">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管道包封</w:t>
            </w:r>
          </w:p>
        </w:tc>
        <w:tc>
          <w:tcPr>
            <w:tcW w:w="40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D69D7A">
            <w:pP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1.规格:500*360mm混凝土包管</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2.混凝土强度等级:C25</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3.具体详见图纸设计</w:t>
            </w:r>
          </w:p>
        </w:tc>
        <w:tc>
          <w:tcPr>
            <w:tcW w:w="8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640D44">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m</w:t>
            </w:r>
          </w:p>
        </w:tc>
        <w:tc>
          <w:tcPr>
            <w:tcW w:w="11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5DA92B">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169.1</w:t>
            </w:r>
          </w:p>
        </w:tc>
      </w:tr>
      <w:tr w14:paraId="3DE35E36">
        <w:tblPrEx>
          <w:tblCellMar>
            <w:top w:w="0" w:type="dxa"/>
            <w:left w:w="108" w:type="dxa"/>
            <w:bottom w:w="0" w:type="dxa"/>
            <w:right w:w="108" w:type="dxa"/>
          </w:tblCellMar>
        </w:tblPrEx>
        <w:trPr>
          <w:trHeight w:val="1062" w:hRule="atLeast"/>
          <w:jc w:val="center"/>
        </w:trPr>
        <w:tc>
          <w:tcPr>
            <w:tcW w:w="52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7B41A80">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25</w:t>
            </w:r>
          </w:p>
        </w:tc>
        <w:tc>
          <w:tcPr>
            <w:tcW w:w="1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695DF0">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030409007001</w:t>
            </w:r>
          </w:p>
        </w:tc>
        <w:tc>
          <w:tcPr>
            <w:tcW w:w="1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45BE4B">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阻燃槽盒</w:t>
            </w:r>
          </w:p>
        </w:tc>
        <w:tc>
          <w:tcPr>
            <w:tcW w:w="40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A211B3">
            <w:pP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1.名称:200*100mm线槽盒</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2.材质:不锈钢</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3.具体详见图纸设计</w:t>
            </w:r>
          </w:p>
        </w:tc>
        <w:tc>
          <w:tcPr>
            <w:tcW w:w="8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8DBA53">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m</w:t>
            </w:r>
          </w:p>
        </w:tc>
        <w:tc>
          <w:tcPr>
            <w:tcW w:w="11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31C1C5">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297.2</w:t>
            </w:r>
          </w:p>
        </w:tc>
      </w:tr>
      <w:tr w14:paraId="535041ED">
        <w:tblPrEx>
          <w:tblCellMar>
            <w:top w:w="0" w:type="dxa"/>
            <w:left w:w="108" w:type="dxa"/>
            <w:bottom w:w="0" w:type="dxa"/>
            <w:right w:w="108" w:type="dxa"/>
          </w:tblCellMar>
        </w:tblPrEx>
        <w:trPr>
          <w:trHeight w:val="1590" w:hRule="atLeast"/>
          <w:jc w:val="center"/>
        </w:trPr>
        <w:tc>
          <w:tcPr>
            <w:tcW w:w="52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6A20792">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26</w:t>
            </w:r>
          </w:p>
        </w:tc>
        <w:tc>
          <w:tcPr>
            <w:tcW w:w="1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095098">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041001006001</w:t>
            </w:r>
          </w:p>
        </w:tc>
        <w:tc>
          <w:tcPr>
            <w:tcW w:w="1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65A7EA">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拆除管道</w:t>
            </w:r>
          </w:p>
        </w:tc>
        <w:tc>
          <w:tcPr>
            <w:tcW w:w="40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E7ADE6">
            <w:pP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1.拆除桥两端以及到路灯控制柜处已建管线</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2.管径φ300mm以内</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2.具体详见图纸设计</w:t>
            </w:r>
          </w:p>
        </w:tc>
        <w:tc>
          <w:tcPr>
            <w:tcW w:w="8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072DFE">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m</w:t>
            </w:r>
          </w:p>
        </w:tc>
        <w:tc>
          <w:tcPr>
            <w:tcW w:w="11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7C3028">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84.55</w:t>
            </w:r>
          </w:p>
        </w:tc>
      </w:tr>
      <w:tr w14:paraId="5384EFDE">
        <w:tblPrEx>
          <w:tblCellMar>
            <w:top w:w="0" w:type="dxa"/>
            <w:left w:w="108" w:type="dxa"/>
            <w:bottom w:w="0" w:type="dxa"/>
            <w:right w:w="108" w:type="dxa"/>
          </w:tblCellMar>
        </w:tblPrEx>
        <w:trPr>
          <w:trHeight w:val="418" w:hRule="atLeast"/>
          <w:jc w:val="center"/>
        </w:trPr>
        <w:tc>
          <w:tcPr>
            <w:tcW w:w="9837" w:type="dxa"/>
            <w:gridSpan w:val="6"/>
            <w:tcBorders>
              <w:top w:val="single" w:color="000000" w:sz="4" w:space="0"/>
              <w:left w:val="single" w:color="000000" w:sz="8" w:space="0"/>
              <w:bottom w:val="single" w:color="000000" w:sz="4" w:space="0"/>
              <w:right w:val="single" w:color="000000" w:sz="4" w:space="0"/>
            </w:tcBorders>
            <w:shd w:val="clear" w:color="FFFFFF" w:fill="FFFFFF"/>
            <w:vAlign w:val="center"/>
          </w:tcPr>
          <w:p w14:paraId="48FE014E">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接地</w:t>
            </w:r>
          </w:p>
        </w:tc>
      </w:tr>
      <w:tr w14:paraId="7411ABF0">
        <w:tblPrEx>
          <w:tblCellMar>
            <w:top w:w="0" w:type="dxa"/>
            <w:left w:w="108" w:type="dxa"/>
            <w:bottom w:w="0" w:type="dxa"/>
            <w:right w:w="108" w:type="dxa"/>
          </w:tblCellMar>
        </w:tblPrEx>
        <w:trPr>
          <w:trHeight w:val="1080" w:hRule="atLeast"/>
          <w:jc w:val="center"/>
        </w:trPr>
        <w:tc>
          <w:tcPr>
            <w:tcW w:w="52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DF2EC05">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27</w:t>
            </w:r>
          </w:p>
        </w:tc>
        <w:tc>
          <w:tcPr>
            <w:tcW w:w="1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554385">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040806001002</w:t>
            </w:r>
          </w:p>
        </w:tc>
        <w:tc>
          <w:tcPr>
            <w:tcW w:w="1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0C3EFF">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接地极</w:t>
            </w:r>
          </w:p>
        </w:tc>
        <w:tc>
          <w:tcPr>
            <w:tcW w:w="40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D9BC3C">
            <w:pP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1.材质:镀锌角钢</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2.规格:L50*5*2500</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3.具体详见图纸设计</w:t>
            </w:r>
          </w:p>
        </w:tc>
        <w:tc>
          <w:tcPr>
            <w:tcW w:w="8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1756E4">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根</w:t>
            </w:r>
          </w:p>
        </w:tc>
        <w:tc>
          <w:tcPr>
            <w:tcW w:w="11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6D1D82">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4</w:t>
            </w:r>
          </w:p>
        </w:tc>
      </w:tr>
      <w:tr w14:paraId="44DE0127">
        <w:tblPrEx>
          <w:tblCellMar>
            <w:top w:w="0" w:type="dxa"/>
            <w:left w:w="108" w:type="dxa"/>
            <w:bottom w:w="0" w:type="dxa"/>
            <w:right w:w="108" w:type="dxa"/>
          </w:tblCellMar>
        </w:tblPrEx>
        <w:trPr>
          <w:trHeight w:val="1080" w:hRule="atLeast"/>
          <w:jc w:val="center"/>
        </w:trPr>
        <w:tc>
          <w:tcPr>
            <w:tcW w:w="52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4FDFA5D">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28</w:t>
            </w:r>
          </w:p>
        </w:tc>
        <w:tc>
          <w:tcPr>
            <w:tcW w:w="1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7ABC70">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040806002002</w:t>
            </w:r>
          </w:p>
        </w:tc>
        <w:tc>
          <w:tcPr>
            <w:tcW w:w="1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9C2227">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接地母线(-40*4)</w:t>
            </w:r>
          </w:p>
        </w:tc>
        <w:tc>
          <w:tcPr>
            <w:tcW w:w="40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D7099D">
            <w:pP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1.材质:镀锌扁钢</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2.规格:-40*4</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3.具体详见图纸设计</w:t>
            </w:r>
          </w:p>
        </w:tc>
        <w:tc>
          <w:tcPr>
            <w:tcW w:w="8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987E8A">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m</w:t>
            </w:r>
          </w:p>
        </w:tc>
        <w:tc>
          <w:tcPr>
            <w:tcW w:w="11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3B37F1">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1.6</w:t>
            </w:r>
          </w:p>
        </w:tc>
      </w:tr>
      <w:tr w14:paraId="6E8EFA10">
        <w:tblPrEx>
          <w:tblCellMar>
            <w:top w:w="0" w:type="dxa"/>
            <w:left w:w="108" w:type="dxa"/>
            <w:bottom w:w="0" w:type="dxa"/>
            <w:right w:w="108" w:type="dxa"/>
          </w:tblCellMar>
        </w:tblPrEx>
        <w:trPr>
          <w:trHeight w:val="512" w:hRule="atLeast"/>
          <w:jc w:val="center"/>
        </w:trPr>
        <w:tc>
          <w:tcPr>
            <w:tcW w:w="9837" w:type="dxa"/>
            <w:gridSpan w:val="6"/>
            <w:tcBorders>
              <w:top w:val="single" w:color="000000" w:sz="4" w:space="0"/>
              <w:left w:val="single" w:color="000000" w:sz="8" w:space="0"/>
              <w:bottom w:val="single" w:color="000000" w:sz="4" w:space="0"/>
              <w:right w:val="single" w:color="000000" w:sz="4" w:space="0"/>
            </w:tcBorders>
            <w:shd w:val="clear" w:color="FFFFFF" w:fill="FFFFFF"/>
            <w:vAlign w:val="center"/>
          </w:tcPr>
          <w:p w14:paraId="13DF09FD">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系统测试</w:t>
            </w:r>
          </w:p>
        </w:tc>
      </w:tr>
      <w:tr w14:paraId="2B58F158">
        <w:tblPrEx>
          <w:tblCellMar>
            <w:top w:w="0" w:type="dxa"/>
            <w:left w:w="108" w:type="dxa"/>
            <w:bottom w:w="0" w:type="dxa"/>
            <w:right w:w="108" w:type="dxa"/>
          </w:tblCellMar>
        </w:tblPrEx>
        <w:trPr>
          <w:trHeight w:val="788" w:hRule="atLeast"/>
          <w:jc w:val="center"/>
        </w:trPr>
        <w:tc>
          <w:tcPr>
            <w:tcW w:w="52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E1C18C4">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29</w:t>
            </w:r>
          </w:p>
        </w:tc>
        <w:tc>
          <w:tcPr>
            <w:tcW w:w="1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EF1935">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040807002001</w:t>
            </w:r>
          </w:p>
        </w:tc>
        <w:tc>
          <w:tcPr>
            <w:tcW w:w="1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A6BF6C">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供电系统</w:t>
            </w:r>
          </w:p>
        </w:tc>
        <w:tc>
          <w:tcPr>
            <w:tcW w:w="40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0A82C7">
            <w:pP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1.输配电装置系统调试</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2.具体详见图纸设计</w:t>
            </w:r>
          </w:p>
        </w:tc>
        <w:tc>
          <w:tcPr>
            <w:tcW w:w="8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47DF89">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系统</w:t>
            </w:r>
          </w:p>
        </w:tc>
        <w:tc>
          <w:tcPr>
            <w:tcW w:w="11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578368">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w:t>
            </w:r>
          </w:p>
        </w:tc>
      </w:tr>
      <w:tr w14:paraId="50AB5D54">
        <w:tblPrEx>
          <w:tblCellMar>
            <w:top w:w="0" w:type="dxa"/>
            <w:left w:w="108" w:type="dxa"/>
            <w:bottom w:w="0" w:type="dxa"/>
            <w:right w:w="108" w:type="dxa"/>
          </w:tblCellMar>
        </w:tblPrEx>
        <w:trPr>
          <w:trHeight w:val="825" w:hRule="atLeast"/>
          <w:jc w:val="center"/>
        </w:trPr>
        <w:tc>
          <w:tcPr>
            <w:tcW w:w="52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E2F782A">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30</w:t>
            </w:r>
          </w:p>
        </w:tc>
        <w:tc>
          <w:tcPr>
            <w:tcW w:w="1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21A9C4">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040807003001</w:t>
            </w:r>
          </w:p>
        </w:tc>
        <w:tc>
          <w:tcPr>
            <w:tcW w:w="1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7A9B1E">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接地装置</w:t>
            </w:r>
          </w:p>
        </w:tc>
        <w:tc>
          <w:tcPr>
            <w:tcW w:w="40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9DC2B7">
            <w:pP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1.接地系统测试</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2.具体详见图纸设计</w:t>
            </w:r>
          </w:p>
        </w:tc>
        <w:tc>
          <w:tcPr>
            <w:tcW w:w="8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43A0D9">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系统</w:t>
            </w:r>
          </w:p>
        </w:tc>
        <w:tc>
          <w:tcPr>
            <w:tcW w:w="11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7E91C7">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w:t>
            </w:r>
          </w:p>
        </w:tc>
      </w:tr>
      <w:tr w14:paraId="76F0CC71">
        <w:tblPrEx>
          <w:tblCellMar>
            <w:top w:w="0" w:type="dxa"/>
            <w:left w:w="108" w:type="dxa"/>
            <w:bottom w:w="0" w:type="dxa"/>
            <w:right w:w="108" w:type="dxa"/>
          </w:tblCellMar>
        </w:tblPrEx>
        <w:trPr>
          <w:trHeight w:val="399" w:hRule="atLeast"/>
          <w:jc w:val="center"/>
        </w:trPr>
        <w:tc>
          <w:tcPr>
            <w:tcW w:w="9837" w:type="dxa"/>
            <w:gridSpan w:val="6"/>
            <w:tcBorders>
              <w:top w:val="single" w:color="000000" w:sz="4" w:space="0"/>
              <w:left w:val="single" w:color="000000" w:sz="8" w:space="0"/>
              <w:bottom w:val="single" w:color="000000" w:sz="4" w:space="0"/>
              <w:right w:val="single" w:color="000000" w:sz="4" w:space="0"/>
            </w:tcBorders>
            <w:shd w:val="clear" w:color="FFFFFF" w:fill="FFFFFF"/>
            <w:vAlign w:val="center"/>
          </w:tcPr>
          <w:p w14:paraId="592837C8">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检查井</w:t>
            </w:r>
          </w:p>
        </w:tc>
      </w:tr>
      <w:tr w14:paraId="55062ECA">
        <w:tblPrEx>
          <w:tblCellMar>
            <w:top w:w="0" w:type="dxa"/>
            <w:left w:w="108" w:type="dxa"/>
            <w:bottom w:w="0" w:type="dxa"/>
            <w:right w:w="108" w:type="dxa"/>
          </w:tblCellMar>
        </w:tblPrEx>
        <w:trPr>
          <w:trHeight w:val="3766" w:hRule="atLeast"/>
          <w:jc w:val="center"/>
        </w:trPr>
        <w:tc>
          <w:tcPr>
            <w:tcW w:w="525"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EE0149F">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31</w:t>
            </w:r>
          </w:p>
        </w:tc>
        <w:tc>
          <w:tcPr>
            <w:tcW w:w="168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83DE1F">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040504001001</w:t>
            </w:r>
          </w:p>
        </w:tc>
        <w:tc>
          <w:tcPr>
            <w:tcW w:w="159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ED143D">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砌筑井</w:t>
            </w:r>
          </w:p>
        </w:tc>
        <w:tc>
          <w:tcPr>
            <w:tcW w:w="403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2E6538">
            <w:pP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1.种类、规格:路灯检查井</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2.垫层、基础材质及厚度:100mm厚C15混凝土</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3.砌筑材料品种、规格、强度等级:SCB240*115*53mmMU20B混凝土砖，M10水泥砂浆砌筑</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4.勾缝、抹面要求:M30防水水泥砂浆抹面20mm厚</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5.盖板材质、规格:400*600mm球墨铸铁井盖座</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6.防渗、防水、防腐要求:DN110PVC渗水管内用中粗砂填充</w:t>
            </w:r>
            <w:r>
              <w:rPr>
                <w:rFonts w:hint="eastAsia" w:asciiTheme="minorEastAsia" w:hAnsiTheme="minorEastAsia" w:eastAsiaTheme="minorEastAsia" w:cstheme="minorEastAsia"/>
                <w:color w:val="auto"/>
                <w:sz w:val="24"/>
                <w:szCs w:val="24"/>
                <w:lang w:bidi="ar"/>
              </w:rPr>
              <w:br w:type="textWrapping"/>
            </w:r>
            <w:r>
              <w:rPr>
                <w:rFonts w:hint="eastAsia" w:asciiTheme="minorEastAsia" w:hAnsiTheme="minorEastAsia" w:eastAsiaTheme="minorEastAsia" w:cstheme="minorEastAsia"/>
                <w:color w:val="auto"/>
                <w:sz w:val="24"/>
                <w:szCs w:val="24"/>
                <w:lang w:bidi="ar"/>
              </w:rPr>
              <w:t>7.具体详见图纸设计</w:t>
            </w:r>
          </w:p>
        </w:tc>
        <w:tc>
          <w:tcPr>
            <w:tcW w:w="8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EDCEF7">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座</w:t>
            </w:r>
          </w:p>
        </w:tc>
        <w:tc>
          <w:tcPr>
            <w:tcW w:w="115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29A75C">
            <w:pPr>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10</w:t>
            </w:r>
          </w:p>
        </w:tc>
      </w:tr>
      <w:tr w14:paraId="0706BC68">
        <w:tblPrEx>
          <w:tblCellMar>
            <w:top w:w="0" w:type="dxa"/>
            <w:left w:w="108" w:type="dxa"/>
            <w:bottom w:w="0" w:type="dxa"/>
            <w:right w:w="108" w:type="dxa"/>
          </w:tblCellMar>
        </w:tblPrEx>
        <w:trPr>
          <w:trHeight w:val="446" w:hRule="atLeast"/>
          <w:jc w:val="center"/>
        </w:trPr>
        <w:tc>
          <w:tcPr>
            <w:tcW w:w="9837" w:type="dxa"/>
            <w:gridSpan w:val="6"/>
            <w:tcBorders>
              <w:top w:val="single" w:color="000000" w:sz="4" w:space="0"/>
              <w:left w:val="single" w:color="000000" w:sz="8" w:space="0"/>
              <w:bottom w:val="single" w:color="000000" w:sz="4" w:space="0"/>
              <w:right w:val="single" w:color="000000" w:sz="4" w:space="0"/>
            </w:tcBorders>
            <w:shd w:val="clear" w:color="FFFFFF" w:fill="FFFFFF"/>
            <w:vAlign w:val="center"/>
          </w:tcPr>
          <w:p w14:paraId="693DE854">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措施项目</w:t>
            </w:r>
          </w:p>
        </w:tc>
      </w:tr>
    </w:tbl>
    <w:p w14:paraId="287685C0">
      <w:pPr>
        <w:widowControl w:val="0"/>
        <w:numPr>
          <w:ilvl w:val="0"/>
          <w:numId w:val="3"/>
        </w:numPr>
        <w:adjustRightInd w:val="0"/>
        <w:snapToGrid w:val="0"/>
        <w:spacing w:before="120" w:beforeLines="50" w:line="300" w:lineRule="auto"/>
        <w:ind w:firstLine="463" w:firstLineChars="192"/>
        <w:rPr>
          <w:rFonts w:hint="eastAsia" w:ascii="宋体" w:hAnsi="宋体"/>
          <w:b/>
          <w:color w:val="auto"/>
          <w:sz w:val="24"/>
          <w:szCs w:val="24"/>
        </w:rPr>
      </w:pPr>
      <w:r>
        <w:rPr>
          <w:rFonts w:hint="eastAsia" w:ascii="宋体" w:hAnsi="宋体"/>
          <w:b/>
          <w:color w:val="auto"/>
          <w:sz w:val="24"/>
          <w:szCs w:val="24"/>
        </w:rPr>
        <w:t>材料技术要求</w:t>
      </w:r>
    </w:p>
    <w:p w14:paraId="65F5D16B">
      <w:pPr>
        <w:snapToGrid w:val="0"/>
        <w:spacing w:line="360" w:lineRule="auto"/>
        <w:ind w:firstLine="480" w:firstLineChars="200"/>
        <w:textAlignment w:val="auto"/>
        <w:rPr>
          <w:rFonts w:hint="eastAsia" w:asciiTheme="minorEastAsia" w:hAnsiTheme="minorEastAsia" w:eastAsiaTheme="minorEastAsia" w:cstheme="minorEastAsia"/>
          <w:b/>
          <w:snapToGrid w:val="0"/>
          <w:color w:val="auto"/>
          <w:sz w:val="24"/>
          <w:szCs w:val="24"/>
        </w:rPr>
      </w:pPr>
      <w:r>
        <w:rPr>
          <w:rFonts w:hint="eastAsia" w:asciiTheme="minorEastAsia" w:hAnsiTheme="minorEastAsia" w:eastAsiaTheme="minorEastAsia" w:cstheme="minorEastAsia"/>
          <w:color w:val="auto"/>
          <w:sz w:val="24"/>
          <w:szCs w:val="24"/>
        </w:rPr>
        <w:t>（一）</w:t>
      </w:r>
      <w:r>
        <w:rPr>
          <w:rFonts w:hint="eastAsia" w:asciiTheme="minorEastAsia" w:hAnsiTheme="minorEastAsia" w:eastAsiaTheme="minorEastAsia" w:cstheme="minorEastAsia"/>
          <w:b/>
          <w:snapToGrid w:val="0"/>
          <w:color w:val="auto"/>
          <w:sz w:val="24"/>
          <w:szCs w:val="24"/>
        </w:rPr>
        <w:t>电缆均采用阻燃C级电缆。控制箱外壳材质为不锈钢，板厚大于1.5mm，防护等级IP54(户外型)。</w:t>
      </w:r>
    </w:p>
    <w:p w14:paraId="226FD854">
      <w:pPr>
        <w:spacing w:line="360" w:lineRule="auto"/>
        <w:ind w:firstLine="451" w:firstLineChars="188"/>
        <w:rPr>
          <w:rFonts w:hint="eastAsia" w:asciiTheme="minorEastAsia" w:hAnsiTheme="minorEastAsia" w:eastAsiaTheme="minorEastAsia" w:cstheme="minorEastAsia"/>
          <w:b/>
          <w:snapToGrid w:val="0"/>
          <w:color w:val="auto"/>
          <w:sz w:val="24"/>
          <w:szCs w:val="24"/>
        </w:rPr>
      </w:pPr>
      <w:r>
        <w:rPr>
          <w:rFonts w:hint="eastAsia" w:asciiTheme="minorEastAsia" w:hAnsiTheme="minorEastAsia" w:eastAsiaTheme="minorEastAsia" w:cstheme="minorEastAsia"/>
          <w:color w:val="auto"/>
          <w:sz w:val="24"/>
          <w:szCs w:val="24"/>
        </w:rPr>
        <w:t>（二）</w:t>
      </w:r>
      <w:r>
        <w:rPr>
          <w:rFonts w:hint="eastAsia" w:asciiTheme="minorEastAsia" w:hAnsiTheme="minorEastAsia" w:eastAsiaTheme="minorEastAsia" w:cstheme="minorEastAsia"/>
          <w:b/>
          <w:snapToGrid w:val="0"/>
          <w:color w:val="auto"/>
          <w:sz w:val="24"/>
          <w:szCs w:val="24"/>
        </w:rPr>
        <w:t>LED灯及灯具技术要求</w:t>
      </w:r>
    </w:p>
    <w:p w14:paraId="37CADBEB">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1、执行标准</w:t>
      </w:r>
    </w:p>
    <w:p w14:paraId="7C639232">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《灯具电镀、化学覆盖层》（QBT3741-1999）；</w:t>
      </w:r>
    </w:p>
    <w:p w14:paraId="12EC817A">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《道路照明用LED灯 性能要求》（GB/T24907-2010）;</w:t>
      </w:r>
    </w:p>
    <w:p w14:paraId="162FDBCC">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《电气照明和类似设备的无线电骚扰特性的限值和测量方法》（GB17743-2021）;</w:t>
      </w:r>
    </w:p>
    <w:p w14:paraId="450FD69C">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《电磁兼容 限值 第1部分：谐波电流发射限值（设备每相输入电流≤16A）》（GB17625.1-2022）;</w:t>
      </w:r>
    </w:p>
    <w:p w14:paraId="0BA8ECAD">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《光源显色性评价方法》（GB/T5702-2019）;</w:t>
      </w:r>
    </w:p>
    <w:p w14:paraId="6A8C5FB1">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《照明光源颜色的测量方法》（GB/T7922-2023）;</w:t>
      </w:r>
    </w:p>
    <w:p w14:paraId="26400802">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《亮度计检定规程》（JJG211-2021）;</w:t>
      </w:r>
    </w:p>
    <w:p w14:paraId="017FEE20">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《光照度计检定规程》（JJG245-2005）;</w:t>
      </w:r>
    </w:p>
    <w:p w14:paraId="23DEFA59">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 xml:space="preserve">《半导体发光二极管测试方法》（SJ/T11394-2009）; </w:t>
      </w:r>
    </w:p>
    <w:p w14:paraId="3C36EF11">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《灯具 第1部分：一般安全要求与试验》（GB7000.1-2023);</w:t>
      </w:r>
    </w:p>
    <w:p w14:paraId="227E3023">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《灯具 第2-3部分：特殊要求 道路与街路照明灯具》（GB 7000.203-2013）;</w:t>
      </w:r>
    </w:p>
    <w:p w14:paraId="5E097F7C">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《灯的控制装置 第14部分：LED模块用直流或交流电子控制装置的特殊要求》（GB 19510.14-2009）;</w:t>
      </w:r>
    </w:p>
    <w:p w14:paraId="2D6CB0E8">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《一般照明用设备电磁兼容抗扰度要求》（GB /T18595-2014）；</w:t>
      </w:r>
    </w:p>
    <w:p w14:paraId="3DCB8D99">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《LED-照明应用与接口要求 非集成式LED模块的道路灯具》（GB/T 35269-2017）。</w:t>
      </w:r>
    </w:p>
    <w:p w14:paraId="4503EDD7">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2、LED芯片技术要求</w:t>
      </w:r>
    </w:p>
    <w:p w14:paraId="42C820FB">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LED芯片要求采用功率型产品。芯片的要求：LED芯片推荐采用品牌原厂封装芯片，不得采用集成式芯片。</w:t>
      </w:r>
    </w:p>
    <w:p w14:paraId="12A608CA">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3、LED灯具技术要求</w:t>
      </w:r>
    </w:p>
    <w:p w14:paraId="06ABEB6D">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LED灯具应符合安全、环保和维修方便的要求。LED芯片应为模组化设计，与电源的结合没有任何焊点，以方便LED芯片的替换维护和升级换代。灯具应能在-40℃～50℃环境温度内正常工作。</w:t>
      </w:r>
    </w:p>
    <w:p w14:paraId="0C73775D">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（1）规格要求</w:t>
      </w:r>
    </w:p>
    <w:p w14:paraId="44B6D831">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灯具纵向配光采用中配光型，横向配光采用宽配光型，灯具溢散光限值为SP0级。</w:t>
      </w:r>
    </w:p>
    <w:p w14:paraId="3590AC7D">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（2）性能要求</w:t>
      </w:r>
    </w:p>
    <w:p w14:paraId="0A360557">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LED灯具应具备控制接口，即能进行恒照度控制，也能根据道路状况调整路面亮度。</w:t>
      </w:r>
    </w:p>
    <w:p w14:paraId="55778A7C">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（3）光度要求</w:t>
      </w:r>
    </w:p>
    <w:p w14:paraId="66089382">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LED灯具效能不应低于120lm/W，初始光通量不应低于额定光通量的90%，且不应高于额定光通量的120%。</w:t>
      </w:r>
    </w:p>
    <w:p w14:paraId="720FC19C">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（4）色度要求</w:t>
      </w:r>
    </w:p>
    <w:p w14:paraId="61836047">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同型号的LED灯具的色容差不应大于7SDCM，显色指数不低于70（Ra≥70）；额定相关色温不宜大于4000K。</w:t>
      </w:r>
    </w:p>
    <w:p w14:paraId="08115F22">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（5）电气及安全要求</w:t>
      </w:r>
    </w:p>
    <w:p w14:paraId="1D7B5EF0">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LED灯具的额定工作电压为AC220V，频率为50Hz；LED灯具的输入功率不应超过额定值得110%，在100%光输出时，功率因数应≥0.95；调光LED灯具在50%光输出时，其驱动电源效率不应低于75%，且功率因数应≥0.9；灯具防护等级≥IP65；</w:t>
      </w:r>
    </w:p>
    <w:p w14:paraId="20F5F0E2">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 xml:space="preserve">灯具安全性能： </w:t>
      </w:r>
    </w:p>
    <w:p w14:paraId="1626E3D3">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额定绝缘电压：AC500V；</w:t>
      </w:r>
    </w:p>
    <w:p w14:paraId="6CFEC155">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湿态绝缘电阻：用500V摇表测量湿态绝缘电阻不小于2MΩ。</w:t>
      </w:r>
    </w:p>
    <w:p w14:paraId="044BD61D">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湿态介电强度：能承受交流50Hz,1500V（有效值）试验电 压历时1分钟无击穿或闪络现象。</w:t>
      </w:r>
    </w:p>
    <w:p w14:paraId="6C61D04D">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防触电保护类别：Ⅰ类；</w:t>
      </w:r>
    </w:p>
    <w:p w14:paraId="7F811BE5">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接线方式：单相三线制；</w:t>
      </w:r>
    </w:p>
    <w:p w14:paraId="17181F33">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电气性能：Ⅰ级；</w:t>
      </w:r>
    </w:p>
    <w:p w14:paraId="13719683">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抗冲击性能：6焦耳；</w:t>
      </w:r>
    </w:p>
    <w:p w14:paraId="07A7CECC">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（6）耐久性要求</w:t>
      </w:r>
    </w:p>
    <w:p w14:paraId="4BB52C38">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灯具使用寿命：≥25000小时（不含驱动电源，其寿命另行规定）；正常工作3000小时的光通维持率不应低于96%，6000小时的光通维持率不应低于92%。正常工作一年的损坏率不应高于3%。</w:t>
      </w:r>
    </w:p>
    <w:p w14:paraId="006E3E75">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4、灯具外壳性能</w:t>
      </w:r>
    </w:p>
    <w:p w14:paraId="205EC760">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灯具外壳采用优质防腐高压铸铝压铸制成，表面喷塑处理，具有良好的耐气候性能，表面应能承受机械压力和盐雾、汽车废气及清洗剂的腐蚀。</w:t>
      </w:r>
    </w:p>
    <w:p w14:paraId="6F13828B">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灯具、喷塑层（镀锌层）应外表美观，厚度均匀、光亮，保证在正常使用条件下五年无裂缝、腐蚀剥落和变色。灯具前置耐热钢化玻璃透光罩，玻璃用不超过10颗螺丝与灯体固定。</w:t>
      </w:r>
    </w:p>
    <w:p w14:paraId="5A83FD93">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整灯（包括电器室和光学室）的防护等级≥IP65；灯具外壳耐腐蚀性能：Ⅱ类；灯具绝缘等级为ClassⅠ。</w:t>
      </w:r>
    </w:p>
    <w:p w14:paraId="14A3E85E">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5、功率型LED驱动电源及调光控制</w:t>
      </w:r>
    </w:p>
    <w:p w14:paraId="6F160A34">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系统驱动电源模块（包括但不限于AC/DC、DC/DC模块、恒流模块、电容等影响其品质的关键部件）选用优质产品，不允许因个别组件的性能降低而影响整个电源驱动系统的安全性和可靠性，造成驱动电源的损坏和故障，并应符合国家3C认证的规定。</w:t>
      </w:r>
    </w:p>
    <w:p w14:paraId="3B92659A">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从交流电源至芯片的电功率效率≥88%，通道间电流差≤±3%，谐波电流失真可以为≤10%。</w:t>
      </w:r>
    </w:p>
    <w:p w14:paraId="7A509065">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6、LED灯具的其它技术要求</w:t>
      </w:r>
    </w:p>
    <w:p w14:paraId="7FC06F85">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（1）LED路灯采用全模块化结构设计，模块可以实现在现场的灯杆上拆换，每个LED模块具有独立的散热、防水和配光。单个模组外形尺寸符合《GB/T 35269-2017-LED-照明应用与接口要求 非集成式LED模块的道路灯具》。</w:t>
      </w:r>
    </w:p>
    <w:p w14:paraId="148332D6">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drawing>
          <wp:anchor distT="0" distB="0" distL="114300" distR="114300" simplePos="0" relativeHeight="251661312" behindDoc="0" locked="0" layoutInCell="1" allowOverlap="1">
            <wp:simplePos x="0" y="0"/>
            <wp:positionH relativeFrom="column">
              <wp:posOffset>845820</wp:posOffset>
            </wp:positionH>
            <wp:positionV relativeFrom="paragraph">
              <wp:posOffset>1991995</wp:posOffset>
            </wp:positionV>
            <wp:extent cx="3550920" cy="2089785"/>
            <wp:effectExtent l="0" t="0" r="11430" b="5715"/>
            <wp:wrapTopAndBottom/>
            <wp:docPr id="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pic:cNvPicPr>
                      <a:picLocks noChangeAspect="1"/>
                    </pic:cNvPicPr>
                  </pic:nvPicPr>
                  <pic:blipFill>
                    <a:blip r:embed="rId10"/>
                    <a:stretch>
                      <a:fillRect/>
                    </a:stretch>
                  </pic:blipFill>
                  <pic:spPr>
                    <a:xfrm>
                      <a:off x="0" y="0"/>
                      <a:ext cx="3550920" cy="2089785"/>
                    </a:xfrm>
                    <a:prstGeom prst="rect">
                      <a:avLst/>
                    </a:prstGeom>
                    <a:noFill/>
                    <a:ln>
                      <a:noFill/>
                    </a:ln>
                  </pic:spPr>
                </pic:pic>
              </a:graphicData>
            </a:graphic>
          </wp:anchor>
        </w:drawing>
      </w:r>
      <w:r>
        <w:rPr>
          <w:rFonts w:hint="eastAsia" w:asciiTheme="minorEastAsia" w:hAnsiTheme="minorEastAsia" w:eastAsiaTheme="minorEastAsia" w:cstheme="minorEastAsia"/>
          <w:color w:val="auto"/>
          <w:spacing w:val="8"/>
          <w:kern w:val="11"/>
          <w:sz w:val="24"/>
          <w:szCs w:val="24"/>
        </w:rPr>
        <w:t>(2)LED模组与接口要求应符合《GB/T 35269-2017-LED-照明应用与接口要求 非集成式LED模块的道路灯具》的相关要求。</w:t>
      </w:r>
    </w:p>
    <w:p w14:paraId="0841F66A">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A:LED模组结构</w:t>
      </w:r>
    </w:p>
    <w:p w14:paraId="6596FC99">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LED模组的外形尺寸如图所示：</w:t>
      </w:r>
    </w:p>
    <w:p w14:paraId="6C656D58">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根据标准要求，模组的总长度L0不大于300mm，长度方向安装孔中心间距L1为286mm，发光面长度L2不大于272mm，模组总宽度W0不大于70mm，宽度方向安装孔中心间距W1为30mm，安装腰孔长度W2为15mm，模组总高度H0不大于60mm。</w:t>
      </w:r>
    </w:p>
    <w:p w14:paraId="0A20BB2A">
      <w:pPr>
        <w:pStyle w:val="17"/>
        <w:ind w:firstLine="24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drawing>
          <wp:anchor distT="0" distB="0" distL="114300" distR="114300" simplePos="0" relativeHeight="251662336" behindDoc="0" locked="0" layoutInCell="1" allowOverlap="1">
            <wp:simplePos x="0" y="0"/>
            <wp:positionH relativeFrom="column">
              <wp:posOffset>420370</wp:posOffset>
            </wp:positionH>
            <wp:positionV relativeFrom="paragraph">
              <wp:posOffset>10160</wp:posOffset>
            </wp:positionV>
            <wp:extent cx="4116070" cy="2699385"/>
            <wp:effectExtent l="0" t="0" r="17780" b="5715"/>
            <wp:wrapTopAndBottom/>
            <wp:docPr id="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pic:cNvPicPr>
                      <a:picLocks noChangeAspect="1"/>
                    </pic:cNvPicPr>
                  </pic:nvPicPr>
                  <pic:blipFill>
                    <a:blip r:embed="rId11"/>
                    <a:srcRect t="-1012" r="-220" b="-439"/>
                    <a:stretch>
                      <a:fillRect/>
                    </a:stretch>
                  </pic:blipFill>
                  <pic:spPr>
                    <a:xfrm>
                      <a:off x="0" y="0"/>
                      <a:ext cx="4116070" cy="2699385"/>
                    </a:xfrm>
                    <a:prstGeom prst="rect">
                      <a:avLst/>
                    </a:prstGeom>
                    <a:noFill/>
                    <a:ln>
                      <a:noFill/>
                    </a:ln>
                  </pic:spPr>
                </pic:pic>
              </a:graphicData>
            </a:graphic>
          </wp:anchor>
        </w:drawing>
      </w:r>
    </w:p>
    <w:p w14:paraId="24B8E6D8">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B:电子连接器结构和尺寸要求</w:t>
      </w:r>
    </w:p>
    <w:p w14:paraId="647CA2DD">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LED模组与LED灯体之间和控制装置与LED灯体之间通过带有可插接式防水电子连接器的软线或软缆进行连接，电子连接器的防护等级不应低于IP65，连接器正负端引线颜色要求：正极引线颜色为棕色，负极引线颜色为蓝色。电子连接器的公端和母端插孔结构要求必须符合下图所示要求：</w:t>
      </w:r>
    </w:p>
    <w:p w14:paraId="1C80F38B">
      <w:pPr>
        <w:pStyle w:val="65"/>
        <w:spacing w:line="360" w:lineRule="auto"/>
        <w:ind w:firstLine="453" w:firstLineChars="189"/>
        <w:rPr>
          <w:rFonts w:hint="eastAsia" w:asciiTheme="minorEastAsia" w:hAnsiTheme="minorEastAsia" w:eastAsiaTheme="minorEastAsia" w:cstheme="minorEastAsia"/>
          <w:spacing w:val="8"/>
          <w:kern w:val="11"/>
          <w:sz w:val="24"/>
          <w:szCs w:val="24"/>
        </w:rPr>
      </w:pPr>
      <w:r>
        <w:rPr>
          <w:rFonts w:hint="eastAsia" w:asciiTheme="minorEastAsia" w:hAnsiTheme="minorEastAsia" w:eastAsiaTheme="minorEastAsia" w:cstheme="minorEastAsia"/>
          <w:sz w:val="24"/>
          <w:szCs w:val="24"/>
        </w:rPr>
        <w:drawing>
          <wp:anchor distT="0" distB="0" distL="114300" distR="114300" simplePos="0" relativeHeight="251663360" behindDoc="0" locked="0" layoutInCell="1" allowOverlap="1">
            <wp:simplePos x="0" y="0"/>
            <wp:positionH relativeFrom="column">
              <wp:posOffset>693420</wp:posOffset>
            </wp:positionH>
            <wp:positionV relativeFrom="paragraph">
              <wp:posOffset>211455</wp:posOffset>
            </wp:positionV>
            <wp:extent cx="3605530" cy="1937385"/>
            <wp:effectExtent l="0" t="0" r="13970" b="5715"/>
            <wp:wrapTopAndBottom/>
            <wp:docPr id="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7"/>
                    <pic:cNvPicPr>
                      <a:picLocks noChangeAspect="1"/>
                    </pic:cNvPicPr>
                  </pic:nvPicPr>
                  <pic:blipFill>
                    <a:blip r:embed="rId12"/>
                    <a:stretch>
                      <a:fillRect/>
                    </a:stretch>
                  </pic:blipFill>
                  <pic:spPr>
                    <a:xfrm>
                      <a:off x="0" y="0"/>
                      <a:ext cx="3605530" cy="1937385"/>
                    </a:xfrm>
                    <a:prstGeom prst="rect">
                      <a:avLst/>
                    </a:prstGeom>
                    <a:noFill/>
                    <a:ln>
                      <a:noFill/>
                    </a:ln>
                  </pic:spPr>
                </pic:pic>
              </a:graphicData>
            </a:graphic>
          </wp:anchor>
        </w:drawing>
      </w:r>
      <w:r>
        <w:rPr>
          <w:rFonts w:hint="eastAsia" w:asciiTheme="minorEastAsia" w:hAnsiTheme="minorEastAsia" w:eastAsiaTheme="minorEastAsia" w:cstheme="minorEastAsia"/>
          <w:spacing w:val="8"/>
          <w:kern w:val="11"/>
          <w:sz w:val="24"/>
          <w:szCs w:val="24"/>
        </w:rPr>
        <w:t>其中，插针距离L1为6.3mm，插针直径D1为1.5mm。</w:t>
      </w:r>
    </w:p>
    <w:p w14:paraId="1A0BED9F">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C:模组要求</w:t>
      </w:r>
    </w:p>
    <w:p w14:paraId="56A7A33C">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整灯光衰在正常环境温度下，灯具正常工作6000小时光衰≤2%；整灯寿命≥50000小时，光衰≤30%。</w:t>
      </w:r>
    </w:p>
    <w:p w14:paraId="782E10A8">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7、其它要求</w:t>
      </w:r>
    </w:p>
    <w:p w14:paraId="1A41F166">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（1）灯具的设计应确保电源和LED模组能在现场的灯杆上替换，内部接线使用快接插头，并且能确保日常维护的方便，实现无需工具维护。</w:t>
      </w:r>
    </w:p>
    <w:p w14:paraId="6ED68CF9">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（2）电源仓开启方式</w:t>
      </w:r>
    </w:p>
    <w:p w14:paraId="37EB3221">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灯具电源仓通过高韧性的钢化弹片代替螺丝，不需要借助任何工具就可以实现灯具一键开启后盖的快速打开，打开的后盖应与灯具为一体式。</w:t>
      </w:r>
    </w:p>
    <w:p w14:paraId="54EEF7A0">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（3）灯具灯体为铝合金压铸灯体，表面防静电喷涂处理，强度符合国家标准要求。灯具应有二次或三次配光装置，翼型或矩形配光，配光曲线平滑，光线在地面分布均匀，不得有明暗区别。</w:t>
      </w:r>
    </w:p>
    <w:p w14:paraId="6E9E9495">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（4）适用电压范围：输入电压AC90-265V范围内应能正常工作。</w:t>
      </w:r>
    </w:p>
    <w:p w14:paraId="54B701B4">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（5）灯具强度符合国家标准，其中与安装孔相连的承重部位要有增厚等加强措施。</w:t>
      </w:r>
    </w:p>
    <w:p w14:paraId="0BC92DB0">
      <w:pPr>
        <w:spacing w:line="360" w:lineRule="auto"/>
        <w:ind w:firstLine="514" w:firstLineChars="200"/>
        <w:rPr>
          <w:rFonts w:hint="eastAsia" w:asciiTheme="minorEastAsia" w:hAnsiTheme="minorEastAsia" w:eastAsiaTheme="minorEastAsia" w:cstheme="minorEastAsia"/>
          <w:b/>
          <w:bCs/>
          <w:color w:val="auto"/>
          <w:spacing w:val="8"/>
          <w:kern w:val="11"/>
          <w:sz w:val="24"/>
          <w:szCs w:val="24"/>
        </w:rPr>
      </w:pPr>
      <w:r>
        <w:rPr>
          <w:rFonts w:hint="eastAsia" w:asciiTheme="minorEastAsia" w:hAnsiTheme="minorEastAsia" w:eastAsiaTheme="minorEastAsia" w:cstheme="minorEastAsia"/>
          <w:b/>
          <w:bCs/>
          <w:color w:val="auto"/>
          <w:spacing w:val="8"/>
          <w:kern w:val="11"/>
          <w:sz w:val="24"/>
          <w:szCs w:val="24"/>
        </w:rPr>
        <w:t>（三）灯杆的技术要求</w:t>
      </w:r>
    </w:p>
    <w:p w14:paraId="3FEA5D81">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10米高路灯：灯杆为矩形杆，壁厚不小于3.5mm，外观为白色，具体详见路灯灯型大样图 。</w:t>
      </w:r>
    </w:p>
    <w:p w14:paraId="1D11E9EB">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灯杆技术要求应符合QB/T 5093.1-2017《灯杆 第1部分：一般要求》的规定。</w:t>
      </w:r>
    </w:p>
    <w:p w14:paraId="53479DDC">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当整个灯杆的投影面上承受35m/s及以下的风速时，目测灯杆不应弯曲、结构构件不应转动。</w:t>
      </w:r>
    </w:p>
    <w:p w14:paraId="7D7FD151">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钢制灯杆防腐处理应符合QB/T 5093.2-2017《灯杆 第2部分：钢制灯杆》的规定，具体防腐蚀措施的要求如下:</w:t>
      </w:r>
    </w:p>
    <w:p w14:paraId="2B8E0CCF">
      <w:pPr>
        <w:numPr>
          <w:ilvl w:val="0"/>
          <w:numId w:val="4"/>
        </w:num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热浸锌工艺。表面应均匀、光滑、无毛刺，当灯杆壁厚大于或等于3mm且小于6mm时，其热浸锌层厚度不应小于70um，当灯杆壁厚大于或等于6mm时，其热浸锌层厚度不应小于85μm。</w:t>
      </w:r>
    </w:p>
    <w:p w14:paraId="038E28C2">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b)热浸铝工艺。表面应完好连续，不应出现漏渗，热浸铝层厚度不应小于80μm，涂覆量不应小于180g/m。</w:t>
      </w:r>
    </w:p>
    <w:p w14:paraId="7FBE5FDB">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c)喷漆工艺。表面应光滑均匀，不应有金属外露或有挂漆及皱褶等现象，油漆完成后的总厚度不应小于125μm。</w:t>
      </w:r>
    </w:p>
    <w:p w14:paraId="45705C67">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d）喷塑工艺。表面应平整光洁，应采用防紫外线塑粉，涂层的厚度不应小于60μm;</w:t>
      </w:r>
    </w:p>
    <w:p w14:paraId="0295C166">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e）采用其他防护方式，其涂层厚度不应小于40μm。</w:t>
      </w:r>
    </w:p>
    <w:p w14:paraId="462921B3">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热镀锌处理后应进行喷塑处理，其覆盖层应无鼓包、针孔、粗糙、裂纹或露喷区缺陷，覆盖层与基体应有牢固的结合强度。</w:t>
      </w:r>
    </w:p>
    <w:p w14:paraId="32FE99FC">
      <w:pPr>
        <w:numPr>
          <w:ilvl w:val="0"/>
          <w:numId w:val="5"/>
        </w:numPr>
        <w:spacing w:line="360" w:lineRule="auto"/>
        <w:ind w:firstLine="483" w:firstLineChars="188"/>
        <w:rPr>
          <w:rFonts w:hint="eastAsia" w:asciiTheme="minorEastAsia" w:hAnsiTheme="minorEastAsia" w:eastAsiaTheme="minorEastAsia" w:cstheme="minorEastAsia"/>
          <w:b/>
          <w:bCs/>
          <w:color w:val="auto"/>
          <w:spacing w:val="8"/>
          <w:kern w:val="11"/>
          <w:sz w:val="24"/>
          <w:szCs w:val="24"/>
        </w:rPr>
      </w:pPr>
      <w:r>
        <w:rPr>
          <w:rFonts w:hint="eastAsia" w:asciiTheme="minorEastAsia" w:hAnsiTheme="minorEastAsia" w:eastAsiaTheme="minorEastAsia" w:cstheme="minorEastAsia"/>
          <w:b/>
          <w:bCs/>
          <w:color w:val="auto"/>
          <w:spacing w:val="8"/>
          <w:kern w:val="11"/>
          <w:sz w:val="24"/>
          <w:szCs w:val="24"/>
        </w:rPr>
        <w:t>设备清册如下：</w:t>
      </w:r>
    </w:p>
    <w:p w14:paraId="6C662DBD">
      <w:pPr>
        <w:pStyle w:val="17"/>
        <w:ind w:firstLine="210"/>
        <w:rPr>
          <w:color w:val="auto"/>
        </w:rPr>
      </w:pPr>
    </w:p>
    <w:tbl>
      <w:tblPr>
        <w:tblStyle w:val="19"/>
        <w:tblW w:w="9419" w:type="dxa"/>
        <w:jc w:val="center"/>
        <w:tblLayout w:type="fixed"/>
        <w:tblCellMar>
          <w:top w:w="0" w:type="dxa"/>
          <w:left w:w="0" w:type="dxa"/>
          <w:bottom w:w="0" w:type="dxa"/>
          <w:right w:w="0" w:type="dxa"/>
        </w:tblCellMar>
      </w:tblPr>
      <w:tblGrid>
        <w:gridCol w:w="2972"/>
        <w:gridCol w:w="2384"/>
        <w:gridCol w:w="2429"/>
        <w:gridCol w:w="1634"/>
      </w:tblGrid>
      <w:tr w14:paraId="0D26DA57">
        <w:tblPrEx>
          <w:tblCellMar>
            <w:top w:w="0" w:type="dxa"/>
            <w:left w:w="0" w:type="dxa"/>
            <w:bottom w:w="0" w:type="dxa"/>
            <w:right w:w="0" w:type="dxa"/>
          </w:tblCellMar>
        </w:tblPrEx>
        <w:trPr>
          <w:trHeight w:val="550" w:hRule="atLeast"/>
          <w:jc w:val="center"/>
        </w:trPr>
        <w:tc>
          <w:tcPr>
            <w:tcW w:w="2972" w:type="dxa"/>
            <w:vMerge w:val="restart"/>
            <w:tcBorders>
              <w:top w:val="single" w:color="000000" w:sz="4" w:space="0"/>
              <w:left w:val="single" w:color="000000" w:sz="4" w:space="0"/>
              <w:bottom w:val="single" w:color="000000" w:sz="4" w:space="0"/>
              <w:right w:val="single" w:color="000000" w:sz="4" w:space="0"/>
            </w:tcBorders>
          </w:tcPr>
          <w:p w14:paraId="26F599A8">
            <w:pPr>
              <w:widowControl w:val="0"/>
              <w:kinsoku w:val="0"/>
              <w:overflowPunct w:val="0"/>
              <w:autoSpaceDE w:val="0"/>
              <w:autoSpaceDN w:val="0"/>
              <w:adjustRightInd w:val="0"/>
              <w:spacing w:before="198" w:line="360" w:lineRule="auto"/>
              <w:jc w:val="left"/>
              <w:textAlignment w:val="auto"/>
              <w:rPr>
                <w:rFonts w:hint="eastAsia" w:asciiTheme="minorEastAsia" w:hAnsiTheme="minorEastAsia" w:eastAsiaTheme="minorEastAsia" w:cstheme="minorEastAsia"/>
                <w:color w:val="auto"/>
                <w:sz w:val="24"/>
                <w:szCs w:val="24"/>
              </w:rPr>
            </w:pPr>
          </w:p>
          <w:p w14:paraId="37148E62">
            <w:pPr>
              <w:widowControl w:val="0"/>
              <w:kinsoku w:val="0"/>
              <w:overflowPunct w:val="0"/>
              <w:autoSpaceDE w:val="0"/>
              <w:autoSpaceDN w:val="0"/>
              <w:adjustRightInd w:val="0"/>
              <w:spacing w:line="360" w:lineRule="auto"/>
              <w:ind w:right="36"/>
              <w:jc w:val="center"/>
              <w:textAlignment w:val="auto"/>
              <w:rPr>
                <w:rFonts w:hint="eastAsia" w:asciiTheme="minorEastAsia" w:hAnsiTheme="minorEastAsia" w:eastAsiaTheme="minorEastAsia" w:cstheme="minorEastAsia"/>
                <w:color w:val="auto"/>
                <w:spacing w:val="16"/>
                <w:sz w:val="24"/>
                <w:szCs w:val="24"/>
              </w:rPr>
            </w:pPr>
            <w:r>
              <w:rPr>
                <w:rFonts w:hint="eastAsia" w:asciiTheme="minorEastAsia" w:hAnsiTheme="minorEastAsia" w:eastAsiaTheme="minorEastAsia" w:cstheme="minorEastAsia"/>
                <w:color w:val="auto"/>
                <w:spacing w:val="16"/>
                <w:sz w:val="24"/>
                <w:szCs w:val="24"/>
              </w:rPr>
              <w:t>名称</w:t>
            </w:r>
          </w:p>
        </w:tc>
        <w:tc>
          <w:tcPr>
            <w:tcW w:w="4813" w:type="dxa"/>
            <w:gridSpan w:val="2"/>
            <w:tcBorders>
              <w:top w:val="single" w:color="000000" w:sz="4" w:space="0"/>
              <w:left w:val="single" w:color="000000" w:sz="4" w:space="0"/>
              <w:bottom w:val="single" w:color="000000" w:sz="4" w:space="0"/>
              <w:right w:val="single" w:color="000000" w:sz="4" w:space="0"/>
            </w:tcBorders>
          </w:tcPr>
          <w:p w14:paraId="2AA722F7">
            <w:pPr>
              <w:widowControl w:val="0"/>
              <w:kinsoku w:val="0"/>
              <w:overflowPunct w:val="0"/>
              <w:autoSpaceDE w:val="0"/>
              <w:autoSpaceDN w:val="0"/>
              <w:adjustRightInd w:val="0"/>
              <w:spacing w:before="181" w:line="360" w:lineRule="auto"/>
              <w:ind w:right="32"/>
              <w:jc w:val="center"/>
              <w:textAlignment w:val="auto"/>
              <w:rPr>
                <w:rFonts w:hint="eastAsia" w:asciiTheme="minorEastAsia" w:hAnsiTheme="minorEastAsia" w:eastAsiaTheme="minorEastAsia" w:cstheme="minorEastAsia"/>
                <w:color w:val="auto"/>
                <w:spacing w:val="16"/>
                <w:sz w:val="24"/>
                <w:szCs w:val="24"/>
              </w:rPr>
            </w:pPr>
            <w:r>
              <w:rPr>
                <w:rFonts w:hint="eastAsia" w:asciiTheme="minorEastAsia" w:hAnsiTheme="minorEastAsia" w:eastAsiaTheme="minorEastAsia" w:cstheme="minorEastAsia"/>
                <w:color w:val="auto"/>
                <w:spacing w:val="16"/>
                <w:sz w:val="24"/>
                <w:szCs w:val="24"/>
              </w:rPr>
              <w:t>规格</w:t>
            </w:r>
          </w:p>
        </w:tc>
        <w:tc>
          <w:tcPr>
            <w:tcW w:w="1634" w:type="dxa"/>
            <w:vMerge w:val="restart"/>
            <w:tcBorders>
              <w:top w:val="single" w:color="000000" w:sz="4" w:space="0"/>
              <w:left w:val="single" w:color="000000" w:sz="4" w:space="0"/>
              <w:bottom w:val="single" w:color="000000" w:sz="4" w:space="0"/>
              <w:right w:val="single" w:color="000000" w:sz="4" w:space="0"/>
            </w:tcBorders>
          </w:tcPr>
          <w:p w14:paraId="68F51DA4">
            <w:pPr>
              <w:widowControl w:val="0"/>
              <w:kinsoku w:val="0"/>
              <w:overflowPunct w:val="0"/>
              <w:autoSpaceDE w:val="0"/>
              <w:autoSpaceDN w:val="0"/>
              <w:adjustRightInd w:val="0"/>
              <w:spacing w:before="198" w:line="360" w:lineRule="auto"/>
              <w:jc w:val="left"/>
              <w:textAlignment w:val="auto"/>
              <w:rPr>
                <w:rFonts w:hint="eastAsia" w:asciiTheme="minorEastAsia" w:hAnsiTheme="minorEastAsia" w:eastAsiaTheme="minorEastAsia" w:cstheme="minorEastAsia"/>
                <w:color w:val="auto"/>
                <w:sz w:val="24"/>
                <w:szCs w:val="24"/>
              </w:rPr>
            </w:pPr>
          </w:p>
          <w:p w14:paraId="1E7F1A76">
            <w:pPr>
              <w:widowControl w:val="0"/>
              <w:kinsoku w:val="0"/>
              <w:overflowPunct w:val="0"/>
              <w:autoSpaceDE w:val="0"/>
              <w:autoSpaceDN w:val="0"/>
              <w:adjustRightInd w:val="0"/>
              <w:spacing w:line="360" w:lineRule="auto"/>
              <w:ind w:left="426"/>
              <w:jc w:val="left"/>
              <w:textAlignment w:val="auto"/>
              <w:rPr>
                <w:rFonts w:hint="eastAsia" w:asciiTheme="minorEastAsia" w:hAnsiTheme="minorEastAsia" w:eastAsiaTheme="minorEastAsia" w:cstheme="minorEastAsia"/>
                <w:color w:val="auto"/>
                <w:spacing w:val="16"/>
                <w:sz w:val="24"/>
                <w:szCs w:val="24"/>
              </w:rPr>
            </w:pPr>
            <w:r>
              <w:rPr>
                <w:rFonts w:hint="eastAsia" w:asciiTheme="minorEastAsia" w:hAnsiTheme="minorEastAsia" w:eastAsiaTheme="minorEastAsia" w:cstheme="minorEastAsia"/>
                <w:color w:val="auto"/>
                <w:spacing w:val="16"/>
                <w:sz w:val="24"/>
                <w:szCs w:val="24"/>
              </w:rPr>
              <w:t>数量</w:t>
            </w:r>
          </w:p>
        </w:tc>
      </w:tr>
      <w:tr w14:paraId="5A0412FD">
        <w:tblPrEx>
          <w:tblCellMar>
            <w:top w:w="0" w:type="dxa"/>
            <w:left w:w="0" w:type="dxa"/>
            <w:bottom w:w="0" w:type="dxa"/>
            <w:right w:w="0" w:type="dxa"/>
          </w:tblCellMar>
        </w:tblPrEx>
        <w:trPr>
          <w:trHeight w:val="528" w:hRule="atLeast"/>
          <w:jc w:val="center"/>
        </w:trPr>
        <w:tc>
          <w:tcPr>
            <w:tcW w:w="2972" w:type="dxa"/>
            <w:vMerge w:val="continue"/>
            <w:tcBorders>
              <w:top w:val="nil"/>
              <w:left w:val="single" w:color="000000" w:sz="4" w:space="0"/>
              <w:bottom w:val="single" w:color="000000" w:sz="4" w:space="0"/>
              <w:right w:val="single" w:color="000000" w:sz="4" w:space="0"/>
            </w:tcBorders>
          </w:tcPr>
          <w:p w14:paraId="2692FB4C">
            <w:pPr>
              <w:widowControl w:val="0"/>
              <w:kinsoku w:val="0"/>
              <w:overflowPunct w:val="0"/>
              <w:autoSpaceDE w:val="0"/>
              <w:autoSpaceDN w:val="0"/>
              <w:adjustRightInd w:val="0"/>
              <w:spacing w:before="4" w:after="1" w:line="360" w:lineRule="auto"/>
              <w:jc w:val="left"/>
              <w:textAlignment w:val="auto"/>
              <w:rPr>
                <w:rFonts w:hint="eastAsia" w:asciiTheme="minorEastAsia" w:hAnsiTheme="minorEastAsia" w:eastAsiaTheme="minorEastAsia" w:cstheme="minorEastAsia"/>
                <w:color w:val="auto"/>
                <w:sz w:val="24"/>
                <w:szCs w:val="24"/>
              </w:rPr>
            </w:pPr>
          </w:p>
        </w:tc>
        <w:tc>
          <w:tcPr>
            <w:tcW w:w="2384" w:type="dxa"/>
            <w:tcBorders>
              <w:top w:val="single" w:color="000000" w:sz="4" w:space="0"/>
              <w:left w:val="single" w:color="000000" w:sz="4" w:space="0"/>
              <w:bottom w:val="single" w:color="000000" w:sz="4" w:space="0"/>
              <w:right w:val="single" w:color="000000" w:sz="4" w:space="0"/>
            </w:tcBorders>
          </w:tcPr>
          <w:p w14:paraId="6FBF5538">
            <w:pPr>
              <w:widowControl w:val="0"/>
              <w:kinsoku w:val="0"/>
              <w:overflowPunct w:val="0"/>
              <w:autoSpaceDE w:val="0"/>
              <w:autoSpaceDN w:val="0"/>
              <w:adjustRightInd w:val="0"/>
              <w:spacing w:before="155" w:line="360" w:lineRule="auto"/>
              <w:ind w:right="32"/>
              <w:jc w:val="center"/>
              <w:textAlignment w:val="auto"/>
              <w:rPr>
                <w:rFonts w:hint="eastAsia" w:asciiTheme="minorEastAsia" w:hAnsiTheme="minorEastAsia" w:eastAsiaTheme="minorEastAsia" w:cstheme="minorEastAsia"/>
                <w:color w:val="auto"/>
                <w:spacing w:val="29"/>
                <w:sz w:val="24"/>
                <w:szCs w:val="24"/>
              </w:rPr>
            </w:pPr>
            <w:r>
              <w:rPr>
                <w:rFonts w:hint="eastAsia" w:asciiTheme="minorEastAsia" w:hAnsiTheme="minorEastAsia" w:eastAsiaTheme="minorEastAsia" w:cstheme="minorEastAsia"/>
                <w:color w:val="auto"/>
                <w:spacing w:val="29"/>
                <w:sz w:val="24"/>
                <w:szCs w:val="24"/>
              </w:rPr>
              <w:t>基础螺距</w:t>
            </w:r>
          </w:p>
        </w:tc>
        <w:tc>
          <w:tcPr>
            <w:tcW w:w="2429" w:type="dxa"/>
            <w:tcBorders>
              <w:top w:val="single" w:color="000000" w:sz="4" w:space="0"/>
              <w:left w:val="single" w:color="000000" w:sz="4" w:space="0"/>
              <w:bottom w:val="single" w:color="000000" w:sz="4" w:space="0"/>
              <w:right w:val="single" w:color="000000" w:sz="4" w:space="0"/>
            </w:tcBorders>
          </w:tcPr>
          <w:p w14:paraId="1A35318B">
            <w:pPr>
              <w:widowControl w:val="0"/>
              <w:kinsoku w:val="0"/>
              <w:overflowPunct w:val="0"/>
              <w:autoSpaceDE w:val="0"/>
              <w:autoSpaceDN w:val="0"/>
              <w:adjustRightInd w:val="0"/>
              <w:spacing w:before="155" w:line="360" w:lineRule="auto"/>
              <w:ind w:right="36"/>
              <w:jc w:val="center"/>
              <w:textAlignment w:val="auto"/>
              <w:rPr>
                <w:rFonts w:hint="eastAsia" w:asciiTheme="minorEastAsia" w:hAnsiTheme="minorEastAsia" w:eastAsiaTheme="minorEastAsia" w:cstheme="minorEastAsia"/>
                <w:color w:val="auto"/>
                <w:spacing w:val="16"/>
                <w:sz w:val="24"/>
                <w:szCs w:val="24"/>
              </w:rPr>
            </w:pPr>
            <w:r>
              <w:rPr>
                <w:rFonts w:hint="eastAsia" w:asciiTheme="minorEastAsia" w:hAnsiTheme="minorEastAsia" w:eastAsiaTheme="minorEastAsia" w:cstheme="minorEastAsia"/>
                <w:color w:val="auto"/>
                <w:spacing w:val="16"/>
                <w:sz w:val="24"/>
                <w:szCs w:val="24"/>
              </w:rPr>
              <w:t>光源</w:t>
            </w:r>
          </w:p>
        </w:tc>
        <w:tc>
          <w:tcPr>
            <w:tcW w:w="1634" w:type="dxa"/>
            <w:vMerge w:val="continue"/>
            <w:tcBorders>
              <w:top w:val="nil"/>
              <w:left w:val="single" w:color="000000" w:sz="4" w:space="0"/>
              <w:bottom w:val="single" w:color="000000" w:sz="4" w:space="0"/>
              <w:right w:val="single" w:color="000000" w:sz="4" w:space="0"/>
            </w:tcBorders>
          </w:tcPr>
          <w:p w14:paraId="05BA6011">
            <w:pPr>
              <w:widowControl w:val="0"/>
              <w:kinsoku w:val="0"/>
              <w:overflowPunct w:val="0"/>
              <w:autoSpaceDE w:val="0"/>
              <w:autoSpaceDN w:val="0"/>
              <w:adjustRightInd w:val="0"/>
              <w:spacing w:before="4" w:after="1" w:line="360" w:lineRule="auto"/>
              <w:jc w:val="left"/>
              <w:textAlignment w:val="auto"/>
              <w:rPr>
                <w:rFonts w:hint="eastAsia" w:asciiTheme="minorEastAsia" w:hAnsiTheme="minorEastAsia" w:eastAsiaTheme="minorEastAsia" w:cstheme="minorEastAsia"/>
                <w:color w:val="auto"/>
                <w:sz w:val="24"/>
                <w:szCs w:val="24"/>
              </w:rPr>
            </w:pPr>
          </w:p>
        </w:tc>
      </w:tr>
      <w:tr w14:paraId="596BBB6C">
        <w:tblPrEx>
          <w:tblCellMar>
            <w:top w:w="0" w:type="dxa"/>
            <w:left w:w="0" w:type="dxa"/>
            <w:bottom w:w="0" w:type="dxa"/>
            <w:right w:w="0" w:type="dxa"/>
          </w:tblCellMar>
        </w:tblPrEx>
        <w:trPr>
          <w:trHeight w:val="902" w:hRule="atLeast"/>
          <w:jc w:val="center"/>
        </w:trPr>
        <w:tc>
          <w:tcPr>
            <w:tcW w:w="2972" w:type="dxa"/>
            <w:tcBorders>
              <w:top w:val="single" w:color="000000" w:sz="4" w:space="0"/>
              <w:left w:val="single" w:color="000000" w:sz="4" w:space="0"/>
              <w:bottom w:val="single" w:color="000000" w:sz="4" w:space="0"/>
              <w:right w:val="single" w:color="000000" w:sz="4" w:space="0"/>
            </w:tcBorders>
          </w:tcPr>
          <w:p w14:paraId="69595132">
            <w:pPr>
              <w:widowControl w:val="0"/>
              <w:kinsoku w:val="0"/>
              <w:overflowPunct w:val="0"/>
              <w:autoSpaceDE w:val="0"/>
              <w:autoSpaceDN w:val="0"/>
              <w:adjustRightInd w:val="0"/>
              <w:spacing w:before="135" w:line="360" w:lineRule="auto"/>
              <w:ind w:left="4" w:right="36"/>
              <w:jc w:val="center"/>
              <w:textAlignment w:val="auto"/>
              <w:rPr>
                <w:rFonts w:hint="eastAsia" w:asciiTheme="minorEastAsia" w:hAnsiTheme="minorEastAsia" w:eastAsiaTheme="minorEastAsia" w:cstheme="minorEastAsia"/>
                <w:color w:val="auto"/>
                <w:spacing w:val="31"/>
                <w:sz w:val="24"/>
                <w:szCs w:val="24"/>
              </w:rPr>
            </w:pPr>
            <w:r>
              <w:rPr>
                <w:rFonts w:hint="eastAsia" w:asciiTheme="minorEastAsia" w:hAnsiTheme="minorEastAsia" w:eastAsiaTheme="minorEastAsia" w:cstheme="minorEastAsia"/>
                <w:color w:val="auto"/>
                <w:spacing w:val="10"/>
                <w:sz w:val="24"/>
                <w:szCs w:val="24"/>
              </w:rPr>
              <w:t>10</w:t>
            </w:r>
            <w:r>
              <w:rPr>
                <w:rFonts w:hint="eastAsia" w:asciiTheme="minorEastAsia" w:hAnsiTheme="minorEastAsia" w:eastAsiaTheme="minorEastAsia" w:cstheme="minorEastAsia"/>
                <w:color w:val="auto"/>
                <w:spacing w:val="31"/>
                <w:sz w:val="24"/>
                <w:szCs w:val="24"/>
              </w:rPr>
              <w:t xml:space="preserve"> 米高双挑路灯</w:t>
            </w:r>
          </w:p>
        </w:tc>
        <w:tc>
          <w:tcPr>
            <w:tcW w:w="2384" w:type="dxa"/>
            <w:tcBorders>
              <w:top w:val="single" w:color="000000" w:sz="4" w:space="0"/>
              <w:left w:val="single" w:color="000000" w:sz="4" w:space="0"/>
              <w:bottom w:val="single" w:color="000000" w:sz="4" w:space="0"/>
              <w:right w:val="single" w:color="000000" w:sz="4" w:space="0"/>
            </w:tcBorders>
          </w:tcPr>
          <w:p w14:paraId="228CCA7A">
            <w:pPr>
              <w:widowControl w:val="0"/>
              <w:kinsoku w:val="0"/>
              <w:overflowPunct w:val="0"/>
              <w:autoSpaceDE w:val="0"/>
              <w:autoSpaceDN w:val="0"/>
              <w:adjustRightInd w:val="0"/>
              <w:spacing w:before="135" w:line="360" w:lineRule="auto"/>
              <w:ind w:left="23" w:right="32"/>
              <w:jc w:val="center"/>
              <w:textAlignment w:val="auto"/>
              <w:rPr>
                <w:rFonts w:hint="eastAsia" w:asciiTheme="minorEastAsia" w:hAnsiTheme="minorEastAsia" w:eastAsiaTheme="minorEastAsia" w:cstheme="minorEastAsia"/>
                <w:color w:val="auto"/>
                <w:spacing w:val="10"/>
                <w:sz w:val="24"/>
                <w:szCs w:val="24"/>
              </w:rPr>
            </w:pPr>
            <w:r>
              <w:rPr>
                <w:rFonts w:hint="eastAsia" w:asciiTheme="minorEastAsia" w:hAnsiTheme="minorEastAsia" w:eastAsiaTheme="minorEastAsia" w:cstheme="minorEastAsia"/>
                <w:color w:val="auto"/>
                <w:spacing w:val="14"/>
                <w:sz w:val="24"/>
                <w:szCs w:val="24"/>
              </w:rPr>
              <w:t>280</w:t>
            </w:r>
            <w:r>
              <w:rPr>
                <w:rFonts w:hint="eastAsia" w:asciiTheme="minorEastAsia" w:hAnsiTheme="minorEastAsia" w:eastAsiaTheme="minorEastAsia" w:cstheme="minorEastAsia"/>
                <w:color w:val="auto"/>
                <w:spacing w:val="-92"/>
                <w:sz w:val="24"/>
                <w:szCs w:val="24"/>
              </w:rPr>
              <w:t xml:space="preserve"> </w:t>
            </w:r>
            <w:r>
              <w:rPr>
                <w:rFonts w:hint="eastAsia" w:asciiTheme="minorEastAsia" w:hAnsiTheme="minorEastAsia" w:eastAsiaTheme="minorEastAsia" w:cstheme="minorEastAsia"/>
                <w:color w:val="auto"/>
                <w:spacing w:val="14"/>
                <w:sz w:val="24"/>
                <w:szCs w:val="24"/>
              </w:rPr>
              <w:t>mm*</w:t>
            </w:r>
            <w:r>
              <w:rPr>
                <w:rFonts w:hint="eastAsia" w:asciiTheme="minorEastAsia" w:hAnsiTheme="minorEastAsia" w:eastAsiaTheme="minorEastAsia" w:cstheme="minorEastAsia"/>
                <w:color w:val="auto"/>
                <w:spacing w:val="-92"/>
                <w:sz w:val="24"/>
                <w:szCs w:val="24"/>
              </w:rPr>
              <w:t xml:space="preserve"> </w:t>
            </w:r>
            <w:r>
              <w:rPr>
                <w:rFonts w:hint="eastAsia" w:asciiTheme="minorEastAsia" w:hAnsiTheme="minorEastAsia" w:eastAsiaTheme="minorEastAsia" w:cstheme="minorEastAsia"/>
                <w:color w:val="auto"/>
                <w:spacing w:val="15"/>
                <w:sz w:val="24"/>
                <w:szCs w:val="24"/>
              </w:rPr>
              <w:t>280</w:t>
            </w:r>
            <w:r>
              <w:rPr>
                <w:rFonts w:hint="eastAsia" w:asciiTheme="minorEastAsia" w:hAnsiTheme="minorEastAsia" w:eastAsiaTheme="minorEastAsia" w:cstheme="minorEastAsia"/>
                <w:color w:val="auto"/>
                <w:spacing w:val="-92"/>
                <w:sz w:val="24"/>
                <w:szCs w:val="24"/>
              </w:rPr>
              <w:t xml:space="preserve"> </w:t>
            </w:r>
            <w:r>
              <w:rPr>
                <w:rFonts w:hint="eastAsia" w:asciiTheme="minorEastAsia" w:hAnsiTheme="minorEastAsia" w:eastAsiaTheme="minorEastAsia" w:cstheme="minorEastAsia"/>
                <w:color w:val="auto"/>
                <w:spacing w:val="10"/>
                <w:sz w:val="24"/>
                <w:szCs w:val="24"/>
              </w:rPr>
              <w:t>mm</w:t>
            </w:r>
          </w:p>
        </w:tc>
        <w:tc>
          <w:tcPr>
            <w:tcW w:w="2429" w:type="dxa"/>
            <w:tcBorders>
              <w:top w:val="single" w:color="000000" w:sz="4" w:space="0"/>
              <w:left w:val="single" w:color="000000" w:sz="4" w:space="0"/>
              <w:bottom w:val="single" w:color="000000" w:sz="4" w:space="0"/>
              <w:right w:val="single" w:color="000000" w:sz="4" w:space="0"/>
            </w:tcBorders>
          </w:tcPr>
          <w:p w14:paraId="0E405F99">
            <w:pPr>
              <w:widowControl w:val="0"/>
              <w:kinsoku w:val="0"/>
              <w:overflowPunct w:val="0"/>
              <w:autoSpaceDE w:val="0"/>
              <w:autoSpaceDN w:val="0"/>
              <w:adjustRightInd w:val="0"/>
              <w:spacing w:before="135" w:line="360" w:lineRule="auto"/>
              <w:ind w:left="24" w:right="36"/>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4"/>
                <w:sz w:val="24"/>
                <w:szCs w:val="24"/>
              </w:rPr>
              <w:t>LED灯具</w:t>
            </w:r>
            <w:r>
              <w:rPr>
                <w:rFonts w:hint="eastAsia" w:asciiTheme="minorEastAsia" w:hAnsiTheme="minorEastAsia" w:eastAsiaTheme="minorEastAsia" w:cstheme="minorEastAsia"/>
                <w:color w:val="auto"/>
                <w:spacing w:val="-88"/>
                <w:sz w:val="24"/>
                <w:szCs w:val="24"/>
              </w:rPr>
              <w:t xml:space="preserve"> </w:t>
            </w:r>
            <w:r>
              <w:rPr>
                <w:rFonts w:hint="eastAsia" w:asciiTheme="minorEastAsia" w:hAnsiTheme="minorEastAsia" w:eastAsiaTheme="minorEastAsia" w:cstheme="minorEastAsia"/>
                <w:color w:val="auto"/>
                <w:spacing w:val="14"/>
                <w:sz w:val="24"/>
                <w:szCs w:val="24"/>
              </w:rPr>
              <w:t>200</w:t>
            </w:r>
            <w:r>
              <w:rPr>
                <w:rFonts w:hint="eastAsia" w:asciiTheme="minorEastAsia" w:hAnsiTheme="minorEastAsia" w:eastAsiaTheme="minorEastAsia" w:cstheme="minorEastAsia"/>
                <w:color w:val="auto"/>
                <w:spacing w:val="-88"/>
                <w:sz w:val="24"/>
                <w:szCs w:val="24"/>
              </w:rPr>
              <w:t xml:space="preserve"> </w:t>
            </w:r>
            <w:r>
              <w:rPr>
                <w:rFonts w:hint="eastAsia" w:asciiTheme="minorEastAsia" w:hAnsiTheme="minorEastAsia" w:eastAsiaTheme="minorEastAsia" w:cstheme="minorEastAsia"/>
                <w:color w:val="auto"/>
                <w:spacing w:val="10"/>
                <w:sz w:val="24"/>
                <w:szCs w:val="24"/>
              </w:rPr>
              <w:t>W+</w:t>
            </w:r>
            <w:r>
              <w:rPr>
                <w:rFonts w:hint="eastAsia" w:asciiTheme="minorEastAsia" w:hAnsiTheme="minorEastAsia" w:eastAsiaTheme="minorEastAsia" w:cstheme="minorEastAsia"/>
                <w:color w:val="auto"/>
                <w:spacing w:val="-84"/>
                <w:sz w:val="24"/>
                <w:szCs w:val="24"/>
              </w:rPr>
              <w:t xml:space="preserve"> </w:t>
            </w:r>
            <w:r>
              <w:rPr>
                <w:rFonts w:hint="eastAsia" w:asciiTheme="minorEastAsia" w:hAnsiTheme="minorEastAsia" w:eastAsiaTheme="minorEastAsia" w:cstheme="minorEastAsia"/>
                <w:color w:val="auto"/>
                <w:spacing w:val="14"/>
                <w:sz w:val="24"/>
                <w:szCs w:val="24"/>
              </w:rPr>
              <w:t>150</w:t>
            </w:r>
            <w:r>
              <w:rPr>
                <w:rFonts w:hint="eastAsia" w:asciiTheme="minorEastAsia" w:hAnsiTheme="minorEastAsia" w:eastAsiaTheme="minorEastAsia" w:cstheme="minorEastAsia"/>
                <w:color w:val="auto"/>
                <w:spacing w:val="-88"/>
                <w:sz w:val="24"/>
                <w:szCs w:val="24"/>
              </w:rPr>
              <w:t xml:space="preserve"> </w:t>
            </w:r>
            <w:r>
              <w:rPr>
                <w:rFonts w:hint="eastAsia" w:asciiTheme="minorEastAsia" w:hAnsiTheme="minorEastAsia" w:eastAsiaTheme="minorEastAsia" w:cstheme="minorEastAsia"/>
                <w:color w:val="auto"/>
                <w:sz w:val="24"/>
                <w:szCs w:val="24"/>
              </w:rPr>
              <w:t>W</w:t>
            </w:r>
          </w:p>
        </w:tc>
        <w:tc>
          <w:tcPr>
            <w:tcW w:w="1634" w:type="dxa"/>
            <w:tcBorders>
              <w:top w:val="single" w:color="000000" w:sz="4" w:space="0"/>
              <w:left w:val="single" w:color="000000" w:sz="4" w:space="0"/>
              <w:bottom w:val="single" w:color="000000" w:sz="4" w:space="0"/>
              <w:right w:val="single" w:color="000000" w:sz="4" w:space="0"/>
            </w:tcBorders>
          </w:tcPr>
          <w:p w14:paraId="56A029AD">
            <w:pPr>
              <w:widowControl w:val="0"/>
              <w:kinsoku w:val="0"/>
              <w:overflowPunct w:val="0"/>
              <w:autoSpaceDE w:val="0"/>
              <w:autoSpaceDN w:val="0"/>
              <w:adjustRightInd w:val="0"/>
              <w:spacing w:before="135" w:line="360" w:lineRule="auto"/>
              <w:ind w:right="30"/>
              <w:jc w:val="center"/>
              <w:textAlignment w:val="auto"/>
              <w:rPr>
                <w:rFonts w:hint="eastAsia" w:asciiTheme="minorEastAsia" w:hAnsiTheme="minorEastAsia" w:eastAsiaTheme="minorEastAsia" w:cstheme="minorEastAsia"/>
                <w:color w:val="auto"/>
                <w:spacing w:val="5"/>
                <w:sz w:val="24"/>
                <w:szCs w:val="24"/>
              </w:rPr>
            </w:pPr>
            <w:r>
              <w:rPr>
                <w:rFonts w:hint="eastAsia" w:asciiTheme="minorEastAsia" w:hAnsiTheme="minorEastAsia" w:eastAsiaTheme="minorEastAsia" w:cstheme="minorEastAsia"/>
                <w:color w:val="auto"/>
                <w:spacing w:val="10"/>
                <w:sz w:val="24"/>
                <w:szCs w:val="24"/>
              </w:rPr>
              <w:t>42</w:t>
            </w:r>
            <w:r>
              <w:rPr>
                <w:rFonts w:hint="eastAsia" w:asciiTheme="minorEastAsia" w:hAnsiTheme="minorEastAsia" w:eastAsiaTheme="minorEastAsia" w:cstheme="minorEastAsia"/>
                <w:color w:val="auto"/>
                <w:spacing w:val="5"/>
                <w:sz w:val="24"/>
                <w:szCs w:val="24"/>
              </w:rPr>
              <w:t xml:space="preserve"> 套</w:t>
            </w:r>
          </w:p>
        </w:tc>
      </w:tr>
      <w:tr w14:paraId="7DA2094B">
        <w:tblPrEx>
          <w:tblCellMar>
            <w:top w:w="0" w:type="dxa"/>
            <w:left w:w="0" w:type="dxa"/>
            <w:bottom w:w="0" w:type="dxa"/>
            <w:right w:w="0" w:type="dxa"/>
          </w:tblCellMar>
        </w:tblPrEx>
        <w:trPr>
          <w:trHeight w:val="902" w:hRule="atLeast"/>
          <w:jc w:val="center"/>
        </w:trPr>
        <w:tc>
          <w:tcPr>
            <w:tcW w:w="2972" w:type="dxa"/>
            <w:tcBorders>
              <w:top w:val="single" w:color="000000" w:sz="4" w:space="0"/>
              <w:left w:val="single" w:color="000000" w:sz="4" w:space="0"/>
              <w:bottom w:val="single" w:color="000000" w:sz="4" w:space="0"/>
              <w:right w:val="single" w:color="000000" w:sz="4" w:space="0"/>
            </w:tcBorders>
          </w:tcPr>
          <w:p w14:paraId="1501F574">
            <w:pPr>
              <w:widowControl w:val="0"/>
              <w:kinsoku w:val="0"/>
              <w:overflowPunct w:val="0"/>
              <w:autoSpaceDE w:val="0"/>
              <w:autoSpaceDN w:val="0"/>
              <w:adjustRightInd w:val="0"/>
              <w:spacing w:before="135" w:line="360" w:lineRule="auto"/>
              <w:ind w:left="4" w:right="36"/>
              <w:jc w:val="center"/>
              <w:textAlignment w:val="auto"/>
              <w:rPr>
                <w:rFonts w:hint="eastAsia" w:asciiTheme="minorEastAsia" w:hAnsiTheme="minorEastAsia" w:eastAsiaTheme="minorEastAsia" w:cstheme="minorEastAsia"/>
                <w:color w:val="auto"/>
                <w:spacing w:val="31"/>
                <w:sz w:val="24"/>
                <w:szCs w:val="24"/>
              </w:rPr>
            </w:pPr>
            <w:r>
              <w:rPr>
                <w:rFonts w:hint="eastAsia" w:asciiTheme="minorEastAsia" w:hAnsiTheme="minorEastAsia" w:eastAsiaTheme="minorEastAsia" w:cstheme="minorEastAsia"/>
                <w:color w:val="auto"/>
                <w:spacing w:val="10"/>
                <w:sz w:val="24"/>
                <w:szCs w:val="24"/>
              </w:rPr>
              <w:t>10</w:t>
            </w:r>
            <w:r>
              <w:rPr>
                <w:rFonts w:hint="eastAsia" w:asciiTheme="minorEastAsia" w:hAnsiTheme="minorEastAsia" w:eastAsiaTheme="minorEastAsia" w:cstheme="minorEastAsia"/>
                <w:color w:val="auto"/>
                <w:spacing w:val="31"/>
                <w:sz w:val="24"/>
                <w:szCs w:val="24"/>
              </w:rPr>
              <w:t xml:space="preserve"> 米高双挑路灯</w:t>
            </w:r>
          </w:p>
        </w:tc>
        <w:tc>
          <w:tcPr>
            <w:tcW w:w="2384" w:type="dxa"/>
            <w:tcBorders>
              <w:top w:val="single" w:color="000000" w:sz="4" w:space="0"/>
              <w:left w:val="single" w:color="000000" w:sz="4" w:space="0"/>
              <w:bottom w:val="single" w:color="000000" w:sz="4" w:space="0"/>
              <w:right w:val="single" w:color="000000" w:sz="4" w:space="0"/>
            </w:tcBorders>
          </w:tcPr>
          <w:p w14:paraId="0732271B">
            <w:pPr>
              <w:widowControl w:val="0"/>
              <w:kinsoku w:val="0"/>
              <w:overflowPunct w:val="0"/>
              <w:autoSpaceDE w:val="0"/>
              <w:autoSpaceDN w:val="0"/>
              <w:adjustRightInd w:val="0"/>
              <w:spacing w:before="135" w:line="360" w:lineRule="auto"/>
              <w:ind w:left="23" w:right="32"/>
              <w:jc w:val="center"/>
              <w:textAlignment w:val="auto"/>
              <w:rPr>
                <w:rFonts w:hint="eastAsia" w:asciiTheme="minorEastAsia" w:hAnsiTheme="minorEastAsia" w:eastAsiaTheme="minorEastAsia" w:cstheme="minorEastAsia"/>
                <w:color w:val="auto"/>
                <w:spacing w:val="10"/>
                <w:sz w:val="24"/>
                <w:szCs w:val="24"/>
              </w:rPr>
            </w:pPr>
            <w:r>
              <w:rPr>
                <w:rFonts w:hint="eastAsia" w:asciiTheme="minorEastAsia" w:hAnsiTheme="minorEastAsia" w:eastAsiaTheme="minorEastAsia" w:cstheme="minorEastAsia"/>
                <w:color w:val="auto"/>
                <w:spacing w:val="14"/>
                <w:sz w:val="24"/>
                <w:szCs w:val="24"/>
              </w:rPr>
              <w:t>240</w:t>
            </w:r>
            <w:r>
              <w:rPr>
                <w:rFonts w:hint="eastAsia" w:asciiTheme="minorEastAsia" w:hAnsiTheme="minorEastAsia" w:eastAsiaTheme="minorEastAsia" w:cstheme="minorEastAsia"/>
                <w:color w:val="auto"/>
                <w:spacing w:val="-92"/>
                <w:sz w:val="24"/>
                <w:szCs w:val="24"/>
              </w:rPr>
              <w:t xml:space="preserve"> </w:t>
            </w:r>
            <w:r>
              <w:rPr>
                <w:rFonts w:hint="eastAsia" w:asciiTheme="minorEastAsia" w:hAnsiTheme="minorEastAsia" w:eastAsiaTheme="minorEastAsia" w:cstheme="minorEastAsia"/>
                <w:color w:val="auto"/>
                <w:spacing w:val="14"/>
                <w:sz w:val="24"/>
                <w:szCs w:val="24"/>
              </w:rPr>
              <w:t>mm*</w:t>
            </w:r>
            <w:r>
              <w:rPr>
                <w:rFonts w:hint="eastAsia" w:asciiTheme="minorEastAsia" w:hAnsiTheme="minorEastAsia" w:eastAsiaTheme="minorEastAsia" w:cstheme="minorEastAsia"/>
                <w:color w:val="auto"/>
                <w:spacing w:val="-92"/>
                <w:sz w:val="24"/>
                <w:szCs w:val="24"/>
              </w:rPr>
              <w:t xml:space="preserve"> </w:t>
            </w:r>
            <w:r>
              <w:rPr>
                <w:rFonts w:hint="eastAsia" w:asciiTheme="minorEastAsia" w:hAnsiTheme="minorEastAsia" w:eastAsiaTheme="minorEastAsia" w:cstheme="minorEastAsia"/>
                <w:color w:val="auto"/>
                <w:spacing w:val="15"/>
                <w:sz w:val="24"/>
                <w:szCs w:val="24"/>
              </w:rPr>
              <w:t>240</w:t>
            </w:r>
            <w:r>
              <w:rPr>
                <w:rFonts w:hint="eastAsia" w:asciiTheme="minorEastAsia" w:hAnsiTheme="minorEastAsia" w:eastAsiaTheme="minorEastAsia" w:cstheme="minorEastAsia"/>
                <w:color w:val="auto"/>
                <w:spacing w:val="-92"/>
                <w:sz w:val="24"/>
                <w:szCs w:val="24"/>
              </w:rPr>
              <w:t xml:space="preserve"> </w:t>
            </w:r>
            <w:r>
              <w:rPr>
                <w:rFonts w:hint="eastAsia" w:asciiTheme="minorEastAsia" w:hAnsiTheme="minorEastAsia" w:eastAsiaTheme="minorEastAsia" w:cstheme="minorEastAsia"/>
                <w:color w:val="auto"/>
                <w:spacing w:val="10"/>
                <w:sz w:val="24"/>
                <w:szCs w:val="24"/>
              </w:rPr>
              <w:t>mm</w:t>
            </w:r>
          </w:p>
        </w:tc>
        <w:tc>
          <w:tcPr>
            <w:tcW w:w="2429" w:type="dxa"/>
            <w:tcBorders>
              <w:top w:val="single" w:color="000000" w:sz="4" w:space="0"/>
              <w:left w:val="single" w:color="000000" w:sz="4" w:space="0"/>
              <w:bottom w:val="single" w:color="000000" w:sz="4" w:space="0"/>
              <w:right w:val="single" w:color="000000" w:sz="4" w:space="0"/>
            </w:tcBorders>
          </w:tcPr>
          <w:p w14:paraId="2A12E09F">
            <w:pPr>
              <w:widowControl w:val="0"/>
              <w:kinsoku w:val="0"/>
              <w:overflowPunct w:val="0"/>
              <w:autoSpaceDE w:val="0"/>
              <w:autoSpaceDN w:val="0"/>
              <w:adjustRightInd w:val="0"/>
              <w:spacing w:before="135" w:line="360" w:lineRule="auto"/>
              <w:ind w:left="24" w:right="36"/>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4"/>
                <w:sz w:val="24"/>
                <w:szCs w:val="24"/>
              </w:rPr>
              <w:t>LED灯具</w:t>
            </w:r>
            <w:r>
              <w:rPr>
                <w:rFonts w:hint="eastAsia" w:asciiTheme="minorEastAsia" w:hAnsiTheme="minorEastAsia" w:eastAsiaTheme="minorEastAsia" w:cstheme="minorEastAsia"/>
                <w:color w:val="auto"/>
                <w:spacing w:val="-88"/>
                <w:sz w:val="24"/>
                <w:szCs w:val="24"/>
              </w:rPr>
              <w:t xml:space="preserve"> </w:t>
            </w:r>
            <w:r>
              <w:rPr>
                <w:rFonts w:hint="eastAsia" w:asciiTheme="minorEastAsia" w:hAnsiTheme="minorEastAsia" w:eastAsiaTheme="minorEastAsia" w:cstheme="minorEastAsia"/>
                <w:color w:val="auto"/>
                <w:spacing w:val="14"/>
                <w:sz w:val="24"/>
                <w:szCs w:val="24"/>
              </w:rPr>
              <w:t>200</w:t>
            </w:r>
            <w:r>
              <w:rPr>
                <w:rFonts w:hint="eastAsia" w:asciiTheme="minorEastAsia" w:hAnsiTheme="minorEastAsia" w:eastAsiaTheme="minorEastAsia" w:cstheme="minorEastAsia"/>
                <w:color w:val="auto"/>
                <w:spacing w:val="-88"/>
                <w:sz w:val="24"/>
                <w:szCs w:val="24"/>
              </w:rPr>
              <w:t xml:space="preserve"> </w:t>
            </w:r>
            <w:r>
              <w:rPr>
                <w:rFonts w:hint="eastAsia" w:asciiTheme="minorEastAsia" w:hAnsiTheme="minorEastAsia" w:eastAsiaTheme="minorEastAsia" w:cstheme="minorEastAsia"/>
                <w:color w:val="auto"/>
                <w:spacing w:val="10"/>
                <w:sz w:val="24"/>
                <w:szCs w:val="24"/>
              </w:rPr>
              <w:t>W+</w:t>
            </w:r>
            <w:r>
              <w:rPr>
                <w:rFonts w:hint="eastAsia" w:asciiTheme="minorEastAsia" w:hAnsiTheme="minorEastAsia" w:eastAsiaTheme="minorEastAsia" w:cstheme="minorEastAsia"/>
                <w:color w:val="auto"/>
                <w:spacing w:val="-84"/>
                <w:sz w:val="24"/>
                <w:szCs w:val="24"/>
              </w:rPr>
              <w:t xml:space="preserve"> </w:t>
            </w:r>
            <w:r>
              <w:rPr>
                <w:rFonts w:hint="eastAsia" w:asciiTheme="minorEastAsia" w:hAnsiTheme="minorEastAsia" w:eastAsiaTheme="minorEastAsia" w:cstheme="minorEastAsia"/>
                <w:color w:val="auto"/>
                <w:spacing w:val="14"/>
                <w:sz w:val="24"/>
                <w:szCs w:val="24"/>
              </w:rPr>
              <w:t>150</w:t>
            </w:r>
            <w:r>
              <w:rPr>
                <w:rFonts w:hint="eastAsia" w:asciiTheme="minorEastAsia" w:hAnsiTheme="minorEastAsia" w:eastAsiaTheme="minorEastAsia" w:cstheme="minorEastAsia"/>
                <w:color w:val="auto"/>
                <w:spacing w:val="-88"/>
                <w:sz w:val="24"/>
                <w:szCs w:val="24"/>
              </w:rPr>
              <w:t xml:space="preserve"> </w:t>
            </w:r>
            <w:r>
              <w:rPr>
                <w:rFonts w:hint="eastAsia" w:asciiTheme="minorEastAsia" w:hAnsiTheme="minorEastAsia" w:eastAsiaTheme="minorEastAsia" w:cstheme="minorEastAsia"/>
                <w:color w:val="auto"/>
                <w:sz w:val="24"/>
                <w:szCs w:val="24"/>
              </w:rPr>
              <w:t>W</w:t>
            </w:r>
          </w:p>
        </w:tc>
        <w:tc>
          <w:tcPr>
            <w:tcW w:w="1634" w:type="dxa"/>
            <w:tcBorders>
              <w:top w:val="single" w:color="000000" w:sz="4" w:space="0"/>
              <w:left w:val="single" w:color="000000" w:sz="4" w:space="0"/>
              <w:bottom w:val="single" w:color="000000" w:sz="4" w:space="0"/>
              <w:right w:val="single" w:color="000000" w:sz="4" w:space="0"/>
            </w:tcBorders>
          </w:tcPr>
          <w:p w14:paraId="313FF4E0">
            <w:pPr>
              <w:widowControl w:val="0"/>
              <w:kinsoku w:val="0"/>
              <w:overflowPunct w:val="0"/>
              <w:autoSpaceDE w:val="0"/>
              <w:autoSpaceDN w:val="0"/>
              <w:adjustRightInd w:val="0"/>
              <w:spacing w:before="135" w:line="360" w:lineRule="auto"/>
              <w:ind w:right="30"/>
              <w:jc w:val="center"/>
              <w:textAlignment w:val="auto"/>
              <w:rPr>
                <w:rFonts w:hint="eastAsia" w:asciiTheme="minorEastAsia" w:hAnsiTheme="minorEastAsia" w:eastAsiaTheme="minorEastAsia" w:cstheme="minorEastAsia"/>
                <w:color w:val="auto"/>
                <w:spacing w:val="5"/>
                <w:sz w:val="24"/>
                <w:szCs w:val="24"/>
              </w:rPr>
            </w:pPr>
            <w:r>
              <w:rPr>
                <w:rFonts w:hint="eastAsia" w:asciiTheme="minorEastAsia" w:hAnsiTheme="minorEastAsia" w:eastAsiaTheme="minorEastAsia" w:cstheme="minorEastAsia"/>
                <w:color w:val="auto"/>
                <w:spacing w:val="10"/>
                <w:sz w:val="24"/>
                <w:szCs w:val="24"/>
              </w:rPr>
              <w:t>10</w:t>
            </w:r>
            <w:r>
              <w:rPr>
                <w:rFonts w:hint="eastAsia" w:asciiTheme="minorEastAsia" w:hAnsiTheme="minorEastAsia" w:eastAsiaTheme="minorEastAsia" w:cstheme="minorEastAsia"/>
                <w:color w:val="auto"/>
                <w:spacing w:val="5"/>
                <w:sz w:val="24"/>
                <w:szCs w:val="24"/>
              </w:rPr>
              <w:t xml:space="preserve"> 套</w:t>
            </w:r>
          </w:p>
        </w:tc>
      </w:tr>
      <w:tr w14:paraId="72C5CF56">
        <w:tblPrEx>
          <w:tblCellMar>
            <w:top w:w="0" w:type="dxa"/>
            <w:left w:w="0" w:type="dxa"/>
            <w:bottom w:w="0" w:type="dxa"/>
            <w:right w:w="0" w:type="dxa"/>
          </w:tblCellMar>
        </w:tblPrEx>
        <w:trPr>
          <w:trHeight w:val="624" w:hRule="atLeast"/>
          <w:jc w:val="center"/>
        </w:trPr>
        <w:tc>
          <w:tcPr>
            <w:tcW w:w="2972" w:type="dxa"/>
            <w:tcBorders>
              <w:top w:val="single" w:color="000000" w:sz="4" w:space="0"/>
              <w:left w:val="single" w:color="000000" w:sz="4" w:space="0"/>
              <w:bottom w:val="single" w:color="000000" w:sz="4" w:space="0"/>
              <w:right w:val="single" w:color="000000" w:sz="4" w:space="0"/>
            </w:tcBorders>
          </w:tcPr>
          <w:p w14:paraId="4C4B6CDE">
            <w:pPr>
              <w:widowControl w:val="0"/>
              <w:kinsoku w:val="0"/>
              <w:overflowPunct w:val="0"/>
              <w:autoSpaceDE w:val="0"/>
              <w:autoSpaceDN w:val="0"/>
              <w:adjustRightInd w:val="0"/>
              <w:spacing w:before="150" w:line="360" w:lineRule="auto"/>
              <w:ind w:right="36"/>
              <w:jc w:val="center"/>
              <w:textAlignment w:val="auto"/>
              <w:rPr>
                <w:rFonts w:hint="eastAsia" w:asciiTheme="minorEastAsia" w:hAnsiTheme="minorEastAsia" w:eastAsiaTheme="minorEastAsia" w:cstheme="minorEastAsia"/>
                <w:color w:val="auto"/>
                <w:spacing w:val="29"/>
                <w:sz w:val="24"/>
                <w:szCs w:val="24"/>
              </w:rPr>
            </w:pPr>
            <w:r>
              <w:rPr>
                <w:rFonts w:hint="eastAsia" w:asciiTheme="minorEastAsia" w:hAnsiTheme="minorEastAsia" w:eastAsiaTheme="minorEastAsia" w:cstheme="minorEastAsia"/>
                <w:color w:val="auto"/>
                <w:spacing w:val="29"/>
                <w:sz w:val="24"/>
                <w:szCs w:val="24"/>
              </w:rPr>
              <w:t>低压电缆</w:t>
            </w:r>
          </w:p>
        </w:tc>
        <w:tc>
          <w:tcPr>
            <w:tcW w:w="4813" w:type="dxa"/>
            <w:gridSpan w:val="2"/>
            <w:tcBorders>
              <w:top w:val="single" w:color="000000" w:sz="4" w:space="0"/>
              <w:left w:val="single" w:color="000000" w:sz="4" w:space="0"/>
              <w:bottom w:val="single" w:color="000000" w:sz="4" w:space="0"/>
              <w:right w:val="single" w:color="000000" w:sz="4" w:space="0"/>
            </w:tcBorders>
          </w:tcPr>
          <w:p w14:paraId="049C6CC6">
            <w:pPr>
              <w:widowControl w:val="0"/>
              <w:kinsoku w:val="0"/>
              <w:overflowPunct w:val="0"/>
              <w:autoSpaceDE w:val="0"/>
              <w:autoSpaceDN w:val="0"/>
              <w:adjustRightInd w:val="0"/>
              <w:spacing w:before="150" w:line="360" w:lineRule="auto"/>
              <w:ind w:left="699"/>
              <w:jc w:val="left"/>
              <w:textAlignment w:val="auto"/>
              <w:rPr>
                <w:rFonts w:hint="eastAsia" w:asciiTheme="minorEastAsia" w:hAnsiTheme="minorEastAsia" w:eastAsiaTheme="minorEastAsia" w:cstheme="minorEastAsia"/>
                <w:color w:val="auto"/>
                <w:position w:val="12"/>
                <w:sz w:val="24"/>
                <w:szCs w:val="24"/>
              </w:rPr>
            </w:pPr>
            <w:r>
              <w:rPr>
                <w:rFonts w:hint="eastAsia" w:asciiTheme="minorEastAsia" w:hAnsiTheme="minorEastAsia" w:eastAsiaTheme="minorEastAsia" w:cstheme="minorEastAsia"/>
                <w:color w:val="auto"/>
                <w:spacing w:val="16"/>
                <w:sz w:val="24"/>
                <w:szCs w:val="24"/>
              </w:rPr>
              <w:t>ZRC-YJLV-</w:t>
            </w:r>
            <w:r>
              <w:rPr>
                <w:rFonts w:hint="eastAsia" w:asciiTheme="minorEastAsia" w:hAnsiTheme="minorEastAsia" w:eastAsiaTheme="minorEastAsia" w:cstheme="minorEastAsia"/>
                <w:color w:val="auto"/>
                <w:spacing w:val="-85"/>
                <w:sz w:val="24"/>
                <w:szCs w:val="24"/>
              </w:rPr>
              <w:t xml:space="preserve"> </w:t>
            </w:r>
            <w:r>
              <w:rPr>
                <w:rFonts w:hint="eastAsia" w:asciiTheme="minorEastAsia" w:hAnsiTheme="minorEastAsia" w:eastAsiaTheme="minorEastAsia" w:cstheme="minorEastAsia"/>
                <w:color w:val="auto"/>
                <w:sz w:val="24"/>
                <w:szCs w:val="24"/>
              </w:rPr>
              <w:t>0</w:t>
            </w:r>
            <w:r>
              <w:rPr>
                <w:rFonts w:hint="eastAsia" w:asciiTheme="minorEastAsia" w:hAnsiTheme="minorEastAsia" w:eastAsiaTheme="minorEastAsia" w:cstheme="minorEastAsia"/>
                <w:color w:val="auto"/>
                <w:spacing w:val="-85"/>
                <w:sz w:val="24"/>
                <w:szCs w:val="24"/>
              </w:rPr>
              <w:t xml:space="preserve"> </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pacing w:val="-85"/>
                <w:sz w:val="24"/>
                <w:szCs w:val="24"/>
              </w:rPr>
              <w:t xml:space="preserve"> </w:t>
            </w:r>
            <w:r>
              <w:rPr>
                <w:rFonts w:hint="eastAsia" w:asciiTheme="minorEastAsia" w:hAnsiTheme="minorEastAsia" w:eastAsiaTheme="minorEastAsia" w:cstheme="minorEastAsia"/>
                <w:color w:val="auto"/>
                <w:sz w:val="24"/>
                <w:szCs w:val="24"/>
              </w:rPr>
              <w:t>6</w:t>
            </w:r>
            <w:r>
              <w:rPr>
                <w:rFonts w:hint="eastAsia" w:asciiTheme="minorEastAsia" w:hAnsiTheme="minorEastAsia" w:eastAsiaTheme="minorEastAsia" w:cstheme="minorEastAsia"/>
                <w:color w:val="auto"/>
                <w:spacing w:val="-80"/>
                <w:sz w:val="24"/>
                <w:szCs w:val="24"/>
              </w:rPr>
              <w:t xml:space="preserve"> </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pacing w:val="-85"/>
                <w:sz w:val="24"/>
                <w:szCs w:val="24"/>
              </w:rPr>
              <w:t xml:space="preserve"> </w:t>
            </w: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pacing w:val="-85"/>
                <w:sz w:val="24"/>
                <w:szCs w:val="24"/>
              </w:rPr>
              <w:t xml:space="preserve"> </w:t>
            </w:r>
            <w:r>
              <w:rPr>
                <w:rFonts w:hint="eastAsia" w:asciiTheme="minorEastAsia" w:hAnsiTheme="minorEastAsia" w:eastAsiaTheme="minorEastAsia" w:cstheme="minorEastAsia"/>
                <w:color w:val="auto"/>
                <w:spacing w:val="14"/>
                <w:sz w:val="24"/>
                <w:szCs w:val="24"/>
              </w:rPr>
              <w:t>KV-</w:t>
            </w:r>
            <w:r>
              <w:rPr>
                <w:rFonts w:hint="eastAsia" w:asciiTheme="minorEastAsia" w:hAnsiTheme="minorEastAsia" w:eastAsiaTheme="minorEastAsia" w:cstheme="minorEastAsia"/>
                <w:color w:val="auto"/>
                <w:spacing w:val="-85"/>
                <w:sz w:val="24"/>
                <w:szCs w:val="24"/>
              </w:rPr>
              <w:t xml:space="preserve"> </w:t>
            </w:r>
            <w:r>
              <w:rPr>
                <w:rFonts w:hint="eastAsia" w:asciiTheme="minorEastAsia" w:hAnsiTheme="minorEastAsia" w:eastAsiaTheme="minorEastAsia" w:cstheme="minorEastAsia"/>
                <w:color w:val="auto"/>
                <w:sz w:val="24"/>
                <w:szCs w:val="24"/>
              </w:rPr>
              <w:t>4</w:t>
            </w:r>
            <w:r>
              <w:rPr>
                <w:rFonts w:hint="eastAsia" w:asciiTheme="minorEastAsia" w:hAnsiTheme="minorEastAsia" w:eastAsiaTheme="minorEastAsia" w:cstheme="minorEastAsia"/>
                <w:color w:val="auto"/>
                <w:spacing w:val="-80"/>
                <w:sz w:val="24"/>
                <w:szCs w:val="24"/>
              </w:rPr>
              <w:t xml:space="preserve"> </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pacing w:val="-85"/>
                <w:sz w:val="24"/>
                <w:szCs w:val="24"/>
              </w:rPr>
              <w:t xml:space="preserve"> </w:t>
            </w:r>
            <w:r>
              <w:rPr>
                <w:rFonts w:hint="eastAsia" w:asciiTheme="minorEastAsia" w:hAnsiTheme="minorEastAsia" w:eastAsiaTheme="minorEastAsia" w:cstheme="minorEastAsia"/>
                <w:color w:val="auto"/>
                <w:spacing w:val="10"/>
                <w:sz w:val="24"/>
                <w:szCs w:val="24"/>
              </w:rPr>
              <w:t>50</w:t>
            </w:r>
            <w:r>
              <w:rPr>
                <w:rFonts w:hint="eastAsia" w:asciiTheme="minorEastAsia" w:hAnsiTheme="minorEastAsia" w:eastAsiaTheme="minorEastAsia" w:cstheme="minorEastAsia"/>
                <w:color w:val="auto"/>
                <w:spacing w:val="-80"/>
                <w:sz w:val="24"/>
                <w:szCs w:val="24"/>
              </w:rPr>
              <w:t xml:space="preserve"> </w:t>
            </w:r>
            <w:r>
              <w:rPr>
                <w:rFonts w:hint="eastAsia" w:asciiTheme="minorEastAsia" w:hAnsiTheme="minorEastAsia" w:eastAsiaTheme="minorEastAsia" w:cstheme="minorEastAsia"/>
                <w:color w:val="auto"/>
                <w:spacing w:val="10"/>
                <w:sz w:val="24"/>
                <w:szCs w:val="24"/>
              </w:rPr>
              <w:t>mm</w:t>
            </w:r>
            <w:r>
              <w:rPr>
                <w:rFonts w:hint="eastAsia" w:asciiTheme="minorEastAsia" w:hAnsiTheme="minorEastAsia" w:eastAsiaTheme="minorEastAsia" w:cstheme="minorEastAsia"/>
                <w:color w:val="auto"/>
                <w:spacing w:val="-85"/>
                <w:sz w:val="24"/>
                <w:szCs w:val="24"/>
              </w:rPr>
              <w:t xml:space="preserve"> </w:t>
            </w:r>
            <w:r>
              <w:rPr>
                <w:rFonts w:hint="eastAsia" w:asciiTheme="minorEastAsia" w:hAnsiTheme="minorEastAsia" w:eastAsiaTheme="minorEastAsia" w:cstheme="minorEastAsia"/>
                <w:color w:val="auto"/>
                <w:position w:val="12"/>
                <w:sz w:val="24"/>
                <w:szCs w:val="24"/>
              </w:rPr>
              <w:t>2</w:t>
            </w:r>
          </w:p>
        </w:tc>
        <w:tc>
          <w:tcPr>
            <w:tcW w:w="1634" w:type="dxa"/>
            <w:tcBorders>
              <w:top w:val="single" w:color="000000" w:sz="4" w:space="0"/>
              <w:left w:val="single" w:color="000000" w:sz="4" w:space="0"/>
              <w:bottom w:val="single" w:color="000000" w:sz="4" w:space="0"/>
              <w:right w:val="single" w:color="000000" w:sz="4" w:space="0"/>
            </w:tcBorders>
          </w:tcPr>
          <w:p w14:paraId="00059F88">
            <w:pPr>
              <w:widowControl w:val="0"/>
              <w:kinsoku w:val="0"/>
              <w:overflowPunct w:val="0"/>
              <w:autoSpaceDE w:val="0"/>
              <w:autoSpaceDN w:val="0"/>
              <w:adjustRightInd w:val="0"/>
              <w:spacing w:before="150" w:line="360" w:lineRule="auto"/>
              <w:ind w:right="30"/>
              <w:jc w:val="center"/>
              <w:textAlignment w:val="auto"/>
              <w:rPr>
                <w:rFonts w:hint="eastAsia" w:asciiTheme="minorEastAsia" w:hAnsiTheme="minorEastAsia" w:eastAsiaTheme="minorEastAsia" w:cstheme="minorEastAsia"/>
                <w:color w:val="auto"/>
                <w:spacing w:val="7"/>
                <w:sz w:val="24"/>
                <w:szCs w:val="24"/>
              </w:rPr>
            </w:pPr>
            <w:r>
              <w:rPr>
                <w:rFonts w:hint="eastAsia" w:asciiTheme="minorEastAsia" w:hAnsiTheme="minorEastAsia" w:eastAsiaTheme="minorEastAsia" w:cstheme="minorEastAsia"/>
                <w:color w:val="auto"/>
                <w:spacing w:val="15"/>
                <w:sz w:val="24"/>
                <w:szCs w:val="24"/>
              </w:rPr>
              <w:t>1520</w:t>
            </w:r>
            <w:r>
              <w:rPr>
                <w:rFonts w:hint="eastAsia" w:asciiTheme="minorEastAsia" w:hAnsiTheme="minorEastAsia" w:eastAsiaTheme="minorEastAsia" w:cstheme="minorEastAsia"/>
                <w:color w:val="auto"/>
                <w:spacing w:val="7"/>
                <w:sz w:val="24"/>
                <w:szCs w:val="24"/>
              </w:rPr>
              <w:t xml:space="preserve"> 米</w:t>
            </w:r>
          </w:p>
        </w:tc>
      </w:tr>
      <w:tr w14:paraId="367E83CE">
        <w:tblPrEx>
          <w:tblCellMar>
            <w:top w:w="0" w:type="dxa"/>
            <w:left w:w="0" w:type="dxa"/>
            <w:bottom w:w="0" w:type="dxa"/>
            <w:right w:w="0" w:type="dxa"/>
          </w:tblCellMar>
        </w:tblPrEx>
        <w:trPr>
          <w:trHeight w:val="524" w:hRule="atLeast"/>
          <w:jc w:val="center"/>
        </w:trPr>
        <w:tc>
          <w:tcPr>
            <w:tcW w:w="2972" w:type="dxa"/>
            <w:tcBorders>
              <w:top w:val="single" w:color="000000" w:sz="4" w:space="0"/>
              <w:left w:val="single" w:color="000000" w:sz="4" w:space="0"/>
              <w:bottom w:val="single" w:color="000000" w:sz="4" w:space="0"/>
              <w:right w:val="single" w:color="000000" w:sz="4" w:space="0"/>
            </w:tcBorders>
          </w:tcPr>
          <w:p w14:paraId="29B01985">
            <w:pPr>
              <w:widowControl w:val="0"/>
              <w:kinsoku w:val="0"/>
              <w:overflowPunct w:val="0"/>
              <w:autoSpaceDE w:val="0"/>
              <w:autoSpaceDN w:val="0"/>
              <w:adjustRightInd w:val="0"/>
              <w:spacing w:before="150" w:line="360" w:lineRule="auto"/>
              <w:ind w:right="36"/>
              <w:jc w:val="center"/>
              <w:textAlignment w:val="auto"/>
              <w:rPr>
                <w:rFonts w:hint="eastAsia" w:asciiTheme="minorEastAsia" w:hAnsiTheme="minorEastAsia" w:eastAsiaTheme="minorEastAsia" w:cstheme="minorEastAsia"/>
                <w:color w:val="auto"/>
                <w:spacing w:val="29"/>
                <w:sz w:val="24"/>
                <w:szCs w:val="24"/>
              </w:rPr>
            </w:pPr>
            <w:r>
              <w:rPr>
                <w:rFonts w:hint="eastAsia" w:asciiTheme="minorEastAsia" w:hAnsiTheme="minorEastAsia" w:eastAsiaTheme="minorEastAsia" w:cstheme="minorEastAsia"/>
                <w:color w:val="auto"/>
                <w:spacing w:val="29"/>
                <w:sz w:val="24"/>
                <w:szCs w:val="24"/>
              </w:rPr>
              <w:t>低压电缆</w:t>
            </w:r>
          </w:p>
        </w:tc>
        <w:tc>
          <w:tcPr>
            <w:tcW w:w="4813" w:type="dxa"/>
            <w:gridSpan w:val="2"/>
            <w:tcBorders>
              <w:top w:val="single" w:color="000000" w:sz="4" w:space="0"/>
              <w:left w:val="single" w:color="000000" w:sz="4" w:space="0"/>
              <w:bottom w:val="single" w:color="000000" w:sz="4" w:space="0"/>
              <w:right w:val="single" w:color="000000" w:sz="4" w:space="0"/>
            </w:tcBorders>
          </w:tcPr>
          <w:p w14:paraId="63CFCDB8">
            <w:pPr>
              <w:widowControl w:val="0"/>
              <w:kinsoku w:val="0"/>
              <w:overflowPunct w:val="0"/>
              <w:autoSpaceDE w:val="0"/>
              <w:autoSpaceDN w:val="0"/>
              <w:adjustRightInd w:val="0"/>
              <w:spacing w:before="150" w:line="360" w:lineRule="auto"/>
              <w:ind w:left="67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6"/>
                <w:sz w:val="24"/>
                <w:szCs w:val="24"/>
              </w:rPr>
              <w:t>ZRC-YJLV-</w:t>
            </w:r>
            <w:r>
              <w:rPr>
                <w:rFonts w:hint="eastAsia" w:asciiTheme="minorEastAsia" w:hAnsiTheme="minorEastAsia" w:eastAsiaTheme="minorEastAsia" w:cstheme="minorEastAsia"/>
                <w:color w:val="auto"/>
                <w:spacing w:val="-85"/>
                <w:sz w:val="24"/>
                <w:szCs w:val="24"/>
              </w:rPr>
              <w:t xml:space="preserve"> </w:t>
            </w:r>
            <w:r>
              <w:rPr>
                <w:rFonts w:hint="eastAsia" w:asciiTheme="minorEastAsia" w:hAnsiTheme="minorEastAsia" w:eastAsiaTheme="minorEastAsia" w:cstheme="minorEastAsia"/>
                <w:color w:val="auto"/>
                <w:sz w:val="24"/>
                <w:szCs w:val="24"/>
              </w:rPr>
              <w:t>0</w:t>
            </w:r>
            <w:r>
              <w:rPr>
                <w:rFonts w:hint="eastAsia" w:asciiTheme="minorEastAsia" w:hAnsiTheme="minorEastAsia" w:eastAsiaTheme="minorEastAsia" w:cstheme="minorEastAsia"/>
                <w:color w:val="auto"/>
                <w:spacing w:val="-85"/>
                <w:sz w:val="24"/>
                <w:szCs w:val="24"/>
              </w:rPr>
              <w:t xml:space="preserve"> </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pacing w:val="-85"/>
                <w:sz w:val="24"/>
                <w:szCs w:val="24"/>
              </w:rPr>
              <w:t xml:space="preserve"> </w:t>
            </w:r>
            <w:r>
              <w:rPr>
                <w:rFonts w:hint="eastAsia" w:asciiTheme="minorEastAsia" w:hAnsiTheme="minorEastAsia" w:eastAsiaTheme="minorEastAsia" w:cstheme="minorEastAsia"/>
                <w:color w:val="auto"/>
                <w:sz w:val="24"/>
                <w:szCs w:val="24"/>
              </w:rPr>
              <w:t>6</w:t>
            </w:r>
            <w:r>
              <w:rPr>
                <w:rFonts w:hint="eastAsia" w:asciiTheme="minorEastAsia" w:hAnsiTheme="minorEastAsia" w:eastAsiaTheme="minorEastAsia" w:cstheme="minorEastAsia"/>
                <w:color w:val="auto"/>
                <w:spacing w:val="-80"/>
                <w:sz w:val="24"/>
                <w:szCs w:val="24"/>
              </w:rPr>
              <w:t xml:space="preserve"> </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pacing w:val="-85"/>
                <w:sz w:val="24"/>
                <w:szCs w:val="24"/>
              </w:rPr>
              <w:t xml:space="preserve"> </w:t>
            </w: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pacing w:val="-85"/>
                <w:sz w:val="24"/>
                <w:szCs w:val="24"/>
              </w:rPr>
              <w:t xml:space="preserve"> </w:t>
            </w:r>
            <w:r>
              <w:rPr>
                <w:rFonts w:hint="eastAsia" w:asciiTheme="minorEastAsia" w:hAnsiTheme="minorEastAsia" w:eastAsiaTheme="minorEastAsia" w:cstheme="minorEastAsia"/>
                <w:color w:val="auto"/>
                <w:spacing w:val="14"/>
                <w:sz w:val="24"/>
                <w:szCs w:val="24"/>
              </w:rPr>
              <w:t>KV-</w:t>
            </w:r>
            <w:r>
              <w:rPr>
                <w:rFonts w:hint="eastAsia" w:asciiTheme="minorEastAsia" w:hAnsiTheme="minorEastAsia" w:eastAsiaTheme="minorEastAsia" w:cstheme="minorEastAsia"/>
                <w:color w:val="auto"/>
                <w:spacing w:val="-85"/>
                <w:sz w:val="24"/>
                <w:szCs w:val="24"/>
              </w:rPr>
              <w:t xml:space="preserve"> </w:t>
            </w: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pacing w:val="-80"/>
                <w:sz w:val="24"/>
                <w:szCs w:val="24"/>
              </w:rPr>
              <w:t xml:space="preserve"> </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pacing w:val="-85"/>
                <w:sz w:val="24"/>
                <w:szCs w:val="24"/>
              </w:rPr>
              <w:t xml:space="preserve"> </w:t>
            </w:r>
            <w:r>
              <w:rPr>
                <w:rFonts w:hint="eastAsia" w:asciiTheme="minorEastAsia" w:hAnsiTheme="minorEastAsia" w:eastAsiaTheme="minorEastAsia" w:cstheme="minorEastAsia"/>
                <w:color w:val="auto"/>
                <w:spacing w:val="10"/>
                <w:sz w:val="24"/>
                <w:szCs w:val="24"/>
              </w:rPr>
              <w:t>25</w:t>
            </w:r>
            <w:r>
              <w:rPr>
                <w:rFonts w:hint="eastAsia" w:asciiTheme="minorEastAsia" w:hAnsiTheme="minorEastAsia" w:eastAsiaTheme="minorEastAsia" w:cstheme="minorEastAsia"/>
                <w:color w:val="auto"/>
                <w:spacing w:val="-80"/>
                <w:sz w:val="24"/>
                <w:szCs w:val="24"/>
              </w:rPr>
              <w:t xml:space="preserve"> </w:t>
            </w:r>
            <w:r>
              <w:rPr>
                <w:rFonts w:hint="eastAsia" w:asciiTheme="minorEastAsia" w:hAnsiTheme="minorEastAsia" w:eastAsiaTheme="minorEastAsia" w:cstheme="minorEastAsia"/>
                <w:color w:val="auto"/>
                <w:spacing w:val="10"/>
                <w:sz w:val="24"/>
                <w:szCs w:val="24"/>
              </w:rPr>
              <w:t>mm</w:t>
            </w:r>
            <w:r>
              <w:rPr>
                <w:rFonts w:hint="eastAsia" w:asciiTheme="minorEastAsia" w:hAnsiTheme="minorEastAsia" w:eastAsiaTheme="minorEastAsia" w:cstheme="minorEastAsia"/>
                <w:color w:val="auto"/>
                <w:spacing w:val="-85"/>
                <w:sz w:val="24"/>
                <w:szCs w:val="24"/>
              </w:rPr>
              <w:t xml:space="preserve"> </w:t>
            </w:r>
            <w:r>
              <w:rPr>
                <w:rFonts w:hint="eastAsia" w:asciiTheme="minorEastAsia" w:hAnsiTheme="minorEastAsia" w:eastAsiaTheme="minorEastAsia" w:cstheme="minorEastAsia"/>
                <w:color w:val="auto"/>
                <w:sz w:val="24"/>
                <w:szCs w:val="24"/>
              </w:rPr>
              <w:t>2</w:t>
            </w:r>
          </w:p>
        </w:tc>
        <w:tc>
          <w:tcPr>
            <w:tcW w:w="1634" w:type="dxa"/>
            <w:tcBorders>
              <w:top w:val="single" w:color="000000" w:sz="4" w:space="0"/>
              <w:left w:val="single" w:color="000000" w:sz="4" w:space="0"/>
              <w:bottom w:val="single" w:color="000000" w:sz="4" w:space="0"/>
              <w:right w:val="single" w:color="000000" w:sz="4" w:space="0"/>
            </w:tcBorders>
          </w:tcPr>
          <w:p w14:paraId="3613F3D8">
            <w:pPr>
              <w:widowControl w:val="0"/>
              <w:kinsoku w:val="0"/>
              <w:overflowPunct w:val="0"/>
              <w:autoSpaceDE w:val="0"/>
              <w:autoSpaceDN w:val="0"/>
              <w:adjustRightInd w:val="0"/>
              <w:spacing w:before="150" w:line="360" w:lineRule="auto"/>
              <w:ind w:right="30"/>
              <w:jc w:val="center"/>
              <w:textAlignment w:val="auto"/>
              <w:rPr>
                <w:rFonts w:hint="eastAsia" w:asciiTheme="minorEastAsia" w:hAnsiTheme="minorEastAsia" w:eastAsiaTheme="minorEastAsia" w:cstheme="minorEastAsia"/>
                <w:color w:val="auto"/>
                <w:spacing w:val="7"/>
                <w:sz w:val="24"/>
                <w:szCs w:val="24"/>
              </w:rPr>
            </w:pPr>
            <w:r>
              <w:rPr>
                <w:rFonts w:hint="eastAsia" w:asciiTheme="minorEastAsia" w:hAnsiTheme="minorEastAsia" w:eastAsiaTheme="minorEastAsia" w:cstheme="minorEastAsia"/>
                <w:color w:val="auto"/>
                <w:spacing w:val="15"/>
                <w:sz w:val="24"/>
                <w:szCs w:val="24"/>
              </w:rPr>
              <w:t>1525</w:t>
            </w:r>
            <w:r>
              <w:rPr>
                <w:rFonts w:hint="eastAsia" w:asciiTheme="minorEastAsia" w:hAnsiTheme="minorEastAsia" w:eastAsiaTheme="minorEastAsia" w:cstheme="minorEastAsia"/>
                <w:color w:val="auto"/>
                <w:spacing w:val="7"/>
                <w:sz w:val="24"/>
                <w:szCs w:val="24"/>
              </w:rPr>
              <w:t xml:space="preserve"> 米</w:t>
            </w:r>
          </w:p>
        </w:tc>
      </w:tr>
      <w:tr w14:paraId="09E58156">
        <w:tblPrEx>
          <w:tblCellMar>
            <w:top w:w="0" w:type="dxa"/>
            <w:left w:w="0" w:type="dxa"/>
            <w:bottom w:w="0" w:type="dxa"/>
            <w:right w:w="0" w:type="dxa"/>
          </w:tblCellMar>
        </w:tblPrEx>
        <w:trPr>
          <w:trHeight w:val="524" w:hRule="atLeast"/>
          <w:jc w:val="center"/>
        </w:trPr>
        <w:tc>
          <w:tcPr>
            <w:tcW w:w="2972" w:type="dxa"/>
            <w:tcBorders>
              <w:top w:val="single" w:color="000000" w:sz="4" w:space="0"/>
              <w:left w:val="single" w:color="000000" w:sz="4" w:space="0"/>
              <w:bottom w:val="single" w:color="000000" w:sz="4" w:space="0"/>
              <w:right w:val="single" w:color="000000" w:sz="4" w:space="0"/>
            </w:tcBorders>
          </w:tcPr>
          <w:p w14:paraId="2E93439D">
            <w:pPr>
              <w:widowControl w:val="0"/>
              <w:kinsoku w:val="0"/>
              <w:overflowPunct w:val="0"/>
              <w:autoSpaceDE w:val="0"/>
              <w:autoSpaceDN w:val="0"/>
              <w:adjustRightInd w:val="0"/>
              <w:spacing w:before="150" w:line="360" w:lineRule="auto"/>
              <w:ind w:right="36"/>
              <w:jc w:val="center"/>
              <w:textAlignment w:val="auto"/>
              <w:rPr>
                <w:rFonts w:hint="eastAsia" w:asciiTheme="minorEastAsia" w:hAnsiTheme="minorEastAsia" w:eastAsiaTheme="minorEastAsia" w:cstheme="minorEastAsia"/>
                <w:color w:val="auto"/>
                <w:spacing w:val="29"/>
                <w:sz w:val="24"/>
                <w:szCs w:val="24"/>
              </w:rPr>
            </w:pPr>
            <w:r>
              <w:rPr>
                <w:rFonts w:hint="eastAsia" w:asciiTheme="minorEastAsia" w:hAnsiTheme="minorEastAsia" w:eastAsiaTheme="minorEastAsia" w:cstheme="minorEastAsia"/>
                <w:color w:val="auto"/>
                <w:spacing w:val="29"/>
                <w:sz w:val="24"/>
                <w:szCs w:val="24"/>
              </w:rPr>
              <w:t>低压电缆</w:t>
            </w:r>
          </w:p>
        </w:tc>
        <w:tc>
          <w:tcPr>
            <w:tcW w:w="4813" w:type="dxa"/>
            <w:gridSpan w:val="2"/>
            <w:tcBorders>
              <w:top w:val="single" w:color="000000" w:sz="4" w:space="0"/>
              <w:left w:val="single" w:color="000000" w:sz="4" w:space="0"/>
              <w:bottom w:val="single" w:color="000000" w:sz="4" w:space="0"/>
              <w:right w:val="single" w:color="000000" w:sz="4" w:space="0"/>
            </w:tcBorders>
          </w:tcPr>
          <w:p w14:paraId="6295A657">
            <w:pPr>
              <w:widowControl w:val="0"/>
              <w:kinsoku w:val="0"/>
              <w:overflowPunct w:val="0"/>
              <w:autoSpaceDE w:val="0"/>
              <w:autoSpaceDN w:val="0"/>
              <w:adjustRightInd w:val="0"/>
              <w:spacing w:before="150" w:line="360" w:lineRule="auto"/>
              <w:ind w:left="387"/>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6"/>
                <w:sz w:val="24"/>
                <w:szCs w:val="24"/>
              </w:rPr>
              <w:t>ZRC-</w:t>
            </w:r>
            <w:r>
              <w:rPr>
                <w:rFonts w:hint="eastAsia" w:asciiTheme="minorEastAsia" w:hAnsiTheme="minorEastAsia" w:eastAsiaTheme="minorEastAsia" w:cstheme="minorEastAsia"/>
                <w:color w:val="auto"/>
                <w:spacing w:val="15"/>
                <w:sz w:val="24"/>
                <w:szCs w:val="24"/>
              </w:rPr>
              <w:t>YJV-</w:t>
            </w:r>
            <w:r>
              <w:rPr>
                <w:rFonts w:hint="eastAsia" w:asciiTheme="minorEastAsia" w:hAnsiTheme="minorEastAsia" w:eastAsiaTheme="minorEastAsia" w:cstheme="minorEastAsia"/>
                <w:color w:val="auto"/>
                <w:spacing w:val="-89"/>
                <w:sz w:val="24"/>
                <w:szCs w:val="24"/>
              </w:rPr>
              <w:t xml:space="preserve"> </w:t>
            </w:r>
            <w:r>
              <w:rPr>
                <w:rFonts w:hint="eastAsia" w:asciiTheme="minorEastAsia" w:hAnsiTheme="minorEastAsia" w:eastAsiaTheme="minorEastAsia" w:cstheme="minorEastAsia"/>
                <w:color w:val="auto"/>
                <w:sz w:val="24"/>
                <w:szCs w:val="24"/>
              </w:rPr>
              <w:t>0</w:t>
            </w:r>
            <w:r>
              <w:rPr>
                <w:rFonts w:hint="eastAsia" w:asciiTheme="minorEastAsia" w:hAnsiTheme="minorEastAsia" w:eastAsiaTheme="minorEastAsia" w:cstheme="minorEastAsia"/>
                <w:color w:val="auto"/>
                <w:spacing w:val="-89"/>
                <w:sz w:val="24"/>
                <w:szCs w:val="24"/>
              </w:rPr>
              <w:t xml:space="preserve"> </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pacing w:val="-89"/>
                <w:sz w:val="24"/>
                <w:szCs w:val="24"/>
              </w:rPr>
              <w:t xml:space="preserve"> </w:t>
            </w:r>
            <w:r>
              <w:rPr>
                <w:rFonts w:hint="eastAsia" w:asciiTheme="minorEastAsia" w:hAnsiTheme="minorEastAsia" w:eastAsiaTheme="minorEastAsia" w:cstheme="minorEastAsia"/>
                <w:color w:val="auto"/>
                <w:sz w:val="24"/>
                <w:szCs w:val="24"/>
              </w:rPr>
              <w:t>6</w:t>
            </w:r>
            <w:r>
              <w:rPr>
                <w:rFonts w:hint="eastAsia" w:asciiTheme="minorEastAsia" w:hAnsiTheme="minorEastAsia" w:eastAsiaTheme="minorEastAsia" w:cstheme="minorEastAsia"/>
                <w:color w:val="auto"/>
                <w:spacing w:val="-89"/>
                <w:sz w:val="24"/>
                <w:szCs w:val="24"/>
              </w:rPr>
              <w:t xml:space="preserve"> </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pacing w:val="-84"/>
                <w:sz w:val="24"/>
                <w:szCs w:val="24"/>
              </w:rPr>
              <w:t xml:space="preserve"> </w:t>
            </w: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pacing w:val="-89"/>
                <w:sz w:val="24"/>
                <w:szCs w:val="24"/>
              </w:rPr>
              <w:t xml:space="preserve"> </w:t>
            </w:r>
            <w:r>
              <w:rPr>
                <w:rFonts w:hint="eastAsia" w:asciiTheme="minorEastAsia" w:hAnsiTheme="minorEastAsia" w:eastAsiaTheme="minorEastAsia" w:cstheme="minorEastAsia"/>
                <w:color w:val="auto"/>
                <w:spacing w:val="14"/>
                <w:sz w:val="24"/>
                <w:szCs w:val="24"/>
              </w:rPr>
              <w:t>KV-</w:t>
            </w:r>
            <w:r>
              <w:rPr>
                <w:rFonts w:hint="eastAsia" w:asciiTheme="minorEastAsia" w:hAnsiTheme="minorEastAsia" w:eastAsiaTheme="minorEastAsia" w:cstheme="minorEastAsia"/>
                <w:color w:val="auto"/>
                <w:spacing w:val="-89"/>
                <w:sz w:val="24"/>
                <w:szCs w:val="24"/>
              </w:rPr>
              <w:t xml:space="preserve"> </w:t>
            </w:r>
            <w:r>
              <w:rPr>
                <w:rFonts w:hint="eastAsia" w:asciiTheme="minorEastAsia" w:hAnsiTheme="minorEastAsia" w:eastAsiaTheme="minorEastAsia" w:cstheme="minorEastAsia"/>
                <w:color w:val="auto"/>
                <w:sz w:val="24"/>
                <w:szCs w:val="24"/>
              </w:rPr>
              <w:t>4</w:t>
            </w:r>
            <w:r>
              <w:rPr>
                <w:rFonts w:hint="eastAsia" w:asciiTheme="minorEastAsia" w:hAnsiTheme="minorEastAsia" w:eastAsiaTheme="minorEastAsia" w:cstheme="minorEastAsia"/>
                <w:color w:val="auto"/>
                <w:spacing w:val="-89"/>
                <w:sz w:val="24"/>
                <w:szCs w:val="24"/>
              </w:rPr>
              <w:t xml:space="preserve"> </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pacing w:val="-84"/>
                <w:sz w:val="24"/>
                <w:szCs w:val="24"/>
              </w:rPr>
              <w:t xml:space="preserve"> </w:t>
            </w:r>
            <w:r>
              <w:rPr>
                <w:rFonts w:hint="eastAsia" w:asciiTheme="minorEastAsia" w:hAnsiTheme="minorEastAsia" w:eastAsiaTheme="minorEastAsia" w:cstheme="minorEastAsia"/>
                <w:color w:val="auto"/>
                <w:spacing w:val="10"/>
                <w:sz w:val="24"/>
                <w:szCs w:val="24"/>
              </w:rPr>
              <w:t>50</w:t>
            </w:r>
            <w:r>
              <w:rPr>
                <w:rFonts w:hint="eastAsia" w:asciiTheme="minorEastAsia" w:hAnsiTheme="minorEastAsia" w:eastAsiaTheme="minorEastAsia" w:cstheme="minorEastAsia"/>
                <w:color w:val="auto"/>
                <w:spacing w:val="-89"/>
                <w:sz w:val="24"/>
                <w:szCs w:val="24"/>
              </w:rPr>
              <w:t xml:space="preserve"> </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pacing w:val="-84"/>
                <w:sz w:val="24"/>
                <w:szCs w:val="24"/>
              </w:rPr>
              <w:t xml:space="preserve"> </w:t>
            </w: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pacing w:val="-89"/>
                <w:sz w:val="24"/>
                <w:szCs w:val="24"/>
              </w:rPr>
              <w:t xml:space="preserve"> </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pacing w:val="-89"/>
                <w:sz w:val="24"/>
                <w:szCs w:val="24"/>
              </w:rPr>
              <w:t xml:space="preserve"> </w:t>
            </w:r>
            <w:r>
              <w:rPr>
                <w:rFonts w:hint="eastAsia" w:asciiTheme="minorEastAsia" w:hAnsiTheme="minorEastAsia" w:eastAsiaTheme="minorEastAsia" w:cstheme="minorEastAsia"/>
                <w:color w:val="auto"/>
                <w:spacing w:val="10"/>
                <w:sz w:val="24"/>
                <w:szCs w:val="24"/>
              </w:rPr>
              <w:t>25</w:t>
            </w:r>
            <w:r>
              <w:rPr>
                <w:rFonts w:hint="eastAsia" w:asciiTheme="minorEastAsia" w:hAnsiTheme="minorEastAsia" w:eastAsiaTheme="minorEastAsia" w:cstheme="minorEastAsia"/>
                <w:color w:val="auto"/>
                <w:spacing w:val="-89"/>
                <w:sz w:val="24"/>
                <w:szCs w:val="24"/>
              </w:rPr>
              <w:t xml:space="preserve"> </w:t>
            </w:r>
            <w:r>
              <w:rPr>
                <w:rFonts w:hint="eastAsia" w:asciiTheme="minorEastAsia" w:hAnsiTheme="minorEastAsia" w:eastAsiaTheme="minorEastAsia" w:cstheme="minorEastAsia"/>
                <w:color w:val="auto"/>
                <w:spacing w:val="10"/>
                <w:sz w:val="24"/>
                <w:szCs w:val="24"/>
              </w:rPr>
              <w:t>mm</w:t>
            </w:r>
            <w:r>
              <w:rPr>
                <w:rFonts w:hint="eastAsia" w:asciiTheme="minorEastAsia" w:hAnsiTheme="minorEastAsia" w:eastAsiaTheme="minorEastAsia" w:cstheme="minorEastAsia"/>
                <w:color w:val="auto"/>
                <w:spacing w:val="-89"/>
                <w:sz w:val="24"/>
                <w:szCs w:val="24"/>
              </w:rPr>
              <w:t xml:space="preserve"> </w:t>
            </w:r>
            <w:r>
              <w:rPr>
                <w:rFonts w:hint="eastAsia" w:asciiTheme="minorEastAsia" w:hAnsiTheme="minorEastAsia" w:eastAsiaTheme="minorEastAsia" w:cstheme="minorEastAsia"/>
                <w:color w:val="auto"/>
                <w:sz w:val="24"/>
                <w:szCs w:val="24"/>
              </w:rPr>
              <w:t>2</w:t>
            </w:r>
          </w:p>
        </w:tc>
        <w:tc>
          <w:tcPr>
            <w:tcW w:w="1634" w:type="dxa"/>
            <w:tcBorders>
              <w:top w:val="single" w:color="000000" w:sz="4" w:space="0"/>
              <w:left w:val="single" w:color="000000" w:sz="4" w:space="0"/>
              <w:bottom w:val="single" w:color="000000" w:sz="4" w:space="0"/>
              <w:right w:val="single" w:color="000000" w:sz="4" w:space="0"/>
            </w:tcBorders>
          </w:tcPr>
          <w:p w14:paraId="221B3C50">
            <w:pPr>
              <w:widowControl w:val="0"/>
              <w:kinsoku w:val="0"/>
              <w:overflowPunct w:val="0"/>
              <w:autoSpaceDE w:val="0"/>
              <w:autoSpaceDN w:val="0"/>
              <w:adjustRightInd w:val="0"/>
              <w:spacing w:before="150" w:line="360" w:lineRule="auto"/>
              <w:ind w:left="3" w:right="30"/>
              <w:jc w:val="center"/>
              <w:textAlignment w:val="auto"/>
              <w:rPr>
                <w:rFonts w:hint="eastAsia" w:asciiTheme="minorEastAsia" w:hAnsiTheme="minorEastAsia" w:eastAsiaTheme="minorEastAsia" w:cstheme="minorEastAsia"/>
                <w:color w:val="auto"/>
                <w:spacing w:val="7"/>
                <w:sz w:val="24"/>
                <w:szCs w:val="24"/>
              </w:rPr>
            </w:pPr>
            <w:r>
              <w:rPr>
                <w:rFonts w:hint="eastAsia" w:asciiTheme="minorEastAsia" w:hAnsiTheme="minorEastAsia" w:eastAsiaTheme="minorEastAsia" w:cstheme="minorEastAsia"/>
                <w:color w:val="auto"/>
                <w:spacing w:val="14"/>
                <w:sz w:val="24"/>
                <w:szCs w:val="24"/>
              </w:rPr>
              <w:t>192</w:t>
            </w:r>
            <w:r>
              <w:rPr>
                <w:rFonts w:hint="eastAsia" w:asciiTheme="minorEastAsia" w:hAnsiTheme="minorEastAsia" w:eastAsiaTheme="minorEastAsia" w:cstheme="minorEastAsia"/>
                <w:color w:val="auto"/>
                <w:spacing w:val="7"/>
                <w:sz w:val="24"/>
                <w:szCs w:val="24"/>
              </w:rPr>
              <w:t xml:space="preserve"> 米</w:t>
            </w:r>
          </w:p>
        </w:tc>
      </w:tr>
      <w:tr w14:paraId="784058F9">
        <w:tblPrEx>
          <w:tblCellMar>
            <w:top w:w="0" w:type="dxa"/>
            <w:left w:w="0" w:type="dxa"/>
            <w:bottom w:w="0" w:type="dxa"/>
            <w:right w:w="0" w:type="dxa"/>
          </w:tblCellMar>
        </w:tblPrEx>
        <w:trPr>
          <w:trHeight w:val="524" w:hRule="atLeast"/>
          <w:jc w:val="center"/>
        </w:trPr>
        <w:tc>
          <w:tcPr>
            <w:tcW w:w="2972" w:type="dxa"/>
            <w:tcBorders>
              <w:top w:val="single" w:color="000000" w:sz="4" w:space="0"/>
              <w:left w:val="single" w:color="000000" w:sz="4" w:space="0"/>
              <w:bottom w:val="single" w:color="000000" w:sz="4" w:space="0"/>
              <w:right w:val="single" w:color="000000" w:sz="4" w:space="0"/>
            </w:tcBorders>
          </w:tcPr>
          <w:p w14:paraId="449F8387">
            <w:pPr>
              <w:widowControl w:val="0"/>
              <w:kinsoku w:val="0"/>
              <w:overflowPunct w:val="0"/>
              <w:autoSpaceDE w:val="0"/>
              <w:autoSpaceDN w:val="0"/>
              <w:adjustRightInd w:val="0"/>
              <w:spacing w:before="150" w:line="360" w:lineRule="auto"/>
              <w:ind w:left="4" w:right="36"/>
              <w:jc w:val="center"/>
              <w:textAlignment w:val="auto"/>
              <w:rPr>
                <w:rFonts w:hint="eastAsia" w:asciiTheme="minorEastAsia" w:hAnsiTheme="minorEastAsia" w:eastAsiaTheme="minorEastAsia" w:cstheme="minorEastAsia"/>
                <w:color w:val="auto"/>
                <w:spacing w:val="32"/>
                <w:sz w:val="24"/>
                <w:szCs w:val="24"/>
              </w:rPr>
            </w:pPr>
            <w:r>
              <w:rPr>
                <w:rFonts w:hint="eastAsia" w:asciiTheme="minorEastAsia" w:hAnsiTheme="minorEastAsia" w:eastAsiaTheme="minorEastAsia" w:cstheme="minorEastAsia"/>
                <w:color w:val="auto"/>
                <w:spacing w:val="32"/>
                <w:sz w:val="24"/>
                <w:szCs w:val="24"/>
              </w:rPr>
              <w:t>路灯控制箱</w:t>
            </w:r>
          </w:p>
        </w:tc>
        <w:tc>
          <w:tcPr>
            <w:tcW w:w="4813" w:type="dxa"/>
            <w:gridSpan w:val="2"/>
            <w:tcBorders>
              <w:top w:val="single" w:color="000000" w:sz="4" w:space="0"/>
              <w:left w:val="single" w:color="000000" w:sz="4" w:space="0"/>
              <w:bottom w:val="single" w:color="000000" w:sz="4" w:space="0"/>
              <w:right w:val="single" w:color="000000" w:sz="4" w:space="0"/>
            </w:tcBorders>
          </w:tcPr>
          <w:p w14:paraId="3685B03B">
            <w:pPr>
              <w:widowControl w:val="0"/>
              <w:kinsoku w:val="0"/>
              <w:overflowPunct w:val="0"/>
              <w:autoSpaceDE w:val="0"/>
              <w:autoSpaceDN w:val="0"/>
              <w:adjustRightInd w:val="0"/>
              <w:spacing w:line="360" w:lineRule="auto"/>
              <w:jc w:val="left"/>
              <w:textAlignment w:val="auto"/>
              <w:rPr>
                <w:rFonts w:hint="eastAsia" w:asciiTheme="minorEastAsia" w:hAnsiTheme="minorEastAsia" w:eastAsiaTheme="minorEastAsia" w:cstheme="minorEastAsia"/>
                <w:color w:val="auto"/>
                <w:sz w:val="24"/>
                <w:szCs w:val="24"/>
              </w:rPr>
            </w:pPr>
          </w:p>
        </w:tc>
        <w:tc>
          <w:tcPr>
            <w:tcW w:w="1634" w:type="dxa"/>
            <w:tcBorders>
              <w:top w:val="single" w:color="000000" w:sz="4" w:space="0"/>
              <w:left w:val="single" w:color="000000" w:sz="4" w:space="0"/>
              <w:bottom w:val="single" w:color="000000" w:sz="4" w:space="0"/>
              <w:right w:val="single" w:color="000000" w:sz="4" w:space="0"/>
            </w:tcBorders>
          </w:tcPr>
          <w:p w14:paraId="41C68746">
            <w:pPr>
              <w:widowControl w:val="0"/>
              <w:kinsoku w:val="0"/>
              <w:overflowPunct w:val="0"/>
              <w:autoSpaceDE w:val="0"/>
              <w:autoSpaceDN w:val="0"/>
              <w:adjustRightInd w:val="0"/>
              <w:spacing w:before="150" w:line="360" w:lineRule="auto"/>
              <w:ind w:left="3" w:right="3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 台</w:t>
            </w:r>
          </w:p>
        </w:tc>
      </w:tr>
      <w:tr w14:paraId="3E32CE0E">
        <w:tblPrEx>
          <w:tblCellMar>
            <w:top w:w="0" w:type="dxa"/>
            <w:left w:w="0" w:type="dxa"/>
            <w:bottom w:w="0" w:type="dxa"/>
            <w:right w:w="0" w:type="dxa"/>
          </w:tblCellMar>
        </w:tblPrEx>
        <w:trPr>
          <w:trHeight w:val="532" w:hRule="atLeast"/>
          <w:jc w:val="center"/>
        </w:trPr>
        <w:tc>
          <w:tcPr>
            <w:tcW w:w="2972" w:type="dxa"/>
            <w:tcBorders>
              <w:top w:val="single" w:color="000000" w:sz="4" w:space="0"/>
              <w:left w:val="single" w:color="000000" w:sz="4" w:space="0"/>
              <w:bottom w:val="single" w:color="000000" w:sz="4" w:space="0"/>
              <w:right w:val="single" w:color="000000" w:sz="4" w:space="0"/>
            </w:tcBorders>
          </w:tcPr>
          <w:p w14:paraId="57A252C6">
            <w:pPr>
              <w:widowControl w:val="0"/>
              <w:kinsoku w:val="0"/>
              <w:overflowPunct w:val="0"/>
              <w:autoSpaceDE w:val="0"/>
              <w:autoSpaceDN w:val="0"/>
              <w:adjustRightInd w:val="0"/>
              <w:spacing w:before="150" w:line="360" w:lineRule="auto"/>
              <w:ind w:left="4" w:right="36"/>
              <w:jc w:val="center"/>
              <w:textAlignment w:val="auto"/>
              <w:rPr>
                <w:rFonts w:hint="eastAsia" w:asciiTheme="minorEastAsia" w:hAnsiTheme="minorEastAsia" w:eastAsiaTheme="minorEastAsia" w:cstheme="minorEastAsia"/>
                <w:color w:val="auto"/>
                <w:spacing w:val="32"/>
                <w:sz w:val="24"/>
                <w:szCs w:val="24"/>
              </w:rPr>
            </w:pPr>
            <w:r>
              <w:rPr>
                <w:rFonts w:hint="eastAsia" w:asciiTheme="minorEastAsia" w:hAnsiTheme="minorEastAsia" w:eastAsiaTheme="minorEastAsia" w:cstheme="minorEastAsia"/>
                <w:color w:val="auto"/>
                <w:spacing w:val="32"/>
                <w:sz w:val="24"/>
                <w:szCs w:val="24"/>
              </w:rPr>
              <w:t>不锈钢线槽</w:t>
            </w:r>
          </w:p>
        </w:tc>
        <w:tc>
          <w:tcPr>
            <w:tcW w:w="4813" w:type="dxa"/>
            <w:gridSpan w:val="2"/>
            <w:tcBorders>
              <w:top w:val="single" w:color="000000" w:sz="4" w:space="0"/>
              <w:left w:val="single" w:color="000000" w:sz="4" w:space="0"/>
              <w:bottom w:val="single" w:color="000000" w:sz="4" w:space="0"/>
              <w:right w:val="single" w:color="000000" w:sz="4" w:space="0"/>
            </w:tcBorders>
          </w:tcPr>
          <w:p w14:paraId="094E5BC3">
            <w:pPr>
              <w:widowControl w:val="0"/>
              <w:kinsoku w:val="0"/>
              <w:overflowPunct w:val="0"/>
              <w:autoSpaceDE w:val="0"/>
              <w:autoSpaceDN w:val="0"/>
              <w:adjustRightInd w:val="0"/>
              <w:spacing w:before="150" w:line="360" w:lineRule="auto"/>
              <w:ind w:left="24" w:right="32"/>
              <w:jc w:val="center"/>
              <w:textAlignment w:val="auto"/>
              <w:rPr>
                <w:rFonts w:hint="eastAsia" w:asciiTheme="minorEastAsia" w:hAnsiTheme="minorEastAsia" w:eastAsiaTheme="minorEastAsia" w:cstheme="minorEastAsia"/>
                <w:color w:val="auto"/>
                <w:spacing w:val="14"/>
                <w:sz w:val="24"/>
                <w:szCs w:val="24"/>
              </w:rPr>
            </w:pPr>
            <w:r>
              <w:rPr>
                <w:rFonts w:hint="eastAsia" w:asciiTheme="minorEastAsia" w:hAnsiTheme="minorEastAsia" w:eastAsiaTheme="minorEastAsia" w:cstheme="minorEastAsia"/>
                <w:color w:val="auto"/>
                <w:spacing w:val="14"/>
                <w:sz w:val="24"/>
                <w:szCs w:val="24"/>
              </w:rPr>
              <w:t>200</w:t>
            </w:r>
            <w:r>
              <w:rPr>
                <w:rFonts w:hint="eastAsia" w:asciiTheme="minorEastAsia" w:hAnsiTheme="minorEastAsia" w:eastAsiaTheme="minorEastAsia" w:cstheme="minorEastAsia"/>
                <w:color w:val="auto"/>
                <w:spacing w:val="-99"/>
                <w:sz w:val="24"/>
                <w:szCs w:val="24"/>
              </w:rPr>
              <w:t xml:space="preserve"> </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pacing w:val="-99"/>
                <w:sz w:val="24"/>
                <w:szCs w:val="24"/>
              </w:rPr>
              <w:t xml:space="preserve"> </w:t>
            </w:r>
            <w:r>
              <w:rPr>
                <w:rFonts w:hint="eastAsia" w:asciiTheme="minorEastAsia" w:hAnsiTheme="minorEastAsia" w:eastAsiaTheme="minorEastAsia" w:cstheme="minorEastAsia"/>
                <w:color w:val="auto"/>
                <w:spacing w:val="14"/>
                <w:sz w:val="24"/>
                <w:szCs w:val="24"/>
              </w:rPr>
              <w:t>100</w:t>
            </w:r>
          </w:p>
        </w:tc>
        <w:tc>
          <w:tcPr>
            <w:tcW w:w="1634" w:type="dxa"/>
            <w:tcBorders>
              <w:top w:val="single" w:color="000000" w:sz="4" w:space="0"/>
              <w:left w:val="single" w:color="000000" w:sz="4" w:space="0"/>
              <w:bottom w:val="single" w:color="000000" w:sz="4" w:space="0"/>
              <w:right w:val="single" w:color="000000" w:sz="4" w:space="0"/>
            </w:tcBorders>
          </w:tcPr>
          <w:p w14:paraId="1E22F58C">
            <w:pPr>
              <w:widowControl w:val="0"/>
              <w:kinsoku w:val="0"/>
              <w:overflowPunct w:val="0"/>
              <w:autoSpaceDE w:val="0"/>
              <w:autoSpaceDN w:val="0"/>
              <w:adjustRightInd w:val="0"/>
              <w:spacing w:before="150" w:line="360" w:lineRule="auto"/>
              <w:ind w:left="177"/>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4"/>
                <w:sz w:val="24"/>
                <w:szCs w:val="24"/>
              </w:rPr>
              <w:t>297.</w:t>
            </w:r>
            <w:r>
              <w:rPr>
                <w:rFonts w:hint="eastAsia" w:asciiTheme="minorEastAsia" w:hAnsiTheme="minorEastAsia" w:eastAsiaTheme="minorEastAsia" w:cstheme="minorEastAsia"/>
                <w:color w:val="auto"/>
                <w:sz w:val="24"/>
                <w:szCs w:val="24"/>
              </w:rPr>
              <w:t>2 米</w:t>
            </w:r>
          </w:p>
        </w:tc>
      </w:tr>
    </w:tbl>
    <w:p w14:paraId="3E17D2E4">
      <w:pPr>
        <w:snapToGrid w:val="0"/>
        <w:spacing w:line="360" w:lineRule="auto"/>
        <w:ind w:firstLine="480" w:firstLineChars="200"/>
        <w:textAlignment w:val="auto"/>
        <w:rPr>
          <w:rFonts w:hint="eastAsia" w:asciiTheme="minorEastAsia" w:hAnsiTheme="minorEastAsia" w:eastAsiaTheme="minorEastAsia" w:cstheme="minorEastAsia"/>
          <w:color w:val="auto"/>
          <w:sz w:val="24"/>
          <w:szCs w:val="24"/>
        </w:rPr>
      </w:pPr>
    </w:p>
    <w:p w14:paraId="33024C92">
      <w:pPr>
        <w:snapToGrid w:val="0"/>
        <w:spacing w:line="36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注：以上为施工图纸设备清册，与工程量清单数量不一致的，以预算审核后的招标工程量清单为准。</w:t>
      </w:r>
    </w:p>
    <w:p w14:paraId="7A404B69">
      <w:pPr>
        <w:snapToGrid w:val="0"/>
        <w:spacing w:line="36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严格按照工程量清单及施工图纸进行施工。施工中拆除的所有材料：灯杆、灯具、电缆、箱变等材料，需上交采购人指定地点。</w:t>
      </w:r>
    </w:p>
    <w:p w14:paraId="0F99FB33">
      <w:pPr>
        <w:snapToGrid w:val="0"/>
        <w:spacing w:line="360" w:lineRule="auto"/>
        <w:ind w:firstLine="482" w:firstLineChars="200"/>
        <w:textAlignment w:val="auto"/>
        <w:rPr>
          <w:rFonts w:hint="eastAsia" w:asciiTheme="minorEastAsia" w:hAnsiTheme="minorEastAsia" w:eastAsiaTheme="minorEastAsia" w:cstheme="minorEastAsia"/>
          <w:color w:val="auto"/>
          <w:sz w:val="24"/>
          <w:szCs w:val="24"/>
        </w:rPr>
      </w:pPr>
      <w:r>
        <w:rPr>
          <w:rFonts w:hint="eastAsia" w:ascii="宋体" w:hAnsi="宋体"/>
          <w:b/>
          <w:color w:val="auto"/>
          <w:sz w:val="24"/>
          <w:szCs w:val="24"/>
        </w:rPr>
        <w:t>（五）其他要求</w:t>
      </w:r>
    </w:p>
    <w:p w14:paraId="21469757">
      <w:pPr>
        <w:snapToGrid w:val="0"/>
        <w:spacing w:line="36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1.供应商需提供（LED路灯灯具150W、LED路灯灯具200W）2023年1月1日以来由质量监督检验技术部门出具的省级及以上检测报告。</w:t>
      </w:r>
    </w:p>
    <w:p w14:paraId="2C28A6D8">
      <w:pPr>
        <w:snapToGrid w:val="0"/>
        <w:spacing w:line="360" w:lineRule="auto"/>
        <w:ind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供应商需提供（铝芯电缆ZRC-YJLV-0.6/1KV-4*50mm2、铝芯电缆ZRC-YJLV-0.6/1KV- 1 *25mm2、铜芯电缆ZRC-YJV-0.6/1KV-4*50+1*25mm2）2023年1月1日以来由质量监督检验技术部门出具的省级及以上检测报告。</w:t>
      </w:r>
    </w:p>
    <w:p w14:paraId="2E9575D3">
      <w:pPr>
        <w:snapToGrid w:val="0"/>
        <w:spacing w:line="360" w:lineRule="auto"/>
        <w:ind w:firstLine="480" w:firstLineChars="200"/>
        <w:textAlignment w:val="auto"/>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z w:val="24"/>
          <w:szCs w:val="24"/>
        </w:rPr>
        <w:t>以</w:t>
      </w:r>
      <w:r>
        <w:rPr>
          <w:rFonts w:hint="eastAsia" w:asciiTheme="minorEastAsia" w:hAnsiTheme="minorEastAsia" w:eastAsiaTheme="minorEastAsia" w:cstheme="minorEastAsia"/>
          <w:color w:val="auto"/>
          <w:spacing w:val="8"/>
          <w:kern w:val="11"/>
          <w:sz w:val="24"/>
          <w:szCs w:val="24"/>
        </w:rPr>
        <w:t>上检测报告原件的扫描件附于响应文件中，供应商应保证所提供的检测报告真实有效并自行承诺，如提供虚假材料按《政府采购法》有关提供虚假材料的有关规定给予处罚。中标后签订合同时成交供应商需提供以上检测报告原件的扫描件1套（加盖供应商公章）。</w:t>
      </w:r>
    </w:p>
    <w:p w14:paraId="36D5F2D3">
      <w:pPr>
        <w:spacing w:line="360" w:lineRule="auto"/>
        <w:ind w:firstLine="512" w:firstLineChars="200"/>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2.根据文峰立交桥大修工程情况，待具备路灯照明改造工程施工条件后，依据采购人要求开始施工。</w:t>
      </w:r>
    </w:p>
    <w:p w14:paraId="48D153F4">
      <w:pPr>
        <w:widowControl w:val="0"/>
        <w:adjustRightInd w:val="0"/>
        <w:snapToGrid w:val="0"/>
        <w:spacing w:before="120" w:beforeLines="50" w:line="300" w:lineRule="auto"/>
        <w:ind w:firstLine="482" w:firstLineChars="200"/>
        <w:rPr>
          <w:rFonts w:hint="eastAsia" w:ascii="宋体" w:hAnsi="宋体"/>
          <w:b/>
          <w:color w:val="auto"/>
          <w:sz w:val="24"/>
          <w:szCs w:val="24"/>
        </w:rPr>
      </w:pPr>
      <w:r>
        <w:rPr>
          <w:rFonts w:hint="eastAsia" w:ascii="宋体" w:hAnsi="宋体"/>
          <w:b/>
          <w:color w:val="auto"/>
          <w:sz w:val="24"/>
          <w:szCs w:val="24"/>
        </w:rPr>
        <w:t>三、安全责任及处罚措施：</w:t>
      </w:r>
    </w:p>
    <w:p w14:paraId="218EA689">
      <w:pPr>
        <w:snapToGrid w:val="0"/>
        <w:spacing w:line="360" w:lineRule="auto"/>
        <w:ind w:firstLine="512" w:firstLineChars="200"/>
        <w:textAlignment w:val="auto"/>
        <w:rPr>
          <w:rFonts w:hint="eastAsia" w:asciiTheme="minorEastAsia" w:hAnsiTheme="minorEastAsia" w:eastAsiaTheme="minorEastAsia" w:cstheme="minorEastAsia"/>
          <w:color w:val="auto"/>
          <w:spacing w:val="8"/>
          <w:kern w:val="11"/>
          <w:sz w:val="24"/>
          <w:szCs w:val="24"/>
        </w:rPr>
      </w:pPr>
      <w:bookmarkStart w:id="12" w:name="_Toc32164"/>
      <w:r>
        <w:rPr>
          <w:rFonts w:hint="eastAsia" w:asciiTheme="minorEastAsia" w:hAnsiTheme="minorEastAsia" w:eastAsiaTheme="minorEastAsia" w:cstheme="minorEastAsia"/>
          <w:color w:val="auto"/>
          <w:spacing w:val="8"/>
          <w:kern w:val="11"/>
          <w:sz w:val="24"/>
          <w:szCs w:val="24"/>
        </w:rPr>
        <w:t>①在施工期内，发生较严重安全事故的，采购人有权解除合同。发生死亡事故的，采购人有权解除合同。</w:t>
      </w:r>
      <w:bookmarkEnd w:id="12"/>
    </w:p>
    <w:p w14:paraId="7897A903">
      <w:pPr>
        <w:snapToGrid w:val="0"/>
        <w:spacing w:line="360" w:lineRule="auto"/>
        <w:ind w:firstLine="512" w:firstLineChars="200"/>
        <w:textAlignment w:val="auto"/>
        <w:rPr>
          <w:rFonts w:hint="eastAsia" w:asciiTheme="minorEastAsia" w:hAnsiTheme="minorEastAsia" w:eastAsiaTheme="minorEastAsia" w:cstheme="minorEastAsia"/>
          <w:color w:val="auto"/>
          <w:spacing w:val="8"/>
          <w:kern w:val="11"/>
          <w:sz w:val="24"/>
          <w:szCs w:val="24"/>
        </w:rPr>
      </w:pPr>
      <w:bookmarkStart w:id="13" w:name="_Toc3254"/>
      <w:r>
        <w:rPr>
          <w:rFonts w:hint="eastAsia" w:asciiTheme="minorEastAsia" w:hAnsiTheme="minorEastAsia" w:eastAsiaTheme="minorEastAsia" w:cstheme="minorEastAsia"/>
          <w:color w:val="auto"/>
          <w:spacing w:val="8"/>
          <w:kern w:val="11"/>
          <w:sz w:val="24"/>
          <w:szCs w:val="24"/>
        </w:rPr>
        <w:t>②合同履行期内，成交供应商不得单方面解除合同。供应商单方解除合同的，采购人有权拒绝支付工程款，并且有权要求成交供应商支付其成交价格的30%作为违约金。</w:t>
      </w:r>
      <w:bookmarkEnd w:id="13"/>
    </w:p>
    <w:p w14:paraId="6D3BD0B9">
      <w:pPr>
        <w:snapToGrid w:val="0"/>
        <w:spacing w:line="360" w:lineRule="auto"/>
        <w:ind w:firstLine="512" w:firstLineChars="200"/>
        <w:textAlignment w:val="auto"/>
        <w:rPr>
          <w:rFonts w:hint="eastAsia" w:asciiTheme="minorEastAsia" w:hAnsiTheme="minorEastAsia" w:eastAsiaTheme="minorEastAsia" w:cstheme="minorEastAsia"/>
          <w:color w:val="auto"/>
          <w:spacing w:val="8"/>
          <w:kern w:val="11"/>
          <w:sz w:val="24"/>
          <w:szCs w:val="24"/>
        </w:rPr>
      </w:pPr>
      <w:bookmarkStart w:id="14" w:name="_Toc11170"/>
      <w:r>
        <w:rPr>
          <w:rFonts w:hint="eastAsia" w:asciiTheme="minorEastAsia" w:hAnsiTheme="minorEastAsia" w:eastAsiaTheme="minorEastAsia" w:cstheme="minorEastAsia"/>
          <w:color w:val="auto"/>
          <w:spacing w:val="8"/>
          <w:kern w:val="11"/>
          <w:sz w:val="24"/>
          <w:szCs w:val="24"/>
        </w:rPr>
        <w:t>③安全责任：成交供应商在施工期间，发生的一切安全事故，造成人身伤亡（伤人、亡人）、财产损失的，一切责任及赔偿费用由成交供应商承担，并由成交供应商出面解决处理，与采购人无关。</w:t>
      </w:r>
      <w:bookmarkEnd w:id="14"/>
    </w:p>
    <w:p w14:paraId="2AC33422">
      <w:pPr>
        <w:snapToGrid w:val="0"/>
        <w:spacing w:line="360" w:lineRule="auto"/>
        <w:ind w:firstLine="512" w:firstLineChars="200"/>
        <w:textAlignment w:val="auto"/>
        <w:rPr>
          <w:rFonts w:hint="eastAsia" w:asciiTheme="minorEastAsia" w:hAnsiTheme="minorEastAsia" w:eastAsiaTheme="minorEastAsia" w:cstheme="minorEastAsia"/>
          <w:color w:val="auto"/>
          <w:spacing w:val="8"/>
          <w:kern w:val="11"/>
          <w:sz w:val="24"/>
          <w:szCs w:val="24"/>
        </w:rPr>
      </w:pPr>
      <w:bookmarkStart w:id="15" w:name="_Toc17957"/>
      <w:r>
        <w:rPr>
          <w:rFonts w:hint="eastAsia" w:asciiTheme="minorEastAsia" w:hAnsiTheme="minorEastAsia" w:eastAsiaTheme="minorEastAsia" w:cstheme="minorEastAsia"/>
          <w:color w:val="auto"/>
          <w:spacing w:val="8"/>
          <w:kern w:val="11"/>
          <w:sz w:val="24"/>
          <w:szCs w:val="24"/>
        </w:rPr>
        <w:t>④成交供应商违反上述第①条，除解除合同外，有权要求成交供应商赔偿损失及支付违约金，损失以采购人的实际损失为准，违约金按照成交供应商成交价格的20%计算。采购人通过诉讼等法律途径向成交供应商主张权利的，成交供应商还应当支付采购人诉讼费、保全费、保函费、执行费、律师费、交通费等全部成本。</w:t>
      </w:r>
      <w:bookmarkEnd w:id="15"/>
    </w:p>
    <w:p w14:paraId="1DB3B79F">
      <w:pPr>
        <w:snapToGrid w:val="0"/>
        <w:spacing w:line="360" w:lineRule="auto"/>
        <w:ind w:firstLine="512" w:firstLineChars="200"/>
        <w:textAlignment w:val="auto"/>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1、以上是为完成该工程能正常交付使用所需的最低配置，包括但不限于以上内容；表中项目特征描述为基本技术要求，除符合基本技术要求外还应符合现场施工条件及采购人要求，当出现情况不一致时以最有利于采购人的原则确定技术要求。</w:t>
      </w:r>
    </w:p>
    <w:p w14:paraId="12981C3E">
      <w:pPr>
        <w:snapToGrid w:val="0"/>
        <w:spacing w:line="360" w:lineRule="auto"/>
        <w:ind w:firstLine="512" w:firstLineChars="200"/>
        <w:textAlignment w:val="auto"/>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2、图纸以附件形式提供，供应商应在下载磋商文件时下载图纸；未下载的自行承担相应风险及责任；凡《磋商文件》中注明有要求的、以《磋商文件》为准，《磋商文件》中未注明有要求的、以图纸为准，图纸中未注明要求的、则按国家及省市有关的文件规范、施工验收规范进行施工，供应商在报价时须将此因素考虑在内，所需费用均含在报价内。</w:t>
      </w:r>
    </w:p>
    <w:p w14:paraId="708022F4">
      <w:pPr>
        <w:snapToGrid w:val="0"/>
        <w:spacing w:line="360" w:lineRule="auto"/>
        <w:ind w:firstLine="512" w:firstLineChars="200"/>
        <w:textAlignment w:val="auto"/>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3、供应商应完成以上工程量清单中的所有工作内容，所产生的垃圾应做到日产日清；成交施工单位负责垃圾清运，所需拆除的设备及设施归采购人所有，其他物品经采购人认可后方可进行清运（到指定地点）。</w:t>
      </w:r>
    </w:p>
    <w:p w14:paraId="7EC9DFD3">
      <w:pPr>
        <w:snapToGrid w:val="0"/>
        <w:spacing w:line="360" w:lineRule="auto"/>
        <w:ind w:firstLine="512" w:firstLineChars="200"/>
        <w:textAlignment w:val="auto"/>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4、供应商应当加强劳动安全管理，加强劳动合同管理。如因管理不善和其它意外（包括上下班途中）引起的各类人身伤害、工伤事故等，或出现劳动纠纷，由供应商负责并承担经济和道义上的责任，采购人不承担任何责任。供应商违反国家相关法规与聘用人员发生纠纷，均由成交供应商负责人负责调解和处理，采购人不承担责任。</w:t>
      </w:r>
    </w:p>
    <w:p w14:paraId="219CA527">
      <w:pPr>
        <w:snapToGrid w:val="0"/>
        <w:spacing w:line="360" w:lineRule="auto"/>
        <w:ind w:firstLine="512" w:firstLineChars="200"/>
        <w:textAlignment w:val="auto"/>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5、根据《河南省财政厅河南省发展和改革委员会河南省住房和城乡建设厅河南省工业和信息化厅关于深入推进政府采购支持绿色建材促进建筑品质提升政策实施工作的通知》(豫财购(2025)4号)相关要求，结合项目情况，供应商须承诺“本项目工程中所用建材属于《绿色建筑和绿色建材政府采购需求标准(2025年版)》(以下简称《需求标准》)‘必选类’的，我方将全部采购和使用符合相关标准的绿色建材。属于《需求标准》‘可选类’的，我方将自主选择使用性价比高的绿色建材产品，但选用种类不低于建筑项目所涉及建材种类的40%”。</w:t>
      </w:r>
    </w:p>
    <w:p w14:paraId="11789A9E">
      <w:pPr>
        <w:snapToGrid w:val="0"/>
        <w:spacing w:line="360" w:lineRule="auto"/>
        <w:ind w:firstLine="512" w:firstLineChars="200"/>
        <w:textAlignment w:val="auto"/>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6、本项目的中小企业划分标准所属行业为：建筑业。</w:t>
      </w:r>
    </w:p>
    <w:p w14:paraId="5AD063E2">
      <w:pPr>
        <w:snapToGrid w:val="0"/>
        <w:spacing w:line="360" w:lineRule="auto"/>
        <w:ind w:firstLine="512" w:firstLineChars="200"/>
        <w:textAlignment w:val="auto"/>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提醒：供应商按照采购文件中标明的工程项目的所属行业、按该行业所对应的中小企业划分标准，作为工程的承建企业（供应商）是否属于中小企业的判断标准。</w:t>
      </w:r>
    </w:p>
    <w:p w14:paraId="0794AFB2">
      <w:pPr>
        <w:snapToGrid w:val="0"/>
        <w:spacing w:line="360" w:lineRule="auto"/>
        <w:ind w:firstLine="512" w:firstLineChars="200"/>
        <w:textAlignment w:val="auto"/>
        <w:rPr>
          <w:rFonts w:hint="eastAsia" w:ascii="宋体" w:hAnsi="宋体"/>
          <w:b/>
          <w:color w:val="auto"/>
          <w:sz w:val="24"/>
          <w:szCs w:val="24"/>
        </w:rPr>
      </w:pPr>
      <w:r>
        <w:rPr>
          <w:rFonts w:hint="eastAsia" w:asciiTheme="minorEastAsia" w:hAnsiTheme="minorEastAsia" w:eastAsiaTheme="minorEastAsia" w:cstheme="minorEastAsia"/>
          <w:color w:val="auto"/>
          <w:spacing w:val="8"/>
          <w:kern w:val="11"/>
          <w:sz w:val="24"/>
          <w:szCs w:val="24"/>
        </w:rPr>
        <w:t>供应商不应按照自身的行业属性作为中小企业的判断标准（应按采购文件标明的所属行业进行判断）。</w:t>
      </w:r>
    </w:p>
    <w:p w14:paraId="6E24E3ED">
      <w:pPr>
        <w:widowControl w:val="0"/>
        <w:adjustRightInd w:val="0"/>
        <w:snapToGrid w:val="0"/>
        <w:spacing w:before="120" w:beforeLines="50" w:line="300" w:lineRule="auto"/>
        <w:ind w:firstLine="463" w:firstLineChars="192"/>
        <w:rPr>
          <w:rFonts w:hint="eastAsia" w:ascii="宋体" w:hAnsi="宋体"/>
          <w:b/>
          <w:color w:val="auto"/>
          <w:sz w:val="24"/>
          <w:szCs w:val="24"/>
        </w:rPr>
      </w:pPr>
      <w:r>
        <w:rPr>
          <w:rFonts w:hint="eastAsia" w:ascii="宋体" w:hAnsi="宋体"/>
          <w:b/>
          <w:color w:val="auto"/>
          <w:sz w:val="24"/>
          <w:szCs w:val="24"/>
        </w:rPr>
        <w:t>2.4项目说明</w:t>
      </w:r>
    </w:p>
    <w:p w14:paraId="1848F802">
      <w:pPr>
        <w:widowControl w:val="0"/>
        <w:adjustRightInd w:val="0"/>
        <w:snapToGrid w:val="0"/>
        <w:spacing w:before="120" w:beforeLines="50" w:line="300" w:lineRule="auto"/>
        <w:ind w:firstLine="460" w:firstLineChars="192"/>
        <w:rPr>
          <w:color w:val="auto"/>
          <w:sz w:val="24"/>
          <w:szCs w:val="24"/>
        </w:rPr>
      </w:pPr>
      <w:r>
        <w:rPr>
          <w:rFonts w:hint="eastAsia"/>
          <w:color w:val="auto"/>
          <w:sz w:val="24"/>
          <w:szCs w:val="24"/>
        </w:rPr>
        <w:t>（</w:t>
      </w:r>
      <w:r>
        <w:rPr>
          <w:color w:val="auto"/>
          <w:sz w:val="24"/>
          <w:szCs w:val="24"/>
        </w:rPr>
        <w:t>1</w:t>
      </w:r>
      <w:r>
        <w:rPr>
          <w:rFonts w:hint="eastAsia"/>
          <w:color w:val="auto"/>
          <w:sz w:val="24"/>
          <w:szCs w:val="24"/>
        </w:rPr>
        <w:t>）工程质量要求：工程质量必须达到对应专业现行的国家</w:t>
      </w:r>
      <w:r>
        <w:rPr>
          <w:rFonts w:hint="eastAsia" w:ascii="宋体" w:hAnsi="宋体"/>
          <w:color w:val="auto"/>
          <w:sz w:val="24"/>
          <w:szCs w:val="24"/>
        </w:rPr>
        <w:t>（</w:t>
      </w:r>
      <w:r>
        <w:rPr>
          <w:rFonts w:hint="eastAsia"/>
          <w:color w:val="auto"/>
          <w:sz w:val="24"/>
          <w:szCs w:val="24"/>
        </w:rPr>
        <w:t>行业</w:t>
      </w:r>
      <w:r>
        <w:rPr>
          <w:rFonts w:hint="eastAsia" w:ascii="宋体" w:hAnsi="宋体"/>
          <w:color w:val="auto"/>
          <w:sz w:val="24"/>
          <w:szCs w:val="24"/>
        </w:rPr>
        <w:t>）</w:t>
      </w:r>
      <w:r>
        <w:rPr>
          <w:rFonts w:hint="eastAsia"/>
          <w:color w:val="auto"/>
          <w:sz w:val="24"/>
          <w:szCs w:val="24"/>
        </w:rPr>
        <w:t>的技术标准、规范且符合相关环保要求。</w:t>
      </w:r>
    </w:p>
    <w:p w14:paraId="425F1069">
      <w:pPr>
        <w:widowControl w:val="0"/>
        <w:adjustRightInd w:val="0"/>
        <w:snapToGrid w:val="0"/>
        <w:spacing w:before="120" w:beforeLines="50" w:line="300" w:lineRule="auto"/>
        <w:ind w:left="22" w:firstLine="555"/>
        <w:jc w:val="left"/>
        <w:rPr>
          <w:color w:val="auto"/>
          <w:sz w:val="24"/>
          <w:szCs w:val="24"/>
        </w:rPr>
      </w:pPr>
      <w:r>
        <w:rPr>
          <w:rFonts w:hint="eastAsia"/>
          <w:color w:val="auto"/>
          <w:sz w:val="24"/>
          <w:szCs w:val="24"/>
        </w:rPr>
        <w:t>（</w:t>
      </w:r>
      <w:r>
        <w:rPr>
          <w:color w:val="auto"/>
          <w:sz w:val="24"/>
          <w:szCs w:val="24"/>
        </w:rPr>
        <w:t>2</w:t>
      </w:r>
      <w:r>
        <w:rPr>
          <w:rFonts w:hint="eastAsia"/>
          <w:color w:val="auto"/>
          <w:sz w:val="24"/>
          <w:szCs w:val="24"/>
        </w:rPr>
        <w:t>）工程所涉货物材料的技术偏离：</w:t>
      </w:r>
    </w:p>
    <w:p w14:paraId="54056203">
      <w:pPr>
        <w:snapToGrid w:val="0"/>
        <w:spacing w:line="360" w:lineRule="auto"/>
        <w:ind w:firstLine="512" w:firstLineChars="200"/>
        <w:textAlignment w:val="auto"/>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基本技术要求”列示货物材料的参数、规格为基础性要求，供应商可提供质量性能参数相等或优于的其他产品；投标产品的规格参数与“基本技术要求”不同、且供应商认为投标产品的规格参数等于或优于“基本技术要求”的，供应商应提供相关证明材料（如权威评测资料、及印刷品产品说明书或印刷品图册等）以供磋商小组评审投标产品是否等于或优于“基本技术要求”、从而评定投标产品是否满足“基本技术要求”。</w:t>
      </w:r>
    </w:p>
    <w:p w14:paraId="6D8DED12">
      <w:pPr>
        <w:snapToGrid w:val="0"/>
        <w:spacing w:line="360" w:lineRule="auto"/>
        <w:ind w:firstLine="512" w:firstLineChars="200"/>
        <w:textAlignment w:val="auto"/>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“基本技术要求”列示货物材料的参数、规格为区间性描述的，投标产品参数规格在此区间内的、则显见的为符合“基本技术要求”。</w:t>
      </w:r>
    </w:p>
    <w:p w14:paraId="78CCBF86">
      <w:pPr>
        <w:snapToGrid w:val="0"/>
        <w:spacing w:line="360" w:lineRule="auto"/>
        <w:ind w:firstLine="512" w:firstLineChars="200"/>
        <w:textAlignment w:val="auto"/>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如“基本技术要求”中列示有品牌、型号、生产供应商名称、专利、商标的，均为“参照或相当于”的技术标准，供应商可提供等于或优于的其他产品（其他的品牌、型号、生产供应商、专利、商标）；供应商应提供相关证明材料（如权威评测资料、及印刷品产品说明书或印刷品图册等）以供磋商小组评审投标产品是否等于或优于“基本技术要求”、从而评定投标产品是否满足“基本技术要求”。</w:t>
      </w:r>
    </w:p>
    <w:p w14:paraId="61DC7EC6">
      <w:pPr>
        <w:widowControl w:val="0"/>
        <w:adjustRightInd w:val="0"/>
        <w:snapToGrid w:val="0"/>
        <w:spacing w:before="120" w:beforeLines="50" w:line="300" w:lineRule="auto"/>
        <w:ind w:firstLine="463" w:firstLineChars="192"/>
        <w:rPr>
          <w:color w:val="auto"/>
          <w:sz w:val="24"/>
          <w:szCs w:val="24"/>
        </w:rPr>
      </w:pPr>
      <w:r>
        <w:rPr>
          <w:rFonts w:hint="eastAsia" w:ascii="黑体" w:hAnsi="黑体" w:eastAsia="黑体"/>
          <w:b/>
          <w:color w:val="auto"/>
          <w:sz w:val="24"/>
          <w:szCs w:val="24"/>
        </w:rPr>
        <w:t>不</w:t>
      </w:r>
      <w:r>
        <w:rPr>
          <w:rFonts w:ascii="黑体" w:hAnsi="黑体" w:eastAsia="黑体"/>
          <w:b/>
          <w:color w:val="auto"/>
          <w:sz w:val="24"/>
          <w:szCs w:val="24"/>
        </w:rPr>
        <w:t>接受负</w:t>
      </w:r>
      <w:r>
        <w:rPr>
          <w:rFonts w:hint="eastAsia" w:ascii="黑体" w:hAnsi="黑体" w:eastAsia="黑体"/>
          <w:b/>
          <w:color w:val="auto"/>
          <w:sz w:val="24"/>
          <w:szCs w:val="24"/>
        </w:rPr>
        <w:t>偏差，低</w:t>
      </w:r>
      <w:r>
        <w:rPr>
          <w:rFonts w:ascii="黑体" w:hAnsi="黑体" w:eastAsia="黑体"/>
          <w:b/>
          <w:color w:val="auto"/>
          <w:sz w:val="24"/>
          <w:szCs w:val="24"/>
        </w:rPr>
        <w:t>于</w:t>
      </w:r>
      <w:r>
        <w:rPr>
          <w:rFonts w:hint="eastAsia" w:ascii="黑体" w:hAnsi="黑体" w:eastAsia="黑体"/>
          <w:b/>
          <w:color w:val="auto"/>
          <w:sz w:val="24"/>
          <w:szCs w:val="24"/>
        </w:rPr>
        <w:t>“基本技术要求”</w:t>
      </w:r>
      <w:r>
        <w:rPr>
          <w:rFonts w:ascii="黑体" w:hAnsi="黑体" w:eastAsia="黑体"/>
          <w:b/>
          <w:color w:val="auto"/>
          <w:sz w:val="24"/>
          <w:szCs w:val="24"/>
        </w:rPr>
        <w:t>的、为无效投标。</w:t>
      </w:r>
    </w:p>
    <w:p w14:paraId="62F85EF3">
      <w:pPr>
        <w:snapToGrid w:val="0"/>
        <w:spacing w:line="360" w:lineRule="auto"/>
        <w:ind w:firstLine="512" w:firstLineChars="200"/>
        <w:textAlignment w:val="auto"/>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（3）本工程不准转包、挂靠承包、层层分包。</w:t>
      </w:r>
    </w:p>
    <w:p w14:paraId="6D5F7521">
      <w:pPr>
        <w:snapToGrid w:val="0"/>
        <w:spacing w:line="360" w:lineRule="auto"/>
        <w:ind w:firstLine="512" w:firstLineChars="200"/>
        <w:textAlignment w:val="auto"/>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4）承包方式：本工程包工包料，中标价及合同价为固定总价合同，不因人工、材料和设备等价格的波动而影响合同价格；为完成本项目所需的一切辅件、零配件均由成交供应商免费提供；除“基本技术要求”有明确说明之外，所有设备及材料均不得低于国标标准且经采购人认可后方可进场。</w:t>
      </w:r>
    </w:p>
    <w:p w14:paraId="021D5F90">
      <w:pPr>
        <w:snapToGrid w:val="0"/>
        <w:spacing w:line="360" w:lineRule="auto"/>
        <w:ind w:firstLine="512" w:firstLineChars="200"/>
        <w:textAlignment w:val="auto"/>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5）磋商报价为供应商自主报价，供应商应充分考虑综合费用。成交供应商须按采购人要求清理施工现场并负责垃圾清运（到指定地点）；因施工造成的破坏需及时恢复原状；以上费用均含在磋商报价内。注：遵守市蓝天工程和创建卫生城市相关要求，取得相关许可及证件，如违反规定接受上级处罚，由成交供应商自行承担，给采购人造成损失的应进行补偿。</w:t>
      </w:r>
    </w:p>
    <w:p w14:paraId="3BE7D26E">
      <w:pPr>
        <w:snapToGrid w:val="0"/>
        <w:spacing w:line="360" w:lineRule="auto"/>
        <w:ind w:firstLine="512" w:firstLineChars="200"/>
        <w:textAlignment w:val="auto"/>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（6）施工过程中应注意施工规范，文明施工、安全施工，保持整洁有序。</w:t>
      </w:r>
    </w:p>
    <w:p w14:paraId="4780ABDE">
      <w:pPr>
        <w:snapToGrid w:val="0"/>
        <w:spacing w:line="360" w:lineRule="auto"/>
        <w:ind w:firstLine="512" w:firstLineChars="200"/>
        <w:textAlignment w:val="auto"/>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（7）施工过程中每道施工程序完成后必须经采购人签字认可，签字文字材料将作为工程验收的必备条件。以上工程质量必须达到&lt;&lt;建筑工程施工质量验收统一标准&gt;&gt;GB50300-2013。</w:t>
      </w:r>
    </w:p>
    <w:p w14:paraId="2E4E2F54">
      <w:pPr>
        <w:snapToGrid w:val="0"/>
        <w:spacing w:line="360" w:lineRule="auto"/>
        <w:ind w:firstLine="512" w:firstLineChars="200"/>
        <w:textAlignment w:val="auto"/>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8）供应商为准确投标，开标前应自行与采购人联系，详细勘察现场，并按采购人施工条件及要求编制磋商报价；供应商的磋商报价应包括未列明而完成本工程所必须的所有设备、材料、工具、费用等，否则由成交施工单位自行解决；详细勘察现场是供应商的责任，供应商自行承担相应风险。</w:t>
      </w:r>
    </w:p>
    <w:p w14:paraId="087A6E87">
      <w:pPr>
        <w:snapToGrid w:val="0"/>
        <w:spacing w:line="360" w:lineRule="auto"/>
        <w:ind w:firstLine="512" w:firstLineChars="200"/>
        <w:textAlignment w:val="auto"/>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（9）当主要工程量概况与图纸不符时，以图纸为准；当图纸与现场勘察情况不符时，以现场勘察情况为准；供应商自行承担相应风险。</w:t>
      </w:r>
    </w:p>
    <w:p w14:paraId="5BEEEFAF">
      <w:pPr>
        <w:snapToGrid w:val="0"/>
        <w:spacing w:line="360" w:lineRule="auto"/>
        <w:ind w:firstLine="512" w:firstLineChars="200"/>
        <w:textAlignment w:val="auto"/>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（10）本项目（工程）质保期:至少2年。（材料：灯具、灯杆质保期2年）</w:t>
      </w:r>
    </w:p>
    <w:p w14:paraId="786DE0B7">
      <w:pPr>
        <w:snapToGrid w:val="0"/>
        <w:spacing w:line="360" w:lineRule="auto"/>
        <w:ind w:firstLine="512" w:firstLineChars="200"/>
        <w:textAlignment w:val="auto"/>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备注：1、质保期内该工程项目出现路灯照明等任何故障，本地成交供应商2小时内到达现场，4小时内修复；外地成交供应商5小时内到达现场，4小时内修复。</w:t>
      </w:r>
      <w:r>
        <w:rPr>
          <w:rFonts w:hint="eastAsia" w:asciiTheme="minorEastAsia" w:hAnsiTheme="minorEastAsia" w:eastAsiaTheme="minorEastAsia" w:cstheme="minorEastAsia"/>
          <w:color w:val="auto"/>
          <w:spacing w:val="8"/>
          <w:kern w:val="11"/>
          <w:sz w:val="24"/>
          <w:szCs w:val="24"/>
          <w:lang w:val="en"/>
        </w:rPr>
        <w:t>特殊紧急情况（如漏电故障或上级领导安排工作）</w:t>
      </w:r>
      <w:r>
        <w:rPr>
          <w:rFonts w:hint="eastAsia" w:asciiTheme="minorEastAsia" w:hAnsiTheme="minorEastAsia" w:eastAsiaTheme="minorEastAsia" w:cstheme="minorEastAsia"/>
          <w:color w:val="auto"/>
          <w:spacing w:val="8"/>
          <w:kern w:val="11"/>
          <w:sz w:val="24"/>
          <w:szCs w:val="24"/>
        </w:rPr>
        <w:t>成交供应商需1个小时内到达现场，1小时内修复。</w:t>
      </w:r>
    </w:p>
    <w:p w14:paraId="2A52CC03">
      <w:pPr>
        <w:snapToGrid w:val="0"/>
        <w:spacing w:line="360" w:lineRule="auto"/>
        <w:ind w:firstLine="512" w:firstLineChars="200"/>
        <w:textAlignment w:val="auto"/>
        <w:rPr>
          <w:rFonts w:hint="eastAsia" w:asciiTheme="minorEastAsia" w:hAnsiTheme="minorEastAsia" w:eastAsiaTheme="minorEastAsia" w:cstheme="minorEastAsia"/>
          <w:color w:val="auto"/>
          <w:spacing w:val="8"/>
          <w:kern w:val="11"/>
          <w:sz w:val="24"/>
          <w:szCs w:val="24"/>
        </w:rPr>
      </w:pPr>
      <w:r>
        <w:rPr>
          <w:rFonts w:hint="eastAsia" w:asciiTheme="minorEastAsia" w:hAnsiTheme="minorEastAsia" w:eastAsiaTheme="minorEastAsia" w:cstheme="minorEastAsia"/>
          <w:color w:val="auto"/>
          <w:spacing w:val="8"/>
          <w:kern w:val="11"/>
          <w:sz w:val="24"/>
          <w:szCs w:val="24"/>
        </w:rPr>
        <w:t>2、工期：自合同签订之日起50日历天内完成，每延期1天，扣除工程款的0.1%。</w:t>
      </w:r>
    </w:p>
    <w:p w14:paraId="4569488F">
      <w:pPr>
        <w:widowControl w:val="0"/>
        <w:adjustRightInd w:val="0"/>
        <w:snapToGrid w:val="0"/>
        <w:spacing w:before="120" w:beforeLines="50" w:line="276" w:lineRule="auto"/>
        <w:ind w:firstLine="460" w:firstLineChars="192"/>
        <w:rPr>
          <w:color w:val="auto"/>
          <w:sz w:val="24"/>
          <w:szCs w:val="24"/>
        </w:rPr>
      </w:pPr>
      <w:r>
        <w:rPr>
          <w:rFonts w:hint="eastAsia"/>
          <w:color w:val="auto"/>
          <w:sz w:val="24"/>
          <w:szCs w:val="24"/>
        </w:rPr>
        <w:t>（11）应遵循第三章供应商须知</w:t>
      </w:r>
      <w:r>
        <w:rPr>
          <w:color w:val="auto"/>
          <w:sz w:val="24"/>
          <w:szCs w:val="24"/>
        </w:rPr>
        <w:t>3.7.</w:t>
      </w:r>
      <w:r>
        <w:rPr>
          <w:rFonts w:hint="eastAsia"/>
          <w:color w:val="auto"/>
          <w:sz w:val="24"/>
          <w:szCs w:val="24"/>
        </w:rPr>
        <w:t>3项规定。</w:t>
      </w:r>
    </w:p>
    <w:p w14:paraId="73117C00">
      <w:pPr>
        <w:widowControl w:val="0"/>
        <w:adjustRightInd w:val="0"/>
        <w:snapToGrid w:val="0"/>
        <w:spacing w:before="120" w:beforeLines="50" w:line="300" w:lineRule="auto"/>
        <w:ind w:firstLine="463" w:firstLineChars="192"/>
        <w:rPr>
          <w:rFonts w:hint="eastAsia" w:ascii="宋体" w:hAnsi="宋体"/>
          <w:b/>
          <w:color w:val="auto"/>
          <w:sz w:val="24"/>
          <w:szCs w:val="24"/>
        </w:rPr>
      </w:pPr>
      <w:r>
        <w:rPr>
          <w:rFonts w:hint="eastAsia" w:ascii="宋体" w:hAnsi="宋体"/>
          <w:b/>
          <w:color w:val="auto"/>
          <w:sz w:val="24"/>
          <w:szCs w:val="24"/>
        </w:rPr>
        <w:t>2.5 安全</w:t>
      </w:r>
    </w:p>
    <w:p w14:paraId="00CEF4FB">
      <w:pPr>
        <w:widowControl w:val="0"/>
        <w:adjustRightInd w:val="0"/>
        <w:snapToGrid w:val="0"/>
        <w:spacing w:before="120" w:beforeLines="50" w:line="300" w:lineRule="auto"/>
        <w:ind w:left="22" w:firstLine="555"/>
        <w:jc w:val="left"/>
        <w:rPr>
          <w:color w:val="auto"/>
          <w:sz w:val="24"/>
          <w:szCs w:val="24"/>
        </w:rPr>
      </w:pPr>
      <w:r>
        <w:rPr>
          <w:rFonts w:hint="eastAsia"/>
          <w:color w:val="auto"/>
          <w:sz w:val="24"/>
          <w:szCs w:val="24"/>
        </w:rPr>
        <w:t>投标工程（及涉货物材料）应符合国家、行业的各</w:t>
      </w:r>
      <w:r>
        <w:rPr>
          <w:color w:val="auto"/>
          <w:sz w:val="24"/>
          <w:szCs w:val="24"/>
        </w:rPr>
        <w:t>项</w:t>
      </w:r>
      <w:r>
        <w:rPr>
          <w:rFonts w:hint="eastAsia"/>
          <w:color w:val="auto"/>
          <w:sz w:val="24"/>
          <w:szCs w:val="24"/>
        </w:rPr>
        <w:t>安全标准，供应商</w:t>
      </w:r>
      <w:r>
        <w:rPr>
          <w:color w:val="auto"/>
          <w:sz w:val="24"/>
          <w:szCs w:val="24"/>
        </w:rPr>
        <w:t>对</w:t>
      </w:r>
      <w:r>
        <w:rPr>
          <w:rFonts w:hint="eastAsia"/>
          <w:color w:val="auto"/>
          <w:sz w:val="24"/>
          <w:szCs w:val="24"/>
        </w:rPr>
        <w:t>所投工程（及涉货物材料）的</w:t>
      </w:r>
      <w:r>
        <w:rPr>
          <w:color w:val="auto"/>
          <w:sz w:val="24"/>
          <w:szCs w:val="24"/>
        </w:rPr>
        <w:t>安全性承担全部责任。</w:t>
      </w:r>
      <w:r>
        <w:rPr>
          <w:rFonts w:hint="eastAsia"/>
          <w:color w:val="auto"/>
          <w:sz w:val="24"/>
          <w:szCs w:val="24"/>
        </w:rPr>
        <w:t>工期内不符合保障人身、财产安全的国家标准、行业标准的工程（及涉货物材料），将</w:t>
      </w:r>
      <w:r>
        <w:rPr>
          <w:color w:val="auto"/>
          <w:sz w:val="24"/>
          <w:szCs w:val="24"/>
        </w:rPr>
        <w:t>依法承担民事及相应刑事责任</w:t>
      </w:r>
      <w:r>
        <w:rPr>
          <w:rFonts w:hint="eastAsia"/>
          <w:color w:val="auto"/>
          <w:sz w:val="24"/>
          <w:szCs w:val="24"/>
        </w:rPr>
        <w:t>。合</w:t>
      </w:r>
      <w:r>
        <w:rPr>
          <w:color w:val="auto"/>
          <w:sz w:val="24"/>
          <w:szCs w:val="24"/>
        </w:rPr>
        <w:t>同履行中的安全责任由</w:t>
      </w:r>
      <w:r>
        <w:rPr>
          <w:rFonts w:hint="eastAsia"/>
          <w:color w:val="auto"/>
          <w:sz w:val="24"/>
          <w:szCs w:val="24"/>
        </w:rPr>
        <w:t>成交供应商</w:t>
      </w:r>
      <w:r>
        <w:rPr>
          <w:color w:val="auto"/>
          <w:sz w:val="24"/>
          <w:szCs w:val="24"/>
        </w:rPr>
        <w:t>承担全部责任。</w:t>
      </w:r>
    </w:p>
    <w:p w14:paraId="1E98E0BB">
      <w:pPr>
        <w:widowControl w:val="0"/>
        <w:adjustRightInd w:val="0"/>
        <w:snapToGrid w:val="0"/>
        <w:spacing w:before="120" w:beforeLines="50" w:line="300" w:lineRule="auto"/>
        <w:ind w:firstLine="463" w:firstLineChars="192"/>
        <w:rPr>
          <w:rFonts w:hint="eastAsia" w:ascii="宋体" w:hAnsi="宋体"/>
          <w:b/>
          <w:color w:val="auto"/>
          <w:sz w:val="24"/>
          <w:szCs w:val="24"/>
        </w:rPr>
      </w:pPr>
      <w:r>
        <w:rPr>
          <w:rFonts w:hint="eastAsia" w:ascii="宋体" w:hAnsi="宋体"/>
          <w:b/>
          <w:color w:val="auto"/>
          <w:sz w:val="24"/>
          <w:szCs w:val="24"/>
        </w:rPr>
        <w:t>2.6 投标工程标准</w:t>
      </w:r>
    </w:p>
    <w:p w14:paraId="69F22B77">
      <w:pPr>
        <w:widowControl w:val="0"/>
        <w:adjustRightInd w:val="0"/>
        <w:snapToGrid w:val="0"/>
        <w:spacing w:before="120" w:beforeLines="50" w:line="300" w:lineRule="auto"/>
        <w:ind w:left="22" w:firstLine="555"/>
        <w:rPr>
          <w:color w:val="auto"/>
          <w:sz w:val="24"/>
          <w:szCs w:val="24"/>
        </w:rPr>
      </w:pPr>
      <w:r>
        <w:rPr>
          <w:rFonts w:hint="eastAsia"/>
          <w:color w:val="auto"/>
          <w:sz w:val="24"/>
          <w:szCs w:val="24"/>
        </w:rPr>
        <w:t>供应商所投工程（及涉货物材料）应符合国家质量标准、部颁标准及行业规范的要求，符合国家各项强制性规范及安全标准，投标工程（及涉货物材料）不应与第三方存在知识产权权属问题；供应商应本着服务客户、为客户着想的宗旨，来完善工程（及涉货物材料）及技术要求未尽事宜，不得以《磋商文件》未列明事项为由，来降低响应投标工程（及涉货物材料）的质量。</w:t>
      </w:r>
    </w:p>
    <w:p w14:paraId="0A7A6F27">
      <w:pPr>
        <w:widowControl w:val="0"/>
        <w:adjustRightInd w:val="0"/>
        <w:snapToGrid w:val="0"/>
        <w:spacing w:before="120" w:beforeLines="50" w:line="300" w:lineRule="auto"/>
        <w:ind w:firstLine="463" w:firstLineChars="192"/>
        <w:rPr>
          <w:b/>
          <w:color w:val="auto"/>
          <w:sz w:val="24"/>
          <w:szCs w:val="24"/>
        </w:rPr>
      </w:pPr>
      <w:r>
        <w:rPr>
          <w:rFonts w:hint="eastAsia"/>
          <w:b/>
          <w:color w:val="auto"/>
          <w:sz w:val="24"/>
          <w:szCs w:val="24"/>
        </w:rPr>
        <w:t>2.7</w:t>
      </w:r>
      <w:r>
        <w:rPr>
          <w:b/>
          <w:color w:val="auto"/>
          <w:sz w:val="24"/>
          <w:szCs w:val="24"/>
        </w:rPr>
        <w:t xml:space="preserve"> </w:t>
      </w:r>
      <w:r>
        <w:rPr>
          <w:rFonts w:hint="eastAsia"/>
          <w:b/>
          <w:color w:val="auto"/>
          <w:sz w:val="24"/>
          <w:szCs w:val="24"/>
        </w:rPr>
        <w:t>项目落实的政府采购政策（法规标准条款）</w:t>
      </w:r>
    </w:p>
    <w:p w14:paraId="1606F127">
      <w:pPr>
        <w:adjustRightInd w:val="0"/>
        <w:snapToGrid w:val="0"/>
        <w:spacing w:before="120" w:beforeLines="50" w:line="300" w:lineRule="auto"/>
        <w:ind w:firstLine="480" w:firstLineChars="200"/>
        <w:rPr>
          <w:rFonts w:hint="eastAsia" w:ascii="宋体" w:hAnsi="宋体"/>
          <w:color w:val="auto"/>
          <w:sz w:val="24"/>
          <w:szCs w:val="24"/>
        </w:rPr>
      </w:pPr>
      <w:r>
        <w:rPr>
          <w:rFonts w:ascii="宋体" w:hAnsi="宋体"/>
          <w:color w:val="auto"/>
          <w:sz w:val="24"/>
          <w:szCs w:val="24"/>
        </w:rPr>
        <w:t>2.</w:t>
      </w:r>
      <w:r>
        <w:rPr>
          <w:rFonts w:hint="eastAsia" w:ascii="宋体" w:hAnsi="宋体"/>
          <w:color w:val="auto"/>
          <w:sz w:val="24"/>
          <w:szCs w:val="24"/>
        </w:rPr>
        <w:t>7</w:t>
      </w:r>
      <w:r>
        <w:rPr>
          <w:rFonts w:ascii="宋体" w:hAnsi="宋体"/>
          <w:color w:val="auto"/>
          <w:sz w:val="24"/>
          <w:szCs w:val="24"/>
        </w:rPr>
        <w:t xml:space="preserve">.1 </w:t>
      </w:r>
      <w:r>
        <w:rPr>
          <w:rFonts w:hint="eastAsia" w:ascii="宋体" w:hAnsi="宋体"/>
          <w:color w:val="auto"/>
          <w:sz w:val="24"/>
          <w:szCs w:val="24"/>
        </w:rPr>
        <w:t>政府采购节能产品、环境标志产品实施品目清单管理后，对本次采购产品属于“节能产品政府采购品目清单”中强制采购品目的</w:t>
      </w:r>
      <w:r>
        <w:rPr>
          <w:rFonts w:ascii="宋体" w:hAnsi="宋体" w:cs="宋体"/>
          <w:color w:val="auto"/>
          <w:sz w:val="24"/>
          <w:szCs w:val="24"/>
        </w:rPr>
        <w:t>，</w:t>
      </w:r>
      <w:r>
        <w:rPr>
          <w:rFonts w:hint="eastAsia" w:ascii="宋体" w:hAnsi="宋体" w:cs="宋体"/>
          <w:color w:val="auto"/>
          <w:sz w:val="24"/>
          <w:szCs w:val="24"/>
        </w:rPr>
        <w:t>投</w:t>
      </w:r>
      <w:r>
        <w:rPr>
          <w:rFonts w:ascii="宋体" w:hAnsi="宋体" w:cs="宋体"/>
          <w:color w:val="auto"/>
          <w:sz w:val="24"/>
          <w:szCs w:val="24"/>
        </w:rPr>
        <w:t>标产</w:t>
      </w:r>
      <w:r>
        <w:rPr>
          <w:rFonts w:hint="eastAsia" w:ascii="宋体" w:hAnsi="宋体" w:cs="宋体"/>
          <w:color w:val="auto"/>
          <w:sz w:val="24"/>
          <w:szCs w:val="24"/>
        </w:rPr>
        <w:t>品</w:t>
      </w:r>
      <w:r>
        <w:rPr>
          <w:rFonts w:ascii="宋体" w:hAnsi="宋体" w:cs="宋体"/>
          <w:color w:val="auto"/>
          <w:sz w:val="24"/>
          <w:szCs w:val="24"/>
        </w:rPr>
        <w:t>应当具有</w:t>
      </w:r>
      <w:r>
        <w:rPr>
          <w:rFonts w:hint="eastAsia" w:ascii="宋体" w:hAnsi="宋体" w:cs="宋体"/>
          <w:color w:val="auto"/>
          <w:sz w:val="24"/>
          <w:szCs w:val="24"/>
        </w:rPr>
        <w:t>相</w:t>
      </w:r>
      <w:r>
        <w:rPr>
          <w:rFonts w:ascii="宋体" w:hAnsi="宋体" w:cs="宋体"/>
          <w:color w:val="auto"/>
          <w:sz w:val="24"/>
          <w:szCs w:val="24"/>
        </w:rPr>
        <w:t>应</w:t>
      </w:r>
      <w:r>
        <w:rPr>
          <w:rFonts w:hint="eastAsia" w:ascii="宋体" w:hAnsi="宋体" w:cs="宋体"/>
          <w:color w:val="auto"/>
          <w:sz w:val="24"/>
          <w:szCs w:val="24"/>
        </w:rPr>
        <w:t>的认证证书（认证证书应当为国家确定的认证机构出具、且应处于有效期之内</w:t>
      </w:r>
      <w:r>
        <w:rPr>
          <w:rFonts w:ascii="宋体" w:hAnsi="宋体" w:cs="宋体"/>
          <w:color w:val="auto"/>
          <w:sz w:val="24"/>
          <w:szCs w:val="24"/>
        </w:rPr>
        <w:t>）</w:t>
      </w:r>
      <w:r>
        <w:rPr>
          <w:rFonts w:hint="eastAsia" w:ascii="宋体" w:hAnsi="宋体" w:cs="宋体"/>
          <w:color w:val="auto"/>
          <w:sz w:val="24"/>
          <w:szCs w:val="24"/>
        </w:rPr>
        <w:t>，投</w:t>
      </w:r>
      <w:r>
        <w:rPr>
          <w:rFonts w:ascii="宋体" w:hAnsi="宋体" w:cs="宋体"/>
          <w:color w:val="auto"/>
          <w:sz w:val="24"/>
          <w:szCs w:val="24"/>
        </w:rPr>
        <w:t>标文件中应当提供</w:t>
      </w:r>
      <w:r>
        <w:rPr>
          <w:rFonts w:hint="eastAsia" w:ascii="宋体" w:hAnsi="宋体" w:cs="宋体"/>
          <w:color w:val="auto"/>
          <w:sz w:val="24"/>
          <w:szCs w:val="24"/>
        </w:rPr>
        <w:t>相</w:t>
      </w:r>
      <w:r>
        <w:rPr>
          <w:rFonts w:ascii="宋体" w:hAnsi="宋体" w:cs="宋体"/>
          <w:color w:val="auto"/>
          <w:sz w:val="24"/>
          <w:szCs w:val="24"/>
        </w:rPr>
        <w:t>应</w:t>
      </w:r>
      <w:r>
        <w:rPr>
          <w:rFonts w:hint="eastAsia" w:ascii="宋体" w:hAnsi="宋体" w:cs="宋体"/>
          <w:color w:val="auto"/>
          <w:sz w:val="24"/>
          <w:szCs w:val="24"/>
        </w:rPr>
        <w:t>的认证证书（认证证书应当为国家确定的认证机构出具、且应处于有效期之内）。</w:t>
      </w:r>
    </w:p>
    <w:p w14:paraId="235E31AC">
      <w:pPr>
        <w:adjustRightInd w:val="0"/>
        <w:snapToGrid w:val="0"/>
        <w:spacing w:before="120" w:beforeLines="50" w:line="300" w:lineRule="auto"/>
        <w:ind w:firstLine="480" w:firstLineChars="200"/>
        <w:rPr>
          <w:rFonts w:hint="eastAsia" w:ascii="宋体" w:hAnsi="宋体"/>
          <w:color w:val="auto"/>
          <w:sz w:val="24"/>
          <w:szCs w:val="24"/>
        </w:rPr>
      </w:pPr>
      <w:r>
        <w:rPr>
          <w:rFonts w:hint="eastAsia" w:ascii="宋体" w:hAnsi="宋体"/>
          <w:color w:val="auto"/>
          <w:sz w:val="24"/>
          <w:szCs w:val="24"/>
        </w:rPr>
        <w:t>属于政府强制采购</w:t>
      </w:r>
      <w:r>
        <w:rPr>
          <w:rFonts w:hint="eastAsia" w:ascii="宋体" w:hAnsi="宋体" w:cs="宋体"/>
          <w:color w:val="auto"/>
          <w:sz w:val="24"/>
          <w:szCs w:val="24"/>
        </w:rPr>
        <w:t>品目</w:t>
      </w:r>
      <w:r>
        <w:rPr>
          <w:rFonts w:hint="eastAsia" w:ascii="宋体" w:hAnsi="宋体"/>
          <w:color w:val="auto"/>
          <w:sz w:val="24"/>
          <w:szCs w:val="24"/>
        </w:rPr>
        <w:t>、而未按要求提供相应资料的，</w:t>
      </w:r>
      <w:r>
        <w:rPr>
          <w:rFonts w:hint="eastAsia" w:ascii="宋体" w:hAnsi="宋体"/>
          <w:b/>
          <w:color w:val="auto"/>
          <w:sz w:val="24"/>
          <w:szCs w:val="24"/>
        </w:rPr>
        <w:t>为无效投标</w:t>
      </w:r>
      <w:r>
        <w:rPr>
          <w:rFonts w:hint="eastAsia" w:ascii="宋体" w:hAnsi="宋体"/>
          <w:color w:val="auto"/>
          <w:sz w:val="24"/>
          <w:szCs w:val="24"/>
        </w:rPr>
        <w:t>。</w:t>
      </w:r>
    </w:p>
    <w:p w14:paraId="6FA4586A">
      <w:pPr>
        <w:adjustRightInd w:val="0"/>
        <w:snapToGrid w:val="0"/>
        <w:spacing w:before="120" w:beforeLines="50" w:line="300" w:lineRule="auto"/>
        <w:ind w:firstLine="480" w:firstLineChars="200"/>
        <w:rPr>
          <w:rFonts w:hint="eastAsia" w:ascii="宋体" w:hAnsi="宋体" w:cs="宋体"/>
          <w:color w:val="auto"/>
          <w:sz w:val="24"/>
          <w:szCs w:val="24"/>
        </w:rPr>
      </w:pPr>
      <w:r>
        <w:rPr>
          <w:rFonts w:ascii="宋体" w:hAnsi="宋体"/>
          <w:color w:val="auto"/>
          <w:sz w:val="24"/>
          <w:szCs w:val="24"/>
        </w:rPr>
        <w:t>2.</w:t>
      </w:r>
      <w:r>
        <w:rPr>
          <w:rFonts w:hint="eastAsia" w:ascii="宋体" w:hAnsi="宋体"/>
          <w:color w:val="auto"/>
          <w:sz w:val="24"/>
          <w:szCs w:val="24"/>
        </w:rPr>
        <w:t>7</w:t>
      </w:r>
      <w:r>
        <w:rPr>
          <w:rFonts w:ascii="宋体" w:hAnsi="宋体"/>
          <w:color w:val="auto"/>
          <w:sz w:val="24"/>
          <w:szCs w:val="24"/>
        </w:rPr>
        <w:t xml:space="preserve">.2 </w:t>
      </w:r>
      <w:r>
        <w:rPr>
          <w:rFonts w:hint="eastAsia" w:ascii="宋体" w:hAnsi="宋体"/>
          <w:color w:val="auto"/>
          <w:sz w:val="24"/>
          <w:szCs w:val="24"/>
        </w:rPr>
        <w:t>同等条件下，</w:t>
      </w:r>
      <w:r>
        <w:rPr>
          <w:rFonts w:hint="eastAsia" w:ascii="宋体" w:hAnsi="宋体" w:cs="宋体"/>
          <w:color w:val="auto"/>
          <w:sz w:val="24"/>
          <w:szCs w:val="24"/>
        </w:rPr>
        <w:t>获得节能产品认证证书或环境标志产品认证证书的产品优先采购。(认证证书应</w:t>
      </w:r>
      <w:r>
        <w:rPr>
          <w:rFonts w:ascii="宋体" w:hAnsi="宋体" w:cs="宋体"/>
          <w:color w:val="auto"/>
          <w:sz w:val="24"/>
          <w:szCs w:val="24"/>
        </w:rPr>
        <w:t>当为</w:t>
      </w:r>
      <w:r>
        <w:rPr>
          <w:rFonts w:hint="eastAsia" w:ascii="宋体" w:hAnsi="宋体" w:cs="宋体"/>
          <w:color w:val="auto"/>
          <w:sz w:val="24"/>
          <w:szCs w:val="24"/>
        </w:rPr>
        <w:t>国家确定的认证机构出具、且</w:t>
      </w:r>
      <w:r>
        <w:rPr>
          <w:rFonts w:ascii="宋体" w:hAnsi="宋体" w:cs="宋体"/>
          <w:color w:val="auto"/>
          <w:sz w:val="24"/>
          <w:szCs w:val="24"/>
        </w:rPr>
        <w:t>应</w:t>
      </w:r>
      <w:r>
        <w:rPr>
          <w:rFonts w:hint="eastAsia" w:ascii="宋体" w:hAnsi="宋体" w:cs="宋体"/>
          <w:color w:val="auto"/>
          <w:sz w:val="24"/>
          <w:szCs w:val="24"/>
        </w:rPr>
        <w:t>处于有效期之内。)</w:t>
      </w:r>
    </w:p>
    <w:p w14:paraId="0EE0DEE9">
      <w:pPr>
        <w:adjustRightInd w:val="0"/>
        <w:snapToGrid w:val="0"/>
        <w:spacing w:before="120" w:beforeLines="50" w:line="300" w:lineRule="auto"/>
        <w:ind w:firstLine="480" w:firstLineChars="200"/>
        <w:rPr>
          <w:rFonts w:hint="eastAsia" w:ascii="宋体" w:hAnsi="宋体"/>
          <w:color w:val="auto"/>
          <w:sz w:val="24"/>
          <w:szCs w:val="24"/>
        </w:rPr>
      </w:pPr>
      <w:r>
        <w:rPr>
          <w:rFonts w:ascii="宋体" w:hAnsi="宋体"/>
          <w:color w:val="auto"/>
          <w:sz w:val="24"/>
          <w:szCs w:val="24"/>
        </w:rPr>
        <w:t>2.</w:t>
      </w:r>
      <w:r>
        <w:rPr>
          <w:rFonts w:hint="eastAsia" w:ascii="宋体" w:hAnsi="宋体"/>
          <w:color w:val="auto"/>
          <w:sz w:val="24"/>
          <w:szCs w:val="24"/>
        </w:rPr>
        <w:t>7</w:t>
      </w:r>
      <w:r>
        <w:rPr>
          <w:rFonts w:ascii="宋体" w:hAnsi="宋体"/>
          <w:color w:val="auto"/>
          <w:sz w:val="24"/>
          <w:szCs w:val="24"/>
        </w:rPr>
        <w:t>.</w:t>
      </w:r>
      <w:r>
        <w:rPr>
          <w:rFonts w:hint="eastAsia" w:ascii="宋体" w:hAnsi="宋体"/>
          <w:color w:val="auto"/>
          <w:sz w:val="24"/>
          <w:szCs w:val="24"/>
        </w:rPr>
        <w:t>3本次采购产品如有列入《网络关键设备和网络安全专用产品目录》的网络安全专用产品，该产品应当按照《关于调整网络安全专用产品安全管理有关事项的公告》要求进行安全认证或安全检测、或已获得《计算机信息系统安全专用产品销售许可证》（</w:t>
      </w:r>
      <w:r>
        <w:rPr>
          <w:rFonts w:hint="eastAsia" w:ascii="宋体" w:hAnsi="宋体" w:cs="宋体"/>
          <w:color w:val="auto"/>
          <w:sz w:val="24"/>
          <w:szCs w:val="24"/>
        </w:rPr>
        <w:t>应处于有效期内</w:t>
      </w:r>
      <w:r>
        <w:rPr>
          <w:rFonts w:hint="eastAsia" w:ascii="宋体" w:hAnsi="宋体"/>
          <w:color w:val="auto"/>
          <w:sz w:val="24"/>
          <w:szCs w:val="24"/>
        </w:rPr>
        <w:t>）。</w:t>
      </w:r>
    </w:p>
    <w:p w14:paraId="63D4429F">
      <w:pPr>
        <w:adjustRightInd w:val="0"/>
        <w:snapToGrid w:val="0"/>
        <w:spacing w:before="120" w:beforeLines="50" w:line="300" w:lineRule="auto"/>
        <w:ind w:firstLine="480" w:firstLineChars="200"/>
        <w:rPr>
          <w:rFonts w:hint="eastAsia" w:ascii="宋体" w:hAnsi="宋体"/>
          <w:color w:val="auto"/>
          <w:sz w:val="24"/>
          <w:szCs w:val="24"/>
        </w:rPr>
      </w:pPr>
      <w:r>
        <w:rPr>
          <w:rFonts w:ascii="宋体" w:hAnsi="宋体"/>
          <w:color w:val="auto"/>
          <w:sz w:val="24"/>
          <w:szCs w:val="24"/>
        </w:rPr>
        <w:t>2.</w:t>
      </w:r>
      <w:r>
        <w:rPr>
          <w:rFonts w:hint="eastAsia" w:ascii="宋体" w:hAnsi="宋体"/>
          <w:color w:val="auto"/>
          <w:sz w:val="24"/>
          <w:szCs w:val="24"/>
        </w:rPr>
        <w:t>7</w:t>
      </w:r>
      <w:r>
        <w:rPr>
          <w:rFonts w:ascii="宋体" w:hAnsi="宋体"/>
          <w:color w:val="auto"/>
          <w:sz w:val="24"/>
          <w:szCs w:val="24"/>
        </w:rPr>
        <w:t>.</w:t>
      </w:r>
      <w:r>
        <w:rPr>
          <w:rFonts w:hint="eastAsia" w:ascii="宋体" w:hAnsi="宋体"/>
          <w:color w:val="auto"/>
          <w:sz w:val="24"/>
          <w:szCs w:val="24"/>
        </w:rPr>
        <w:t>4计算机产品须预装正版操作系统软件。</w:t>
      </w:r>
    </w:p>
    <w:p w14:paraId="610CAD85">
      <w:pPr>
        <w:adjustRightInd w:val="0"/>
        <w:snapToGrid w:val="0"/>
        <w:spacing w:before="120" w:beforeLines="50" w:line="300" w:lineRule="auto"/>
        <w:ind w:firstLine="480" w:firstLineChars="200"/>
        <w:rPr>
          <w:rFonts w:hint="eastAsia" w:ascii="宋体" w:hAnsi="宋体"/>
          <w:color w:val="auto"/>
          <w:sz w:val="24"/>
          <w:szCs w:val="24"/>
        </w:rPr>
      </w:pPr>
      <w:r>
        <w:rPr>
          <w:rFonts w:ascii="宋体" w:hAnsi="宋体"/>
          <w:color w:val="auto"/>
          <w:sz w:val="24"/>
          <w:szCs w:val="24"/>
        </w:rPr>
        <w:t>2.</w:t>
      </w:r>
      <w:r>
        <w:rPr>
          <w:rFonts w:hint="eastAsia" w:ascii="宋体" w:hAnsi="宋体"/>
          <w:color w:val="auto"/>
          <w:sz w:val="24"/>
          <w:szCs w:val="24"/>
        </w:rPr>
        <w:t>7</w:t>
      </w:r>
      <w:r>
        <w:rPr>
          <w:rFonts w:ascii="宋体" w:hAnsi="宋体"/>
          <w:color w:val="auto"/>
          <w:sz w:val="24"/>
          <w:szCs w:val="24"/>
        </w:rPr>
        <w:t>.</w:t>
      </w:r>
      <w:r>
        <w:rPr>
          <w:rFonts w:hint="eastAsia" w:ascii="宋体" w:hAnsi="宋体"/>
          <w:color w:val="auto"/>
          <w:sz w:val="24"/>
          <w:szCs w:val="24"/>
        </w:rPr>
        <w:t>5</w:t>
      </w:r>
      <w:r>
        <w:rPr>
          <w:rFonts w:ascii="宋体" w:hAnsi="宋体"/>
          <w:color w:val="auto"/>
          <w:sz w:val="24"/>
          <w:szCs w:val="24"/>
        </w:rPr>
        <w:t xml:space="preserve"> </w:t>
      </w:r>
      <w:r>
        <w:rPr>
          <w:rFonts w:hint="eastAsia" w:ascii="宋体" w:hAnsi="宋体"/>
          <w:color w:val="auto"/>
          <w:sz w:val="24"/>
          <w:szCs w:val="24"/>
        </w:rPr>
        <w:t>本次采购不允许进口产品参加。</w:t>
      </w:r>
    </w:p>
    <w:p w14:paraId="3E69A667">
      <w:pPr>
        <w:adjustRightInd w:val="0"/>
        <w:snapToGrid w:val="0"/>
        <w:spacing w:before="120" w:beforeLines="50" w:line="300" w:lineRule="auto"/>
        <w:ind w:firstLine="480" w:firstLineChars="200"/>
        <w:rPr>
          <w:rFonts w:hint="eastAsia" w:ascii="宋体" w:hAnsi="宋体"/>
          <w:color w:val="auto"/>
          <w:sz w:val="24"/>
          <w:szCs w:val="24"/>
        </w:rPr>
      </w:pPr>
      <w:r>
        <w:rPr>
          <w:rFonts w:ascii="宋体" w:hAnsi="宋体"/>
          <w:color w:val="auto"/>
          <w:sz w:val="24"/>
          <w:szCs w:val="24"/>
        </w:rPr>
        <w:t>2.</w:t>
      </w:r>
      <w:r>
        <w:rPr>
          <w:rFonts w:hint="eastAsia" w:ascii="宋体" w:hAnsi="宋体"/>
          <w:color w:val="auto"/>
          <w:sz w:val="24"/>
          <w:szCs w:val="24"/>
        </w:rPr>
        <w:t>7</w:t>
      </w:r>
      <w:r>
        <w:rPr>
          <w:rFonts w:ascii="宋体" w:hAnsi="宋体"/>
          <w:color w:val="auto"/>
          <w:sz w:val="24"/>
          <w:szCs w:val="24"/>
        </w:rPr>
        <w:t>.</w:t>
      </w:r>
      <w:r>
        <w:rPr>
          <w:rFonts w:hint="eastAsia" w:ascii="宋体" w:hAnsi="宋体"/>
          <w:color w:val="auto"/>
          <w:sz w:val="24"/>
          <w:szCs w:val="24"/>
        </w:rPr>
        <w:t>6如允许采购进口产品的，优先采购向我国企业转让技术、与我国企业签订消化吸收再创新方案的供应商的进口产品。</w:t>
      </w:r>
    </w:p>
    <w:p w14:paraId="76218426">
      <w:pPr>
        <w:adjustRightInd w:val="0"/>
        <w:snapToGrid w:val="0"/>
        <w:spacing w:before="120" w:beforeLines="50" w:line="300" w:lineRule="auto"/>
        <w:ind w:firstLine="480" w:firstLineChars="200"/>
        <w:rPr>
          <w:rFonts w:hint="eastAsia" w:ascii="宋体" w:hAnsi="宋体"/>
          <w:color w:val="auto"/>
          <w:sz w:val="24"/>
          <w:szCs w:val="24"/>
        </w:rPr>
      </w:pPr>
      <w:r>
        <w:rPr>
          <w:rFonts w:ascii="宋体" w:hAnsi="宋体"/>
          <w:color w:val="auto"/>
          <w:sz w:val="24"/>
          <w:szCs w:val="24"/>
        </w:rPr>
        <w:t>2.</w:t>
      </w:r>
      <w:r>
        <w:rPr>
          <w:rFonts w:hint="eastAsia" w:ascii="宋体" w:hAnsi="宋体"/>
          <w:color w:val="auto"/>
          <w:sz w:val="24"/>
          <w:szCs w:val="24"/>
        </w:rPr>
        <w:t>7</w:t>
      </w:r>
      <w:r>
        <w:rPr>
          <w:rFonts w:ascii="宋体" w:hAnsi="宋体"/>
          <w:color w:val="auto"/>
          <w:sz w:val="24"/>
          <w:szCs w:val="24"/>
        </w:rPr>
        <w:t>.</w:t>
      </w:r>
      <w:r>
        <w:rPr>
          <w:rFonts w:hint="eastAsia" w:ascii="宋体" w:hAnsi="宋体"/>
          <w:color w:val="auto"/>
          <w:sz w:val="24"/>
          <w:szCs w:val="24"/>
        </w:rPr>
        <w:t>7</w:t>
      </w:r>
      <w:r>
        <w:rPr>
          <w:rFonts w:ascii="宋体" w:hAnsi="宋体"/>
          <w:color w:val="auto"/>
          <w:sz w:val="24"/>
          <w:szCs w:val="24"/>
        </w:rPr>
        <w:t xml:space="preserve"> </w:t>
      </w:r>
      <w:r>
        <w:rPr>
          <w:rFonts w:hint="eastAsia" w:ascii="宋体" w:hAnsi="宋体"/>
          <w:color w:val="auto"/>
          <w:sz w:val="24"/>
          <w:szCs w:val="24"/>
        </w:rPr>
        <w:t>促进中小企业发展扶持政策：见第四章“评审办法”第</w:t>
      </w:r>
      <w:r>
        <w:rPr>
          <w:rFonts w:ascii="宋体" w:hAnsi="宋体"/>
          <w:color w:val="auto"/>
          <w:sz w:val="24"/>
          <w:szCs w:val="24"/>
        </w:rPr>
        <w:t>4</w:t>
      </w:r>
      <w:r>
        <w:rPr>
          <w:rFonts w:hint="eastAsia" w:ascii="宋体" w:hAnsi="宋体"/>
          <w:color w:val="auto"/>
          <w:sz w:val="24"/>
          <w:szCs w:val="24"/>
        </w:rPr>
        <w:t>条。</w:t>
      </w:r>
    </w:p>
    <w:p w14:paraId="7ED7919F">
      <w:pPr>
        <w:adjustRightInd w:val="0"/>
        <w:snapToGrid w:val="0"/>
        <w:spacing w:before="120" w:beforeLines="50" w:line="300" w:lineRule="auto"/>
        <w:ind w:firstLine="480" w:firstLineChars="200"/>
        <w:rPr>
          <w:rFonts w:hint="eastAsia" w:ascii="宋体" w:hAnsi="宋体"/>
          <w:color w:val="auto"/>
          <w:sz w:val="24"/>
          <w:szCs w:val="24"/>
        </w:rPr>
      </w:pPr>
      <w:r>
        <w:rPr>
          <w:rFonts w:ascii="宋体" w:hAnsi="宋体"/>
          <w:color w:val="auto"/>
          <w:sz w:val="24"/>
          <w:szCs w:val="24"/>
        </w:rPr>
        <w:t>2.</w:t>
      </w:r>
      <w:r>
        <w:rPr>
          <w:rFonts w:hint="eastAsia" w:ascii="宋体" w:hAnsi="宋体"/>
          <w:color w:val="auto"/>
          <w:sz w:val="24"/>
          <w:szCs w:val="24"/>
        </w:rPr>
        <w:t>7</w:t>
      </w:r>
      <w:r>
        <w:rPr>
          <w:rFonts w:ascii="宋体" w:hAnsi="宋体"/>
          <w:color w:val="auto"/>
          <w:sz w:val="24"/>
          <w:szCs w:val="24"/>
        </w:rPr>
        <w:t>.</w:t>
      </w:r>
      <w:r>
        <w:rPr>
          <w:rFonts w:hint="eastAsia" w:ascii="宋体" w:hAnsi="宋体"/>
          <w:color w:val="auto"/>
          <w:sz w:val="24"/>
          <w:szCs w:val="24"/>
        </w:rPr>
        <w:t>8促进残疾人就业、支持监狱企业发展：见第四章“评审办法”第</w:t>
      </w:r>
      <w:r>
        <w:rPr>
          <w:rFonts w:ascii="宋体" w:hAnsi="宋体"/>
          <w:color w:val="auto"/>
          <w:sz w:val="24"/>
          <w:szCs w:val="24"/>
        </w:rPr>
        <w:t>4</w:t>
      </w:r>
      <w:r>
        <w:rPr>
          <w:rFonts w:hint="eastAsia" w:ascii="宋体" w:hAnsi="宋体"/>
          <w:color w:val="auto"/>
          <w:sz w:val="24"/>
          <w:szCs w:val="24"/>
        </w:rPr>
        <w:t>条。</w:t>
      </w:r>
    </w:p>
    <w:p w14:paraId="2EFA8FA7">
      <w:pPr>
        <w:adjustRightInd w:val="0"/>
        <w:snapToGrid w:val="0"/>
        <w:spacing w:before="120" w:beforeLines="50" w:line="300" w:lineRule="auto"/>
        <w:ind w:firstLine="480" w:firstLineChars="200"/>
        <w:rPr>
          <w:rFonts w:hint="eastAsia" w:ascii="宋体" w:hAnsi="宋体"/>
          <w:color w:val="auto"/>
          <w:sz w:val="24"/>
          <w:szCs w:val="24"/>
        </w:rPr>
      </w:pPr>
      <w:r>
        <w:rPr>
          <w:rFonts w:ascii="宋体" w:hAnsi="宋体"/>
          <w:color w:val="auto"/>
          <w:sz w:val="24"/>
          <w:szCs w:val="24"/>
        </w:rPr>
        <w:t>2.</w:t>
      </w:r>
      <w:r>
        <w:rPr>
          <w:rFonts w:hint="eastAsia" w:ascii="宋体" w:hAnsi="宋体"/>
          <w:color w:val="auto"/>
          <w:sz w:val="24"/>
          <w:szCs w:val="24"/>
        </w:rPr>
        <w:t>7</w:t>
      </w:r>
      <w:r>
        <w:rPr>
          <w:rFonts w:ascii="宋体" w:hAnsi="宋体"/>
          <w:color w:val="auto"/>
          <w:sz w:val="24"/>
          <w:szCs w:val="24"/>
        </w:rPr>
        <w:t>.</w:t>
      </w:r>
      <w:r>
        <w:rPr>
          <w:rFonts w:hint="eastAsia" w:ascii="宋体" w:hAnsi="宋体"/>
          <w:color w:val="auto"/>
          <w:sz w:val="24"/>
          <w:szCs w:val="24"/>
        </w:rPr>
        <w:t>9</w:t>
      </w:r>
      <w:r>
        <w:rPr>
          <w:rFonts w:ascii="宋体" w:hAnsi="宋体"/>
          <w:color w:val="auto"/>
          <w:sz w:val="24"/>
          <w:szCs w:val="24"/>
        </w:rPr>
        <w:t xml:space="preserve"> </w:t>
      </w:r>
      <w:r>
        <w:rPr>
          <w:rFonts w:hint="eastAsia" w:ascii="宋体" w:hAnsi="宋体"/>
          <w:color w:val="auto"/>
          <w:sz w:val="24"/>
          <w:szCs w:val="24"/>
        </w:rPr>
        <w:t>所供产品有商品包装的应当使用绿色包装。所供产品有其他环保政策要求的，应符合相关环保法律政策要求。</w:t>
      </w:r>
    </w:p>
    <w:p w14:paraId="5D65BC21">
      <w:pPr>
        <w:adjustRightInd w:val="0"/>
        <w:snapToGrid w:val="0"/>
        <w:spacing w:before="120" w:beforeLines="50" w:line="300" w:lineRule="auto"/>
        <w:ind w:firstLine="480" w:firstLineChars="200"/>
        <w:rPr>
          <w:rFonts w:hint="eastAsia" w:ascii="宋体" w:hAnsi="宋体"/>
          <w:color w:val="auto"/>
          <w:sz w:val="24"/>
          <w:szCs w:val="24"/>
        </w:rPr>
      </w:pPr>
      <w:r>
        <w:rPr>
          <w:rFonts w:hint="eastAsia" w:ascii="宋体" w:hAnsi="宋体"/>
          <w:color w:val="auto"/>
          <w:sz w:val="24"/>
          <w:szCs w:val="24"/>
        </w:rPr>
        <w:t>2.7.10</w:t>
      </w:r>
      <w:r>
        <w:rPr>
          <w:rFonts w:ascii="宋体" w:hAnsi="宋体"/>
          <w:color w:val="auto"/>
          <w:sz w:val="24"/>
          <w:szCs w:val="24"/>
        </w:rPr>
        <w:t xml:space="preserve"> </w:t>
      </w:r>
      <w:r>
        <w:rPr>
          <w:rFonts w:hint="eastAsia" w:ascii="宋体" w:hAnsi="宋体"/>
          <w:color w:val="auto"/>
          <w:sz w:val="24"/>
          <w:szCs w:val="24"/>
        </w:rPr>
        <w:t>支持绿色建筑、绿色建材，支持使用低</w:t>
      </w:r>
      <w:r>
        <w:rPr>
          <w:rFonts w:ascii="Arial" w:hAnsi="Arial" w:cs="Arial"/>
          <w:color w:val="auto"/>
          <w:szCs w:val="21"/>
          <w:shd w:val="clear" w:color="auto" w:fill="FFFFFF"/>
        </w:rPr>
        <w:t>VOCs</w:t>
      </w:r>
      <w:r>
        <w:rPr>
          <w:rFonts w:hint="eastAsia" w:ascii="宋体" w:hAnsi="宋体"/>
          <w:color w:val="auto"/>
          <w:sz w:val="24"/>
          <w:szCs w:val="24"/>
        </w:rPr>
        <w:t>含量涂料和胶黏剂，支持不发达、少数民族地区的企业，促进自主创新产业发展，支持脱贫攻坚等；同等条件下，优先采购。</w:t>
      </w:r>
    </w:p>
    <w:p w14:paraId="22EF1C40">
      <w:pPr>
        <w:adjustRightInd w:val="0"/>
        <w:snapToGrid w:val="0"/>
        <w:spacing w:line="300" w:lineRule="auto"/>
        <w:ind w:firstLine="566" w:firstLineChars="235"/>
        <w:jc w:val="left"/>
        <w:rPr>
          <w:rFonts w:hint="eastAsia" w:ascii="黑体" w:hAnsi="黑体" w:eastAsia="黑体"/>
          <w:b/>
          <w:color w:val="auto"/>
          <w:sz w:val="24"/>
          <w:szCs w:val="24"/>
        </w:rPr>
      </w:pPr>
      <w:r>
        <w:rPr>
          <w:rFonts w:ascii="黑体" w:hAnsi="黑体" w:eastAsia="黑体"/>
          <w:b/>
          <w:color w:val="auto"/>
          <w:sz w:val="24"/>
          <w:szCs w:val="24"/>
        </w:rPr>
        <w:t>2.</w:t>
      </w:r>
      <w:r>
        <w:rPr>
          <w:rFonts w:hint="eastAsia" w:ascii="黑体" w:hAnsi="黑体" w:eastAsia="黑体"/>
          <w:b/>
          <w:color w:val="auto"/>
          <w:sz w:val="24"/>
          <w:szCs w:val="24"/>
        </w:rPr>
        <w:t>8保险、所涉货物包装</w:t>
      </w:r>
    </w:p>
    <w:p w14:paraId="4A1B8A0F">
      <w:pPr>
        <w:adjustRightInd w:val="0"/>
        <w:snapToGrid w:val="0"/>
        <w:spacing w:line="300" w:lineRule="auto"/>
        <w:ind w:firstLine="564" w:firstLineChars="235"/>
        <w:jc w:val="left"/>
        <w:rPr>
          <w:color w:val="auto"/>
          <w:sz w:val="24"/>
          <w:szCs w:val="24"/>
        </w:rPr>
      </w:pPr>
      <w:r>
        <w:rPr>
          <w:rFonts w:hint="eastAsia"/>
          <w:color w:val="auto"/>
          <w:sz w:val="24"/>
          <w:szCs w:val="24"/>
        </w:rPr>
        <w:t>2.8.1保险：</w:t>
      </w:r>
    </w:p>
    <w:p w14:paraId="1D8C2DE1">
      <w:pPr>
        <w:adjustRightInd w:val="0"/>
        <w:snapToGrid w:val="0"/>
        <w:spacing w:line="300" w:lineRule="auto"/>
        <w:ind w:firstLine="564" w:firstLineChars="235"/>
        <w:jc w:val="left"/>
        <w:rPr>
          <w:color w:val="auto"/>
          <w:sz w:val="24"/>
          <w:szCs w:val="24"/>
        </w:rPr>
      </w:pPr>
      <w:r>
        <w:rPr>
          <w:rFonts w:hint="eastAsia"/>
          <w:color w:val="auto"/>
          <w:sz w:val="24"/>
          <w:szCs w:val="24"/>
        </w:rPr>
        <w:t>投标人应遵循国家相关保险的规定，依照法规规定，根据项目属性需要，办理货物设施等的财产保险、危险作业人员的工伤和意外伤害保险、设计和工程保险、第三方责任险，相关保险费用及相应责任由成交人承担。</w:t>
      </w:r>
    </w:p>
    <w:p w14:paraId="25C8CEB5">
      <w:pPr>
        <w:adjustRightInd w:val="0"/>
        <w:snapToGrid w:val="0"/>
        <w:spacing w:line="300" w:lineRule="auto"/>
        <w:ind w:firstLine="564" w:firstLineChars="235"/>
        <w:jc w:val="left"/>
        <w:rPr>
          <w:color w:val="auto"/>
          <w:sz w:val="24"/>
          <w:szCs w:val="24"/>
        </w:rPr>
      </w:pPr>
      <w:r>
        <w:rPr>
          <w:rFonts w:hint="eastAsia"/>
          <w:color w:val="auto"/>
          <w:sz w:val="24"/>
          <w:szCs w:val="24"/>
        </w:rPr>
        <w:t>2.8.2所涉货物包装：</w:t>
      </w:r>
    </w:p>
    <w:p w14:paraId="23AEB18C">
      <w:pPr>
        <w:adjustRightInd w:val="0"/>
        <w:snapToGrid w:val="0"/>
        <w:spacing w:line="300" w:lineRule="auto"/>
        <w:ind w:firstLine="564" w:firstLineChars="235"/>
        <w:jc w:val="left"/>
        <w:rPr>
          <w:color w:val="auto"/>
          <w:sz w:val="24"/>
          <w:szCs w:val="24"/>
        </w:rPr>
      </w:pPr>
      <w:r>
        <w:rPr>
          <w:rFonts w:hint="eastAsia"/>
          <w:color w:val="auto"/>
          <w:sz w:val="24"/>
          <w:szCs w:val="24"/>
        </w:rPr>
        <w:t>成交人负责按国家相关标准进行货物包装，设备的包装均应有良好的防湿、防锈、防潮、防雨、防腐及防碰撞的措施，凡由于包装不良造成的损失和由此产生的费用均由成交人承担。</w:t>
      </w:r>
    </w:p>
    <w:p w14:paraId="7FDE1FBF">
      <w:pPr>
        <w:adjustRightInd w:val="0"/>
        <w:snapToGrid w:val="0"/>
        <w:spacing w:before="120" w:beforeLines="50" w:line="300" w:lineRule="auto"/>
        <w:ind w:firstLine="480" w:firstLineChars="200"/>
        <w:rPr>
          <w:color w:val="auto"/>
          <w:sz w:val="24"/>
          <w:szCs w:val="24"/>
        </w:rPr>
      </w:pPr>
    </w:p>
    <w:p w14:paraId="0774E511">
      <w:pPr>
        <w:adjustRightInd w:val="0"/>
        <w:snapToGrid w:val="0"/>
        <w:spacing w:before="120" w:beforeLines="50" w:line="300" w:lineRule="auto"/>
        <w:ind w:firstLine="562" w:firstLineChars="200"/>
        <w:outlineLvl w:val="1"/>
        <w:rPr>
          <w:rFonts w:hint="eastAsia" w:ascii="黑体" w:hAnsi="黑体" w:eastAsia="黑体"/>
          <w:b/>
          <w:color w:val="auto"/>
          <w:sz w:val="28"/>
        </w:rPr>
      </w:pPr>
      <w:bookmarkStart w:id="16" w:name="_Toc4146"/>
      <w:bookmarkStart w:id="17" w:name="_Toc65676676"/>
      <w:r>
        <w:rPr>
          <w:rFonts w:hint="eastAsia" w:ascii="黑体" w:hAnsi="黑体" w:eastAsia="黑体"/>
          <w:b/>
          <w:color w:val="auto"/>
          <w:sz w:val="28"/>
        </w:rPr>
        <w:t>3</w:t>
      </w:r>
      <w:r>
        <w:rPr>
          <w:rFonts w:ascii="黑体" w:hAnsi="黑体" w:eastAsia="黑体"/>
          <w:b/>
          <w:color w:val="auto"/>
          <w:sz w:val="28"/>
        </w:rPr>
        <w:t xml:space="preserve">. </w:t>
      </w:r>
      <w:r>
        <w:rPr>
          <w:rFonts w:hint="eastAsia" w:ascii="黑体" w:hAnsi="黑体" w:eastAsia="黑体"/>
          <w:b/>
          <w:color w:val="auto"/>
          <w:sz w:val="28"/>
        </w:rPr>
        <w:t>项目其他要求</w:t>
      </w:r>
      <w:bookmarkEnd w:id="16"/>
      <w:bookmarkEnd w:id="17"/>
    </w:p>
    <w:p w14:paraId="2A846843">
      <w:pPr>
        <w:widowControl w:val="0"/>
        <w:snapToGrid w:val="0"/>
        <w:spacing w:line="360" w:lineRule="auto"/>
        <w:ind w:firstLine="480" w:firstLineChars="200"/>
        <w:jc w:val="left"/>
        <w:rPr>
          <w:rFonts w:hint="eastAsia" w:ascii="宋体" w:hAnsi="宋体" w:cs="宋体"/>
          <w:color w:val="auto"/>
          <w:sz w:val="24"/>
          <w:szCs w:val="24"/>
        </w:rPr>
      </w:pPr>
      <w:r>
        <w:rPr>
          <w:rFonts w:hint="eastAsia" w:ascii="宋体" w:hAnsi="宋体" w:cs="宋体"/>
          <w:color w:val="auto"/>
          <w:sz w:val="24"/>
          <w:szCs w:val="24"/>
        </w:rPr>
        <w:t>3.1防范虚假证明材料的要求</w:t>
      </w:r>
    </w:p>
    <w:p w14:paraId="34A096D3">
      <w:pPr>
        <w:widowControl w:val="0"/>
        <w:snapToGrid w:val="0"/>
        <w:spacing w:line="360" w:lineRule="auto"/>
        <w:ind w:firstLine="480" w:firstLineChars="200"/>
        <w:jc w:val="left"/>
        <w:rPr>
          <w:rFonts w:hint="eastAsia" w:ascii="黑体" w:hAnsi="黑体" w:eastAsia="黑体"/>
          <w:b/>
          <w:color w:val="auto"/>
          <w:sz w:val="24"/>
          <w:szCs w:val="24"/>
        </w:rPr>
      </w:pPr>
      <w:r>
        <w:rPr>
          <w:rFonts w:hint="eastAsia" w:ascii="宋体" w:hAnsi="宋体" w:cs="宋体"/>
          <w:color w:val="auto"/>
          <w:sz w:val="24"/>
          <w:szCs w:val="24"/>
        </w:rPr>
        <w:t>基于当前监督检查工作要求，为防范虚假材料，供应商（成交人）应按</w:t>
      </w:r>
      <w:r>
        <w:rPr>
          <w:rFonts w:hint="eastAsia" w:ascii="宋体" w:cs="楷体_GB2312"/>
          <w:color w:val="auto"/>
          <w:sz w:val="24"/>
          <w:lang w:val="zh-CN"/>
        </w:rPr>
        <w:t>第六章</w:t>
      </w:r>
      <w:r>
        <w:rPr>
          <w:rFonts w:hint="eastAsia" w:ascii="宋体" w:hAnsi="宋体" w:cs="宋体"/>
          <w:color w:val="auto"/>
          <w:sz w:val="24"/>
          <w:szCs w:val="24"/>
        </w:rPr>
        <w:t>14-2附件“证明材料查询核验工作的清单及要求”执行。</w:t>
      </w:r>
    </w:p>
    <w:p w14:paraId="0FC6F73E">
      <w:pPr>
        <w:spacing w:line="360" w:lineRule="auto"/>
        <w:ind w:right="238"/>
        <w:jc w:val="center"/>
        <w:outlineLvl w:val="0"/>
        <w:rPr>
          <w:rFonts w:eastAsia="黑体"/>
          <w:b/>
          <w:color w:val="auto"/>
          <w:spacing w:val="36"/>
          <w:sz w:val="36"/>
          <w:szCs w:val="36"/>
        </w:rPr>
      </w:pPr>
      <w:bookmarkStart w:id="18" w:name="_Toc6554"/>
      <w:r>
        <w:rPr>
          <w:rFonts w:hint="eastAsia" w:eastAsia="黑体"/>
          <w:b/>
          <w:color w:val="auto"/>
          <w:sz w:val="36"/>
          <w:szCs w:val="36"/>
        </w:rPr>
        <w:t>第三章</w:t>
      </w:r>
      <w:r>
        <w:rPr>
          <w:rFonts w:eastAsia="黑体"/>
          <w:b/>
          <w:color w:val="auto"/>
          <w:sz w:val="36"/>
          <w:szCs w:val="36"/>
        </w:rPr>
        <w:t xml:space="preserve">  </w:t>
      </w:r>
      <w:r>
        <w:rPr>
          <w:rFonts w:hint="eastAsia" w:eastAsia="黑体"/>
          <w:b/>
          <w:color w:val="auto"/>
          <w:sz w:val="36"/>
          <w:szCs w:val="36"/>
        </w:rPr>
        <w:t>供应商须知</w:t>
      </w:r>
      <w:bookmarkEnd w:id="18"/>
    </w:p>
    <w:p w14:paraId="5F07D027">
      <w:pPr>
        <w:spacing w:line="360" w:lineRule="auto"/>
        <w:ind w:right="238"/>
        <w:jc w:val="left"/>
        <w:outlineLvl w:val="1"/>
        <w:rPr>
          <w:rFonts w:eastAsia="黑体"/>
          <w:b/>
          <w:color w:val="auto"/>
          <w:sz w:val="28"/>
          <w:szCs w:val="28"/>
        </w:rPr>
      </w:pPr>
      <w:bookmarkStart w:id="19" w:name="_Toc23832"/>
    </w:p>
    <w:p w14:paraId="49C93EB6">
      <w:pPr>
        <w:spacing w:line="360" w:lineRule="auto"/>
        <w:ind w:right="238"/>
        <w:jc w:val="left"/>
        <w:outlineLvl w:val="1"/>
        <w:rPr>
          <w:rFonts w:eastAsia="黑体"/>
          <w:b/>
          <w:color w:val="auto"/>
          <w:sz w:val="28"/>
          <w:szCs w:val="28"/>
        </w:rPr>
      </w:pPr>
      <w:r>
        <w:rPr>
          <w:rFonts w:hint="eastAsia" w:eastAsia="黑体"/>
          <w:b/>
          <w:color w:val="auto"/>
          <w:sz w:val="28"/>
          <w:szCs w:val="28"/>
        </w:rPr>
        <w:t>供应商须知前附表</w:t>
      </w:r>
      <w:bookmarkEnd w:id="19"/>
    </w:p>
    <w:tbl>
      <w:tblPr>
        <w:tblStyle w:val="19"/>
        <w:tblW w:w="9753" w:type="dxa"/>
        <w:jc w:val="center"/>
        <w:tblLayout w:type="fixed"/>
        <w:tblCellMar>
          <w:top w:w="0" w:type="dxa"/>
          <w:left w:w="108" w:type="dxa"/>
          <w:bottom w:w="0" w:type="dxa"/>
          <w:right w:w="108" w:type="dxa"/>
        </w:tblCellMar>
      </w:tblPr>
      <w:tblGrid>
        <w:gridCol w:w="508"/>
        <w:gridCol w:w="699"/>
        <w:gridCol w:w="1893"/>
        <w:gridCol w:w="6653"/>
      </w:tblGrid>
      <w:tr w14:paraId="66F0090C">
        <w:tblPrEx>
          <w:tblCellMar>
            <w:top w:w="0" w:type="dxa"/>
            <w:left w:w="108" w:type="dxa"/>
            <w:bottom w:w="0" w:type="dxa"/>
            <w:right w:w="108" w:type="dxa"/>
          </w:tblCellMar>
        </w:tblPrEx>
        <w:trPr>
          <w:trHeight w:val="571" w:hRule="atLeast"/>
          <w:jc w:val="center"/>
        </w:trPr>
        <w:tc>
          <w:tcPr>
            <w:tcW w:w="508" w:type="dxa"/>
            <w:tcBorders>
              <w:top w:val="single" w:color="auto" w:sz="12" w:space="0"/>
              <w:left w:val="single" w:color="auto" w:sz="12" w:space="0"/>
              <w:bottom w:val="single" w:color="auto" w:sz="6" w:space="0"/>
              <w:right w:val="single" w:color="auto" w:sz="6" w:space="0"/>
            </w:tcBorders>
          </w:tcPr>
          <w:p w14:paraId="48779E17">
            <w:pPr>
              <w:autoSpaceDE w:val="0"/>
              <w:autoSpaceDN w:val="0"/>
              <w:adjustRightInd w:val="0"/>
              <w:spacing w:line="240" w:lineRule="auto"/>
              <w:rPr>
                <w:rFonts w:ascii="宋体" w:cs="楷体_GB2312"/>
                <w:b/>
                <w:bCs/>
                <w:color w:val="auto"/>
                <w:sz w:val="24"/>
                <w:lang w:val="zh-CN"/>
              </w:rPr>
            </w:pPr>
            <w:r>
              <w:rPr>
                <w:rFonts w:hint="eastAsia" w:ascii="宋体" w:hAnsi="宋体" w:cs="楷体_GB2312"/>
                <w:b/>
                <w:bCs/>
                <w:color w:val="auto"/>
                <w:sz w:val="24"/>
                <w:lang w:val="zh-CN"/>
              </w:rPr>
              <w:t>章节</w:t>
            </w:r>
          </w:p>
        </w:tc>
        <w:tc>
          <w:tcPr>
            <w:tcW w:w="699" w:type="dxa"/>
            <w:tcBorders>
              <w:top w:val="single" w:color="auto" w:sz="12" w:space="0"/>
              <w:left w:val="single" w:color="auto" w:sz="12" w:space="0"/>
              <w:bottom w:val="single" w:color="auto" w:sz="6" w:space="0"/>
              <w:right w:val="single" w:color="auto" w:sz="6" w:space="0"/>
            </w:tcBorders>
            <w:vAlign w:val="center"/>
          </w:tcPr>
          <w:p w14:paraId="2FF8A742">
            <w:pPr>
              <w:autoSpaceDE w:val="0"/>
              <w:autoSpaceDN w:val="0"/>
              <w:adjustRightInd w:val="0"/>
              <w:spacing w:line="240" w:lineRule="auto"/>
              <w:rPr>
                <w:rFonts w:ascii="宋体" w:cs="楷体_GB2312"/>
                <w:b/>
                <w:bCs/>
                <w:color w:val="auto"/>
                <w:sz w:val="24"/>
                <w:lang w:val="zh-CN"/>
              </w:rPr>
            </w:pPr>
            <w:r>
              <w:rPr>
                <w:rFonts w:hint="eastAsia" w:ascii="宋体" w:hAnsi="宋体" w:cs="楷体_GB2312"/>
                <w:b/>
                <w:bCs/>
                <w:color w:val="auto"/>
                <w:sz w:val="24"/>
                <w:lang w:val="zh-CN"/>
              </w:rPr>
              <w:t>条款号</w:t>
            </w:r>
          </w:p>
        </w:tc>
        <w:tc>
          <w:tcPr>
            <w:tcW w:w="1893" w:type="dxa"/>
            <w:tcBorders>
              <w:top w:val="single" w:color="auto" w:sz="12" w:space="0"/>
              <w:left w:val="single" w:color="auto" w:sz="6" w:space="0"/>
              <w:bottom w:val="single" w:color="auto" w:sz="6" w:space="0"/>
              <w:right w:val="single" w:color="auto" w:sz="6" w:space="0"/>
            </w:tcBorders>
            <w:vAlign w:val="center"/>
          </w:tcPr>
          <w:p w14:paraId="71354CB7">
            <w:pPr>
              <w:autoSpaceDE w:val="0"/>
              <w:autoSpaceDN w:val="0"/>
              <w:adjustRightInd w:val="0"/>
              <w:spacing w:line="240" w:lineRule="auto"/>
              <w:jc w:val="center"/>
              <w:rPr>
                <w:rFonts w:ascii="宋体" w:cs="楷体_GB2312"/>
                <w:b/>
                <w:bCs/>
                <w:color w:val="auto"/>
                <w:sz w:val="24"/>
                <w:lang w:val="zh-CN"/>
              </w:rPr>
            </w:pPr>
            <w:r>
              <w:rPr>
                <w:rFonts w:hint="eastAsia" w:ascii="宋体" w:hAnsi="宋体" w:cs="楷体_GB2312"/>
                <w:b/>
                <w:bCs/>
                <w:color w:val="auto"/>
                <w:sz w:val="24"/>
                <w:lang w:val="zh-CN"/>
              </w:rPr>
              <w:t>条款名称</w:t>
            </w:r>
          </w:p>
        </w:tc>
        <w:tc>
          <w:tcPr>
            <w:tcW w:w="6653" w:type="dxa"/>
            <w:tcBorders>
              <w:top w:val="single" w:color="auto" w:sz="12" w:space="0"/>
              <w:left w:val="single" w:color="auto" w:sz="6" w:space="0"/>
              <w:bottom w:val="single" w:color="auto" w:sz="6" w:space="0"/>
              <w:right w:val="single" w:color="auto" w:sz="12" w:space="0"/>
            </w:tcBorders>
            <w:vAlign w:val="center"/>
          </w:tcPr>
          <w:p w14:paraId="24CCFC19">
            <w:pPr>
              <w:autoSpaceDE w:val="0"/>
              <w:autoSpaceDN w:val="0"/>
              <w:adjustRightInd w:val="0"/>
              <w:spacing w:line="240" w:lineRule="auto"/>
              <w:jc w:val="center"/>
              <w:rPr>
                <w:rFonts w:ascii="宋体" w:cs="楷体_GB2312"/>
                <w:b/>
                <w:bCs/>
                <w:color w:val="auto"/>
                <w:sz w:val="24"/>
                <w:lang w:val="zh-CN"/>
              </w:rPr>
            </w:pPr>
            <w:r>
              <w:rPr>
                <w:rFonts w:hint="eastAsia" w:ascii="宋体" w:hAnsi="宋体" w:cs="楷体_GB2312"/>
                <w:b/>
                <w:bCs/>
                <w:color w:val="auto"/>
                <w:sz w:val="24"/>
                <w:lang w:val="zh-CN"/>
              </w:rPr>
              <w:t>编列内容</w:t>
            </w:r>
          </w:p>
        </w:tc>
      </w:tr>
      <w:tr w14:paraId="549A3A4B">
        <w:tblPrEx>
          <w:tblCellMar>
            <w:top w:w="0" w:type="dxa"/>
            <w:left w:w="108" w:type="dxa"/>
            <w:bottom w:w="0" w:type="dxa"/>
            <w:right w:w="108" w:type="dxa"/>
          </w:tblCellMar>
        </w:tblPrEx>
        <w:trPr>
          <w:trHeight w:val="422" w:hRule="atLeast"/>
          <w:jc w:val="center"/>
        </w:trPr>
        <w:tc>
          <w:tcPr>
            <w:tcW w:w="508" w:type="dxa"/>
            <w:vMerge w:val="restart"/>
            <w:tcBorders>
              <w:top w:val="single" w:color="auto" w:sz="6" w:space="0"/>
              <w:left w:val="single" w:color="auto" w:sz="12" w:space="0"/>
              <w:right w:val="single" w:color="auto" w:sz="6" w:space="0"/>
            </w:tcBorders>
            <w:vAlign w:val="center"/>
          </w:tcPr>
          <w:p w14:paraId="2197F385">
            <w:pPr>
              <w:autoSpaceDE w:val="0"/>
              <w:autoSpaceDN w:val="0"/>
              <w:adjustRightInd w:val="0"/>
              <w:snapToGrid w:val="0"/>
              <w:spacing w:line="240" w:lineRule="auto"/>
              <w:rPr>
                <w:rFonts w:ascii="宋体" w:cs="楷体_GB2312"/>
                <w:b/>
                <w:bCs/>
                <w:color w:val="auto"/>
                <w:sz w:val="24"/>
              </w:rPr>
            </w:pPr>
            <w:r>
              <w:rPr>
                <w:rFonts w:hint="eastAsia" w:ascii="宋体" w:hAnsi="宋体" w:cs="楷体_GB2312"/>
                <w:b/>
                <w:bCs/>
                <w:color w:val="auto"/>
                <w:sz w:val="24"/>
              </w:rPr>
              <w:t>第一章</w:t>
            </w:r>
          </w:p>
        </w:tc>
        <w:tc>
          <w:tcPr>
            <w:tcW w:w="699" w:type="dxa"/>
            <w:tcBorders>
              <w:top w:val="single" w:color="auto" w:sz="6" w:space="0"/>
              <w:left w:val="single" w:color="auto" w:sz="12" w:space="0"/>
              <w:bottom w:val="single" w:color="auto" w:sz="6" w:space="0"/>
              <w:right w:val="single" w:color="auto" w:sz="6" w:space="0"/>
            </w:tcBorders>
            <w:vAlign w:val="center"/>
          </w:tcPr>
          <w:p w14:paraId="5D65E6D8">
            <w:pPr>
              <w:autoSpaceDE w:val="0"/>
              <w:autoSpaceDN w:val="0"/>
              <w:adjustRightInd w:val="0"/>
              <w:snapToGrid w:val="0"/>
              <w:spacing w:line="240" w:lineRule="auto"/>
              <w:jc w:val="center"/>
              <w:rPr>
                <w:rFonts w:ascii="宋体" w:cs="楷体_GB2312"/>
                <w:b/>
                <w:bCs/>
                <w:color w:val="auto"/>
                <w:szCs w:val="21"/>
              </w:rPr>
            </w:pPr>
            <w:r>
              <w:rPr>
                <w:rFonts w:ascii="宋体" w:hAnsi="宋体" w:cs="楷体_GB2312"/>
                <w:b/>
                <w:bCs/>
                <w:color w:val="auto"/>
                <w:szCs w:val="21"/>
              </w:rPr>
              <w:t>1.</w:t>
            </w:r>
            <w:r>
              <w:rPr>
                <w:rFonts w:hint="eastAsia" w:ascii="宋体" w:hAnsi="宋体" w:cs="楷体_GB2312"/>
                <w:b/>
                <w:bCs/>
                <w:color w:val="auto"/>
                <w:szCs w:val="21"/>
              </w:rPr>
              <w:t>2</w:t>
            </w:r>
          </w:p>
        </w:tc>
        <w:tc>
          <w:tcPr>
            <w:tcW w:w="1893" w:type="dxa"/>
            <w:tcBorders>
              <w:top w:val="single" w:color="auto" w:sz="6" w:space="0"/>
              <w:left w:val="single" w:color="auto" w:sz="6" w:space="0"/>
              <w:bottom w:val="single" w:color="auto" w:sz="6" w:space="0"/>
              <w:right w:val="single" w:color="auto" w:sz="6" w:space="0"/>
            </w:tcBorders>
            <w:vAlign w:val="center"/>
          </w:tcPr>
          <w:p w14:paraId="2955C8C8">
            <w:pPr>
              <w:autoSpaceDE w:val="0"/>
              <w:autoSpaceDN w:val="0"/>
              <w:adjustRightInd w:val="0"/>
              <w:snapToGrid w:val="0"/>
              <w:spacing w:line="240" w:lineRule="auto"/>
              <w:jc w:val="center"/>
              <w:rPr>
                <w:rFonts w:ascii="宋体" w:cs="楷体_GB2312"/>
                <w:color w:val="auto"/>
                <w:sz w:val="24"/>
                <w:lang w:val="zh-CN"/>
              </w:rPr>
            </w:pPr>
            <w:r>
              <w:rPr>
                <w:rFonts w:hint="eastAsia" w:ascii="宋体" w:hAnsi="宋体" w:cs="楷体_GB2312"/>
                <w:b/>
                <w:bCs/>
                <w:color w:val="auto"/>
                <w:sz w:val="24"/>
              </w:rPr>
              <w:t>采购项目名称</w:t>
            </w:r>
          </w:p>
        </w:tc>
        <w:tc>
          <w:tcPr>
            <w:tcW w:w="6653" w:type="dxa"/>
            <w:tcBorders>
              <w:top w:val="single" w:color="auto" w:sz="6" w:space="0"/>
              <w:left w:val="single" w:color="auto" w:sz="6" w:space="0"/>
              <w:bottom w:val="single" w:color="auto" w:sz="6" w:space="0"/>
              <w:right w:val="single" w:color="auto" w:sz="12" w:space="0"/>
            </w:tcBorders>
            <w:vAlign w:val="center"/>
          </w:tcPr>
          <w:p w14:paraId="5B04721A">
            <w:pPr>
              <w:autoSpaceDE w:val="0"/>
              <w:autoSpaceDN w:val="0"/>
              <w:adjustRightInd w:val="0"/>
              <w:snapToGrid w:val="0"/>
              <w:spacing w:before="120" w:beforeLines="50" w:line="240" w:lineRule="auto"/>
              <w:rPr>
                <w:rFonts w:ascii="宋体" w:cs="楷体_GB2312"/>
                <w:color w:val="auto"/>
                <w:sz w:val="24"/>
                <w:lang w:val="zh-CN"/>
              </w:rPr>
            </w:pPr>
            <w:r>
              <w:rPr>
                <w:rFonts w:hint="eastAsia"/>
                <w:color w:val="auto"/>
                <w:sz w:val="24"/>
                <w:szCs w:val="24"/>
              </w:rPr>
              <w:t>见“第一章竞争性磋商公告”相应条款</w:t>
            </w:r>
          </w:p>
        </w:tc>
      </w:tr>
      <w:tr w14:paraId="31B11D5A">
        <w:tblPrEx>
          <w:tblCellMar>
            <w:top w:w="0" w:type="dxa"/>
            <w:left w:w="108" w:type="dxa"/>
            <w:bottom w:w="0" w:type="dxa"/>
            <w:right w:w="108" w:type="dxa"/>
          </w:tblCellMar>
        </w:tblPrEx>
        <w:trPr>
          <w:trHeight w:val="422" w:hRule="atLeast"/>
          <w:jc w:val="center"/>
        </w:trPr>
        <w:tc>
          <w:tcPr>
            <w:tcW w:w="508" w:type="dxa"/>
            <w:vMerge w:val="continue"/>
            <w:tcBorders>
              <w:top w:val="single" w:color="auto" w:sz="6" w:space="0"/>
              <w:left w:val="single" w:color="auto" w:sz="12" w:space="0"/>
              <w:right w:val="single" w:color="auto" w:sz="6" w:space="0"/>
            </w:tcBorders>
            <w:vAlign w:val="center"/>
          </w:tcPr>
          <w:p w14:paraId="3BBB29D6">
            <w:pPr>
              <w:autoSpaceDE w:val="0"/>
              <w:autoSpaceDN w:val="0"/>
              <w:adjustRightInd w:val="0"/>
              <w:snapToGrid w:val="0"/>
              <w:spacing w:line="240" w:lineRule="auto"/>
              <w:rPr>
                <w:rFonts w:ascii="宋体" w:cs="楷体_GB2312"/>
                <w:b/>
                <w:bCs/>
                <w:color w:val="auto"/>
                <w:sz w:val="24"/>
              </w:rPr>
            </w:pPr>
          </w:p>
        </w:tc>
        <w:tc>
          <w:tcPr>
            <w:tcW w:w="699" w:type="dxa"/>
            <w:tcBorders>
              <w:top w:val="single" w:color="auto" w:sz="6" w:space="0"/>
              <w:left w:val="single" w:color="auto" w:sz="12" w:space="0"/>
              <w:bottom w:val="single" w:color="auto" w:sz="6" w:space="0"/>
              <w:right w:val="single" w:color="auto" w:sz="6" w:space="0"/>
            </w:tcBorders>
            <w:vAlign w:val="center"/>
          </w:tcPr>
          <w:p w14:paraId="1640C160">
            <w:pPr>
              <w:autoSpaceDE w:val="0"/>
              <w:autoSpaceDN w:val="0"/>
              <w:adjustRightInd w:val="0"/>
              <w:snapToGrid w:val="0"/>
              <w:spacing w:line="240" w:lineRule="auto"/>
              <w:jc w:val="center"/>
              <w:rPr>
                <w:rFonts w:ascii="宋体" w:cs="楷体_GB2312"/>
                <w:b/>
                <w:bCs/>
                <w:color w:val="auto"/>
                <w:szCs w:val="21"/>
              </w:rPr>
            </w:pPr>
            <w:r>
              <w:rPr>
                <w:rFonts w:ascii="宋体" w:hAnsi="宋体" w:cs="楷体_GB2312"/>
                <w:b/>
                <w:bCs/>
                <w:color w:val="auto"/>
                <w:szCs w:val="21"/>
              </w:rPr>
              <w:t>1.</w:t>
            </w:r>
            <w:r>
              <w:rPr>
                <w:rFonts w:hint="eastAsia" w:ascii="宋体" w:hAnsi="宋体" w:cs="楷体_GB2312"/>
                <w:b/>
                <w:bCs/>
                <w:color w:val="auto"/>
                <w:szCs w:val="21"/>
              </w:rPr>
              <w:t>1</w:t>
            </w:r>
          </w:p>
        </w:tc>
        <w:tc>
          <w:tcPr>
            <w:tcW w:w="1893" w:type="dxa"/>
            <w:tcBorders>
              <w:top w:val="single" w:color="auto" w:sz="6" w:space="0"/>
              <w:left w:val="single" w:color="auto" w:sz="6" w:space="0"/>
              <w:bottom w:val="single" w:color="auto" w:sz="6" w:space="0"/>
              <w:right w:val="single" w:color="auto" w:sz="6" w:space="0"/>
            </w:tcBorders>
            <w:vAlign w:val="center"/>
          </w:tcPr>
          <w:p w14:paraId="4D47300E">
            <w:pPr>
              <w:autoSpaceDE w:val="0"/>
              <w:autoSpaceDN w:val="0"/>
              <w:adjustRightInd w:val="0"/>
              <w:snapToGrid w:val="0"/>
              <w:spacing w:line="240" w:lineRule="auto"/>
              <w:jc w:val="center"/>
              <w:rPr>
                <w:rFonts w:ascii="宋体" w:cs="楷体_GB2312"/>
                <w:b/>
                <w:bCs/>
                <w:color w:val="auto"/>
                <w:sz w:val="24"/>
              </w:rPr>
            </w:pPr>
            <w:r>
              <w:rPr>
                <w:rFonts w:hint="eastAsia" w:ascii="宋体" w:hAnsi="宋体" w:cs="楷体_GB2312"/>
                <w:b/>
                <w:bCs/>
                <w:color w:val="auto"/>
                <w:sz w:val="24"/>
              </w:rPr>
              <w:t>项目编号</w:t>
            </w:r>
          </w:p>
        </w:tc>
        <w:tc>
          <w:tcPr>
            <w:tcW w:w="6653" w:type="dxa"/>
            <w:tcBorders>
              <w:top w:val="single" w:color="auto" w:sz="6" w:space="0"/>
              <w:left w:val="single" w:color="auto" w:sz="6" w:space="0"/>
              <w:bottom w:val="single" w:color="auto" w:sz="6" w:space="0"/>
              <w:right w:val="single" w:color="auto" w:sz="12" w:space="0"/>
            </w:tcBorders>
            <w:vAlign w:val="center"/>
          </w:tcPr>
          <w:p w14:paraId="3F0B5B0F">
            <w:pPr>
              <w:autoSpaceDE w:val="0"/>
              <w:autoSpaceDN w:val="0"/>
              <w:adjustRightInd w:val="0"/>
              <w:snapToGrid w:val="0"/>
              <w:spacing w:before="120" w:beforeLines="50" w:line="240" w:lineRule="auto"/>
              <w:rPr>
                <w:color w:val="auto"/>
                <w:sz w:val="24"/>
                <w:szCs w:val="24"/>
              </w:rPr>
            </w:pPr>
            <w:r>
              <w:rPr>
                <w:rFonts w:hint="eastAsia"/>
                <w:color w:val="auto"/>
                <w:sz w:val="24"/>
                <w:szCs w:val="24"/>
              </w:rPr>
              <w:t>见“第一章竞争性磋商公告”相应条款</w:t>
            </w:r>
          </w:p>
        </w:tc>
      </w:tr>
      <w:tr w14:paraId="4834DB10">
        <w:tblPrEx>
          <w:tblCellMar>
            <w:top w:w="0" w:type="dxa"/>
            <w:left w:w="108" w:type="dxa"/>
            <w:bottom w:w="0" w:type="dxa"/>
            <w:right w:w="108" w:type="dxa"/>
          </w:tblCellMar>
        </w:tblPrEx>
        <w:trPr>
          <w:trHeight w:val="422" w:hRule="atLeast"/>
          <w:jc w:val="center"/>
        </w:trPr>
        <w:tc>
          <w:tcPr>
            <w:tcW w:w="508" w:type="dxa"/>
            <w:vMerge w:val="continue"/>
            <w:tcBorders>
              <w:top w:val="single" w:color="auto" w:sz="6" w:space="0"/>
              <w:left w:val="single" w:color="auto" w:sz="12" w:space="0"/>
              <w:right w:val="single" w:color="auto" w:sz="6" w:space="0"/>
            </w:tcBorders>
            <w:vAlign w:val="center"/>
          </w:tcPr>
          <w:p w14:paraId="72BFC36F">
            <w:pPr>
              <w:autoSpaceDE w:val="0"/>
              <w:autoSpaceDN w:val="0"/>
              <w:adjustRightInd w:val="0"/>
              <w:snapToGrid w:val="0"/>
              <w:spacing w:line="240" w:lineRule="auto"/>
              <w:rPr>
                <w:rFonts w:ascii="宋体" w:cs="楷体_GB2312"/>
                <w:b/>
                <w:bCs/>
                <w:color w:val="auto"/>
                <w:sz w:val="24"/>
              </w:rPr>
            </w:pPr>
          </w:p>
        </w:tc>
        <w:tc>
          <w:tcPr>
            <w:tcW w:w="699" w:type="dxa"/>
            <w:tcBorders>
              <w:top w:val="single" w:color="auto" w:sz="6" w:space="0"/>
              <w:left w:val="single" w:color="auto" w:sz="12" w:space="0"/>
              <w:bottom w:val="single" w:color="auto" w:sz="6" w:space="0"/>
              <w:right w:val="single" w:color="auto" w:sz="6" w:space="0"/>
            </w:tcBorders>
            <w:vAlign w:val="center"/>
          </w:tcPr>
          <w:p w14:paraId="41B96CF0">
            <w:pPr>
              <w:autoSpaceDE w:val="0"/>
              <w:autoSpaceDN w:val="0"/>
              <w:adjustRightInd w:val="0"/>
              <w:snapToGrid w:val="0"/>
              <w:spacing w:line="240" w:lineRule="auto"/>
              <w:jc w:val="center"/>
              <w:rPr>
                <w:rFonts w:ascii="宋体" w:cs="楷体_GB2312"/>
                <w:b/>
                <w:bCs/>
                <w:color w:val="auto"/>
                <w:szCs w:val="21"/>
              </w:rPr>
            </w:pPr>
            <w:r>
              <w:rPr>
                <w:rFonts w:ascii="宋体" w:hAnsi="宋体" w:cs="楷体_GB2312"/>
                <w:b/>
                <w:bCs/>
                <w:color w:val="auto"/>
                <w:szCs w:val="21"/>
              </w:rPr>
              <w:t>1.3</w:t>
            </w:r>
          </w:p>
        </w:tc>
        <w:tc>
          <w:tcPr>
            <w:tcW w:w="1893" w:type="dxa"/>
            <w:tcBorders>
              <w:top w:val="single" w:color="auto" w:sz="6" w:space="0"/>
              <w:left w:val="single" w:color="auto" w:sz="6" w:space="0"/>
              <w:bottom w:val="single" w:color="auto" w:sz="6" w:space="0"/>
              <w:right w:val="single" w:color="auto" w:sz="6" w:space="0"/>
            </w:tcBorders>
            <w:vAlign w:val="center"/>
          </w:tcPr>
          <w:p w14:paraId="01951785">
            <w:pPr>
              <w:autoSpaceDE w:val="0"/>
              <w:autoSpaceDN w:val="0"/>
              <w:adjustRightInd w:val="0"/>
              <w:snapToGrid w:val="0"/>
              <w:spacing w:line="240" w:lineRule="auto"/>
              <w:jc w:val="center"/>
              <w:rPr>
                <w:rFonts w:ascii="宋体" w:cs="楷体_GB2312"/>
                <w:b/>
                <w:bCs/>
                <w:color w:val="auto"/>
                <w:sz w:val="24"/>
                <w:lang w:val="zh-CN"/>
              </w:rPr>
            </w:pPr>
            <w:r>
              <w:rPr>
                <w:rFonts w:hint="eastAsia" w:ascii="宋体" w:hAnsi="宋体" w:cs="楷体_GB2312"/>
                <w:b/>
                <w:bCs/>
                <w:color w:val="auto"/>
                <w:sz w:val="24"/>
                <w:lang w:val="zh-CN"/>
              </w:rPr>
              <w:t>采购方式</w:t>
            </w:r>
          </w:p>
        </w:tc>
        <w:tc>
          <w:tcPr>
            <w:tcW w:w="6653" w:type="dxa"/>
            <w:tcBorders>
              <w:top w:val="single" w:color="auto" w:sz="6" w:space="0"/>
              <w:left w:val="single" w:color="auto" w:sz="6" w:space="0"/>
              <w:bottom w:val="single" w:color="auto" w:sz="6" w:space="0"/>
              <w:right w:val="single" w:color="auto" w:sz="12" w:space="0"/>
            </w:tcBorders>
            <w:vAlign w:val="center"/>
          </w:tcPr>
          <w:p w14:paraId="4FB4051C">
            <w:pPr>
              <w:autoSpaceDE w:val="0"/>
              <w:autoSpaceDN w:val="0"/>
              <w:adjustRightInd w:val="0"/>
              <w:snapToGrid w:val="0"/>
              <w:spacing w:before="120" w:beforeLines="50" w:line="240" w:lineRule="auto"/>
              <w:rPr>
                <w:rFonts w:ascii="宋体" w:cs="楷体_GB2312"/>
                <w:color w:val="auto"/>
                <w:sz w:val="24"/>
                <w:lang w:val="zh-CN"/>
              </w:rPr>
            </w:pPr>
            <w:r>
              <w:rPr>
                <w:rFonts w:hint="eastAsia"/>
                <w:color w:val="auto"/>
                <w:sz w:val="24"/>
                <w:szCs w:val="24"/>
              </w:rPr>
              <w:t>竞争性磋商</w:t>
            </w:r>
          </w:p>
        </w:tc>
      </w:tr>
      <w:tr w14:paraId="1F62B0D3">
        <w:tblPrEx>
          <w:tblCellMar>
            <w:top w:w="0" w:type="dxa"/>
            <w:left w:w="108" w:type="dxa"/>
            <w:bottom w:w="0" w:type="dxa"/>
            <w:right w:w="108" w:type="dxa"/>
          </w:tblCellMar>
        </w:tblPrEx>
        <w:trPr>
          <w:trHeight w:val="370" w:hRule="atLeast"/>
          <w:jc w:val="center"/>
        </w:trPr>
        <w:tc>
          <w:tcPr>
            <w:tcW w:w="508" w:type="dxa"/>
            <w:vMerge w:val="continue"/>
            <w:tcBorders>
              <w:left w:val="single" w:color="auto" w:sz="12" w:space="0"/>
              <w:right w:val="single" w:color="auto" w:sz="6" w:space="0"/>
            </w:tcBorders>
          </w:tcPr>
          <w:p w14:paraId="2EC4DC97">
            <w:pPr>
              <w:autoSpaceDE w:val="0"/>
              <w:autoSpaceDN w:val="0"/>
              <w:adjustRightInd w:val="0"/>
              <w:snapToGrid w:val="0"/>
              <w:spacing w:line="240" w:lineRule="auto"/>
              <w:jc w:val="center"/>
              <w:rPr>
                <w:rFonts w:ascii="宋体" w:cs="楷体_GB2312"/>
                <w:b/>
                <w:bCs/>
                <w:color w:val="auto"/>
                <w:sz w:val="24"/>
                <w:lang w:val="zh-CN"/>
              </w:rPr>
            </w:pPr>
          </w:p>
        </w:tc>
        <w:tc>
          <w:tcPr>
            <w:tcW w:w="699" w:type="dxa"/>
            <w:tcBorders>
              <w:top w:val="single" w:color="auto" w:sz="6" w:space="0"/>
              <w:left w:val="single" w:color="auto" w:sz="12" w:space="0"/>
              <w:bottom w:val="single" w:color="auto" w:sz="6" w:space="0"/>
              <w:right w:val="single" w:color="auto" w:sz="6" w:space="0"/>
            </w:tcBorders>
            <w:vAlign w:val="center"/>
          </w:tcPr>
          <w:p w14:paraId="514F5649">
            <w:pPr>
              <w:autoSpaceDE w:val="0"/>
              <w:autoSpaceDN w:val="0"/>
              <w:adjustRightInd w:val="0"/>
              <w:snapToGrid w:val="0"/>
              <w:spacing w:line="240" w:lineRule="auto"/>
              <w:jc w:val="center"/>
              <w:rPr>
                <w:rFonts w:ascii="宋体" w:cs="楷体_GB2312"/>
                <w:b/>
                <w:bCs/>
                <w:color w:val="auto"/>
                <w:szCs w:val="21"/>
                <w:lang w:val="zh-CN"/>
              </w:rPr>
            </w:pPr>
            <w:r>
              <w:rPr>
                <w:rFonts w:ascii="宋体" w:hAnsi="宋体" w:cs="楷体_GB2312"/>
                <w:b/>
                <w:bCs/>
                <w:color w:val="auto"/>
                <w:szCs w:val="21"/>
                <w:lang w:val="zh-CN"/>
              </w:rPr>
              <w:t>1.</w:t>
            </w:r>
            <w:r>
              <w:rPr>
                <w:rFonts w:hint="eastAsia" w:ascii="宋体" w:hAnsi="宋体" w:cs="楷体_GB2312"/>
                <w:b/>
                <w:bCs/>
                <w:color w:val="auto"/>
                <w:szCs w:val="21"/>
                <w:lang w:val="zh-CN"/>
              </w:rPr>
              <w:t>4</w:t>
            </w:r>
          </w:p>
        </w:tc>
        <w:tc>
          <w:tcPr>
            <w:tcW w:w="1893" w:type="dxa"/>
            <w:tcBorders>
              <w:top w:val="single" w:color="auto" w:sz="6" w:space="0"/>
              <w:left w:val="single" w:color="auto" w:sz="6" w:space="0"/>
              <w:bottom w:val="single" w:color="auto" w:sz="6" w:space="0"/>
              <w:right w:val="single" w:color="auto" w:sz="6" w:space="0"/>
            </w:tcBorders>
            <w:vAlign w:val="center"/>
          </w:tcPr>
          <w:p w14:paraId="6BAE08A8">
            <w:pPr>
              <w:autoSpaceDE w:val="0"/>
              <w:autoSpaceDN w:val="0"/>
              <w:adjustRightInd w:val="0"/>
              <w:snapToGrid w:val="0"/>
              <w:spacing w:line="240" w:lineRule="auto"/>
              <w:jc w:val="center"/>
              <w:rPr>
                <w:rFonts w:ascii="宋体" w:cs="楷体_GB2312"/>
                <w:b/>
                <w:bCs/>
                <w:color w:val="auto"/>
                <w:sz w:val="24"/>
                <w:lang w:val="zh-CN"/>
              </w:rPr>
            </w:pPr>
            <w:r>
              <w:rPr>
                <w:rFonts w:hint="eastAsia" w:ascii="宋体" w:hAnsi="宋体" w:cs="楷体_GB2312"/>
                <w:b/>
                <w:bCs/>
                <w:color w:val="auto"/>
                <w:sz w:val="24"/>
                <w:lang w:val="zh-CN"/>
              </w:rPr>
              <w:t>预算金额</w:t>
            </w:r>
          </w:p>
        </w:tc>
        <w:tc>
          <w:tcPr>
            <w:tcW w:w="6653" w:type="dxa"/>
            <w:tcBorders>
              <w:top w:val="single" w:color="auto" w:sz="6" w:space="0"/>
              <w:left w:val="single" w:color="auto" w:sz="6" w:space="0"/>
              <w:bottom w:val="single" w:color="auto" w:sz="6" w:space="0"/>
              <w:right w:val="single" w:color="auto" w:sz="12" w:space="0"/>
            </w:tcBorders>
            <w:vAlign w:val="center"/>
          </w:tcPr>
          <w:p w14:paraId="0E8F0294">
            <w:pPr>
              <w:autoSpaceDE w:val="0"/>
              <w:autoSpaceDN w:val="0"/>
              <w:adjustRightInd w:val="0"/>
              <w:snapToGrid w:val="0"/>
              <w:spacing w:before="120" w:beforeLines="50" w:line="240" w:lineRule="auto"/>
              <w:rPr>
                <w:rFonts w:ascii="宋体" w:cs="楷体_GB2312"/>
                <w:color w:val="auto"/>
                <w:sz w:val="24"/>
                <w:lang w:val="zh-CN"/>
              </w:rPr>
            </w:pPr>
            <w:r>
              <w:rPr>
                <w:rFonts w:hint="eastAsia"/>
                <w:color w:val="auto"/>
                <w:sz w:val="24"/>
                <w:szCs w:val="24"/>
              </w:rPr>
              <w:t>见“第一章竞争性磋商公告”相应条款。</w:t>
            </w:r>
            <w:r>
              <w:rPr>
                <w:rFonts w:hint="eastAsia" w:ascii="宋体" w:hAnsi="宋体" w:cs="楷体_GB2312"/>
                <w:b/>
                <w:color w:val="auto"/>
                <w:sz w:val="24"/>
                <w:lang w:val="zh-CN"/>
              </w:rPr>
              <w:t>注：供应商的磋商报价未超过</w:t>
            </w:r>
            <w:r>
              <w:rPr>
                <w:rFonts w:hint="eastAsia" w:ascii="宋体" w:hAnsi="宋体" w:cs="楷体_GB2312"/>
                <w:b/>
                <w:bCs/>
                <w:color w:val="auto"/>
                <w:sz w:val="24"/>
                <w:lang w:val="zh-CN"/>
              </w:rPr>
              <w:t>预算金额</w:t>
            </w:r>
            <w:r>
              <w:rPr>
                <w:rFonts w:hint="eastAsia" w:ascii="宋体" w:hAnsi="宋体" w:cs="楷体_GB2312"/>
                <w:b/>
                <w:color w:val="auto"/>
                <w:sz w:val="24"/>
                <w:lang w:val="zh-CN"/>
              </w:rPr>
              <w:t>的不足三家时，该项目（标段&lt;包&gt;）终止。</w:t>
            </w:r>
          </w:p>
        </w:tc>
      </w:tr>
      <w:tr w14:paraId="0AD67A76">
        <w:tblPrEx>
          <w:tblCellMar>
            <w:top w:w="0" w:type="dxa"/>
            <w:left w:w="108" w:type="dxa"/>
            <w:bottom w:w="0" w:type="dxa"/>
            <w:right w:w="108" w:type="dxa"/>
          </w:tblCellMar>
        </w:tblPrEx>
        <w:trPr>
          <w:trHeight w:val="90" w:hRule="atLeast"/>
          <w:jc w:val="center"/>
        </w:trPr>
        <w:tc>
          <w:tcPr>
            <w:tcW w:w="508" w:type="dxa"/>
            <w:vMerge w:val="continue"/>
            <w:tcBorders>
              <w:left w:val="single" w:color="auto" w:sz="12" w:space="0"/>
              <w:right w:val="single" w:color="auto" w:sz="6" w:space="0"/>
            </w:tcBorders>
          </w:tcPr>
          <w:p w14:paraId="282645F4">
            <w:pPr>
              <w:autoSpaceDE w:val="0"/>
              <w:autoSpaceDN w:val="0"/>
              <w:adjustRightInd w:val="0"/>
              <w:snapToGrid w:val="0"/>
              <w:spacing w:line="240" w:lineRule="auto"/>
              <w:jc w:val="center"/>
              <w:rPr>
                <w:rFonts w:ascii="宋体" w:cs="楷体_GB2312"/>
                <w:b/>
                <w:bCs/>
                <w:color w:val="auto"/>
                <w:sz w:val="24"/>
                <w:lang w:val="zh-CN"/>
              </w:rPr>
            </w:pPr>
          </w:p>
        </w:tc>
        <w:tc>
          <w:tcPr>
            <w:tcW w:w="699" w:type="dxa"/>
            <w:tcBorders>
              <w:top w:val="single" w:color="auto" w:sz="6" w:space="0"/>
              <w:left w:val="single" w:color="auto" w:sz="12" w:space="0"/>
              <w:bottom w:val="single" w:color="auto" w:sz="6" w:space="0"/>
              <w:right w:val="single" w:color="auto" w:sz="6" w:space="0"/>
            </w:tcBorders>
            <w:vAlign w:val="center"/>
          </w:tcPr>
          <w:p w14:paraId="5F565710">
            <w:pPr>
              <w:autoSpaceDE w:val="0"/>
              <w:autoSpaceDN w:val="0"/>
              <w:adjustRightInd w:val="0"/>
              <w:snapToGrid w:val="0"/>
              <w:spacing w:line="240" w:lineRule="auto"/>
              <w:jc w:val="center"/>
              <w:rPr>
                <w:rFonts w:ascii="宋体" w:cs="楷体_GB2312"/>
                <w:b/>
                <w:bCs/>
                <w:color w:val="auto"/>
                <w:szCs w:val="21"/>
                <w:lang w:val="zh-CN"/>
              </w:rPr>
            </w:pPr>
            <w:r>
              <w:rPr>
                <w:rFonts w:ascii="宋体" w:hAnsi="宋体" w:cs="楷体_GB2312"/>
                <w:b/>
                <w:bCs/>
                <w:color w:val="auto"/>
                <w:szCs w:val="21"/>
                <w:lang w:val="zh-CN"/>
              </w:rPr>
              <w:t>2</w:t>
            </w:r>
          </w:p>
        </w:tc>
        <w:tc>
          <w:tcPr>
            <w:tcW w:w="1893" w:type="dxa"/>
            <w:tcBorders>
              <w:top w:val="single" w:color="auto" w:sz="6" w:space="0"/>
              <w:left w:val="single" w:color="auto" w:sz="6" w:space="0"/>
              <w:bottom w:val="single" w:color="auto" w:sz="6" w:space="0"/>
              <w:right w:val="single" w:color="auto" w:sz="6" w:space="0"/>
            </w:tcBorders>
            <w:vAlign w:val="center"/>
          </w:tcPr>
          <w:p w14:paraId="0E56EE36">
            <w:pPr>
              <w:autoSpaceDE w:val="0"/>
              <w:autoSpaceDN w:val="0"/>
              <w:adjustRightInd w:val="0"/>
              <w:snapToGrid w:val="0"/>
              <w:spacing w:line="240" w:lineRule="auto"/>
              <w:ind w:right="-73" w:rightChars="-35"/>
              <w:jc w:val="center"/>
              <w:rPr>
                <w:rFonts w:ascii="宋体"/>
                <w:b/>
                <w:color w:val="auto"/>
                <w:sz w:val="24"/>
                <w:szCs w:val="24"/>
              </w:rPr>
            </w:pPr>
            <w:r>
              <w:rPr>
                <w:rFonts w:hint="eastAsia" w:ascii="宋体" w:hAnsi="宋体"/>
                <w:b/>
                <w:color w:val="auto"/>
                <w:sz w:val="24"/>
                <w:szCs w:val="24"/>
              </w:rPr>
              <w:t>申请人的资格要求及相关证明材料要求</w:t>
            </w:r>
          </w:p>
        </w:tc>
        <w:tc>
          <w:tcPr>
            <w:tcW w:w="6653" w:type="dxa"/>
            <w:tcBorders>
              <w:top w:val="single" w:color="auto" w:sz="6" w:space="0"/>
              <w:left w:val="single" w:color="auto" w:sz="6" w:space="0"/>
              <w:bottom w:val="single" w:color="auto" w:sz="6" w:space="0"/>
              <w:right w:val="single" w:color="auto" w:sz="12" w:space="0"/>
            </w:tcBorders>
            <w:vAlign w:val="center"/>
          </w:tcPr>
          <w:p w14:paraId="37FD4896">
            <w:pPr>
              <w:autoSpaceDE w:val="0"/>
              <w:autoSpaceDN w:val="0"/>
              <w:adjustRightInd w:val="0"/>
              <w:snapToGrid w:val="0"/>
              <w:spacing w:before="120" w:beforeLines="50" w:line="240" w:lineRule="auto"/>
              <w:rPr>
                <w:color w:val="auto"/>
                <w:sz w:val="24"/>
                <w:szCs w:val="24"/>
              </w:rPr>
            </w:pPr>
            <w:r>
              <w:rPr>
                <w:rFonts w:hint="eastAsia"/>
                <w:color w:val="auto"/>
                <w:sz w:val="24"/>
                <w:szCs w:val="24"/>
              </w:rPr>
              <w:t>见“第一章竞争性磋商公告”相应条款</w:t>
            </w:r>
          </w:p>
        </w:tc>
      </w:tr>
      <w:tr w14:paraId="6E04F308">
        <w:tblPrEx>
          <w:tblCellMar>
            <w:top w:w="0" w:type="dxa"/>
            <w:left w:w="108" w:type="dxa"/>
            <w:bottom w:w="0" w:type="dxa"/>
            <w:right w:w="108" w:type="dxa"/>
          </w:tblCellMar>
        </w:tblPrEx>
        <w:trPr>
          <w:trHeight w:val="90" w:hRule="atLeast"/>
          <w:jc w:val="center"/>
        </w:trPr>
        <w:tc>
          <w:tcPr>
            <w:tcW w:w="508" w:type="dxa"/>
            <w:vMerge w:val="continue"/>
            <w:tcBorders>
              <w:left w:val="single" w:color="auto" w:sz="12" w:space="0"/>
              <w:right w:val="single" w:color="auto" w:sz="6" w:space="0"/>
            </w:tcBorders>
          </w:tcPr>
          <w:p w14:paraId="6124BDC8">
            <w:pPr>
              <w:autoSpaceDE w:val="0"/>
              <w:autoSpaceDN w:val="0"/>
              <w:adjustRightInd w:val="0"/>
              <w:snapToGrid w:val="0"/>
              <w:spacing w:line="240" w:lineRule="auto"/>
              <w:jc w:val="center"/>
              <w:rPr>
                <w:rFonts w:ascii="宋体" w:cs="楷体_GB2312"/>
                <w:b/>
                <w:bCs/>
                <w:color w:val="auto"/>
                <w:sz w:val="24"/>
                <w:lang w:val="zh-CN"/>
              </w:rPr>
            </w:pPr>
          </w:p>
        </w:tc>
        <w:tc>
          <w:tcPr>
            <w:tcW w:w="699" w:type="dxa"/>
            <w:tcBorders>
              <w:top w:val="single" w:color="auto" w:sz="6" w:space="0"/>
              <w:left w:val="single" w:color="auto" w:sz="12" w:space="0"/>
              <w:bottom w:val="single" w:color="auto" w:sz="6" w:space="0"/>
              <w:right w:val="single" w:color="auto" w:sz="6" w:space="0"/>
            </w:tcBorders>
            <w:vAlign w:val="center"/>
          </w:tcPr>
          <w:p w14:paraId="59919558">
            <w:pPr>
              <w:autoSpaceDE w:val="0"/>
              <w:autoSpaceDN w:val="0"/>
              <w:adjustRightInd w:val="0"/>
              <w:snapToGrid w:val="0"/>
              <w:spacing w:line="240" w:lineRule="auto"/>
              <w:jc w:val="center"/>
              <w:rPr>
                <w:rFonts w:ascii="宋体" w:cs="楷体_GB2312"/>
                <w:b/>
                <w:bCs/>
                <w:color w:val="auto"/>
                <w:szCs w:val="21"/>
                <w:lang w:val="zh-CN"/>
              </w:rPr>
            </w:pPr>
            <w:r>
              <w:rPr>
                <w:rFonts w:hint="eastAsia" w:ascii="宋体" w:hAnsi="宋体" w:cs="楷体_GB2312"/>
                <w:b/>
                <w:bCs/>
                <w:color w:val="auto"/>
                <w:szCs w:val="21"/>
                <w:lang w:val="zh-CN"/>
              </w:rPr>
              <w:t>8.1</w:t>
            </w:r>
          </w:p>
        </w:tc>
        <w:tc>
          <w:tcPr>
            <w:tcW w:w="1893" w:type="dxa"/>
            <w:tcBorders>
              <w:top w:val="single" w:color="auto" w:sz="6" w:space="0"/>
              <w:left w:val="single" w:color="auto" w:sz="6" w:space="0"/>
              <w:bottom w:val="single" w:color="auto" w:sz="6" w:space="0"/>
              <w:right w:val="single" w:color="auto" w:sz="6" w:space="0"/>
            </w:tcBorders>
            <w:vAlign w:val="center"/>
          </w:tcPr>
          <w:p w14:paraId="411B3C31">
            <w:pPr>
              <w:autoSpaceDE w:val="0"/>
              <w:autoSpaceDN w:val="0"/>
              <w:adjustRightInd w:val="0"/>
              <w:snapToGrid w:val="0"/>
              <w:spacing w:line="240" w:lineRule="auto"/>
              <w:ind w:right="-73" w:rightChars="-35"/>
              <w:jc w:val="center"/>
              <w:rPr>
                <w:rFonts w:ascii="宋体"/>
                <w:b/>
                <w:color w:val="auto"/>
                <w:sz w:val="24"/>
                <w:szCs w:val="24"/>
              </w:rPr>
            </w:pPr>
            <w:r>
              <w:rPr>
                <w:rFonts w:hint="eastAsia" w:ascii="宋体" w:hAnsi="宋体"/>
                <w:b/>
                <w:color w:val="auto"/>
                <w:sz w:val="24"/>
                <w:szCs w:val="24"/>
              </w:rPr>
              <w:t>采购人</w:t>
            </w:r>
          </w:p>
        </w:tc>
        <w:tc>
          <w:tcPr>
            <w:tcW w:w="6653" w:type="dxa"/>
            <w:tcBorders>
              <w:top w:val="single" w:color="auto" w:sz="6" w:space="0"/>
              <w:left w:val="single" w:color="auto" w:sz="6" w:space="0"/>
              <w:bottom w:val="single" w:color="auto" w:sz="6" w:space="0"/>
              <w:right w:val="single" w:color="auto" w:sz="12" w:space="0"/>
            </w:tcBorders>
            <w:vAlign w:val="center"/>
          </w:tcPr>
          <w:p w14:paraId="4CE0FADE">
            <w:pPr>
              <w:autoSpaceDE w:val="0"/>
              <w:autoSpaceDN w:val="0"/>
              <w:adjustRightInd w:val="0"/>
              <w:snapToGrid w:val="0"/>
              <w:spacing w:before="120" w:beforeLines="50" w:line="240" w:lineRule="auto"/>
              <w:rPr>
                <w:color w:val="auto"/>
                <w:sz w:val="24"/>
                <w:szCs w:val="24"/>
              </w:rPr>
            </w:pPr>
            <w:r>
              <w:rPr>
                <w:rFonts w:hint="eastAsia"/>
                <w:color w:val="auto"/>
                <w:sz w:val="24"/>
                <w:szCs w:val="24"/>
              </w:rPr>
              <w:t>见“第一章竞争性磋商公告”相应条款</w:t>
            </w:r>
          </w:p>
        </w:tc>
      </w:tr>
      <w:tr w14:paraId="2815478C">
        <w:tblPrEx>
          <w:tblCellMar>
            <w:top w:w="0" w:type="dxa"/>
            <w:left w:w="108" w:type="dxa"/>
            <w:bottom w:w="0" w:type="dxa"/>
            <w:right w:w="108" w:type="dxa"/>
          </w:tblCellMar>
        </w:tblPrEx>
        <w:trPr>
          <w:trHeight w:val="90" w:hRule="atLeast"/>
          <w:jc w:val="center"/>
        </w:trPr>
        <w:tc>
          <w:tcPr>
            <w:tcW w:w="508" w:type="dxa"/>
            <w:vMerge w:val="continue"/>
            <w:tcBorders>
              <w:left w:val="single" w:color="auto" w:sz="12" w:space="0"/>
              <w:bottom w:val="single" w:color="auto" w:sz="6" w:space="0"/>
              <w:right w:val="single" w:color="auto" w:sz="6" w:space="0"/>
            </w:tcBorders>
          </w:tcPr>
          <w:p w14:paraId="4EEC78AF">
            <w:pPr>
              <w:autoSpaceDE w:val="0"/>
              <w:autoSpaceDN w:val="0"/>
              <w:adjustRightInd w:val="0"/>
              <w:snapToGrid w:val="0"/>
              <w:spacing w:line="240" w:lineRule="auto"/>
              <w:jc w:val="center"/>
              <w:rPr>
                <w:rFonts w:ascii="宋体" w:cs="楷体_GB2312"/>
                <w:b/>
                <w:bCs/>
                <w:color w:val="auto"/>
                <w:sz w:val="24"/>
                <w:lang w:val="zh-CN"/>
              </w:rPr>
            </w:pPr>
          </w:p>
        </w:tc>
        <w:tc>
          <w:tcPr>
            <w:tcW w:w="699" w:type="dxa"/>
            <w:tcBorders>
              <w:top w:val="single" w:color="auto" w:sz="6" w:space="0"/>
              <w:left w:val="single" w:color="auto" w:sz="12" w:space="0"/>
              <w:bottom w:val="single" w:color="auto" w:sz="6" w:space="0"/>
              <w:right w:val="single" w:color="auto" w:sz="6" w:space="0"/>
            </w:tcBorders>
            <w:vAlign w:val="center"/>
          </w:tcPr>
          <w:p w14:paraId="60DEB84D">
            <w:pPr>
              <w:autoSpaceDE w:val="0"/>
              <w:autoSpaceDN w:val="0"/>
              <w:adjustRightInd w:val="0"/>
              <w:snapToGrid w:val="0"/>
              <w:spacing w:line="240" w:lineRule="auto"/>
              <w:jc w:val="center"/>
              <w:rPr>
                <w:rFonts w:ascii="宋体" w:cs="楷体_GB2312"/>
                <w:b/>
                <w:bCs/>
                <w:color w:val="auto"/>
                <w:szCs w:val="21"/>
                <w:lang w:val="zh-CN"/>
              </w:rPr>
            </w:pPr>
            <w:r>
              <w:rPr>
                <w:rFonts w:hint="eastAsia" w:ascii="宋体" w:hAnsi="宋体" w:cs="楷体_GB2312"/>
                <w:b/>
                <w:bCs/>
                <w:color w:val="auto"/>
                <w:szCs w:val="21"/>
                <w:lang w:val="zh-CN"/>
              </w:rPr>
              <w:t>8.2</w:t>
            </w:r>
          </w:p>
        </w:tc>
        <w:tc>
          <w:tcPr>
            <w:tcW w:w="1893" w:type="dxa"/>
            <w:tcBorders>
              <w:top w:val="single" w:color="auto" w:sz="6" w:space="0"/>
              <w:left w:val="single" w:color="auto" w:sz="6" w:space="0"/>
              <w:bottom w:val="single" w:color="auto" w:sz="6" w:space="0"/>
              <w:right w:val="single" w:color="auto" w:sz="6" w:space="0"/>
            </w:tcBorders>
            <w:vAlign w:val="center"/>
          </w:tcPr>
          <w:p w14:paraId="5B513CEF">
            <w:pPr>
              <w:autoSpaceDE w:val="0"/>
              <w:autoSpaceDN w:val="0"/>
              <w:adjustRightInd w:val="0"/>
              <w:snapToGrid w:val="0"/>
              <w:spacing w:line="240" w:lineRule="auto"/>
              <w:ind w:right="-73" w:rightChars="-35"/>
              <w:jc w:val="center"/>
              <w:rPr>
                <w:rFonts w:ascii="宋体"/>
                <w:b/>
                <w:color w:val="auto"/>
                <w:sz w:val="24"/>
                <w:szCs w:val="24"/>
              </w:rPr>
            </w:pPr>
            <w:r>
              <w:rPr>
                <w:rFonts w:hint="eastAsia" w:ascii="宋体" w:hAnsi="宋体"/>
                <w:b/>
                <w:color w:val="auto"/>
                <w:sz w:val="24"/>
                <w:szCs w:val="24"/>
              </w:rPr>
              <w:t>采购代理机构</w:t>
            </w:r>
          </w:p>
        </w:tc>
        <w:tc>
          <w:tcPr>
            <w:tcW w:w="6653" w:type="dxa"/>
            <w:tcBorders>
              <w:top w:val="single" w:color="auto" w:sz="6" w:space="0"/>
              <w:left w:val="single" w:color="auto" w:sz="6" w:space="0"/>
              <w:bottom w:val="single" w:color="auto" w:sz="6" w:space="0"/>
              <w:right w:val="single" w:color="auto" w:sz="12" w:space="0"/>
            </w:tcBorders>
            <w:vAlign w:val="center"/>
          </w:tcPr>
          <w:p w14:paraId="569B8A4B">
            <w:pPr>
              <w:autoSpaceDE w:val="0"/>
              <w:autoSpaceDN w:val="0"/>
              <w:adjustRightInd w:val="0"/>
              <w:snapToGrid w:val="0"/>
              <w:spacing w:before="120" w:beforeLines="50" w:line="240" w:lineRule="auto"/>
              <w:rPr>
                <w:color w:val="auto"/>
                <w:sz w:val="24"/>
                <w:szCs w:val="24"/>
              </w:rPr>
            </w:pPr>
            <w:r>
              <w:rPr>
                <w:rFonts w:hint="eastAsia"/>
                <w:color w:val="auto"/>
                <w:sz w:val="24"/>
                <w:szCs w:val="24"/>
              </w:rPr>
              <w:t>见“第一章竞争性磋商公告”相应条款</w:t>
            </w:r>
          </w:p>
        </w:tc>
      </w:tr>
      <w:tr w14:paraId="06FA6752">
        <w:tblPrEx>
          <w:tblCellMar>
            <w:top w:w="0" w:type="dxa"/>
            <w:left w:w="108" w:type="dxa"/>
            <w:bottom w:w="0" w:type="dxa"/>
            <w:right w:w="108" w:type="dxa"/>
          </w:tblCellMar>
        </w:tblPrEx>
        <w:trPr>
          <w:trHeight w:val="90" w:hRule="atLeast"/>
          <w:jc w:val="center"/>
        </w:trPr>
        <w:tc>
          <w:tcPr>
            <w:tcW w:w="508" w:type="dxa"/>
            <w:vMerge w:val="restart"/>
            <w:tcBorders>
              <w:top w:val="single" w:color="auto" w:sz="6" w:space="0"/>
              <w:left w:val="single" w:color="auto" w:sz="12" w:space="0"/>
              <w:right w:val="single" w:color="auto" w:sz="6" w:space="0"/>
            </w:tcBorders>
            <w:vAlign w:val="center"/>
          </w:tcPr>
          <w:p w14:paraId="536699B4">
            <w:pPr>
              <w:autoSpaceDE w:val="0"/>
              <w:autoSpaceDN w:val="0"/>
              <w:adjustRightInd w:val="0"/>
              <w:snapToGrid w:val="0"/>
              <w:spacing w:line="240" w:lineRule="auto"/>
              <w:jc w:val="center"/>
              <w:rPr>
                <w:rFonts w:ascii="宋体" w:cs="楷体_GB2312"/>
                <w:b/>
                <w:bCs/>
                <w:color w:val="auto"/>
                <w:sz w:val="24"/>
                <w:lang w:val="zh-CN"/>
              </w:rPr>
            </w:pPr>
            <w:r>
              <w:rPr>
                <w:rFonts w:hint="eastAsia" w:ascii="宋体" w:hAnsi="宋体" w:cs="楷体_GB2312"/>
                <w:b/>
                <w:bCs/>
                <w:color w:val="auto"/>
                <w:sz w:val="24"/>
                <w:lang w:val="zh-CN"/>
              </w:rPr>
              <w:t>第二章</w:t>
            </w:r>
          </w:p>
        </w:tc>
        <w:tc>
          <w:tcPr>
            <w:tcW w:w="699" w:type="dxa"/>
            <w:tcBorders>
              <w:top w:val="single" w:color="auto" w:sz="6" w:space="0"/>
              <w:left w:val="single" w:color="auto" w:sz="12" w:space="0"/>
              <w:bottom w:val="single" w:color="auto" w:sz="6" w:space="0"/>
              <w:right w:val="single" w:color="auto" w:sz="6" w:space="0"/>
            </w:tcBorders>
            <w:vAlign w:val="center"/>
          </w:tcPr>
          <w:p w14:paraId="2223720C">
            <w:pPr>
              <w:autoSpaceDE w:val="0"/>
              <w:autoSpaceDN w:val="0"/>
              <w:adjustRightInd w:val="0"/>
              <w:snapToGrid w:val="0"/>
              <w:spacing w:line="240" w:lineRule="auto"/>
              <w:jc w:val="center"/>
              <w:rPr>
                <w:rFonts w:ascii="宋体" w:cs="楷体_GB2312"/>
                <w:b/>
                <w:bCs/>
                <w:color w:val="auto"/>
                <w:szCs w:val="21"/>
                <w:lang w:val="zh-CN"/>
              </w:rPr>
            </w:pPr>
            <w:r>
              <w:rPr>
                <w:rFonts w:ascii="宋体" w:hAnsi="宋体" w:cs="楷体_GB2312"/>
                <w:b/>
                <w:bCs/>
                <w:color w:val="auto"/>
                <w:szCs w:val="21"/>
                <w:lang w:val="zh-CN"/>
              </w:rPr>
              <w:t>1.2</w:t>
            </w:r>
          </w:p>
        </w:tc>
        <w:tc>
          <w:tcPr>
            <w:tcW w:w="1893" w:type="dxa"/>
            <w:tcBorders>
              <w:top w:val="single" w:color="auto" w:sz="6" w:space="0"/>
              <w:left w:val="single" w:color="auto" w:sz="6" w:space="0"/>
              <w:bottom w:val="single" w:color="auto" w:sz="6" w:space="0"/>
              <w:right w:val="single" w:color="auto" w:sz="6" w:space="0"/>
            </w:tcBorders>
            <w:vAlign w:val="center"/>
          </w:tcPr>
          <w:p w14:paraId="44DB002A">
            <w:pPr>
              <w:autoSpaceDE w:val="0"/>
              <w:autoSpaceDN w:val="0"/>
              <w:adjustRightInd w:val="0"/>
              <w:snapToGrid w:val="0"/>
              <w:spacing w:line="240" w:lineRule="auto"/>
              <w:jc w:val="center"/>
              <w:rPr>
                <w:rFonts w:ascii="宋体" w:cs="楷体_GB2312"/>
                <w:b/>
                <w:bCs/>
                <w:color w:val="auto"/>
                <w:sz w:val="24"/>
                <w:lang w:val="zh-CN"/>
              </w:rPr>
            </w:pPr>
            <w:r>
              <w:rPr>
                <w:rFonts w:hint="eastAsia" w:ascii="宋体" w:hAnsi="宋体"/>
                <w:b/>
                <w:color w:val="auto"/>
                <w:sz w:val="24"/>
                <w:szCs w:val="24"/>
              </w:rPr>
              <w:t>标段（包）划分</w:t>
            </w:r>
          </w:p>
        </w:tc>
        <w:tc>
          <w:tcPr>
            <w:tcW w:w="6653" w:type="dxa"/>
            <w:tcBorders>
              <w:top w:val="single" w:color="auto" w:sz="6" w:space="0"/>
              <w:left w:val="single" w:color="auto" w:sz="6" w:space="0"/>
              <w:bottom w:val="single" w:color="auto" w:sz="6" w:space="0"/>
              <w:right w:val="single" w:color="auto" w:sz="12" w:space="0"/>
            </w:tcBorders>
            <w:vAlign w:val="center"/>
          </w:tcPr>
          <w:p w14:paraId="20A221E1">
            <w:pPr>
              <w:autoSpaceDE w:val="0"/>
              <w:autoSpaceDN w:val="0"/>
              <w:adjustRightInd w:val="0"/>
              <w:snapToGrid w:val="0"/>
              <w:spacing w:before="120" w:beforeLines="50" w:line="240" w:lineRule="auto"/>
              <w:rPr>
                <w:rFonts w:ascii="宋体" w:cs="楷体_GB2312"/>
                <w:color w:val="auto"/>
                <w:sz w:val="24"/>
                <w:lang w:val="zh-CN"/>
              </w:rPr>
            </w:pPr>
            <w:r>
              <w:rPr>
                <w:rFonts w:hint="eastAsia"/>
                <w:color w:val="auto"/>
                <w:sz w:val="24"/>
                <w:szCs w:val="24"/>
              </w:rPr>
              <w:t>见“第二章采购项目及技术服务要求”相应条款</w:t>
            </w:r>
          </w:p>
        </w:tc>
      </w:tr>
      <w:tr w14:paraId="1F4DB11F">
        <w:tblPrEx>
          <w:tblCellMar>
            <w:top w:w="0" w:type="dxa"/>
            <w:left w:w="108" w:type="dxa"/>
            <w:bottom w:w="0" w:type="dxa"/>
            <w:right w:w="108" w:type="dxa"/>
          </w:tblCellMar>
        </w:tblPrEx>
        <w:trPr>
          <w:trHeight w:val="90" w:hRule="atLeast"/>
          <w:jc w:val="center"/>
        </w:trPr>
        <w:tc>
          <w:tcPr>
            <w:tcW w:w="508" w:type="dxa"/>
            <w:vMerge w:val="continue"/>
            <w:tcBorders>
              <w:left w:val="single" w:color="auto" w:sz="12" w:space="0"/>
              <w:right w:val="single" w:color="auto" w:sz="6" w:space="0"/>
            </w:tcBorders>
          </w:tcPr>
          <w:p w14:paraId="4F5A5934">
            <w:pPr>
              <w:autoSpaceDE w:val="0"/>
              <w:autoSpaceDN w:val="0"/>
              <w:adjustRightInd w:val="0"/>
              <w:snapToGrid w:val="0"/>
              <w:spacing w:line="240" w:lineRule="auto"/>
              <w:jc w:val="center"/>
              <w:rPr>
                <w:rFonts w:ascii="宋体" w:cs="楷体_GB2312"/>
                <w:b/>
                <w:bCs/>
                <w:color w:val="auto"/>
                <w:sz w:val="24"/>
                <w:lang w:val="zh-CN"/>
              </w:rPr>
            </w:pPr>
          </w:p>
        </w:tc>
        <w:tc>
          <w:tcPr>
            <w:tcW w:w="699" w:type="dxa"/>
            <w:tcBorders>
              <w:top w:val="single" w:color="auto" w:sz="6" w:space="0"/>
              <w:left w:val="single" w:color="auto" w:sz="12" w:space="0"/>
              <w:bottom w:val="single" w:color="auto" w:sz="6" w:space="0"/>
              <w:right w:val="single" w:color="auto" w:sz="6" w:space="0"/>
            </w:tcBorders>
            <w:vAlign w:val="center"/>
          </w:tcPr>
          <w:p w14:paraId="581D045E">
            <w:pPr>
              <w:autoSpaceDE w:val="0"/>
              <w:autoSpaceDN w:val="0"/>
              <w:adjustRightInd w:val="0"/>
              <w:snapToGrid w:val="0"/>
              <w:spacing w:line="240" w:lineRule="auto"/>
              <w:jc w:val="center"/>
              <w:rPr>
                <w:rFonts w:ascii="宋体" w:cs="楷体_GB2312"/>
                <w:b/>
                <w:bCs/>
                <w:color w:val="auto"/>
                <w:szCs w:val="21"/>
                <w:lang w:val="zh-CN"/>
              </w:rPr>
            </w:pPr>
            <w:r>
              <w:rPr>
                <w:rFonts w:ascii="宋体" w:hAnsi="宋体" w:cs="楷体_GB2312"/>
                <w:b/>
                <w:bCs/>
                <w:color w:val="auto"/>
                <w:szCs w:val="21"/>
                <w:lang w:val="zh-CN"/>
              </w:rPr>
              <w:t>1.2</w:t>
            </w:r>
          </w:p>
        </w:tc>
        <w:tc>
          <w:tcPr>
            <w:tcW w:w="1893" w:type="dxa"/>
            <w:tcBorders>
              <w:top w:val="single" w:color="auto" w:sz="6" w:space="0"/>
              <w:left w:val="single" w:color="auto" w:sz="6" w:space="0"/>
              <w:bottom w:val="single" w:color="auto" w:sz="6" w:space="0"/>
              <w:right w:val="single" w:color="auto" w:sz="6" w:space="0"/>
            </w:tcBorders>
            <w:vAlign w:val="center"/>
          </w:tcPr>
          <w:p w14:paraId="6C3D7A3D">
            <w:pPr>
              <w:autoSpaceDE w:val="0"/>
              <w:autoSpaceDN w:val="0"/>
              <w:adjustRightInd w:val="0"/>
              <w:snapToGrid w:val="0"/>
              <w:spacing w:line="240" w:lineRule="auto"/>
              <w:jc w:val="center"/>
              <w:rPr>
                <w:rFonts w:ascii="宋体" w:cs="楷体_GB2312"/>
                <w:b/>
                <w:bCs/>
                <w:color w:val="auto"/>
                <w:sz w:val="24"/>
                <w:lang w:val="zh-CN"/>
              </w:rPr>
            </w:pPr>
            <w:r>
              <w:rPr>
                <w:rFonts w:hint="eastAsia" w:ascii="宋体" w:hAnsi="宋体" w:cs="楷体_GB2312"/>
                <w:b/>
                <w:bCs/>
                <w:color w:val="auto"/>
                <w:sz w:val="24"/>
              </w:rPr>
              <w:t>工期</w:t>
            </w:r>
          </w:p>
        </w:tc>
        <w:tc>
          <w:tcPr>
            <w:tcW w:w="6653" w:type="dxa"/>
            <w:tcBorders>
              <w:top w:val="single" w:color="auto" w:sz="6" w:space="0"/>
              <w:left w:val="single" w:color="auto" w:sz="6" w:space="0"/>
              <w:bottom w:val="single" w:color="auto" w:sz="6" w:space="0"/>
              <w:right w:val="single" w:color="auto" w:sz="12" w:space="0"/>
            </w:tcBorders>
            <w:vAlign w:val="center"/>
          </w:tcPr>
          <w:p w14:paraId="0D876C2D">
            <w:pPr>
              <w:autoSpaceDE w:val="0"/>
              <w:autoSpaceDN w:val="0"/>
              <w:adjustRightInd w:val="0"/>
              <w:snapToGrid w:val="0"/>
              <w:spacing w:before="120" w:beforeLines="50" w:line="240" w:lineRule="auto"/>
              <w:rPr>
                <w:rFonts w:ascii="宋体" w:cs="楷体_GB2312"/>
                <w:bCs/>
                <w:color w:val="auto"/>
                <w:sz w:val="24"/>
                <w:lang w:val="zh-CN"/>
              </w:rPr>
            </w:pPr>
            <w:r>
              <w:rPr>
                <w:rFonts w:hint="eastAsia" w:ascii="宋体" w:hAnsi="宋体"/>
                <w:color w:val="auto"/>
                <w:sz w:val="24"/>
              </w:rPr>
              <w:t>见“第二部分采购项目及技术服务要求”</w:t>
            </w:r>
            <w:r>
              <w:rPr>
                <w:rFonts w:hint="eastAsia"/>
                <w:color w:val="auto"/>
                <w:sz w:val="24"/>
                <w:szCs w:val="24"/>
              </w:rPr>
              <w:t>相应条款</w:t>
            </w:r>
          </w:p>
        </w:tc>
      </w:tr>
      <w:tr w14:paraId="115C7184">
        <w:tblPrEx>
          <w:tblCellMar>
            <w:top w:w="0" w:type="dxa"/>
            <w:left w:w="108" w:type="dxa"/>
            <w:bottom w:w="0" w:type="dxa"/>
            <w:right w:w="108" w:type="dxa"/>
          </w:tblCellMar>
        </w:tblPrEx>
        <w:trPr>
          <w:trHeight w:val="90" w:hRule="atLeast"/>
          <w:jc w:val="center"/>
        </w:trPr>
        <w:tc>
          <w:tcPr>
            <w:tcW w:w="508" w:type="dxa"/>
            <w:vMerge w:val="continue"/>
            <w:tcBorders>
              <w:left w:val="single" w:color="auto" w:sz="12" w:space="0"/>
              <w:right w:val="single" w:color="auto" w:sz="6" w:space="0"/>
            </w:tcBorders>
          </w:tcPr>
          <w:p w14:paraId="0290C3A3">
            <w:pPr>
              <w:autoSpaceDE w:val="0"/>
              <w:autoSpaceDN w:val="0"/>
              <w:adjustRightInd w:val="0"/>
              <w:snapToGrid w:val="0"/>
              <w:spacing w:line="240" w:lineRule="auto"/>
              <w:jc w:val="center"/>
              <w:rPr>
                <w:rFonts w:ascii="宋体" w:cs="楷体_GB2312"/>
                <w:b/>
                <w:bCs/>
                <w:color w:val="auto"/>
                <w:sz w:val="24"/>
                <w:lang w:val="zh-CN"/>
              </w:rPr>
            </w:pPr>
          </w:p>
        </w:tc>
        <w:tc>
          <w:tcPr>
            <w:tcW w:w="699" w:type="dxa"/>
            <w:tcBorders>
              <w:top w:val="single" w:color="auto" w:sz="6" w:space="0"/>
              <w:left w:val="single" w:color="auto" w:sz="12" w:space="0"/>
              <w:bottom w:val="single" w:color="auto" w:sz="6" w:space="0"/>
              <w:right w:val="single" w:color="auto" w:sz="6" w:space="0"/>
            </w:tcBorders>
            <w:vAlign w:val="center"/>
          </w:tcPr>
          <w:p w14:paraId="06AE01BC">
            <w:pPr>
              <w:autoSpaceDE w:val="0"/>
              <w:autoSpaceDN w:val="0"/>
              <w:adjustRightInd w:val="0"/>
              <w:snapToGrid w:val="0"/>
              <w:spacing w:line="240" w:lineRule="auto"/>
              <w:jc w:val="center"/>
              <w:rPr>
                <w:rFonts w:ascii="宋体" w:cs="楷体_GB2312"/>
                <w:b/>
                <w:bCs/>
                <w:color w:val="auto"/>
                <w:szCs w:val="21"/>
                <w:lang w:val="zh-CN"/>
              </w:rPr>
            </w:pPr>
            <w:r>
              <w:rPr>
                <w:rFonts w:ascii="宋体" w:hAnsi="宋体" w:cs="楷体_GB2312"/>
                <w:b/>
                <w:bCs/>
                <w:color w:val="auto"/>
                <w:szCs w:val="21"/>
                <w:lang w:val="zh-CN"/>
              </w:rPr>
              <w:t>1.2</w:t>
            </w:r>
          </w:p>
        </w:tc>
        <w:tc>
          <w:tcPr>
            <w:tcW w:w="1893" w:type="dxa"/>
            <w:tcBorders>
              <w:top w:val="single" w:color="auto" w:sz="6" w:space="0"/>
              <w:left w:val="single" w:color="auto" w:sz="6" w:space="0"/>
              <w:bottom w:val="single" w:color="auto" w:sz="6" w:space="0"/>
              <w:right w:val="single" w:color="auto" w:sz="6" w:space="0"/>
            </w:tcBorders>
            <w:vAlign w:val="center"/>
          </w:tcPr>
          <w:p w14:paraId="5C8541A5">
            <w:pPr>
              <w:autoSpaceDE w:val="0"/>
              <w:autoSpaceDN w:val="0"/>
              <w:adjustRightInd w:val="0"/>
              <w:snapToGrid w:val="0"/>
              <w:spacing w:line="240" w:lineRule="auto"/>
              <w:jc w:val="center"/>
              <w:rPr>
                <w:rFonts w:ascii="宋体" w:cs="楷体_GB2312"/>
                <w:b/>
                <w:bCs/>
                <w:color w:val="auto"/>
                <w:sz w:val="24"/>
                <w:lang w:val="zh-CN"/>
              </w:rPr>
            </w:pPr>
            <w:r>
              <w:rPr>
                <w:rFonts w:hint="eastAsia" w:ascii="宋体" w:hAnsi="宋体" w:cs="楷体_GB2312"/>
                <w:b/>
                <w:bCs/>
                <w:color w:val="auto"/>
                <w:sz w:val="24"/>
                <w:lang w:val="zh-CN"/>
              </w:rPr>
              <w:t>施工地</w:t>
            </w:r>
          </w:p>
        </w:tc>
        <w:tc>
          <w:tcPr>
            <w:tcW w:w="6653" w:type="dxa"/>
            <w:tcBorders>
              <w:top w:val="single" w:color="auto" w:sz="6" w:space="0"/>
              <w:left w:val="single" w:color="auto" w:sz="6" w:space="0"/>
              <w:bottom w:val="single" w:color="auto" w:sz="6" w:space="0"/>
              <w:right w:val="single" w:color="auto" w:sz="12" w:space="0"/>
            </w:tcBorders>
            <w:vAlign w:val="center"/>
          </w:tcPr>
          <w:p w14:paraId="7F34382F">
            <w:pPr>
              <w:autoSpaceDE w:val="0"/>
              <w:autoSpaceDN w:val="0"/>
              <w:adjustRightInd w:val="0"/>
              <w:snapToGrid w:val="0"/>
              <w:spacing w:before="120" w:beforeLines="50" w:line="240" w:lineRule="auto"/>
              <w:rPr>
                <w:rFonts w:ascii="宋体" w:cs="楷体_GB2312"/>
                <w:color w:val="auto"/>
                <w:sz w:val="24"/>
                <w:lang w:val="zh-CN"/>
              </w:rPr>
            </w:pPr>
            <w:r>
              <w:rPr>
                <w:rFonts w:hint="eastAsia" w:ascii="宋体" w:hAnsi="宋体" w:cs="楷体_GB2312"/>
                <w:color w:val="auto"/>
                <w:sz w:val="24"/>
                <w:lang w:val="zh-CN"/>
              </w:rPr>
              <w:t>见“第二</w:t>
            </w:r>
            <w:r>
              <w:rPr>
                <w:rFonts w:hint="eastAsia"/>
                <w:color w:val="auto"/>
                <w:sz w:val="24"/>
                <w:szCs w:val="24"/>
              </w:rPr>
              <w:t>章</w:t>
            </w:r>
            <w:r>
              <w:rPr>
                <w:rFonts w:hint="eastAsia" w:ascii="宋体" w:hAnsi="宋体" w:cs="楷体_GB2312"/>
                <w:color w:val="auto"/>
                <w:sz w:val="24"/>
                <w:lang w:val="zh-CN"/>
              </w:rPr>
              <w:t>采购项目及技术服务要求”</w:t>
            </w:r>
            <w:r>
              <w:rPr>
                <w:rFonts w:hint="eastAsia"/>
                <w:color w:val="auto"/>
                <w:sz w:val="24"/>
                <w:szCs w:val="24"/>
              </w:rPr>
              <w:t>相应条款</w:t>
            </w:r>
          </w:p>
        </w:tc>
      </w:tr>
      <w:tr w14:paraId="0C976134">
        <w:tblPrEx>
          <w:tblCellMar>
            <w:top w:w="0" w:type="dxa"/>
            <w:left w:w="108" w:type="dxa"/>
            <w:bottom w:w="0" w:type="dxa"/>
            <w:right w:w="108" w:type="dxa"/>
          </w:tblCellMar>
        </w:tblPrEx>
        <w:trPr>
          <w:trHeight w:val="90" w:hRule="atLeast"/>
          <w:jc w:val="center"/>
        </w:trPr>
        <w:tc>
          <w:tcPr>
            <w:tcW w:w="508" w:type="dxa"/>
            <w:vMerge w:val="continue"/>
            <w:tcBorders>
              <w:left w:val="single" w:color="auto" w:sz="12" w:space="0"/>
              <w:right w:val="single" w:color="auto" w:sz="6" w:space="0"/>
            </w:tcBorders>
          </w:tcPr>
          <w:p w14:paraId="227B93F8">
            <w:pPr>
              <w:autoSpaceDE w:val="0"/>
              <w:autoSpaceDN w:val="0"/>
              <w:adjustRightInd w:val="0"/>
              <w:snapToGrid w:val="0"/>
              <w:spacing w:line="240" w:lineRule="auto"/>
              <w:jc w:val="center"/>
              <w:rPr>
                <w:rFonts w:ascii="宋体" w:cs="楷体_GB2312"/>
                <w:b/>
                <w:bCs/>
                <w:color w:val="auto"/>
                <w:sz w:val="24"/>
                <w:lang w:val="zh-CN"/>
              </w:rPr>
            </w:pPr>
          </w:p>
        </w:tc>
        <w:tc>
          <w:tcPr>
            <w:tcW w:w="699" w:type="dxa"/>
            <w:tcBorders>
              <w:top w:val="single" w:color="auto" w:sz="6" w:space="0"/>
              <w:left w:val="single" w:color="auto" w:sz="12" w:space="0"/>
              <w:bottom w:val="single" w:color="auto" w:sz="6" w:space="0"/>
              <w:right w:val="single" w:color="auto" w:sz="6" w:space="0"/>
            </w:tcBorders>
            <w:vAlign w:val="center"/>
          </w:tcPr>
          <w:p w14:paraId="79E861B7">
            <w:pPr>
              <w:autoSpaceDE w:val="0"/>
              <w:autoSpaceDN w:val="0"/>
              <w:adjustRightInd w:val="0"/>
              <w:snapToGrid w:val="0"/>
              <w:spacing w:line="240" w:lineRule="auto"/>
              <w:jc w:val="center"/>
              <w:rPr>
                <w:rFonts w:ascii="宋体" w:cs="楷体_GB2312"/>
                <w:b/>
                <w:bCs/>
                <w:color w:val="auto"/>
                <w:szCs w:val="21"/>
                <w:lang w:val="zh-CN"/>
              </w:rPr>
            </w:pPr>
            <w:r>
              <w:rPr>
                <w:rFonts w:ascii="宋体" w:hAnsi="宋体" w:cs="楷体_GB2312"/>
                <w:b/>
                <w:bCs/>
                <w:color w:val="auto"/>
                <w:szCs w:val="21"/>
                <w:lang w:val="zh-CN"/>
              </w:rPr>
              <w:t>1.3</w:t>
            </w:r>
          </w:p>
        </w:tc>
        <w:tc>
          <w:tcPr>
            <w:tcW w:w="1893" w:type="dxa"/>
            <w:tcBorders>
              <w:top w:val="single" w:color="auto" w:sz="6" w:space="0"/>
              <w:left w:val="single" w:color="auto" w:sz="6" w:space="0"/>
              <w:bottom w:val="single" w:color="auto" w:sz="6" w:space="0"/>
              <w:right w:val="single" w:color="auto" w:sz="6" w:space="0"/>
            </w:tcBorders>
            <w:vAlign w:val="center"/>
          </w:tcPr>
          <w:p w14:paraId="62F99467">
            <w:pPr>
              <w:autoSpaceDE w:val="0"/>
              <w:autoSpaceDN w:val="0"/>
              <w:adjustRightInd w:val="0"/>
              <w:snapToGrid w:val="0"/>
              <w:spacing w:line="240" w:lineRule="auto"/>
              <w:jc w:val="center"/>
              <w:rPr>
                <w:rFonts w:ascii="宋体"/>
                <w:b/>
                <w:color w:val="auto"/>
                <w:sz w:val="24"/>
                <w:szCs w:val="24"/>
                <w:highlight w:val="yellow"/>
              </w:rPr>
            </w:pPr>
            <w:r>
              <w:rPr>
                <w:rFonts w:hint="eastAsia" w:ascii="宋体" w:hAnsi="宋体"/>
                <w:b/>
                <w:color w:val="auto"/>
                <w:sz w:val="24"/>
                <w:szCs w:val="24"/>
              </w:rPr>
              <w:t>磋商报价</w:t>
            </w:r>
          </w:p>
        </w:tc>
        <w:tc>
          <w:tcPr>
            <w:tcW w:w="6653" w:type="dxa"/>
            <w:tcBorders>
              <w:top w:val="single" w:color="auto" w:sz="6" w:space="0"/>
              <w:left w:val="single" w:color="auto" w:sz="6" w:space="0"/>
              <w:bottom w:val="single" w:color="auto" w:sz="6" w:space="0"/>
              <w:right w:val="single" w:color="auto" w:sz="12" w:space="0"/>
            </w:tcBorders>
            <w:vAlign w:val="center"/>
          </w:tcPr>
          <w:p w14:paraId="1BBF150D">
            <w:pPr>
              <w:autoSpaceDE w:val="0"/>
              <w:autoSpaceDN w:val="0"/>
              <w:adjustRightInd w:val="0"/>
              <w:snapToGrid w:val="0"/>
              <w:spacing w:before="120" w:beforeLines="50" w:line="240" w:lineRule="auto"/>
              <w:rPr>
                <w:color w:val="auto"/>
                <w:sz w:val="24"/>
                <w:szCs w:val="24"/>
              </w:rPr>
            </w:pPr>
            <w:r>
              <w:rPr>
                <w:rFonts w:hint="eastAsia"/>
                <w:color w:val="auto"/>
                <w:sz w:val="24"/>
                <w:szCs w:val="24"/>
              </w:rPr>
              <w:t>见“第二章采购项目及技术服务要求”相应条款</w:t>
            </w:r>
          </w:p>
        </w:tc>
      </w:tr>
      <w:tr w14:paraId="17FBE3A1">
        <w:tblPrEx>
          <w:tblCellMar>
            <w:top w:w="0" w:type="dxa"/>
            <w:left w:w="108" w:type="dxa"/>
            <w:bottom w:w="0" w:type="dxa"/>
            <w:right w:w="108" w:type="dxa"/>
          </w:tblCellMar>
        </w:tblPrEx>
        <w:trPr>
          <w:trHeight w:val="321" w:hRule="atLeast"/>
          <w:jc w:val="center"/>
        </w:trPr>
        <w:tc>
          <w:tcPr>
            <w:tcW w:w="508" w:type="dxa"/>
            <w:vMerge w:val="continue"/>
            <w:tcBorders>
              <w:left w:val="single" w:color="auto" w:sz="12" w:space="0"/>
              <w:right w:val="single" w:color="auto" w:sz="6" w:space="0"/>
            </w:tcBorders>
          </w:tcPr>
          <w:p w14:paraId="2678B453">
            <w:pPr>
              <w:autoSpaceDE w:val="0"/>
              <w:autoSpaceDN w:val="0"/>
              <w:adjustRightInd w:val="0"/>
              <w:snapToGrid w:val="0"/>
              <w:spacing w:line="240" w:lineRule="auto"/>
              <w:jc w:val="center"/>
              <w:rPr>
                <w:rFonts w:ascii="宋体" w:cs="楷体_GB2312"/>
                <w:b/>
                <w:bCs/>
                <w:color w:val="auto"/>
                <w:sz w:val="24"/>
                <w:lang w:val="zh-CN"/>
              </w:rPr>
            </w:pPr>
          </w:p>
        </w:tc>
        <w:tc>
          <w:tcPr>
            <w:tcW w:w="699" w:type="dxa"/>
            <w:tcBorders>
              <w:top w:val="single" w:color="auto" w:sz="6" w:space="0"/>
              <w:left w:val="single" w:color="auto" w:sz="12" w:space="0"/>
              <w:bottom w:val="single" w:color="auto" w:sz="6" w:space="0"/>
              <w:right w:val="single" w:color="auto" w:sz="6" w:space="0"/>
            </w:tcBorders>
            <w:vAlign w:val="center"/>
          </w:tcPr>
          <w:p w14:paraId="7FAAA2F9">
            <w:pPr>
              <w:autoSpaceDE w:val="0"/>
              <w:autoSpaceDN w:val="0"/>
              <w:adjustRightInd w:val="0"/>
              <w:snapToGrid w:val="0"/>
              <w:spacing w:line="240" w:lineRule="auto"/>
              <w:jc w:val="center"/>
              <w:rPr>
                <w:rFonts w:ascii="宋体" w:cs="楷体_GB2312"/>
                <w:b/>
                <w:bCs/>
                <w:color w:val="auto"/>
                <w:szCs w:val="21"/>
                <w:lang w:val="zh-CN"/>
              </w:rPr>
            </w:pPr>
            <w:r>
              <w:rPr>
                <w:rFonts w:ascii="宋体" w:hAnsi="宋体" w:cs="楷体_GB2312"/>
                <w:b/>
                <w:bCs/>
                <w:color w:val="auto"/>
                <w:szCs w:val="21"/>
                <w:lang w:val="zh-CN"/>
              </w:rPr>
              <w:t>2</w:t>
            </w:r>
          </w:p>
        </w:tc>
        <w:tc>
          <w:tcPr>
            <w:tcW w:w="1893" w:type="dxa"/>
            <w:tcBorders>
              <w:top w:val="single" w:color="auto" w:sz="6" w:space="0"/>
              <w:left w:val="single" w:color="auto" w:sz="6" w:space="0"/>
              <w:bottom w:val="single" w:color="auto" w:sz="6" w:space="0"/>
              <w:right w:val="single" w:color="auto" w:sz="6" w:space="0"/>
            </w:tcBorders>
            <w:vAlign w:val="center"/>
          </w:tcPr>
          <w:p w14:paraId="503B2DF5">
            <w:pPr>
              <w:autoSpaceDE w:val="0"/>
              <w:autoSpaceDN w:val="0"/>
              <w:adjustRightInd w:val="0"/>
              <w:snapToGrid w:val="0"/>
              <w:spacing w:line="240" w:lineRule="auto"/>
              <w:jc w:val="center"/>
              <w:rPr>
                <w:rFonts w:ascii="宋体" w:cs="楷体_GB2312"/>
                <w:b/>
                <w:bCs/>
                <w:color w:val="auto"/>
                <w:sz w:val="24"/>
                <w:highlight w:val="green"/>
                <w:lang w:val="zh-CN"/>
              </w:rPr>
            </w:pPr>
            <w:r>
              <w:rPr>
                <w:rFonts w:hint="eastAsia" w:ascii="宋体" w:hAnsi="宋体" w:cs="楷体_GB2312"/>
                <w:b/>
                <w:bCs/>
                <w:color w:val="auto"/>
                <w:sz w:val="24"/>
                <w:lang w:val="zh-CN"/>
              </w:rPr>
              <w:t>标段（包）内容（范围）及基本技术要求</w:t>
            </w:r>
          </w:p>
        </w:tc>
        <w:tc>
          <w:tcPr>
            <w:tcW w:w="6653" w:type="dxa"/>
            <w:tcBorders>
              <w:top w:val="single" w:color="auto" w:sz="6" w:space="0"/>
              <w:left w:val="single" w:color="auto" w:sz="6" w:space="0"/>
              <w:bottom w:val="single" w:color="auto" w:sz="6" w:space="0"/>
              <w:right w:val="single" w:color="auto" w:sz="12" w:space="0"/>
            </w:tcBorders>
            <w:vAlign w:val="center"/>
          </w:tcPr>
          <w:p w14:paraId="095EE174">
            <w:pPr>
              <w:autoSpaceDE w:val="0"/>
              <w:autoSpaceDN w:val="0"/>
              <w:adjustRightInd w:val="0"/>
              <w:snapToGrid w:val="0"/>
              <w:spacing w:before="120" w:beforeLines="50" w:line="240" w:lineRule="auto"/>
              <w:rPr>
                <w:rFonts w:ascii="宋体" w:cs="楷体_GB2312"/>
                <w:color w:val="auto"/>
                <w:sz w:val="24"/>
                <w:highlight w:val="green"/>
                <w:lang w:val="zh-CN"/>
              </w:rPr>
            </w:pPr>
            <w:r>
              <w:rPr>
                <w:rFonts w:hint="eastAsia" w:ascii="宋体" w:hAnsi="宋体" w:cs="楷体_GB2312"/>
                <w:color w:val="auto"/>
                <w:sz w:val="24"/>
                <w:lang w:val="zh-CN"/>
              </w:rPr>
              <w:t>见“第二</w:t>
            </w:r>
            <w:r>
              <w:rPr>
                <w:rFonts w:hint="eastAsia"/>
                <w:color w:val="auto"/>
                <w:sz w:val="24"/>
                <w:szCs w:val="24"/>
              </w:rPr>
              <w:t>章</w:t>
            </w:r>
            <w:r>
              <w:rPr>
                <w:rFonts w:hint="eastAsia" w:ascii="宋体" w:hAnsi="宋体" w:cs="楷体_GB2312"/>
                <w:color w:val="auto"/>
                <w:sz w:val="24"/>
                <w:lang w:val="zh-CN"/>
              </w:rPr>
              <w:t>采购项目及技术服务要求”</w:t>
            </w:r>
            <w:r>
              <w:rPr>
                <w:rFonts w:hint="eastAsia"/>
                <w:color w:val="auto"/>
                <w:sz w:val="24"/>
                <w:szCs w:val="24"/>
              </w:rPr>
              <w:t>相应条款</w:t>
            </w:r>
          </w:p>
        </w:tc>
      </w:tr>
      <w:tr w14:paraId="783B4D30">
        <w:tblPrEx>
          <w:tblCellMar>
            <w:top w:w="0" w:type="dxa"/>
            <w:left w:w="108" w:type="dxa"/>
            <w:bottom w:w="0" w:type="dxa"/>
            <w:right w:w="108" w:type="dxa"/>
          </w:tblCellMar>
        </w:tblPrEx>
        <w:trPr>
          <w:trHeight w:val="366" w:hRule="atLeast"/>
          <w:jc w:val="center"/>
        </w:trPr>
        <w:tc>
          <w:tcPr>
            <w:tcW w:w="508" w:type="dxa"/>
            <w:vMerge w:val="restart"/>
            <w:tcBorders>
              <w:top w:val="single" w:color="auto" w:sz="6" w:space="0"/>
              <w:left w:val="single" w:color="auto" w:sz="12" w:space="0"/>
              <w:right w:val="single" w:color="auto" w:sz="6" w:space="0"/>
            </w:tcBorders>
          </w:tcPr>
          <w:p w14:paraId="35584BB7">
            <w:pPr>
              <w:autoSpaceDE w:val="0"/>
              <w:autoSpaceDN w:val="0"/>
              <w:adjustRightInd w:val="0"/>
              <w:snapToGrid w:val="0"/>
              <w:spacing w:line="240" w:lineRule="auto"/>
              <w:jc w:val="center"/>
              <w:rPr>
                <w:rFonts w:ascii="宋体" w:cs="楷体_GB2312"/>
                <w:b/>
                <w:bCs/>
                <w:color w:val="auto"/>
                <w:sz w:val="24"/>
                <w:lang w:val="zh-CN"/>
              </w:rPr>
            </w:pPr>
            <w:r>
              <w:rPr>
                <w:rFonts w:hint="eastAsia" w:ascii="宋体" w:hAnsi="宋体" w:cs="楷体_GB2312"/>
                <w:b/>
                <w:bCs/>
                <w:color w:val="auto"/>
                <w:sz w:val="24"/>
                <w:lang w:val="zh-CN"/>
              </w:rPr>
              <w:t>第三章</w:t>
            </w:r>
          </w:p>
        </w:tc>
        <w:tc>
          <w:tcPr>
            <w:tcW w:w="699" w:type="dxa"/>
            <w:tcBorders>
              <w:top w:val="single" w:color="auto" w:sz="6" w:space="0"/>
              <w:left w:val="single" w:color="auto" w:sz="12" w:space="0"/>
              <w:bottom w:val="single" w:color="auto" w:sz="6" w:space="0"/>
              <w:right w:val="single" w:color="auto" w:sz="6" w:space="0"/>
            </w:tcBorders>
            <w:vAlign w:val="center"/>
          </w:tcPr>
          <w:p w14:paraId="175D761D">
            <w:pPr>
              <w:autoSpaceDE w:val="0"/>
              <w:autoSpaceDN w:val="0"/>
              <w:adjustRightInd w:val="0"/>
              <w:snapToGrid w:val="0"/>
              <w:spacing w:line="240" w:lineRule="auto"/>
              <w:jc w:val="center"/>
              <w:rPr>
                <w:rFonts w:ascii="宋体" w:cs="楷体_GB2312"/>
                <w:b/>
                <w:bCs/>
                <w:color w:val="auto"/>
                <w:szCs w:val="21"/>
                <w:lang w:val="zh-CN"/>
              </w:rPr>
            </w:pPr>
            <w:r>
              <w:rPr>
                <w:rFonts w:ascii="宋体" w:hAnsi="宋体" w:cs="楷体_GB2312"/>
                <w:b/>
                <w:bCs/>
                <w:color w:val="auto"/>
                <w:szCs w:val="21"/>
                <w:lang w:val="zh-CN"/>
              </w:rPr>
              <w:t>1.4</w:t>
            </w:r>
          </w:p>
        </w:tc>
        <w:tc>
          <w:tcPr>
            <w:tcW w:w="1893" w:type="dxa"/>
            <w:tcBorders>
              <w:top w:val="single" w:color="auto" w:sz="6" w:space="0"/>
              <w:left w:val="single" w:color="auto" w:sz="6" w:space="0"/>
              <w:bottom w:val="single" w:color="auto" w:sz="6" w:space="0"/>
              <w:right w:val="single" w:color="auto" w:sz="6" w:space="0"/>
            </w:tcBorders>
            <w:vAlign w:val="center"/>
          </w:tcPr>
          <w:p w14:paraId="7788E6B6">
            <w:pPr>
              <w:autoSpaceDE w:val="0"/>
              <w:autoSpaceDN w:val="0"/>
              <w:adjustRightInd w:val="0"/>
              <w:snapToGrid w:val="0"/>
              <w:spacing w:line="240" w:lineRule="auto"/>
              <w:jc w:val="center"/>
              <w:rPr>
                <w:rFonts w:ascii="宋体" w:cs="楷体_GB2312"/>
                <w:b/>
                <w:bCs/>
                <w:color w:val="auto"/>
                <w:sz w:val="24"/>
                <w:lang w:val="zh-CN"/>
              </w:rPr>
            </w:pPr>
            <w:r>
              <w:rPr>
                <w:rFonts w:hint="eastAsia" w:ascii="宋体" w:hAnsi="宋体" w:cs="楷体_GB2312"/>
                <w:b/>
                <w:bCs/>
                <w:color w:val="auto"/>
                <w:sz w:val="24"/>
                <w:lang w:val="zh-CN"/>
              </w:rPr>
              <w:t>联合体投标</w:t>
            </w:r>
          </w:p>
        </w:tc>
        <w:tc>
          <w:tcPr>
            <w:tcW w:w="6653" w:type="dxa"/>
            <w:tcBorders>
              <w:top w:val="single" w:color="auto" w:sz="6" w:space="0"/>
              <w:left w:val="single" w:color="auto" w:sz="6" w:space="0"/>
              <w:bottom w:val="single" w:color="auto" w:sz="6" w:space="0"/>
              <w:right w:val="single" w:color="auto" w:sz="12" w:space="0"/>
            </w:tcBorders>
            <w:vAlign w:val="center"/>
          </w:tcPr>
          <w:p w14:paraId="5A07CC73">
            <w:pPr>
              <w:autoSpaceDE w:val="0"/>
              <w:autoSpaceDN w:val="0"/>
              <w:adjustRightInd w:val="0"/>
              <w:snapToGrid w:val="0"/>
              <w:spacing w:before="120" w:beforeLines="50" w:line="240" w:lineRule="auto"/>
              <w:rPr>
                <w:rFonts w:ascii="宋体" w:cs="楷体_GB2312"/>
                <w:color w:val="auto"/>
                <w:sz w:val="24"/>
                <w:lang w:val="zh-CN"/>
              </w:rPr>
            </w:pPr>
            <w:r>
              <w:rPr>
                <w:rFonts w:hint="eastAsia" w:ascii="宋体" w:hAnsi="宋体" w:cs="楷体_GB2312"/>
                <w:color w:val="auto"/>
                <w:sz w:val="24"/>
                <w:lang w:val="zh-CN"/>
              </w:rPr>
              <w:t xml:space="preserve">不接受   </w:t>
            </w:r>
          </w:p>
        </w:tc>
      </w:tr>
      <w:tr w14:paraId="1595BA55">
        <w:tblPrEx>
          <w:tblCellMar>
            <w:top w:w="0" w:type="dxa"/>
            <w:left w:w="108" w:type="dxa"/>
            <w:bottom w:w="0" w:type="dxa"/>
            <w:right w:w="108" w:type="dxa"/>
          </w:tblCellMar>
        </w:tblPrEx>
        <w:trPr>
          <w:trHeight w:val="447" w:hRule="atLeast"/>
          <w:jc w:val="center"/>
        </w:trPr>
        <w:tc>
          <w:tcPr>
            <w:tcW w:w="508" w:type="dxa"/>
            <w:vMerge w:val="continue"/>
            <w:tcBorders>
              <w:left w:val="single" w:color="auto" w:sz="12" w:space="0"/>
              <w:right w:val="single" w:color="auto" w:sz="6" w:space="0"/>
            </w:tcBorders>
          </w:tcPr>
          <w:p w14:paraId="160D1C7B">
            <w:pPr>
              <w:autoSpaceDE w:val="0"/>
              <w:autoSpaceDN w:val="0"/>
              <w:adjustRightInd w:val="0"/>
              <w:snapToGrid w:val="0"/>
              <w:spacing w:line="240" w:lineRule="auto"/>
              <w:jc w:val="center"/>
              <w:rPr>
                <w:rFonts w:ascii="宋体" w:cs="楷体_GB2312"/>
                <w:b/>
                <w:bCs/>
                <w:color w:val="auto"/>
                <w:sz w:val="24"/>
              </w:rPr>
            </w:pPr>
          </w:p>
        </w:tc>
        <w:tc>
          <w:tcPr>
            <w:tcW w:w="699" w:type="dxa"/>
            <w:tcBorders>
              <w:top w:val="single" w:color="auto" w:sz="6" w:space="0"/>
              <w:left w:val="single" w:color="auto" w:sz="12" w:space="0"/>
              <w:bottom w:val="single" w:color="auto" w:sz="6" w:space="0"/>
              <w:right w:val="single" w:color="auto" w:sz="6" w:space="0"/>
            </w:tcBorders>
            <w:vAlign w:val="center"/>
          </w:tcPr>
          <w:p w14:paraId="100A5FD8">
            <w:pPr>
              <w:autoSpaceDE w:val="0"/>
              <w:autoSpaceDN w:val="0"/>
              <w:adjustRightInd w:val="0"/>
              <w:snapToGrid w:val="0"/>
              <w:spacing w:line="240" w:lineRule="auto"/>
              <w:jc w:val="center"/>
              <w:rPr>
                <w:rFonts w:ascii="宋体" w:cs="楷体_GB2312"/>
                <w:b/>
                <w:bCs/>
                <w:color w:val="auto"/>
                <w:szCs w:val="21"/>
              </w:rPr>
            </w:pPr>
            <w:r>
              <w:rPr>
                <w:rFonts w:ascii="宋体" w:hAnsi="宋体" w:cs="楷体_GB2312"/>
                <w:b/>
                <w:bCs/>
                <w:color w:val="auto"/>
                <w:szCs w:val="21"/>
              </w:rPr>
              <w:t>1.</w:t>
            </w:r>
            <w:r>
              <w:rPr>
                <w:rFonts w:hint="eastAsia" w:ascii="宋体" w:hAnsi="宋体" w:cs="楷体_GB2312"/>
                <w:b/>
                <w:bCs/>
                <w:color w:val="auto"/>
                <w:szCs w:val="21"/>
              </w:rPr>
              <w:t>10</w:t>
            </w:r>
          </w:p>
        </w:tc>
        <w:tc>
          <w:tcPr>
            <w:tcW w:w="1893" w:type="dxa"/>
            <w:tcBorders>
              <w:top w:val="single" w:color="auto" w:sz="6" w:space="0"/>
              <w:left w:val="single" w:color="auto" w:sz="6" w:space="0"/>
              <w:bottom w:val="single" w:color="auto" w:sz="6" w:space="0"/>
              <w:right w:val="single" w:color="auto" w:sz="6" w:space="0"/>
            </w:tcBorders>
            <w:vAlign w:val="center"/>
          </w:tcPr>
          <w:p w14:paraId="790BAE0B">
            <w:pPr>
              <w:autoSpaceDE w:val="0"/>
              <w:autoSpaceDN w:val="0"/>
              <w:adjustRightInd w:val="0"/>
              <w:snapToGrid w:val="0"/>
              <w:spacing w:line="240" w:lineRule="auto"/>
              <w:jc w:val="center"/>
              <w:rPr>
                <w:rFonts w:ascii="宋体" w:cs="楷体_GB2312"/>
                <w:b/>
                <w:bCs/>
                <w:color w:val="auto"/>
                <w:sz w:val="24"/>
                <w:lang w:val="zh-CN"/>
              </w:rPr>
            </w:pPr>
            <w:r>
              <w:rPr>
                <w:rFonts w:hint="eastAsia" w:ascii="宋体" w:hAnsi="宋体" w:cs="楷体_GB2312"/>
                <w:b/>
                <w:bCs/>
                <w:color w:val="auto"/>
                <w:sz w:val="24"/>
                <w:lang w:val="zh-CN"/>
              </w:rPr>
              <w:t>踏勘现场</w:t>
            </w:r>
          </w:p>
        </w:tc>
        <w:tc>
          <w:tcPr>
            <w:tcW w:w="6653" w:type="dxa"/>
            <w:tcBorders>
              <w:top w:val="single" w:color="auto" w:sz="6" w:space="0"/>
              <w:left w:val="single" w:color="auto" w:sz="6" w:space="0"/>
              <w:bottom w:val="single" w:color="auto" w:sz="6" w:space="0"/>
              <w:right w:val="single" w:color="auto" w:sz="12" w:space="0"/>
            </w:tcBorders>
            <w:vAlign w:val="center"/>
          </w:tcPr>
          <w:p w14:paraId="5020CE43">
            <w:pPr>
              <w:autoSpaceDE w:val="0"/>
              <w:autoSpaceDN w:val="0"/>
              <w:adjustRightInd w:val="0"/>
              <w:snapToGrid w:val="0"/>
              <w:spacing w:before="120" w:beforeLines="50" w:line="240" w:lineRule="auto"/>
              <w:rPr>
                <w:rFonts w:ascii="宋体" w:cs="楷体_GB2312"/>
                <w:color w:val="auto"/>
                <w:sz w:val="24"/>
                <w:lang w:val="zh-CN"/>
              </w:rPr>
            </w:pPr>
            <w:r>
              <w:rPr>
                <w:rFonts w:hint="eastAsia" w:ascii="宋体" w:hAnsi="宋体" w:cs="楷体_GB2312"/>
                <w:color w:val="auto"/>
                <w:sz w:val="24"/>
                <w:lang w:val="zh-CN"/>
              </w:rPr>
              <w:t>不组织</w:t>
            </w:r>
          </w:p>
        </w:tc>
      </w:tr>
      <w:tr w14:paraId="17C95F26">
        <w:tblPrEx>
          <w:tblCellMar>
            <w:top w:w="0" w:type="dxa"/>
            <w:left w:w="108" w:type="dxa"/>
            <w:bottom w:w="0" w:type="dxa"/>
            <w:right w:w="108" w:type="dxa"/>
          </w:tblCellMar>
        </w:tblPrEx>
        <w:trPr>
          <w:trHeight w:val="447" w:hRule="atLeast"/>
          <w:jc w:val="center"/>
        </w:trPr>
        <w:tc>
          <w:tcPr>
            <w:tcW w:w="508" w:type="dxa"/>
            <w:vMerge w:val="continue"/>
            <w:tcBorders>
              <w:left w:val="single" w:color="auto" w:sz="12" w:space="0"/>
              <w:right w:val="single" w:color="auto" w:sz="6" w:space="0"/>
            </w:tcBorders>
          </w:tcPr>
          <w:p w14:paraId="2C1A0820">
            <w:pPr>
              <w:autoSpaceDE w:val="0"/>
              <w:autoSpaceDN w:val="0"/>
              <w:adjustRightInd w:val="0"/>
              <w:snapToGrid w:val="0"/>
              <w:spacing w:line="240" w:lineRule="auto"/>
              <w:jc w:val="center"/>
              <w:rPr>
                <w:rFonts w:ascii="宋体" w:cs="楷体_GB2312"/>
                <w:b/>
                <w:bCs/>
                <w:color w:val="auto"/>
                <w:sz w:val="24"/>
              </w:rPr>
            </w:pPr>
          </w:p>
        </w:tc>
        <w:tc>
          <w:tcPr>
            <w:tcW w:w="699" w:type="dxa"/>
            <w:tcBorders>
              <w:top w:val="single" w:color="auto" w:sz="6" w:space="0"/>
              <w:left w:val="single" w:color="auto" w:sz="12" w:space="0"/>
              <w:bottom w:val="single" w:color="auto" w:sz="6" w:space="0"/>
              <w:right w:val="single" w:color="auto" w:sz="6" w:space="0"/>
            </w:tcBorders>
            <w:vAlign w:val="center"/>
          </w:tcPr>
          <w:p w14:paraId="7DB684C5">
            <w:pPr>
              <w:autoSpaceDE w:val="0"/>
              <w:autoSpaceDN w:val="0"/>
              <w:adjustRightInd w:val="0"/>
              <w:snapToGrid w:val="0"/>
              <w:spacing w:line="240" w:lineRule="auto"/>
              <w:ind w:right="-88" w:rightChars="-42"/>
              <w:jc w:val="center"/>
              <w:rPr>
                <w:rFonts w:ascii="宋体" w:cs="楷体_GB2312"/>
                <w:b/>
                <w:bCs/>
                <w:color w:val="auto"/>
                <w:szCs w:val="21"/>
              </w:rPr>
            </w:pPr>
            <w:r>
              <w:rPr>
                <w:rFonts w:ascii="宋体" w:hAnsi="宋体" w:cs="楷体_GB2312"/>
                <w:b/>
                <w:bCs/>
                <w:color w:val="auto"/>
                <w:szCs w:val="21"/>
              </w:rPr>
              <w:t>1.1</w:t>
            </w:r>
            <w:r>
              <w:rPr>
                <w:rFonts w:hint="eastAsia" w:ascii="宋体" w:hAnsi="宋体" w:cs="楷体_GB2312"/>
                <w:b/>
                <w:bCs/>
                <w:color w:val="auto"/>
                <w:szCs w:val="21"/>
              </w:rPr>
              <w:t>1</w:t>
            </w:r>
          </w:p>
        </w:tc>
        <w:tc>
          <w:tcPr>
            <w:tcW w:w="1893" w:type="dxa"/>
            <w:tcBorders>
              <w:top w:val="single" w:color="auto" w:sz="6" w:space="0"/>
              <w:left w:val="single" w:color="auto" w:sz="6" w:space="0"/>
              <w:bottom w:val="single" w:color="auto" w:sz="6" w:space="0"/>
              <w:right w:val="single" w:color="auto" w:sz="6" w:space="0"/>
            </w:tcBorders>
            <w:vAlign w:val="center"/>
          </w:tcPr>
          <w:p w14:paraId="5E106EE7">
            <w:pPr>
              <w:autoSpaceDE w:val="0"/>
              <w:autoSpaceDN w:val="0"/>
              <w:adjustRightInd w:val="0"/>
              <w:snapToGrid w:val="0"/>
              <w:spacing w:line="240" w:lineRule="auto"/>
              <w:jc w:val="center"/>
              <w:rPr>
                <w:rFonts w:ascii="宋体" w:cs="楷体_GB2312"/>
                <w:b/>
                <w:bCs/>
                <w:color w:val="auto"/>
                <w:sz w:val="24"/>
                <w:lang w:val="zh-CN"/>
              </w:rPr>
            </w:pPr>
            <w:r>
              <w:rPr>
                <w:rFonts w:hint="eastAsia" w:ascii="宋体" w:hAnsi="宋体" w:cs="楷体_GB2312"/>
                <w:b/>
                <w:bCs/>
                <w:color w:val="auto"/>
                <w:sz w:val="24"/>
                <w:lang w:val="zh-CN"/>
              </w:rPr>
              <w:t>投标预备会</w:t>
            </w:r>
          </w:p>
        </w:tc>
        <w:tc>
          <w:tcPr>
            <w:tcW w:w="6653" w:type="dxa"/>
            <w:tcBorders>
              <w:top w:val="single" w:color="auto" w:sz="6" w:space="0"/>
              <w:left w:val="single" w:color="auto" w:sz="6" w:space="0"/>
              <w:bottom w:val="single" w:color="auto" w:sz="6" w:space="0"/>
              <w:right w:val="single" w:color="auto" w:sz="12" w:space="0"/>
            </w:tcBorders>
            <w:vAlign w:val="center"/>
          </w:tcPr>
          <w:p w14:paraId="377B7F24">
            <w:pPr>
              <w:autoSpaceDE w:val="0"/>
              <w:autoSpaceDN w:val="0"/>
              <w:adjustRightInd w:val="0"/>
              <w:snapToGrid w:val="0"/>
              <w:spacing w:before="120" w:beforeLines="50" w:line="240" w:lineRule="auto"/>
              <w:rPr>
                <w:rFonts w:ascii="宋体" w:cs="楷体_GB2312"/>
                <w:color w:val="auto"/>
                <w:sz w:val="24"/>
                <w:lang w:val="zh-CN"/>
              </w:rPr>
            </w:pPr>
            <w:r>
              <w:rPr>
                <w:rFonts w:hint="eastAsia" w:ascii="宋体" w:hAnsi="宋体" w:cs="楷体_GB2312"/>
                <w:color w:val="auto"/>
                <w:sz w:val="24"/>
                <w:lang w:val="zh-CN"/>
              </w:rPr>
              <w:t>不召开</w:t>
            </w:r>
          </w:p>
        </w:tc>
      </w:tr>
      <w:tr w14:paraId="08A68407">
        <w:tblPrEx>
          <w:tblCellMar>
            <w:top w:w="0" w:type="dxa"/>
            <w:left w:w="108" w:type="dxa"/>
            <w:bottom w:w="0" w:type="dxa"/>
            <w:right w:w="108" w:type="dxa"/>
          </w:tblCellMar>
        </w:tblPrEx>
        <w:trPr>
          <w:trHeight w:val="447" w:hRule="atLeast"/>
          <w:jc w:val="center"/>
        </w:trPr>
        <w:tc>
          <w:tcPr>
            <w:tcW w:w="508" w:type="dxa"/>
            <w:vMerge w:val="continue"/>
            <w:tcBorders>
              <w:left w:val="single" w:color="auto" w:sz="12" w:space="0"/>
              <w:right w:val="single" w:color="auto" w:sz="6" w:space="0"/>
            </w:tcBorders>
          </w:tcPr>
          <w:p w14:paraId="2353EAD4">
            <w:pPr>
              <w:autoSpaceDE w:val="0"/>
              <w:autoSpaceDN w:val="0"/>
              <w:adjustRightInd w:val="0"/>
              <w:snapToGrid w:val="0"/>
              <w:spacing w:line="240" w:lineRule="auto"/>
              <w:jc w:val="center"/>
              <w:rPr>
                <w:rFonts w:ascii="宋体" w:cs="楷体_GB2312"/>
                <w:b/>
                <w:bCs/>
                <w:color w:val="auto"/>
                <w:sz w:val="24"/>
              </w:rPr>
            </w:pPr>
          </w:p>
        </w:tc>
        <w:tc>
          <w:tcPr>
            <w:tcW w:w="699" w:type="dxa"/>
            <w:tcBorders>
              <w:top w:val="single" w:color="auto" w:sz="6" w:space="0"/>
              <w:left w:val="single" w:color="auto" w:sz="12" w:space="0"/>
              <w:bottom w:val="single" w:color="auto" w:sz="6" w:space="0"/>
              <w:right w:val="single" w:color="auto" w:sz="6" w:space="0"/>
            </w:tcBorders>
            <w:vAlign w:val="center"/>
          </w:tcPr>
          <w:p w14:paraId="65649F6E">
            <w:pPr>
              <w:autoSpaceDE w:val="0"/>
              <w:autoSpaceDN w:val="0"/>
              <w:adjustRightInd w:val="0"/>
              <w:snapToGrid w:val="0"/>
              <w:spacing w:line="240" w:lineRule="auto"/>
              <w:ind w:right="-88" w:rightChars="-42"/>
              <w:jc w:val="center"/>
              <w:rPr>
                <w:rFonts w:ascii="宋体" w:cs="楷体_GB2312"/>
                <w:b/>
                <w:bCs/>
                <w:color w:val="auto"/>
                <w:szCs w:val="21"/>
              </w:rPr>
            </w:pPr>
            <w:r>
              <w:rPr>
                <w:rFonts w:ascii="宋体" w:hAnsi="宋体" w:cs="楷体_GB2312"/>
                <w:b/>
                <w:bCs/>
                <w:color w:val="auto"/>
                <w:szCs w:val="21"/>
              </w:rPr>
              <w:t>1.1</w:t>
            </w:r>
            <w:r>
              <w:rPr>
                <w:rFonts w:hint="eastAsia" w:ascii="宋体" w:hAnsi="宋体" w:cs="楷体_GB2312"/>
                <w:b/>
                <w:bCs/>
                <w:color w:val="auto"/>
                <w:szCs w:val="21"/>
              </w:rPr>
              <w:t>2</w:t>
            </w:r>
          </w:p>
        </w:tc>
        <w:tc>
          <w:tcPr>
            <w:tcW w:w="1893" w:type="dxa"/>
            <w:tcBorders>
              <w:top w:val="single" w:color="auto" w:sz="6" w:space="0"/>
              <w:left w:val="single" w:color="auto" w:sz="6" w:space="0"/>
              <w:bottom w:val="single" w:color="auto" w:sz="6" w:space="0"/>
              <w:right w:val="single" w:color="auto" w:sz="6" w:space="0"/>
            </w:tcBorders>
            <w:vAlign w:val="center"/>
          </w:tcPr>
          <w:p w14:paraId="604525B0">
            <w:pPr>
              <w:autoSpaceDE w:val="0"/>
              <w:autoSpaceDN w:val="0"/>
              <w:adjustRightInd w:val="0"/>
              <w:snapToGrid w:val="0"/>
              <w:spacing w:line="240" w:lineRule="auto"/>
              <w:jc w:val="center"/>
              <w:rPr>
                <w:rFonts w:ascii="宋体" w:cs="楷体_GB2312"/>
                <w:b/>
                <w:bCs/>
                <w:color w:val="auto"/>
                <w:sz w:val="24"/>
                <w:lang w:val="zh-CN"/>
              </w:rPr>
            </w:pPr>
            <w:r>
              <w:rPr>
                <w:rFonts w:hint="eastAsia" w:ascii="宋体" w:hAnsi="宋体" w:cs="楷体_GB2312"/>
                <w:b/>
                <w:bCs/>
                <w:color w:val="auto"/>
                <w:sz w:val="24"/>
                <w:lang w:val="zh-CN"/>
              </w:rPr>
              <w:t>分包</w:t>
            </w:r>
          </w:p>
        </w:tc>
        <w:tc>
          <w:tcPr>
            <w:tcW w:w="6653" w:type="dxa"/>
            <w:tcBorders>
              <w:top w:val="single" w:color="auto" w:sz="6" w:space="0"/>
              <w:left w:val="single" w:color="auto" w:sz="6" w:space="0"/>
              <w:bottom w:val="single" w:color="auto" w:sz="6" w:space="0"/>
              <w:right w:val="single" w:color="auto" w:sz="12" w:space="0"/>
            </w:tcBorders>
            <w:vAlign w:val="center"/>
          </w:tcPr>
          <w:p w14:paraId="57C3ABE6">
            <w:pPr>
              <w:autoSpaceDE w:val="0"/>
              <w:autoSpaceDN w:val="0"/>
              <w:adjustRightInd w:val="0"/>
              <w:snapToGrid w:val="0"/>
              <w:spacing w:before="120" w:beforeLines="50" w:line="240" w:lineRule="auto"/>
              <w:rPr>
                <w:rFonts w:ascii="宋体" w:cs="楷体_GB2312"/>
                <w:color w:val="auto"/>
                <w:sz w:val="24"/>
                <w:lang w:val="zh-CN"/>
              </w:rPr>
            </w:pPr>
            <w:r>
              <w:rPr>
                <w:rFonts w:hint="eastAsia" w:ascii="宋体" w:hAnsi="宋体" w:cs="楷体_GB2312"/>
                <w:color w:val="auto"/>
                <w:sz w:val="24"/>
                <w:lang w:val="zh-CN"/>
              </w:rPr>
              <w:t xml:space="preserve">不允许 </w:t>
            </w:r>
          </w:p>
        </w:tc>
      </w:tr>
      <w:tr w14:paraId="2A9111E3">
        <w:tblPrEx>
          <w:tblCellMar>
            <w:top w:w="0" w:type="dxa"/>
            <w:left w:w="108" w:type="dxa"/>
            <w:bottom w:w="0" w:type="dxa"/>
            <w:right w:w="108" w:type="dxa"/>
          </w:tblCellMar>
        </w:tblPrEx>
        <w:trPr>
          <w:trHeight w:val="447" w:hRule="atLeast"/>
          <w:jc w:val="center"/>
        </w:trPr>
        <w:tc>
          <w:tcPr>
            <w:tcW w:w="508" w:type="dxa"/>
            <w:vMerge w:val="continue"/>
            <w:tcBorders>
              <w:left w:val="single" w:color="auto" w:sz="12" w:space="0"/>
              <w:right w:val="single" w:color="auto" w:sz="6" w:space="0"/>
            </w:tcBorders>
          </w:tcPr>
          <w:p w14:paraId="7723C27A">
            <w:pPr>
              <w:autoSpaceDE w:val="0"/>
              <w:autoSpaceDN w:val="0"/>
              <w:adjustRightInd w:val="0"/>
              <w:snapToGrid w:val="0"/>
              <w:spacing w:line="240" w:lineRule="auto"/>
              <w:jc w:val="center"/>
              <w:rPr>
                <w:rFonts w:ascii="宋体" w:cs="楷体_GB2312"/>
                <w:b/>
                <w:bCs/>
                <w:color w:val="auto"/>
                <w:sz w:val="24"/>
              </w:rPr>
            </w:pPr>
          </w:p>
        </w:tc>
        <w:tc>
          <w:tcPr>
            <w:tcW w:w="699" w:type="dxa"/>
            <w:tcBorders>
              <w:top w:val="single" w:color="auto" w:sz="6" w:space="0"/>
              <w:left w:val="single" w:color="auto" w:sz="12" w:space="0"/>
              <w:bottom w:val="single" w:color="auto" w:sz="6" w:space="0"/>
              <w:right w:val="single" w:color="auto" w:sz="6" w:space="0"/>
            </w:tcBorders>
            <w:vAlign w:val="center"/>
          </w:tcPr>
          <w:p w14:paraId="31E8BC88">
            <w:pPr>
              <w:autoSpaceDE w:val="0"/>
              <w:autoSpaceDN w:val="0"/>
              <w:adjustRightInd w:val="0"/>
              <w:snapToGrid w:val="0"/>
              <w:spacing w:line="240" w:lineRule="auto"/>
              <w:ind w:right="-88" w:rightChars="-42"/>
              <w:jc w:val="center"/>
              <w:rPr>
                <w:rFonts w:ascii="宋体" w:cs="楷体_GB2312"/>
                <w:b/>
                <w:bCs/>
                <w:color w:val="auto"/>
                <w:szCs w:val="21"/>
              </w:rPr>
            </w:pPr>
            <w:r>
              <w:rPr>
                <w:rFonts w:ascii="宋体" w:hAnsi="宋体" w:cs="楷体_GB2312"/>
                <w:b/>
                <w:bCs/>
                <w:color w:val="auto"/>
                <w:szCs w:val="21"/>
              </w:rPr>
              <w:t>2.1</w:t>
            </w:r>
          </w:p>
        </w:tc>
        <w:tc>
          <w:tcPr>
            <w:tcW w:w="1893" w:type="dxa"/>
            <w:tcBorders>
              <w:top w:val="single" w:color="auto" w:sz="6" w:space="0"/>
              <w:left w:val="single" w:color="auto" w:sz="6" w:space="0"/>
              <w:bottom w:val="single" w:color="auto" w:sz="6" w:space="0"/>
              <w:right w:val="single" w:color="auto" w:sz="6" w:space="0"/>
            </w:tcBorders>
            <w:vAlign w:val="center"/>
          </w:tcPr>
          <w:p w14:paraId="48956AC6">
            <w:pPr>
              <w:autoSpaceDE w:val="0"/>
              <w:autoSpaceDN w:val="0"/>
              <w:adjustRightInd w:val="0"/>
              <w:snapToGrid w:val="0"/>
              <w:spacing w:line="240" w:lineRule="auto"/>
              <w:jc w:val="center"/>
              <w:rPr>
                <w:rFonts w:ascii="宋体" w:cs="楷体_GB2312"/>
                <w:b/>
                <w:bCs/>
                <w:color w:val="auto"/>
                <w:sz w:val="24"/>
              </w:rPr>
            </w:pPr>
            <w:r>
              <w:rPr>
                <w:rFonts w:hint="eastAsia" w:ascii="宋体" w:hAnsi="宋体" w:cs="楷体_GB2312"/>
                <w:b/>
                <w:bCs/>
                <w:color w:val="auto"/>
                <w:sz w:val="24"/>
                <w:lang w:val="zh-CN"/>
              </w:rPr>
              <w:t>构成《磋商文件》的其他材料</w:t>
            </w:r>
          </w:p>
        </w:tc>
        <w:tc>
          <w:tcPr>
            <w:tcW w:w="6653" w:type="dxa"/>
            <w:tcBorders>
              <w:top w:val="single" w:color="auto" w:sz="6" w:space="0"/>
              <w:left w:val="single" w:color="auto" w:sz="6" w:space="0"/>
              <w:bottom w:val="single" w:color="auto" w:sz="6" w:space="0"/>
              <w:right w:val="single" w:color="auto" w:sz="12" w:space="0"/>
            </w:tcBorders>
            <w:vAlign w:val="center"/>
          </w:tcPr>
          <w:p w14:paraId="272DFEB4">
            <w:pPr>
              <w:autoSpaceDE w:val="0"/>
              <w:autoSpaceDN w:val="0"/>
              <w:adjustRightInd w:val="0"/>
              <w:snapToGrid w:val="0"/>
              <w:spacing w:before="120" w:beforeLines="50" w:line="240" w:lineRule="auto"/>
              <w:rPr>
                <w:rFonts w:ascii="宋体" w:cs="楷体_GB2312"/>
                <w:color w:val="auto"/>
                <w:sz w:val="24"/>
                <w:lang w:val="zh-CN"/>
              </w:rPr>
            </w:pPr>
            <w:r>
              <w:rPr>
                <w:rFonts w:hint="eastAsia" w:ascii="宋体" w:hAnsi="宋体" w:cs="楷体_GB2312"/>
                <w:color w:val="auto"/>
                <w:sz w:val="24"/>
                <w:lang w:val="zh-CN"/>
              </w:rPr>
              <w:t>见“第三章</w:t>
            </w:r>
            <w:r>
              <w:rPr>
                <w:rFonts w:ascii="宋体" w:hAnsi="宋体" w:cs="楷体_GB2312"/>
                <w:color w:val="auto"/>
                <w:sz w:val="24"/>
                <w:lang w:val="zh-CN"/>
              </w:rPr>
              <w:t xml:space="preserve"> </w:t>
            </w:r>
            <w:r>
              <w:rPr>
                <w:rFonts w:hint="eastAsia" w:ascii="宋体" w:hAnsi="宋体" w:cs="楷体_GB2312"/>
                <w:color w:val="auto"/>
                <w:sz w:val="24"/>
                <w:lang w:val="zh-CN"/>
              </w:rPr>
              <w:t>供应商须知”</w:t>
            </w:r>
            <w:r>
              <w:rPr>
                <w:rFonts w:ascii="宋体" w:hAnsi="宋体" w:cs="楷体_GB2312"/>
                <w:color w:val="auto"/>
                <w:sz w:val="24"/>
                <w:lang w:val="zh-CN"/>
              </w:rPr>
              <w:t xml:space="preserve"> </w:t>
            </w:r>
            <w:r>
              <w:rPr>
                <w:rFonts w:hint="eastAsia" w:ascii="宋体" w:hAnsi="宋体" w:cs="楷体_GB2312"/>
                <w:color w:val="auto"/>
                <w:sz w:val="24"/>
                <w:lang w:val="zh-CN"/>
              </w:rPr>
              <w:t>相应条款</w:t>
            </w:r>
          </w:p>
        </w:tc>
      </w:tr>
      <w:tr w14:paraId="3E2C07CC">
        <w:tblPrEx>
          <w:tblCellMar>
            <w:top w:w="0" w:type="dxa"/>
            <w:left w:w="108" w:type="dxa"/>
            <w:bottom w:w="0" w:type="dxa"/>
            <w:right w:w="108" w:type="dxa"/>
          </w:tblCellMar>
        </w:tblPrEx>
        <w:trPr>
          <w:trHeight w:val="604" w:hRule="atLeast"/>
          <w:jc w:val="center"/>
        </w:trPr>
        <w:tc>
          <w:tcPr>
            <w:tcW w:w="508" w:type="dxa"/>
            <w:vMerge w:val="continue"/>
            <w:tcBorders>
              <w:left w:val="single" w:color="auto" w:sz="12" w:space="0"/>
              <w:right w:val="single" w:color="auto" w:sz="6" w:space="0"/>
            </w:tcBorders>
          </w:tcPr>
          <w:p w14:paraId="1A680AC8">
            <w:pPr>
              <w:autoSpaceDE w:val="0"/>
              <w:autoSpaceDN w:val="0"/>
              <w:adjustRightInd w:val="0"/>
              <w:snapToGrid w:val="0"/>
              <w:spacing w:line="240" w:lineRule="auto"/>
              <w:jc w:val="center"/>
              <w:rPr>
                <w:rFonts w:ascii="宋体" w:cs="楷体_GB2312"/>
                <w:b/>
                <w:bCs/>
                <w:color w:val="auto"/>
                <w:sz w:val="24"/>
              </w:rPr>
            </w:pPr>
          </w:p>
        </w:tc>
        <w:tc>
          <w:tcPr>
            <w:tcW w:w="699" w:type="dxa"/>
            <w:tcBorders>
              <w:top w:val="single" w:color="auto" w:sz="6" w:space="0"/>
              <w:left w:val="single" w:color="auto" w:sz="12" w:space="0"/>
              <w:bottom w:val="single" w:color="auto" w:sz="6" w:space="0"/>
              <w:right w:val="single" w:color="auto" w:sz="6" w:space="0"/>
            </w:tcBorders>
            <w:vAlign w:val="center"/>
          </w:tcPr>
          <w:p w14:paraId="247261EA">
            <w:pPr>
              <w:autoSpaceDE w:val="0"/>
              <w:autoSpaceDN w:val="0"/>
              <w:adjustRightInd w:val="0"/>
              <w:snapToGrid w:val="0"/>
              <w:spacing w:line="240" w:lineRule="auto"/>
              <w:ind w:left="-134" w:leftChars="-64" w:right="-88" w:rightChars="-42"/>
              <w:jc w:val="center"/>
              <w:rPr>
                <w:rFonts w:ascii="宋体" w:cs="楷体_GB2312"/>
                <w:b/>
                <w:bCs/>
                <w:color w:val="auto"/>
                <w:szCs w:val="21"/>
                <w:lang w:val="zh-CN"/>
              </w:rPr>
            </w:pPr>
            <w:r>
              <w:rPr>
                <w:rFonts w:ascii="宋体" w:hAnsi="宋体" w:cs="楷体_GB2312"/>
                <w:b/>
                <w:bCs/>
                <w:color w:val="auto"/>
                <w:szCs w:val="21"/>
              </w:rPr>
              <w:t>2.2.1</w:t>
            </w:r>
            <w:r>
              <w:rPr>
                <w:rFonts w:hint="eastAsia" w:ascii="宋体" w:hAnsi="宋体" w:cs="楷体_GB2312"/>
                <w:b/>
                <w:bCs/>
                <w:color w:val="auto"/>
                <w:szCs w:val="21"/>
              </w:rPr>
              <w:t xml:space="preserve"> </w:t>
            </w:r>
          </w:p>
        </w:tc>
        <w:tc>
          <w:tcPr>
            <w:tcW w:w="1893" w:type="dxa"/>
            <w:tcBorders>
              <w:top w:val="single" w:color="auto" w:sz="6" w:space="0"/>
              <w:left w:val="single" w:color="auto" w:sz="6" w:space="0"/>
              <w:bottom w:val="single" w:color="auto" w:sz="6" w:space="0"/>
              <w:right w:val="single" w:color="auto" w:sz="6" w:space="0"/>
            </w:tcBorders>
            <w:vAlign w:val="center"/>
          </w:tcPr>
          <w:p w14:paraId="53231DE1">
            <w:pPr>
              <w:autoSpaceDE w:val="0"/>
              <w:autoSpaceDN w:val="0"/>
              <w:adjustRightInd w:val="0"/>
              <w:snapToGrid w:val="0"/>
              <w:spacing w:line="240" w:lineRule="auto"/>
              <w:ind w:right="-178" w:rightChars="-85"/>
              <w:jc w:val="center"/>
              <w:rPr>
                <w:rFonts w:ascii="宋体" w:cs="楷体_GB2312"/>
                <w:b/>
                <w:bCs/>
                <w:color w:val="auto"/>
                <w:sz w:val="24"/>
                <w:lang w:val="zh-CN"/>
              </w:rPr>
            </w:pPr>
            <w:r>
              <w:rPr>
                <w:rFonts w:hint="eastAsia" w:ascii="宋体" w:hAnsi="宋体" w:cs="楷体_GB2312"/>
                <w:b/>
                <w:bCs/>
                <w:color w:val="auto"/>
                <w:sz w:val="24"/>
                <w:lang w:val="zh-CN"/>
              </w:rPr>
              <w:t>供应商提出问题的截止时间</w:t>
            </w:r>
          </w:p>
        </w:tc>
        <w:tc>
          <w:tcPr>
            <w:tcW w:w="6653" w:type="dxa"/>
            <w:tcBorders>
              <w:top w:val="single" w:color="auto" w:sz="6" w:space="0"/>
              <w:left w:val="single" w:color="auto" w:sz="6" w:space="0"/>
              <w:bottom w:val="single" w:color="auto" w:sz="6" w:space="0"/>
              <w:right w:val="single" w:color="auto" w:sz="12" w:space="0"/>
            </w:tcBorders>
            <w:vAlign w:val="center"/>
          </w:tcPr>
          <w:p w14:paraId="053E32B5">
            <w:pPr>
              <w:autoSpaceDE w:val="0"/>
              <w:autoSpaceDN w:val="0"/>
              <w:adjustRightInd w:val="0"/>
              <w:snapToGrid w:val="0"/>
              <w:spacing w:before="120" w:beforeLines="50" w:line="240" w:lineRule="auto"/>
              <w:rPr>
                <w:rFonts w:ascii="宋体" w:cs="楷体_GB2312"/>
                <w:color w:val="auto"/>
                <w:sz w:val="24"/>
                <w:lang w:val="zh-CN"/>
              </w:rPr>
            </w:pPr>
            <w:r>
              <w:rPr>
                <w:rFonts w:hint="eastAsia" w:ascii="宋体" w:hAnsi="宋体" w:cs="楷体_GB2312"/>
                <w:color w:val="auto"/>
                <w:sz w:val="24"/>
                <w:lang w:val="zh-CN"/>
              </w:rPr>
              <w:t>投标截止时间</w:t>
            </w:r>
            <w:r>
              <w:rPr>
                <w:rFonts w:ascii="宋体" w:hAnsi="宋体" w:cs="楷体_GB2312"/>
                <w:color w:val="auto"/>
                <w:sz w:val="24"/>
                <w:lang w:val="zh-CN"/>
              </w:rPr>
              <w:t>2</w:t>
            </w:r>
            <w:r>
              <w:rPr>
                <w:rFonts w:hint="eastAsia" w:ascii="宋体" w:hAnsi="宋体" w:cs="楷体_GB2312"/>
                <w:color w:val="auto"/>
                <w:sz w:val="24"/>
                <w:lang w:val="zh-CN"/>
              </w:rPr>
              <w:t xml:space="preserve">日前 </w:t>
            </w:r>
          </w:p>
        </w:tc>
      </w:tr>
      <w:tr w14:paraId="337C724E">
        <w:tblPrEx>
          <w:tblCellMar>
            <w:top w:w="0" w:type="dxa"/>
            <w:left w:w="108" w:type="dxa"/>
            <w:bottom w:w="0" w:type="dxa"/>
            <w:right w:w="108" w:type="dxa"/>
          </w:tblCellMar>
        </w:tblPrEx>
        <w:trPr>
          <w:trHeight w:val="604" w:hRule="atLeast"/>
          <w:jc w:val="center"/>
        </w:trPr>
        <w:tc>
          <w:tcPr>
            <w:tcW w:w="508" w:type="dxa"/>
            <w:vMerge w:val="continue"/>
            <w:tcBorders>
              <w:left w:val="single" w:color="auto" w:sz="12" w:space="0"/>
              <w:right w:val="single" w:color="auto" w:sz="6" w:space="0"/>
            </w:tcBorders>
          </w:tcPr>
          <w:p w14:paraId="3A33DFDF">
            <w:pPr>
              <w:autoSpaceDE w:val="0"/>
              <w:autoSpaceDN w:val="0"/>
              <w:adjustRightInd w:val="0"/>
              <w:snapToGrid w:val="0"/>
              <w:spacing w:line="240" w:lineRule="auto"/>
              <w:jc w:val="center"/>
              <w:rPr>
                <w:rFonts w:ascii="宋体" w:cs="楷体_GB2312"/>
                <w:b/>
                <w:bCs/>
                <w:color w:val="auto"/>
                <w:sz w:val="24"/>
              </w:rPr>
            </w:pPr>
          </w:p>
        </w:tc>
        <w:tc>
          <w:tcPr>
            <w:tcW w:w="699" w:type="dxa"/>
            <w:tcBorders>
              <w:top w:val="single" w:color="auto" w:sz="6" w:space="0"/>
              <w:left w:val="single" w:color="auto" w:sz="12" w:space="0"/>
              <w:bottom w:val="single" w:color="auto" w:sz="6" w:space="0"/>
              <w:right w:val="single" w:color="auto" w:sz="6" w:space="0"/>
            </w:tcBorders>
            <w:vAlign w:val="center"/>
          </w:tcPr>
          <w:p w14:paraId="732041C7">
            <w:pPr>
              <w:autoSpaceDE w:val="0"/>
              <w:autoSpaceDN w:val="0"/>
              <w:adjustRightInd w:val="0"/>
              <w:snapToGrid w:val="0"/>
              <w:spacing w:line="240" w:lineRule="auto"/>
              <w:ind w:right="-88" w:rightChars="-42"/>
              <w:rPr>
                <w:rFonts w:ascii="宋体" w:cs="楷体_GB2312"/>
                <w:b/>
                <w:bCs/>
                <w:color w:val="auto"/>
                <w:szCs w:val="21"/>
                <w:lang w:val="zh-CN"/>
              </w:rPr>
            </w:pPr>
            <w:r>
              <w:rPr>
                <w:rFonts w:ascii="宋体" w:hAnsi="宋体" w:cs="楷体_GB2312"/>
                <w:b/>
                <w:bCs/>
                <w:color w:val="auto"/>
                <w:szCs w:val="21"/>
                <w:lang w:val="zh-CN"/>
              </w:rPr>
              <w:t>2.3</w:t>
            </w:r>
            <w:r>
              <w:rPr>
                <w:rFonts w:hint="eastAsia" w:ascii="宋体" w:hAnsi="宋体" w:cs="楷体_GB2312"/>
                <w:b/>
                <w:bCs/>
                <w:color w:val="auto"/>
                <w:szCs w:val="21"/>
                <w:lang w:val="zh-CN"/>
              </w:rPr>
              <w:t xml:space="preserve">   </w:t>
            </w:r>
          </w:p>
        </w:tc>
        <w:tc>
          <w:tcPr>
            <w:tcW w:w="1893" w:type="dxa"/>
            <w:tcBorders>
              <w:top w:val="single" w:color="auto" w:sz="6" w:space="0"/>
              <w:left w:val="single" w:color="auto" w:sz="6" w:space="0"/>
              <w:bottom w:val="single" w:color="auto" w:sz="6" w:space="0"/>
              <w:right w:val="single" w:color="auto" w:sz="6" w:space="0"/>
            </w:tcBorders>
            <w:vAlign w:val="center"/>
          </w:tcPr>
          <w:p w14:paraId="37887258">
            <w:pPr>
              <w:autoSpaceDE w:val="0"/>
              <w:autoSpaceDN w:val="0"/>
              <w:adjustRightInd w:val="0"/>
              <w:snapToGrid w:val="0"/>
              <w:spacing w:line="240" w:lineRule="auto"/>
              <w:ind w:right="-178" w:rightChars="-85"/>
              <w:jc w:val="center"/>
              <w:rPr>
                <w:rFonts w:ascii="宋体" w:cs="楷体_GB2312"/>
                <w:b/>
                <w:bCs/>
                <w:color w:val="auto"/>
                <w:sz w:val="24"/>
                <w:lang w:val="zh-CN"/>
              </w:rPr>
            </w:pPr>
            <w:r>
              <w:rPr>
                <w:rFonts w:hint="eastAsia" w:ascii="宋体" w:hAnsi="宋体" w:cs="楷体_GB2312"/>
                <w:b/>
                <w:bCs/>
                <w:color w:val="auto"/>
                <w:sz w:val="24"/>
                <w:lang w:val="zh-CN"/>
              </w:rPr>
              <w:t>《磋商文件》澄清修改补充时间</w:t>
            </w:r>
          </w:p>
        </w:tc>
        <w:tc>
          <w:tcPr>
            <w:tcW w:w="6653" w:type="dxa"/>
            <w:tcBorders>
              <w:top w:val="single" w:color="auto" w:sz="6" w:space="0"/>
              <w:left w:val="single" w:color="auto" w:sz="6" w:space="0"/>
              <w:bottom w:val="single" w:color="auto" w:sz="6" w:space="0"/>
              <w:right w:val="single" w:color="auto" w:sz="12" w:space="0"/>
            </w:tcBorders>
            <w:vAlign w:val="center"/>
          </w:tcPr>
          <w:p w14:paraId="089767F9">
            <w:pPr>
              <w:autoSpaceDE w:val="0"/>
              <w:autoSpaceDN w:val="0"/>
              <w:adjustRightInd w:val="0"/>
              <w:snapToGrid w:val="0"/>
              <w:spacing w:before="120" w:beforeLines="50" w:line="240" w:lineRule="auto"/>
              <w:rPr>
                <w:rFonts w:hint="eastAsia" w:ascii="宋体" w:hAnsi="宋体" w:cs="楷体_GB2312"/>
                <w:color w:val="auto"/>
                <w:sz w:val="24"/>
                <w:highlight w:val="yellow"/>
                <w:lang w:val="zh-CN"/>
              </w:rPr>
            </w:pPr>
            <w:r>
              <w:rPr>
                <w:rFonts w:hint="eastAsia" w:ascii="宋体" w:hAnsi="宋体" w:cs="楷体_GB2312"/>
                <w:color w:val="auto"/>
                <w:sz w:val="24"/>
                <w:lang w:val="zh-CN"/>
              </w:rPr>
              <w:t>投标截止时间</w:t>
            </w:r>
            <w:r>
              <w:rPr>
                <w:rFonts w:ascii="宋体" w:hAnsi="宋体" w:cs="楷体_GB2312"/>
                <w:color w:val="auto"/>
                <w:sz w:val="24"/>
              </w:rPr>
              <w:t>5</w:t>
            </w:r>
            <w:r>
              <w:rPr>
                <w:rFonts w:hint="eastAsia" w:ascii="宋体" w:hAnsi="宋体" w:cs="楷体_GB2312"/>
                <w:color w:val="auto"/>
                <w:sz w:val="24"/>
                <w:lang w:val="zh-CN"/>
              </w:rPr>
              <w:t>日前。</w:t>
            </w:r>
          </w:p>
        </w:tc>
      </w:tr>
      <w:tr w14:paraId="3874CEED">
        <w:tblPrEx>
          <w:tblCellMar>
            <w:top w:w="0" w:type="dxa"/>
            <w:left w:w="108" w:type="dxa"/>
            <w:bottom w:w="0" w:type="dxa"/>
            <w:right w:w="108" w:type="dxa"/>
          </w:tblCellMar>
        </w:tblPrEx>
        <w:trPr>
          <w:trHeight w:val="300" w:hRule="atLeast"/>
          <w:jc w:val="center"/>
        </w:trPr>
        <w:tc>
          <w:tcPr>
            <w:tcW w:w="508" w:type="dxa"/>
            <w:vMerge w:val="continue"/>
            <w:tcBorders>
              <w:left w:val="single" w:color="auto" w:sz="12" w:space="0"/>
              <w:right w:val="single" w:color="auto" w:sz="6" w:space="0"/>
            </w:tcBorders>
          </w:tcPr>
          <w:p w14:paraId="4839F2AD">
            <w:pPr>
              <w:autoSpaceDE w:val="0"/>
              <w:autoSpaceDN w:val="0"/>
              <w:adjustRightInd w:val="0"/>
              <w:snapToGrid w:val="0"/>
              <w:spacing w:line="240" w:lineRule="auto"/>
              <w:jc w:val="center"/>
              <w:rPr>
                <w:rFonts w:ascii="宋体" w:cs="楷体_GB2312"/>
                <w:b/>
                <w:bCs/>
                <w:color w:val="auto"/>
                <w:sz w:val="24"/>
                <w:lang w:val="zh-CN"/>
              </w:rPr>
            </w:pPr>
          </w:p>
        </w:tc>
        <w:tc>
          <w:tcPr>
            <w:tcW w:w="699" w:type="dxa"/>
            <w:tcBorders>
              <w:top w:val="single" w:color="auto" w:sz="6" w:space="0"/>
              <w:left w:val="single" w:color="auto" w:sz="12" w:space="0"/>
              <w:bottom w:val="single" w:color="auto" w:sz="6" w:space="0"/>
              <w:right w:val="single" w:color="auto" w:sz="6" w:space="0"/>
            </w:tcBorders>
            <w:vAlign w:val="center"/>
          </w:tcPr>
          <w:p w14:paraId="721FB69A">
            <w:pPr>
              <w:autoSpaceDE w:val="0"/>
              <w:autoSpaceDN w:val="0"/>
              <w:adjustRightInd w:val="0"/>
              <w:snapToGrid w:val="0"/>
              <w:spacing w:line="240" w:lineRule="auto"/>
              <w:ind w:right="-88" w:rightChars="-42"/>
              <w:rPr>
                <w:rFonts w:ascii="宋体" w:cs="楷体_GB2312"/>
                <w:b/>
                <w:bCs/>
                <w:color w:val="auto"/>
                <w:szCs w:val="21"/>
              </w:rPr>
            </w:pPr>
            <w:r>
              <w:rPr>
                <w:rFonts w:ascii="宋体" w:hAnsi="宋体" w:cs="楷体_GB2312"/>
                <w:b/>
                <w:bCs/>
                <w:color w:val="auto"/>
                <w:szCs w:val="21"/>
                <w:lang w:val="zh-CN"/>
              </w:rPr>
              <w:t>2.</w:t>
            </w:r>
            <w:r>
              <w:rPr>
                <w:rFonts w:hint="eastAsia" w:ascii="宋体" w:hAnsi="宋体" w:cs="楷体_GB2312"/>
                <w:b/>
                <w:bCs/>
                <w:color w:val="auto"/>
                <w:szCs w:val="21"/>
                <w:lang w:val="zh-CN"/>
              </w:rPr>
              <w:t xml:space="preserve">4   </w:t>
            </w:r>
          </w:p>
        </w:tc>
        <w:tc>
          <w:tcPr>
            <w:tcW w:w="1893" w:type="dxa"/>
            <w:tcBorders>
              <w:top w:val="single" w:color="auto" w:sz="6" w:space="0"/>
              <w:left w:val="single" w:color="auto" w:sz="6" w:space="0"/>
              <w:bottom w:val="single" w:color="auto" w:sz="6" w:space="0"/>
              <w:right w:val="single" w:color="auto" w:sz="6" w:space="0"/>
            </w:tcBorders>
            <w:vAlign w:val="center"/>
          </w:tcPr>
          <w:p w14:paraId="45AD3765">
            <w:pPr>
              <w:autoSpaceDE w:val="0"/>
              <w:autoSpaceDN w:val="0"/>
              <w:adjustRightInd w:val="0"/>
              <w:snapToGrid w:val="0"/>
              <w:spacing w:line="240" w:lineRule="auto"/>
              <w:ind w:left="-126" w:leftChars="-60" w:right="-36" w:rightChars="-17"/>
              <w:jc w:val="center"/>
              <w:rPr>
                <w:rFonts w:ascii="宋体" w:cs="楷体_GB2312"/>
                <w:b/>
                <w:bCs/>
                <w:color w:val="auto"/>
                <w:szCs w:val="21"/>
                <w:lang w:val="zh-CN"/>
              </w:rPr>
            </w:pPr>
            <w:r>
              <w:rPr>
                <w:rFonts w:hint="eastAsia" w:ascii="宋体" w:hAnsi="宋体" w:cs="楷体_GB2312"/>
                <w:b/>
                <w:bCs/>
                <w:color w:val="auto"/>
                <w:sz w:val="24"/>
                <w:lang w:val="zh-CN"/>
              </w:rPr>
              <w:t>《磋商文件》的澄清修改补充告知方式</w:t>
            </w:r>
          </w:p>
        </w:tc>
        <w:tc>
          <w:tcPr>
            <w:tcW w:w="6653" w:type="dxa"/>
            <w:tcBorders>
              <w:top w:val="single" w:color="auto" w:sz="6" w:space="0"/>
              <w:left w:val="single" w:color="auto" w:sz="6" w:space="0"/>
              <w:bottom w:val="single" w:color="auto" w:sz="6" w:space="0"/>
              <w:right w:val="single" w:color="auto" w:sz="12" w:space="0"/>
            </w:tcBorders>
            <w:vAlign w:val="center"/>
          </w:tcPr>
          <w:p w14:paraId="2132E480">
            <w:pPr>
              <w:autoSpaceDE w:val="0"/>
              <w:autoSpaceDN w:val="0"/>
              <w:adjustRightInd w:val="0"/>
              <w:snapToGrid w:val="0"/>
              <w:spacing w:before="120" w:beforeLines="50" w:line="240" w:lineRule="auto"/>
              <w:rPr>
                <w:rFonts w:ascii="宋体" w:cs="楷体_GB2312"/>
                <w:color w:val="auto"/>
                <w:sz w:val="24"/>
                <w:lang w:val="zh-CN"/>
              </w:rPr>
            </w:pPr>
            <w:r>
              <w:rPr>
                <w:rFonts w:hint="eastAsia" w:ascii="宋体" w:hAnsi="宋体" w:cs="楷体_GB2312"/>
                <w:color w:val="auto"/>
                <w:sz w:val="24"/>
                <w:lang w:val="zh-CN"/>
              </w:rPr>
              <w:t>见“第三章</w:t>
            </w:r>
            <w:r>
              <w:rPr>
                <w:rFonts w:ascii="宋体" w:hAnsi="宋体" w:cs="楷体_GB2312"/>
                <w:color w:val="auto"/>
                <w:sz w:val="24"/>
                <w:lang w:val="zh-CN"/>
              </w:rPr>
              <w:t xml:space="preserve"> </w:t>
            </w:r>
            <w:r>
              <w:rPr>
                <w:rFonts w:hint="eastAsia" w:ascii="宋体" w:hAnsi="宋体" w:cs="楷体_GB2312"/>
                <w:color w:val="auto"/>
                <w:sz w:val="24"/>
                <w:lang w:val="zh-CN"/>
              </w:rPr>
              <w:t>供应商须知”</w:t>
            </w:r>
            <w:r>
              <w:rPr>
                <w:rFonts w:ascii="宋体" w:hAnsi="宋体" w:cs="楷体_GB2312"/>
                <w:color w:val="auto"/>
                <w:sz w:val="24"/>
                <w:lang w:val="zh-CN"/>
              </w:rPr>
              <w:t xml:space="preserve"> </w:t>
            </w:r>
            <w:r>
              <w:rPr>
                <w:rFonts w:hint="eastAsia" w:ascii="宋体" w:hAnsi="宋体" w:cs="楷体_GB2312"/>
                <w:color w:val="auto"/>
                <w:sz w:val="24"/>
                <w:lang w:val="zh-CN"/>
              </w:rPr>
              <w:t>相应条款</w:t>
            </w:r>
          </w:p>
        </w:tc>
      </w:tr>
      <w:tr w14:paraId="0A8CC0F3">
        <w:tblPrEx>
          <w:tblCellMar>
            <w:top w:w="0" w:type="dxa"/>
            <w:left w:w="108" w:type="dxa"/>
            <w:bottom w:w="0" w:type="dxa"/>
            <w:right w:w="108" w:type="dxa"/>
          </w:tblCellMar>
        </w:tblPrEx>
        <w:trPr>
          <w:trHeight w:val="535" w:hRule="atLeast"/>
          <w:jc w:val="center"/>
        </w:trPr>
        <w:tc>
          <w:tcPr>
            <w:tcW w:w="508" w:type="dxa"/>
            <w:vMerge w:val="continue"/>
            <w:tcBorders>
              <w:left w:val="single" w:color="auto" w:sz="12" w:space="0"/>
              <w:bottom w:val="single" w:color="auto" w:sz="6" w:space="0"/>
              <w:right w:val="single" w:color="auto" w:sz="6" w:space="0"/>
            </w:tcBorders>
          </w:tcPr>
          <w:p w14:paraId="74333E6C">
            <w:pPr>
              <w:autoSpaceDE w:val="0"/>
              <w:autoSpaceDN w:val="0"/>
              <w:adjustRightInd w:val="0"/>
              <w:snapToGrid w:val="0"/>
              <w:spacing w:line="240" w:lineRule="auto"/>
              <w:jc w:val="center"/>
              <w:rPr>
                <w:rFonts w:ascii="宋体" w:cs="楷体_GB2312"/>
                <w:b/>
                <w:bCs/>
                <w:color w:val="auto"/>
                <w:sz w:val="24"/>
                <w:lang w:val="zh-CN"/>
              </w:rPr>
            </w:pPr>
          </w:p>
        </w:tc>
        <w:tc>
          <w:tcPr>
            <w:tcW w:w="699" w:type="dxa"/>
            <w:tcBorders>
              <w:top w:val="single" w:color="auto" w:sz="6" w:space="0"/>
              <w:left w:val="single" w:color="auto" w:sz="12" w:space="0"/>
              <w:bottom w:val="single" w:color="auto" w:sz="6" w:space="0"/>
              <w:right w:val="single" w:color="auto" w:sz="6" w:space="0"/>
            </w:tcBorders>
            <w:vAlign w:val="center"/>
          </w:tcPr>
          <w:p w14:paraId="6CEEBDC0">
            <w:pPr>
              <w:autoSpaceDE w:val="0"/>
              <w:autoSpaceDN w:val="0"/>
              <w:adjustRightInd w:val="0"/>
              <w:snapToGrid w:val="0"/>
              <w:spacing w:line="240" w:lineRule="auto"/>
              <w:ind w:right="-88" w:rightChars="-42"/>
              <w:jc w:val="center"/>
              <w:rPr>
                <w:rFonts w:ascii="宋体" w:cs="楷体_GB2312"/>
                <w:b/>
                <w:bCs/>
                <w:color w:val="auto"/>
                <w:szCs w:val="21"/>
                <w:lang w:val="zh-CN"/>
              </w:rPr>
            </w:pPr>
            <w:r>
              <w:rPr>
                <w:rFonts w:ascii="宋体" w:hAnsi="宋体" w:cs="楷体_GB2312"/>
                <w:b/>
                <w:bCs/>
                <w:color w:val="auto"/>
                <w:szCs w:val="21"/>
                <w:lang w:val="zh-CN"/>
              </w:rPr>
              <w:t>3.2</w:t>
            </w:r>
          </w:p>
        </w:tc>
        <w:tc>
          <w:tcPr>
            <w:tcW w:w="1893" w:type="dxa"/>
            <w:tcBorders>
              <w:top w:val="single" w:color="auto" w:sz="6" w:space="0"/>
              <w:left w:val="single" w:color="auto" w:sz="6" w:space="0"/>
              <w:bottom w:val="single" w:color="auto" w:sz="6" w:space="0"/>
              <w:right w:val="single" w:color="auto" w:sz="6" w:space="0"/>
            </w:tcBorders>
            <w:vAlign w:val="center"/>
          </w:tcPr>
          <w:p w14:paraId="1DF26D28">
            <w:pPr>
              <w:autoSpaceDE w:val="0"/>
              <w:autoSpaceDN w:val="0"/>
              <w:adjustRightInd w:val="0"/>
              <w:snapToGrid w:val="0"/>
              <w:spacing w:line="240" w:lineRule="auto"/>
              <w:jc w:val="center"/>
              <w:rPr>
                <w:rFonts w:ascii="宋体" w:cs="楷体_GB2312"/>
                <w:b/>
                <w:bCs/>
                <w:color w:val="auto"/>
                <w:sz w:val="24"/>
                <w:lang w:val="zh-CN"/>
              </w:rPr>
            </w:pPr>
            <w:r>
              <w:rPr>
                <w:rFonts w:hint="eastAsia" w:ascii="宋体" w:hAnsi="宋体" w:cs="楷体_GB2312"/>
                <w:b/>
                <w:bCs/>
                <w:color w:val="auto"/>
                <w:sz w:val="24"/>
                <w:lang w:val="zh-CN"/>
              </w:rPr>
              <w:t>构成《响应文件》的其他材料</w:t>
            </w:r>
          </w:p>
        </w:tc>
        <w:tc>
          <w:tcPr>
            <w:tcW w:w="6653" w:type="dxa"/>
            <w:tcBorders>
              <w:top w:val="single" w:color="auto" w:sz="6" w:space="0"/>
              <w:left w:val="single" w:color="auto" w:sz="6" w:space="0"/>
              <w:bottom w:val="single" w:color="auto" w:sz="6" w:space="0"/>
              <w:right w:val="single" w:color="auto" w:sz="12" w:space="0"/>
            </w:tcBorders>
            <w:vAlign w:val="center"/>
          </w:tcPr>
          <w:p w14:paraId="78525B7D">
            <w:pPr>
              <w:autoSpaceDE w:val="0"/>
              <w:autoSpaceDN w:val="0"/>
              <w:adjustRightInd w:val="0"/>
              <w:snapToGrid w:val="0"/>
              <w:spacing w:before="120" w:beforeLines="50" w:line="240" w:lineRule="auto"/>
              <w:rPr>
                <w:rFonts w:ascii="宋体" w:cs="楷体_GB2312"/>
                <w:color w:val="auto"/>
                <w:sz w:val="24"/>
                <w:lang w:val="zh-CN"/>
              </w:rPr>
            </w:pPr>
            <w:r>
              <w:rPr>
                <w:rFonts w:hint="eastAsia" w:ascii="宋体" w:hAnsi="宋体" w:cs="楷体_GB2312"/>
                <w:color w:val="auto"/>
                <w:sz w:val="24"/>
                <w:lang w:val="zh-CN"/>
              </w:rPr>
              <w:t>见“第三章</w:t>
            </w:r>
            <w:r>
              <w:rPr>
                <w:rFonts w:ascii="宋体" w:hAnsi="宋体" w:cs="楷体_GB2312"/>
                <w:color w:val="auto"/>
                <w:sz w:val="24"/>
                <w:lang w:val="zh-CN"/>
              </w:rPr>
              <w:t xml:space="preserve"> </w:t>
            </w:r>
            <w:r>
              <w:rPr>
                <w:rFonts w:hint="eastAsia" w:ascii="宋体" w:hAnsi="宋体" w:cs="楷体_GB2312"/>
                <w:color w:val="auto"/>
                <w:sz w:val="24"/>
                <w:lang w:val="zh-CN"/>
              </w:rPr>
              <w:t>供应商须知”</w:t>
            </w:r>
            <w:r>
              <w:rPr>
                <w:rFonts w:ascii="宋体" w:hAnsi="宋体" w:cs="楷体_GB2312"/>
                <w:color w:val="auto"/>
                <w:sz w:val="24"/>
                <w:lang w:val="zh-CN"/>
              </w:rPr>
              <w:t xml:space="preserve"> </w:t>
            </w:r>
            <w:r>
              <w:rPr>
                <w:rFonts w:hint="eastAsia" w:ascii="宋体" w:hAnsi="宋体" w:cs="楷体_GB2312"/>
                <w:color w:val="auto"/>
                <w:sz w:val="24"/>
                <w:lang w:val="zh-CN"/>
              </w:rPr>
              <w:t>相应条款</w:t>
            </w:r>
          </w:p>
        </w:tc>
      </w:tr>
      <w:tr w14:paraId="2BEECC29">
        <w:tblPrEx>
          <w:tblCellMar>
            <w:top w:w="0" w:type="dxa"/>
            <w:left w:w="108" w:type="dxa"/>
            <w:bottom w:w="0" w:type="dxa"/>
            <w:right w:w="108" w:type="dxa"/>
          </w:tblCellMar>
        </w:tblPrEx>
        <w:trPr>
          <w:trHeight w:val="535" w:hRule="atLeast"/>
          <w:jc w:val="center"/>
        </w:trPr>
        <w:tc>
          <w:tcPr>
            <w:tcW w:w="508" w:type="dxa"/>
            <w:vMerge w:val="restart"/>
            <w:tcBorders>
              <w:top w:val="single" w:color="auto" w:sz="6" w:space="0"/>
              <w:left w:val="single" w:color="auto" w:sz="12" w:space="0"/>
              <w:right w:val="single" w:color="auto" w:sz="6" w:space="0"/>
            </w:tcBorders>
          </w:tcPr>
          <w:p w14:paraId="54D2EB8A">
            <w:pPr>
              <w:autoSpaceDE w:val="0"/>
              <w:autoSpaceDN w:val="0"/>
              <w:adjustRightInd w:val="0"/>
              <w:snapToGrid w:val="0"/>
              <w:spacing w:line="240" w:lineRule="auto"/>
              <w:jc w:val="center"/>
              <w:rPr>
                <w:rFonts w:ascii="宋体" w:cs="楷体_GB2312"/>
                <w:b/>
                <w:bCs/>
                <w:color w:val="auto"/>
                <w:sz w:val="24"/>
                <w:lang w:val="zh-CN"/>
              </w:rPr>
            </w:pPr>
            <w:r>
              <w:rPr>
                <w:rFonts w:hint="eastAsia" w:ascii="宋体" w:hAnsi="宋体" w:cs="楷体_GB2312"/>
                <w:b/>
                <w:bCs/>
                <w:color w:val="auto"/>
                <w:sz w:val="24"/>
                <w:lang w:val="zh-CN"/>
              </w:rPr>
              <w:t>第三章</w:t>
            </w:r>
          </w:p>
        </w:tc>
        <w:tc>
          <w:tcPr>
            <w:tcW w:w="699" w:type="dxa"/>
            <w:tcBorders>
              <w:top w:val="single" w:color="auto" w:sz="6" w:space="0"/>
              <w:left w:val="single" w:color="auto" w:sz="12" w:space="0"/>
              <w:bottom w:val="single" w:color="auto" w:sz="6" w:space="0"/>
              <w:right w:val="single" w:color="auto" w:sz="6" w:space="0"/>
            </w:tcBorders>
            <w:vAlign w:val="center"/>
          </w:tcPr>
          <w:p w14:paraId="3AA2EEFD">
            <w:pPr>
              <w:autoSpaceDE w:val="0"/>
              <w:autoSpaceDN w:val="0"/>
              <w:adjustRightInd w:val="0"/>
              <w:snapToGrid w:val="0"/>
              <w:spacing w:line="240" w:lineRule="auto"/>
              <w:ind w:right="-88" w:rightChars="-42"/>
              <w:jc w:val="center"/>
              <w:rPr>
                <w:rFonts w:ascii="宋体" w:cs="楷体_GB2312"/>
                <w:b/>
                <w:bCs/>
                <w:color w:val="auto"/>
                <w:szCs w:val="21"/>
                <w:lang w:val="zh-CN"/>
              </w:rPr>
            </w:pPr>
            <w:r>
              <w:rPr>
                <w:rFonts w:ascii="宋体" w:hAnsi="宋体" w:cs="楷体_GB2312"/>
                <w:b/>
                <w:bCs/>
                <w:color w:val="auto"/>
                <w:szCs w:val="21"/>
                <w:lang w:val="zh-CN"/>
              </w:rPr>
              <w:t>3.4.1</w:t>
            </w:r>
          </w:p>
        </w:tc>
        <w:tc>
          <w:tcPr>
            <w:tcW w:w="1893" w:type="dxa"/>
            <w:tcBorders>
              <w:top w:val="single" w:color="auto" w:sz="6" w:space="0"/>
              <w:left w:val="single" w:color="auto" w:sz="6" w:space="0"/>
              <w:bottom w:val="single" w:color="auto" w:sz="6" w:space="0"/>
              <w:right w:val="single" w:color="auto" w:sz="6" w:space="0"/>
            </w:tcBorders>
            <w:vAlign w:val="center"/>
          </w:tcPr>
          <w:p w14:paraId="17B7424B">
            <w:pPr>
              <w:autoSpaceDE w:val="0"/>
              <w:autoSpaceDN w:val="0"/>
              <w:adjustRightInd w:val="0"/>
              <w:snapToGrid w:val="0"/>
              <w:spacing w:line="240" w:lineRule="auto"/>
              <w:jc w:val="center"/>
              <w:rPr>
                <w:rFonts w:ascii="宋体" w:cs="楷体_GB2312"/>
                <w:b/>
                <w:bCs/>
                <w:color w:val="auto"/>
                <w:sz w:val="24"/>
                <w:lang w:val="zh-CN"/>
              </w:rPr>
            </w:pPr>
            <w:r>
              <w:rPr>
                <w:rFonts w:hint="eastAsia" w:ascii="宋体" w:hAnsi="宋体" w:cs="楷体_GB2312"/>
                <w:b/>
                <w:bCs/>
                <w:color w:val="auto"/>
                <w:sz w:val="24"/>
                <w:lang w:val="zh-CN"/>
              </w:rPr>
              <w:t>响应有效期</w:t>
            </w:r>
          </w:p>
        </w:tc>
        <w:tc>
          <w:tcPr>
            <w:tcW w:w="6653" w:type="dxa"/>
            <w:tcBorders>
              <w:top w:val="single" w:color="auto" w:sz="6" w:space="0"/>
              <w:left w:val="single" w:color="auto" w:sz="6" w:space="0"/>
              <w:bottom w:val="single" w:color="auto" w:sz="6" w:space="0"/>
              <w:right w:val="single" w:color="auto" w:sz="12" w:space="0"/>
            </w:tcBorders>
            <w:vAlign w:val="center"/>
          </w:tcPr>
          <w:p w14:paraId="6C76FDAD">
            <w:pPr>
              <w:autoSpaceDE w:val="0"/>
              <w:autoSpaceDN w:val="0"/>
              <w:adjustRightInd w:val="0"/>
              <w:snapToGrid w:val="0"/>
              <w:spacing w:before="120" w:beforeLines="50" w:line="240" w:lineRule="auto"/>
              <w:rPr>
                <w:rFonts w:ascii="宋体" w:cs="楷体_GB2312"/>
                <w:color w:val="auto"/>
                <w:sz w:val="24"/>
                <w:lang w:val="zh-CN"/>
              </w:rPr>
            </w:pPr>
            <w:r>
              <w:rPr>
                <w:rFonts w:hint="eastAsia" w:ascii="宋体" w:hAnsi="宋体" w:cs="楷体_GB2312"/>
                <w:color w:val="auto"/>
                <w:sz w:val="24"/>
                <w:lang w:val="zh-CN"/>
              </w:rPr>
              <w:t>从《响应文件》开启之日起，响应有效期为</w:t>
            </w:r>
            <w:r>
              <w:rPr>
                <w:rFonts w:ascii="宋体" w:hAnsi="宋体" w:cs="楷体_GB2312"/>
                <w:color w:val="auto"/>
                <w:sz w:val="24"/>
                <w:lang w:val="zh-CN"/>
              </w:rPr>
              <w:t>90</w:t>
            </w:r>
            <w:r>
              <w:rPr>
                <w:rFonts w:hint="eastAsia" w:ascii="宋体" w:hAnsi="宋体" w:cs="楷体_GB2312"/>
                <w:color w:val="auto"/>
                <w:sz w:val="24"/>
                <w:lang w:val="zh-CN"/>
              </w:rPr>
              <w:t>日历天</w:t>
            </w:r>
          </w:p>
        </w:tc>
      </w:tr>
      <w:tr w14:paraId="7F998419">
        <w:tblPrEx>
          <w:tblCellMar>
            <w:top w:w="0" w:type="dxa"/>
            <w:left w:w="108" w:type="dxa"/>
            <w:bottom w:w="0" w:type="dxa"/>
            <w:right w:w="108" w:type="dxa"/>
          </w:tblCellMar>
        </w:tblPrEx>
        <w:trPr>
          <w:trHeight w:val="694" w:hRule="atLeast"/>
          <w:jc w:val="center"/>
        </w:trPr>
        <w:tc>
          <w:tcPr>
            <w:tcW w:w="508" w:type="dxa"/>
            <w:vMerge w:val="continue"/>
            <w:tcBorders>
              <w:left w:val="single" w:color="auto" w:sz="12" w:space="0"/>
              <w:right w:val="single" w:color="auto" w:sz="6" w:space="0"/>
            </w:tcBorders>
          </w:tcPr>
          <w:p w14:paraId="031B138B">
            <w:pPr>
              <w:autoSpaceDE w:val="0"/>
              <w:autoSpaceDN w:val="0"/>
              <w:adjustRightInd w:val="0"/>
              <w:snapToGrid w:val="0"/>
              <w:spacing w:line="240" w:lineRule="auto"/>
              <w:jc w:val="center"/>
              <w:rPr>
                <w:rFonts w:ascii="宋体" w:cs="楷体_GB2312"/>
                <w:b/>
                <w:bCs/>
                <w:color w:val="auto"/>
                <w:sz w:val="24"/>
                <w:lang w:val="zh-CN"/>
              </w:rPr>
            </w:pPr>
          </w:p>
        </w:tc>
        <w:tc>
          <w:tcPr>
            <w:tcW w:w="699" w:type="dxa"/>
            <w:tcBorders>
              <w:top w:val="single" w:color="auto" w:sz="6" w:space="0"/>
              <w:left w:val="single" w:color="auto" w:sz="12" w:space="0"/>
              <w:right w:val="single" w:color="auto" w:sz="6" w:space="0"/>
            </w:tcBorders>
            <w:vAlign w:val="center"/>
          </w:tcPr>
          <w:p w14:paraId="40C97C62">
            <w:pPr>
              <w:autoSpaceDE w:val="0"/>
              <w:autoSpaceDN w:val="0"/>
              <w:adjustRightInd w:val="0"/>
              <w:snapToGrid w:val="0"/>
              <w:spacing w:line="240" w:lineRule="auto"/>
              <w:ind w:right="-88" w:rightChars="-42"/>
              <w:jc w:val="center"/>
              <w:rPr>
                <w:rFonts w:ascii="宋体" w:cs="楷体_GB2312"/>
                <w:b/>
                <w:bCs/>
                <w:color w:val="auto"/>
                <w:szCs w:val="21"/>
                <w:lang w:val="zh-CN"/>
              </w:rPr>
            </w:pPr>
            <w:r>
              <w:rPr>
                <w:rFonts w:ascii="宋体" w:hAnsi="宋体" w:cs="楷体_GB2312"/>
                <w:b/>
                <w:bCs/>
                <w:color w:val="auto"/>
                <w:szCs w:val="21"/>
                <w:lang w:val="zh-CN"/>
              </w:rPr>
              <w:t>3.5</w:t>
            </w:r>
          </w:p>
        </w:tc>
        <w:tc>
          <w:tcPr>
            <w:tcW w:w="1893" w:type="dxa"/>
            <w:tcBorders>
              <w:top w:val="single" w:color="auto" w:sz="6" w:space="0"/>
              <w:left w:val="single" w:color="auto" w:sz="6" w:space="0"/>
              <w:right w:val="single" w:color="auto" w:sz="6" w:space="0"/>
            </w:tcBorders>
            <w:vAlign w:val="center"/>
          </w:tcPr>
          <w:p w14:paraId="0CB5A0FC">
            <w:pPr>
              <w:autoSpaceDE w:val="0"/>
              <w:autoSpaceDN w:val="0"/>
              <w:adjustRightInd w:val="0"/>
              <w:snapToGrid w:val="0"/>
              <w:spacing w:line="240" w:lineRule="auto"/>
              <w:jc w:val="center"/>
              <w:rPr>
                <w:rFonts w:ascii="宋体" w:cs="楷体_GB2312"/>
                <w:b/>
                <w:bCs/>
                <w:color w:val="auto"/>
                <w:sz w:val="24"/>
                <w:lang w:val="zh-CN"/>
              </w:rPr>
            </w:pPr>
            <w:r>
              <w:rPr>
                <w:rFonts w:hint="eastAsia" w:ascii="宋体" w:cs="楷体_GB2312"/>
                <w:b/>
                <w:bCs/>
                <w:color w:val="auto"/>
                <w:sz w:val="24"/>
                <w:lang w:val="zh-CN"/>
              </w:rPr>
              <w:t>投标承诺函</w:t>
            </w:r>
          </w:p>
          <w:p w14:paraId="2EEDA4D0">
            <w:pPr>
              <w:autoSpaceDE w:val="0"/>
              <w:autoSpaceDN w:val="0"/>
              <w:adjustRightInd w:val="0"/>
              <w:snapToGrid w:val="0"/>
              <w:spacing w:line="240" w:lineRule="auto"/>
              <w:jc w:val="center"/>
              <w:rPr>
                <w:rFonts w:ascii="宋体" w:cs="楷体_GB2312"/>
                <w:b/>
                <w:bCs/>
                <w:color w:val="auto"/>
                <w:sz w:val="24"/>
                <w:lang w:val="zh-CN"/>
              </w:rPr>
            </w:pPr>
            <w:r>
              <w:rPr>
                <w:rFonts w:hint="eastAsia" w:ascii="宋体" w:cs="楷体_GB2312"/>
                <w:b/>
                <w:bCs/>
                <w:color w:val="auto"/>
                <w:sz w:val="24"/>
                <w:lang w:val="zh-CN"/>
              </w:rPr>
              <w:t>（替代投标保证金）</w:t>
            </w:r>
          </w:p>
        </w:tc>
        <w:tc>
          <w:tcPr>
            <w:tcW w:w="6653" w:type="dxa"/>
            <w:tcBorders>
              <w:top w:val="single" w:color="auto" w:sz="6" w:space="0"/>
              <w:left w:val="single" w:color="auto" w:sz="6" w:space="0"/>
              <w:right w:val="single" w:color="auto" w:sz="12" w:space="0"/>
            </w:tcBorders>
            <w:vAlign w:val="center"/>
          </w:tcPr>
          <w:p w14:paraId="6DD87B0E">
            <w:pPr>
              <w:widowControl w:val="0"/>
              <w:snapToGrid w:val="0"/>
              <w:spacing w:before="120" w:beforeLines="50" w:line="240" w:lineRule="auto"/>
              <w:rPr>
                <w:color w:val="auto"/>
                <w:sz w:val="24"/>
                <w:szCs w:val="24"/>
              </w:rPr>
            </w:pPr>
            <w:r>
              <w:rPr>
                <w:rFonts w:hint="eastAsia"/>
                <w:color w:val="auto"/>
                <w:sz w:val="24"/>
                <w:szCs w:val="24"/>
              </w:rPr>
              <w:t>以投标承诺函形式替代投标保证金。</w:t>
            </w:r>
          </w:p>
          <w:p w14:paraId="24F5AA78">
            <w:pPr>
              <w:widowControl w:val="0"/>
              <w:snapToGrid w:val="0"/>
              <w:spacing w:before="120" w:beforeLines="50" w:line="240" w:lineRule="auto"/>
              <w:rPr>
                <w:color w:val="auto"/>
                <w:sz w:val="24"/>
                <w:szCs w:val="24"/>
              </w:rPr>
            </w:pPr>
            <w:r>
              <w:rPr>
                <w:rFonts w:hint="eastAsia"/>
                <w:color w:val="auto"/>
                <w:sz w:val="24"/>
                <w:szCs w:val="24"/>
              </w:rPr>
              <w:t>供应商应按附件格式进行投标承诺、违背承诺的责任追究。</w:t>
            </w:r>
          </w:p>
        </w:tc>
      </w:tr>
      <w:tr w14:paraId="6F2AFCA5">
        <w:tblPrEx>
          <w:tblCellMar>
            <w:top w:w="0" w:type="dxa"/>
            <w:left w:w="108" w:type="dxa"/>
            <w:bottom w:w="0" w:type="dxa"/>
            <w:right w:w="108" w:type="dxa"/>
          </w:tblCellMar>
        </w:tblPrEx>
        <w:trPr>
          <w:trHeight w:val="577" w:hRule="atLeast"/>
          <w:jc w:val="center"/>
        </w:trPr>
        <w:tc>
          <w:tcPr>
            <w:tcW w:w="508" w:type="dxa"/>
            <w:vMerge w:val="continue"/>
            <w:tcBorders>
              <w:left w:val="single" w:color="auto" w:sz="12" w:space="0"/>
              <w:right w:val="single" w:color="auto" w:sz="6" w:space="0"/>
            </w:tcBorders>
          </w:tcPr>
          <w:p w14:paraId="3F6DB05D">
            <w:pPr>
              <w:autoSpaceDE w:val="0"/>
              <w:autoSpaceDN w:val="0"/>
              <w:adjustRightInd w:val="0"/>
              <w:snapToGrid w:val="0"/>
              <w:spacing w:line="240" w:lineRule="auto"/>
              <w:jc w:val="center"/>
              <w:rPr>
                <w:rFonts w:ascii="宋体" w:cs="楷体_GB2312"/>
                <w:b/>
                <w:bCs/>
                <w:color w:val="auto"/>
                <w:sz w:val="24"/>
                <w:lang w:val="zh-CN"/>
              </w:rPr>
            </w:pPr>
          </w:p>
        </w:tc>
        <w:tc>
          <w:tcPr>
            <w:tcW w:w="699" w:type="dxa"/>
            <w:tcBorders>
              <w:top w:val="single" w:color="auto" w:sz="4" w:space="0"/>
              <w:left w:val="single" w:color="auto" w:sz="12" w:space="0"/>
              <w:bottom w:val="single" w:color="auto" w:sz="6" w:space="0"/>
              <w:right w:val="single" w:color="auto" w:sz="6" w:space="0"/>
            </w:tcBorders>
            <w:vAlign w:val="center"/>
          </w:tcPr>
          <w:p w14:paraId="6E13AE3C">
            <w:pPr>
              <w:autoSpaceDE w:val="0"/>
              <w:autoSpaceDN w:val="0"/>
              <w:adjustRightInd w:val="0"/>
              <w:snapToGrid w:val="0"/>
              <w:spacing w:line="240" w:lineRule="auto"/>
              <w:ind w:right="-88" w:rightChars="-42"/>
              <w:jc w:val="center"/>
              <w:rPr>
                <w:rFonts w:ascii="宋体" w:cs="楷体_GB2312"/>
                <w:b/>
                <w:bCs/>
                <w:color w:val="auto"/>
                <w:szCs w:val="21"/>
                <w:lang w:val="zh-CN"/>
              </w:rPr>
            </w:pPr>
            <w:r>
              <w:rPr>
                <w:rFonts w:ascii="宋体" w:hAnsi="宋体" w:cs="楷体_GB2312"/>
                <w:b/>
                <w:bCs/>
                <w:color w:val="auto"/>
                <w:szCs w:val="21"/>
                <w:lang w:val="zh-CN"/>
              </w:rPr>
              <w:t>3.7.3</w:t>
            </w:r>
          </w:p>
        </w:tc>
        <w:tc>
          <w:tcPr>
            <w:tcW w:w="1893" w:type="dxa"/>
            <w:tcBorders>
              <w:top w:val="single" w:color="auto" w:sz="4" w:space="0"/>
              <w:left w:val="single" w:color="auto" w:sz="6" w:space="0"/>
              <w:bottom w:val="single" w:color="auto" w:sz="6" w:space="0"/>
              <w:right w:val="single" w:color="auto" w:sz="6" w:space="0"/>
            </w:tcBorders>
            <w:vAlign w:val="center"/>
          </w:tcPr>
          <w:p w14:paraId="04101475">
            <w:pPr>
              <w:autoSpaceDE w:val="0"/>
              <w:autoSpaceDN w:val="0"/>
              <w:adjustRightInd w:val="0"/>
              <w:snapToGrid w:val="0"/>
              <w:spacing w:line="240" w:lineRule="auto"/>
              <w:jc w:val="center"/>
              <w:rPr>
                <w:rFonts w:ascii="宋体" w:cs="楷体_GB2312"/>
                <w:b/>
                <w:bCs/>
                <w:color w:val="auto"/>
                <w:sz w:val="24"/>
                <w:lang w:val="zh-CN"/>
              </w:rPr>
            </w:pPr>
            <w:r>
              <w:rPr>
                <w:rFonts w:hint="eastAsia" w:ascii="宋体" w:hAnsi="宋体" w:cs="楷体_GB2312"/>
                <w:b/>
                <w:bCs/>
                <w:color w:val="auto"/>
                <w:sz w:val="24"/>
                <w:lang w:val="zh-CN"/>
              </w:rPr>
              <w:t>偏差描述</w:t>
            </w:r>
          </w:p>
        </w:tc>
        <w:tc>
          <w:tcPr>
            <w:tcW w:w="6653" w:type="dxa"/>
            <w:tcBorders>
              <w:top w:val="single" w:color="auto" w:sz="4" w:space="0"/>
              <w:left w:val="single" w:color="auto" w:sz="6" w:space="0"/>
              <w:bottom w:val="single" w:color="auto" w:sz="6" w:space="0"/>
              <w:right w:val="single" w:color="auto" w:sz="12" w:space="0"/>
            </w:tcBorders>
            <w:vAlign w:val="center"/>
          </w:tcPr>
          <w:p w14:paraId="77ED8C44">
            <w:pPr>
              <w:widowControl w:val="0"/>
              <w:snapToGrid w:val="0"/>
              <w:spacing w:before="120" w:beforeLines="50" w:line="240" w:lineRule="auto"/>
              <w:rPr>
                <w:b/>
                <w:color w:val="auto"/>
                <w:sz w:val="24"/>
                <w:szCs w:val="24"/>
              </w:rPr>
            </w:pPr>
            <w:r>
              <w:rPr>
                <w:rFonts w:hint="eastAsia" w:ascii="宋体" w:hAnsi="宋体" w:cs="楷体_GB2312"/>
                <w:color w:val="auto"/>
                <w:sz w:val="24"/>
                <w:lang w:val="zh-CN"/>
              </w:rPr>
              <w:t>见“第三章</w:t>
            </w:r>
            <w:r>
              <w:rPr>
                <w:rFonts w:ascii="宋体" w:hAnsi="宋体" w:cs="楷体_GB2312"/>
                <w:color w:val="auto"/>
                <w:sz w:val="24"/>
                <w:lang w:val="zh-CN"/>
              </w:rPr>
              <w:t xml:space="preserve"> </w:t>
            </w:r>
            <w:r>
              <w:rPr>
                <w:rFonts w:hint="eastAsia" w:ascii="宋体" w:hAnsi="宋体" w:cs="楷体_GB2312"/>
                <w:color w:val="auto"/>
                <w:sz w:val="24"/>
                <w:lang w:val="zh-CN"/>
              </w:rPr>
              <w:t>供应商须知”</w:t>
            </w:r>
            <w:r>
              <w:rPr>
                <w:rFonts w:ascii="宋体" w:hAnsi="宋体" w:cs="楷体_GB2312"/>
                <w:color w:val="auto"/>
                <w:sz w:val="24"/>
                <w:lang w:val="zh-CN"/>
              </w:rPr>
              <w:t xml:space="preserve"> </w:t>
            </w:r>
            <w:r>
              <w:rPr>
                <w:rFonts w:hint="eastAsia" w:ascii="宋体" w:hAnsi="宋体" w:cs="楷体_GB2312"/>
                <w:color w:val="auto"/>
                <w:sz w:val="24"/>
                <w:lang w:val="zh-CN"/>
              </w:rPr>
              <w:t>相应条款</w:t>
            </w:r>
          </w:p>
        </w:tc>
      </w:tr>
      <w:tr w14:paraId="45409007">
        <w:tblPrEx>
          <w:tblCellMar>
            <w:top w:w="0" w:type="dxa"/>
            <w:left w:w="108" w:type="dxa"/>
            <w:bottom w:w="0" w:type="dxa"/>
            <w:right w:w="108" w:type="dxa"/>
          </w:tblCellMar>
        </w:tblPrEx>
        <w:trPr>
          <w:trHeight w:val="65" w:hRule="atLeast"/>
          <w:jc w:val="center"/>
        </w:trPr>
        <w:tc>
          <w:tcPr>
            <w:tcW w:w="508" w:type="dxa"/>
            <w:vMerge w:val="continue"/>
            <w:tcBorders>
              <w:left w:val="single" w:color="auto" w:sz="12" w:space="0"/>
              <w:right w:val="single" w:color="auto" w:sz="6" w:space="0"/>
            </w:tcBorders>
          </w:tcPr>
          <w:p w14:paraId="5F2B2E2A">
            <w:pPr>
              <w:autoSpaceDE w:val="0"/>
              <w:autoSpaceDN w:val="0"/>
              <w:adjustRightInd w:val="0"/>
              <w:snapToGrid w:val="0"/>
              <w:spacing w:line="240" w:lineRule="auto"/>
              <w:jc w:val="center"/>
              <w:rPr>
                <w:rFonts w:ascii="宋体" w:cs="楷体_GB2312"/>
                <w:b/>
                <w:bCs/>
                <w:color w:val="auto"/>
                <w:sz w:val="24"/>
              </w:rPr>
            </w:pPr>
          </w:p>
        </w:tc>
        <w:tc>
          <w:tcPr>
            <w:tcW w:w="699" w:type="dxa"/>
            <w:tcBorders>
              <w:top w:val="single" w:color="auto" w:sz="6" w:space="0"/>
              <w:left w:val="single" w:color="auto" w:sz="12" w:space="0"/>
              <w:bottom w:val="single" w:color="auto" w:sz="6" w:space="0"/>
              <w:right w:val="single" w:color="auto" w:sz="6" w:space="0"/>
            </w:tcBorders>
            <w:vAlign w:val="center"/>
          </w:tcPr>
          <w:p w14:paraId="1696F493">
            <w:pPr>
              <w:autoSpaceDE w:val="0"/>
              <w:autoSpaceDN w:val="0"/>
              <w:adjustRightInd w:val="0"/>
              <w:snapToGrid w:val="0"/>
              <w:spacing w:line="240" w:lineRule="auto"/>
              <w:ind w:right="-88" w:rightChars="-42"/>
              <w:rPr>
                <w:rFonts w:ascii="宋体" w:cs="楷体_GB2312"/>
                <w:b/>
                <w:bCs/>
                <w:color w:val="auto"/>
                <w:szCs w:val="21"/>
                <w:lang w:val="zh-CN"/>
              </w:rPr>
            </w:pPr>
            <w:r>
              <w:rPr>
                <w:rFonts w:ascii="宋体" w:hAnsi="宋体" w:cs="楷体_GB2312"/>
                <w:b/>
                <w:bCs/>
                <w:color w:val="auto"/>
                <w:szCs w:val="21"/>
              </w:rPr>
              <w:t>3.7.4</w:t>
            </w:r>
          </w:p>
        </w:tc>
        <w:tc>
          <w:tcPr>
            <w:tcW w:w="1893" w:type="dxa"/>
            <w:tcBorders>
              <w:top w:val="single" w:color="auto" w:sz="6" w:space="0"/>
              <w:left w:val="single" w:color="auto" w:sz="6" w:space="0"/>
              <w:bottom w:val="single" w:color="auto" w:sz="6" w:space="0"/>
              <w:right w:val="single" w:color="auto" w:sz="6" w:space="0"/>
            </w:tcBorders>
            <w:vAlign w:val="center"/>
          </w:tcPr>
          <w:p w14:paraId="383173C9">
            <w:pPr>
              <w:autoSpaceDE w:val="0"/>
              <w:autoSpaceDN w:val="0"/>
              <w:adjustRightInd w:val="0"/>
              <w:snapToGrid w:val="0"/>
              <w:spacing w:line="240" w:lineRule="auto"/>
              <w:jc w:val="center"/>
              <w:rPr>
                <w:rFonts w:ascii="宋体" w:cs="楷体_GB2312"/>
                <w:b/>
                <w:bCs/>
                <w:color w:val="auto"/>
                <w:sz w:val="24"/>
                <w:lang w:val="zh-CN"/>
              </w:rPr>
            </w:pPr>
            <w:r>
              <w:rPr>
                <w:rFonts w:hint="eastAsia" w:ascii="宋体" w:hAnsi="宋体" w:cs="楷体_GB2312"/>
                <w:b/>
                <w:bCs/>
                <w:color w:val="auto"/>
                <w:sz w:val="24"/>
                <w:lang w:val="zh-CN"/>
              </w:rPr>
              <w:t>签字或盖章要求</w:t>
            </w:r>
          </w:p>
        </w:tc>
        <w:tc>
          <w:tcPr>
            <w:tcW w:w="6653" w:type="dxa"/>
            <w:tcBorders>
              <w:top w:val="single" w:color="auto" w:sz="6" w:space="0"/>
              <w:left w:val="single" w:color="auto" w:sz="6" w:space="0"/>
              <w:bottom w:val="single" w:color="auto" w:sz="6" w:space="0"/>
              <w:right w:val="single" w:color="auto" w:sz="12" w:space="0"/>
            </w:tcBorders>
            <w:vAlign w:val="center"/>
          </w:tcPr>
          <w:p w14:paraId="5C33AB54">
            <w:pPr>
              <w:autoSpaceDE w:val="0"/>
              <w:autoSpaceDN w:val="0"/>
              <w:adjustRightInd w:val="0"/>
              <w:snapToGrid w:val="0"/>
              <w:spacing w:before="120" w:beforeLines="50" w:line="240" w:lineRule="auto"/>
              <w:rPr>
                <w:rFonts w:ascii="宋体" w:cs="楷体_GB2312"/>
                <w:color w:val="auto"/>
                <w:sz w:val="24"/>
                <w:lang w:val="zh-CN"/>
              </w:rPr>
            </w:pPr>
            <w:r>
              <w:rPr>
                <w:rFonts w:hint="eastAsia" w:ascii="宋体" w:hAnsi="宋体" w:cs="楷体_GB2312"/>
                <w:color w:val="auto"/>
                <w:sz w:val="24"/>
                <w:lang w:val="zh-CN"/>
              </w:rPr>
              <w:t>见“第三章</w:t>
            </w:r>
            <w:r>
              <w:rPr>
                <w:rFonts w:ascii="宋体" w:hAnsi="宋体" w:cs="楷体_GB2312"/>
                <w:color w:val="auto"/>
                <w:sz w:val="24"/>
                <w:lang w:val="zh-CN"/>
              </w:rPr>
              <w:t xml:space="preserve"> </w:t>
            </w:r>
            <w:r>
              <w:rPr>
                <w:rFonts w:hint="eastAsia" w:ascii="宋体" w:hAnsi="宋体" w:cs="楷体_GB2312"/>
                <w:color w:val="auto"/>
                <w:sz w:val="24"/>
                <w:lang w:val="zh-CN"/>
              </w:rPr>
              <w:t>供应商须知”</w:t>
            </w:r>
            <w:r>
              <w:rPr>
                <w:rFonts w:ascii="宋体" w:hAnsi="宋体" w:cs="楷体_GB2312"/>
                <w:color w:val="auto"/>
                <w:sz w:val="24"/>
                <w:lang w:val="zh-CN"/>
              </w:rPr>
              <w:t xml:space="preserve"> </w:t>
            </w:r>
            <w:r>
              <w:rPr>
                <w:rFonts w:hint="eastAsia" w:ascii="宋体" w:hAnsi="宋体" w:cs="楷体_GB2312"/>
                <w:color w:val="auto"/>
                <w:sz w:val="24"/>
                <w:lang w:val="zh-CN"/>
              </w:rPr>
              <w:t>相应条款</w:t>
            </w:r>
          </w:p>
        </w:tc>
      </w:tr>
      <w:tr w14:paraId="79DCBA47">
        <w:tblPrEx>
          <w:tblCellMar>
            <w:top w:w="0" w:type="dxa"/>
            <w:left w:w="108" w:type="dxa"/>
            <w:bottom w:w="0" w:type="dxa"/>
            <w:right w:w="108" w:type="dxa"/>
          </w:tblCellMar>
        </w:tblPrEx>
        <w:trPr>
          <w:trHeight w:val="343" w:hRule="atLeast"/>
          <w:jc w:val="center"/>
        </w:trPr>
        <w:tc>
          <w:tcPr>
            <w:tcW w:w="508" w:type="dxa"/>
            <w:vMerge w:val="continue"/>
            <w:tcBorders>
              <w:left w:val="single" w:color="auto" w:sz="12" w:space="0"/>
              <w:right w:val="single" w:color="auto" w:sz="6" w:space="0"/>
            </w:tcBorders>
          </w:tcPr>
          <w:p w14:paraId="58E24691">
            <w:pPr>
              <w:autoSpaceDE w:val="0"/>
              <w:autoSpaceDN w:val="0"/>
              <w:adjustRightInd w:val="0"/>
              <w:snapToGrid w:val="0"/>
              <w:spacing w:line="240" w:lineRule="auto"/>
              <w:jc w:val="center"/>
              <w:rPr>
                <w:rFonts w:ascii="宋体" w:cs="楷体_GB2312"/>
                <w:b/>
                <w:bCs/>
                <w:color w:val="auto"/>
                <w:sz w:val="24"/>
              </w:rPr>
            </w:pPr>
          </w:p>
        </w:tc>
        <w:tc>
          <w:tcPr>
            <w:tcW w:w="699" w:type="dxa"/>
            <w:tcBorders>
              <w:top w:val="single" w:color="auto" w:sz="6" w:space="0"/>
              <w:left w:val="single" w:color="auto" w:sz="12" w:space="0"/>
              <w:bottom w:val="single" w:color="auto" w:sz="6" w:space="0"/>
              <w:right w:val="single" w:color="auto" w:sz="6" w:space="0"/>
            </w:tcBorders>
            <w:vAlign w:val="center"/>
          </w:tcPr>
          <w:p w14:paraId="7BBA0356">
            <w:pPr>
              <w:autoSpaceDE w:val="0"/>
              <w:autoSpaceDN w:val="0"/>
              <w:adjustRightInd w:val="0"/>
              <w:snapToGrid w:val="0"/>
              <w:spacing w:line="240" w:lineRule="auto"/>
              <w:ind w:right="-88" w:rightChars="-42"/>
              <w:rPr>
                <w:rFonts w:ascii="宋体" w:cs="楷体_GB2312"/>
                <w:b/>
                <w:bCs/>
                <w:color w:val="auto"/>
                <w:szCs w:val="21"/>
                <w:lang w:val="zh-CN"/>
              </w:rPr>
            </w:pPr>
            <w:r>
              <w:rPr>
                <w:rFonts w:ascii="宋体" w:hAnsi="宋体" w:cs="楷体_GB2312"/>
                <w:b/>
                <w:bCs/>
                <w:color w:val="auto"/>
                <w:szCs w:val="21"/>
              </w:rPr>
              <w:t>4.2.4</w:t>
            </w:r>
          </w:p>
        </w:tc>
        <w:tc>
          <w:tcPr>
            <w:tcW w:w="1893" w:type="dxa"/>
            <w:tcBorders>
              <w:top w:val="single" w:color="auto" w:sz="6" w:space="0"/>
              <w:left w:val="single" w:color="auto" w:sz="6" w:space="0"/>
              <w:bottom w:val="single" w:color="auto" w:sz="6" w:space="0"/>
              <w:right w:val="single" w:color="auto" w:sz="6" w:space="0"/>
            </w:tcBorders>
            <w:vAlign w:val="center"/>
          </w:tcPr>
          <w:p w14:paraId="2A1EF234">
            <w:pPr>
              <w:autoSpaceDE w:val="0"/>
              <w:autoSpaceDN w:val="0"/>
              <w:adjustRightInd w:val="0"/>
              <w:snapToGrid w:val="0"/>
              <w:spacing w:line="240" w:lineRule="auto"/>
              <w:jc w:val="center"/>
              <w:rPr>
                <w:rFonts w:ascii="宋体" w:cs="楷体_GB2312"/>
                <w:b/>
                <w:bCs/>
                <w:color w:val="auto"/>
                <w:sz w:val="24"/>
                <w:lang w:val="zh-CN"/>
              </w:rPr>
            </w:pPr>
            <w:r>
              <w:rPr>
                <w:rFonts w:hint="eastAsia" w:ascii="宋体" w:hAnsi="宋体" w:cs="楷体_GB2312"/>
                <w:b/>
                <w:bCs/>
                <w:color w:val="auto"/>
                <w:sz w:val="24"/>
                <w:lang w:val="zh-CN"/>
              </w:rPr>
              <w:t>是否退还《响应文件》</w:t>
            </w:r>
          </w:p>
        </w:tc>
        <w:tc>
          <w:tcPr>
            <w:tcW w:w="6653" w:type="dxa"/>
            <w:tcBorders>
              <w:top w:val="single" w:color="auto" w:sz="6" w:space="0"/>
              <w:left w:val="single" w:color="auto" w:sz="6" w:space="0"/>
              <w:bottom w:val="single" w:color="auto" w:sz="6" w:space="0"/>
              <w:right w:val="single" w:color="auto" w:sz="12" w:space="0"/>
            </w:tcBorders>
            <w:vAlign w:val="center"/>
          </w:tcPr>
          <w:p w14:paraId="003E8764">
            <w:pPr>
              <w:autoSpaceDE w:val="0"/>
              <w:autoSpaceDN w:val="0"/>
              <w:adjustRightInd w:val="0"/>
              <w:snapToGrid w:val="0"/>
              <w:spacing w:before="120" w:beforeLines="50" w:line="240" w:lineRule="auto"/>
              <w:rPr>
                <w:rFonts w:ascii="宋体" w:cs="楷体_GB2312"/>
                <w:color w:val="auto"/>
                <w:sz w:val="24"/>
                <w:lang w:val="zh-CN"/>
              </w:rPr>
            </w:pPr>
            <w:r>
              <w:rPr>
                <w:rFonts w:hint="eastAsia" w:ascii="宋体" w:hAnsi="宋体" w:cs="楷体_GB2312"/>
                <w:color w:val="auto"/>
                <w:sz w:val="24"/>
                <w:lang w:val="zh-CN"/>
              </w:rPr>
              <w:t>否</w:t>
            </w:r>
          </w:p>
        </w:tc>
      </w:tr>
      <w:tr w14:paraId="0FA4D082">
        <w:tblPrEx>
          <w:tblCellMar>
            <w:top w:w="0" w:type="dxa"/>
            <w:left w:w="108" w:type="dxa"/>
            <w:bottom w:w="0" w:type="dxa"/>
            <w:right w:w="108" w:type="dxa"/>
          </w:tblCellMar>
        </w:tblPrEx>
        <w:trPr>
          <w:trHeight w:val="507" w:hRule="atLeast"/>
          <w:jc w:val="center"/>
        </w:trPr>
        <w:tc>
          <w:tcPr>
            <w:tcW w:w="508" w:type="dxa"/>
            <w:vMerge w:val="continue"/>
            <w:tcBorders>
              <w:left w:val="single" w:color="auto" w:sz="12" w:space="0"/>
              <w:bottom w:val="single" w:color="auto" w:sz="6" w:space="0"/>
              <w:right w:val="single" w:color="auto" w:sz="6" w:space="0"/>
            </w:tcBorders>
          </w:tcPr>
          <w:p w14:paraId="23E3236B">
            <w:pPr>
              <w:autoSpaceDE w:val="0"/>
              <w:autoSpaceDN w:val="0"/>
              <w:adjustRightInd w:val="0"/>
              <w:snapToGrid w:val="0"/>
              <w:spacing w:line="240" w:lineRule="auto"/>
              <w:jc w:val="center"/>
              <w:rPr>
                <w:rFonts w:ascii="宋体" w:cs="楷体_GB2312"/>
                <w:b/>
                <w:bCs/>
                <w:color w:val="auto"/>
                <w:sz w:val="24"/>
              </w:rPr>
            </w:pPr>
          </w:p>
        </w:tc>
        <w:tc>
          <w:tcPr>
            <w:tcW w:w="699" w:type="dxa"/>
            <w:tcBorders>
              <w:top w:val="single" w:color="auto" w:sz="6" w:space="0"/>
              <w:left w:val="single" w:color="auto" w:sz="12" w:space="0"/>
              <w:bottom w:val="single" w:color="auto" w:sz="6" w:space="0"/>
              <w:right w:val="single" w:color="auto" w:sz="6" w:space="0"/>
            </w:tcBorders>
            <w:vAlign w:val="center"/>
          </w:tcPr>
          <w:p w14:paraId="5BD277D7">
            <w:pPr>
              <w:autoSpaceDE w:val="0"/>
              <w:autoSpaceDN w:val="0"/>
              <w:adjustRightInd w:val="0"/>
              <w:snapToGrid w:val="0"/>
              <w:spacing w:line="240" w:lineRule="auto"/>
              <w:ind w:left="-134" w:leftChars="-64" w:right="-88" w:rightChars="-42"/>
              <w:jc w:val="center"/>
              <w:rPr>
                <w:rFonts w:ascii="宋体" w:cs="楷体_GB2312"/>
                <w:b/>
                <w:bCs/>
                <w:color w:val="auto"/>
                <w:szCs w:val="21"/>
                <w:lang w:val="zh-CN"/>
              </w:rPr>
            </w:pPr>
            <w:r>
              <w:rPr>
                <w:rFonts w:ascii="宋体" w:hAnsi="宋体" w:cs="楷体_GB2312"/>
                <w:b/>
                <w:bCs/>
                <w:color w:val="auto"/>
                <w:szCs w:val="21"/>
              </w:rPr>
              <w:t>6.1</w:t>
            </w:r>
          </w:p>
        </w:tc>
        <w:tc>
          <w:tcPr>
            <w:tcW w:w="1893" w:type="dxa"/>
            <w:tcBorders>
              <w:top w:val="single" w:color="auto" w:sz="6" w:space="0"/>
              <w:left w:val="single" w:color="auto" w:sz="6" w:space="0"/>
              <w:bottom w:val="single" w:color="auto" w:sz="6" w:space="0"/>
              <w:right w:val="single" w:color="auto" w:sz="6" w:space="0"/>
            </w:tcBorders>
            <w:vAlign w:val="center"/>
          </w:tcPr>
          <w:p w14:paraId="344C673F">
            <w:pPr>
              <w:autoSpaceDE w:val="0"/>
              <w:autoSpaceDN w:val="0"/>
              <w:adjustRightInd w:val="0"/>
              <w:snapToGrid w:val="0"/>
              <w:spacing w:line="240" w:lineRule="auto"/>
              <w:jc w:val="center"/>
              <w:rPr>
                <w:rFonts w:ascii="宋体" w:cs="楷体_GB2312"/>
                <w:b/>
                <w:bCs/>
                <w:color w:val="auto"/>
                <w:sz w:val="24"/>
                <w:lang w:val="zh-CN"/>
              </w:rPr>
            </w:pPr>
            <w:r>
              <w:rPr>
                <w:rFonts w:hint="eastAsia" w:ascii="宋体" w:hAnsi="宋体" w:cs="楷体_GB2312"/>
                <w:b/>
                <w:bCs/>
                <w:color w:val="auto"/>
                <w:sz w:val="24"/>
                <w:lang w:val="zh-CN"/>
              </w:rPr>
              <w:t>磋商小组的组建</w:t>
            </w:r>
          </w:p>
        </w:tc>
        <w:tc>
          <w:tcPr>
            <w:tcW w:w="6653" w:type="dxa"/>
            <w:tcBorders>
              <w:top w:val="single" w:color="auto" w:sz="6" w:space="0"/>
              <w:left w:val="single" w:color="auto" w:sz="6" w:space="0"/>
              <w:bottom w:val="single" w:color="auto" w:sz="6" w:space="0"/>
              <w:right w:val="single" w:color="auto" w:sz="12" w:space="0"/>
            </w:tcBorders>
            <w:vAlign w:val="center"/>
          </w:tcPr>
          <w:p w14:paraId="7221A431">
            <w:pPr>
              <w:autoSpaceDE w:val="0"/>
              <w:autoSpaceDN w:val="0"/>
              <w:adjustRightInd w:val="0"/>
              <w:snapToGrid w:val="0"/>
              <w:spacing w:before="120" w:beforeLines="50" w:line="240" w:lineRule="auto"/>
              <w:rPr>
                <w:rFonts w:ascii="宋体" w:cs="楷体_GB2312"/>
                <w:color w:val="auto"/>
                <w:sz w:val="24"/>
                <w:lang w:val="zh-CN"/>
              </w:rPr>
            </w:pPr>
            <w:r>
              <w:rPr>
                <w:rFonts w:hint="eastAsia" w:ascii="宋体" w:hAnsi="宋体" w:cs="楷体_GB2312"/>
                <w:color w:val="auto"/>
                <w:sz w:val="24"/>
                <w:lang w:val="zh-CN"/>
              </w:rPr>
              <w:t>见“第三章</w:t>
            </w:r>
            <w:r>
              <w:rPr>
                <w:rFonts w:ascii="宋体" w:hAnsi="宋体" w:cs="楷体_GB2312"/>
                <w:color w:val="auto"/>
                <w:sz w:val="24"/>
                <w:lang w:val="zh-CN"/>
              </w:rPr>
              <w:t xml:space="preserve"> </w:t>
            </w:r>
            <w:r>
              <w:rPr>
                <w:rFonts w:hint="eastAsia" w:ascii="宋体" w:hAnsi="宋体" w:cs="楷体_GB2312"/>
                <w:color w:val="auto"/>
                <w:sz w:val="24"/>
                <w:lang w:val="zh-CN"/>
              </w:rPr>
              <w:t>供应商须知”</w:t>
            </w:r>
            <w:r>
              <w:rPr>
                <w:rFonts w:ascii="宋体" w:hAnsi="宋体" w:cs="楷体_GB2312"/>
                <w:color w:val="auto"/>
                <w:sz w:val="24"/>
                <w:lang w:val="zh-CN"/>
              </w:rPr>
              <w:t xml:space="preserve"> </w:t>
            </w:r>
            <w:r>
              <w:rPr>
                <w:rFonts w:hint="eastAsia" w:ascii="宋体" w:hAnsi="宋体" w:cs="楷体_GB2312"/>
                <w:color w:val="auto"/>
                <w:sz w:val="24"/>
                <w:lang w:val="zh-CN"/>
              </w:rPr>
              <w:t>相应条款</w:t>
            </w:r>
          </w:p>
        </w:tc>
      </w:tr>
      <w:tr w14:paraId="556F4344">
        <w:tblPrEx>
          <w:tblCellMar>
            <w:top w:w="0" w:type="dxa"/>
            <w:left w:w="108" w:type="dxa"/>
            <w:bottom w:w="0" w:type="dxa"/>
            <w:right w:w="108" w:type="dxa"/>
          </w:tblCellMar>
        </w:tblPrEx>
        <w:trPr>
          <w:trHeight w:val="543" w:hRule="atLeast"/>
          <w:jc w:val="center"/>
        </w:trPr>
        <w:tc>
          <w:tcPr>
            <w:tcW w:w="508" w:type="dxa"/>
            <w:vMerge w:val="restart"/>
            <w:tcBorders>
              <w:left w:val="single" w:color="auto" w:sz="12" w:space="0"/>
              <w:right w:val="single" w:color="auto" w:sz="6" w:space="0"/>
            </w:tcBorders>
          </w:tcPr>
          <w:p w14:paraId="40DFC37F">
            <w:pPr>
              <w:autoSpaceDE w:val="0"/>
              <w:autoSpaceDN w:val="0"/>
              <w:adjustRightInd w:val="0"/>
              <w:snapToGrid w:val="0"/>
              <w:spacing w:line="240" w:lineRule="auto"/>
              <w:jc w:val="center"/>
              <w:rPr>
                <w:rFonts w:ascii="宋体" w:cs="楷体_GB2312"/>
                <w:b/>
                <w:bCs/>
                <w:color w:val="auto"/>
                <w:sz w:val="24"/>
              </w:rPr>
            </w:pPr>
            <w:r>
              <w:rPr>
                <w:rFonts w:hint="eastAsia" w:ascii="宋体" w:hAnsi="宋体" w:cs="楷体_GB2312"/>
                <w:b/>
                <w:bCs/>
                <w:color w:val="auto"/>
                <w:sz w:val="24"/>
              </w:rPr>
              <w:t>第三章</w:t>
            </w:r>
          </w:p>
        </w:tc>
        <w:tc>
          <w:tcPr>
            <w:tcW w:w="699" w:type="dxa"/>
            <w:tcBorders>
              <w:top w:val="single" w:color="auto" w:sz="6" w:space="0"/>
              <w:left w:val="single" w:color="auto" w:sz="12" w:space="0"/>
              <w:bottom w:val="single" w:color="auto" w:sz="6" w:space="0"/>
              <w:right w:val="single" w:color="auto" w:sz="6" w:space="0"/>
            </w:tcBorders>
            <w:vAlign w:val="center"/>
          </w:tcPr>
          <w:p w14:paraId="635BC8C9">
            <w:pPr>
              <w:autoSpaceDE w:val="0"/>
              <w:autoSpaceDN w:val="0"/>
              <w:adjustRightInd w:val="0"/>
              <w:snapToGrid w:val="0"/>
              <w:spacing w:line="240" w:lineRule="auto"/>
              <w:ind w:left="-134" w:leftChars="-64" w:right="-88" w:rightChars="-42"/>
              <w:jc w:val="center"/>
              <w:rPr>
                <w:rFonts w:ascii="宋体" w:cs="楷体_GB2312"/>
                <w:b/>
                <w:bCs/>
                <w:color w:val="auto"/>
                <w:szCs w:val="21"/>
              </w:rPr>
            </w:pPr>
            <w:r>
              <w:rPr>
                <w:rFonts w:ascii="宋体" w:hAnsi="宋体" w:cs="楷体_GB2312"/>
                <w:b/>
                <w:bCs/>
                <w:color w:val="auto"/>
                <w:szCs w:val="21"/>
              </w:rPr>
              <w:t>7.1</w:t>
            </w:r>
          </w:p>
        </w:tc>
        <w:tc>
          <w:tcPr>
            <w:tcW w:w="1893" w:type="dxa"/>
            <w:tcBorders>
              <w:top w:val="single" w:color="auto" w:sz="6" w:space="0"/>
              <w:left w:val="single" w:color="auto" w:sz="6" w:space="0"/>
              <w:bottom w:val="single" w:color="auto" w:sz="6" w:space="0"/>
              <w:right w:val="single" w:color="auto" w:sz="6" w:space="0"/>
            </w:tcBorders>
            <w:vAlign w:val="center"/>
          </w:tcPr>
          <w:p w14:paraId="5332A534">
            <w:pPr>
              <w:autoSpaceDE w:val="0"/>
              <w:autoSpaceDN w:val="0"/>
              <w:adjustRightInd w:val="0"/>
              <w:snapToGrid w:val="0"/>
              <w:spacing w:line="240" w:lineRule="auto"/>
              <w:jc w:val="center"/>
              <w:rPr>
                <w:rFonts w:ascii="宋体"/>
                <w:b/>
                <w:color w:val="auto"/>
                <w:sz w:val="24"/>
              </w:rPr>
            </w:pPr>
            <w:r>
              <w:rPr>
                <w:rFonts w:hint="eastAsia" w:ascii="宋体" w:hAnsi="宋体"/>
                <w:b/>
                <w:color w:val="auto"/>
                <w:sz w:val="24"/>
              </w:rPr>
              <w:t>是否授权磋商小组确定成交供应商</w:t>
            </w:r>
          </w:p>
        </w:tc>
        <w:tc>
          <w:tcPr>
            <w:tcW w:w="6653" w:type="dxa"/>
            <w:tcBorders>
              <w:top w:val="single" w:color="auto" w:sz="6" w:space="0"/>
              <w:left w:val="single" w:color="auto" w:sz="6" w:space="0"/>
              <w:bottom w:val="single" w:color="auto" w:sz="6" w:space="0"/>
              <w:right w:val="single" w:color="auto" w:sz="12" w:space="0"/>
            </w:tcBorders>
            <w:vAlign w:val="center"/>
          </w:tcPr>
          <w:p w14:paraId="58F8A217">
            <w:pPr>
              <w:adjustRightInd w:val="0"/>
              <w:snapToGrid w:val="0"/>
              <w:spacing w:before="120" w:beforeLines="50" w:line="240" w:lineRule="auto"/>
              <w:rPr>
                <w:rFonts w:ascii="宋体"/>
                <w:color w:val="auto"/>
                <w:sz w:val="24"/>
              </w:rPr>
            </w:pPr>
            <w:r>
              <w:rPr>
                <w:rFonts w:hint="eastAsia" w:ascii="宋体" w:hAnsi="宋体"/>
                <w:color w:val="auto"/>
                <w:sz w:val="24"/>
              </w:rPr>
              <w:t>是。按照评审得分由高到低顺序推荐</w:t>
            </w:r>
            <w:r>
              <w:rPr>
                <w:rFonts w:ascii="宋体" w:hAnsi="宋体"/>
                <w:color w:val="auto"/>
                <w:sz w:val="24"/>
              </w:rPr>
              <w:t>3</w:t>
            </w:r>
            <w:r>
              <w:rPr>
                <w:rFonts w:hint="eastAsia" w:ascii="宋体" w:hAnsi="宋体"/>
                <w:color w:val="auto"/>
                <w:sz w:val="24"/>
              </w:rPr>
              <w:t>名以上成交候选供应商，并确定排名第一的成交候选人为成交供应商。</w:t>
            </w:r>
          </w:p>
        </w:tc>
      </w:tr>
      <w:tr w14:paraId="784870FD">
        <w:tblPrEx>
          <w:tblCellMar>
            <w:top w:w="0" w:type="dxa"/>
            <w:left w:w="108" w:type="dxa"/>
            <w:bottom w:w="0" w:type="dxa"/>
            <w:right w:w="108" w:type="dxa"/>
          </w:tblCellMar>
        </w:tblPrEx>
        <w:trPr>
          <w:trHeight w:val="453" w:hRule="atLeast"/>
          <w:jc w:val="center"/>
        </w:trPr>
        <w:tc>
          <w:tcPr>
            <w:tcW w:w="508" w:type="dxa"/>
            <w:vMerge w:val="continue"/>
            <w:tcBorders>
              <w:left w:val="single" w:color="auto" w:sz="12" w:space="0"/>
              <w:right w:val="single" w:color="auto" w:sz="6" w:space="0"/>
            </w:tcBorders>
          </w:tcPr>
          <w:p w14:paraId="28746BA9">
            <w:pPr>
              <w:autoSpaceDE w:val="0"/>
              <w:autoSpaceDN w:val="0"/>
              <w:adjustRightInd w:val="0"/>
              <w:snapToGrid w:val="0"/>
              <w:spacing w:line="240" w:lineRule="auto"/>
              <w:jc w:val="center"/>
              <w:rPr>
                <w:rFonts w:ascii="宋体" w:cs="楷体_GB2312"/>
                <w:b/>
                <w:bCs/>
                <w:color w:val="auto"/>
                <w:sz w:val="24"/>
              </w:rPr>
            </w:pPr>
          </w:p>
        </w:tc>
        <w:tc>
          <w:tcPr>
            <w:tcW w:w="699" w:type="dxa"/>
            <w:tcBorders>
              <w:top w:val="single" w:color="auto" w:sz="6" w:space="0"/>
              <w:left w:val="single" w:color="auto" w:sz="12" w:space="0"/>
              <w:bottom w:val="single" w:color="auto" w:sz="6" w:space="0"/>
              <w:right w:val="single" w:color="auto" w:sz="6" w:space="0"/>
            </w:tcBorders>
            <w:vAlign w:val="center"/>
          </w:tcPr>
          <w:p w14:paraId="1552F1B6">
            <w:pPr>
              <w:autoSpaceDE w:val="0"/>
              <w:autoSpaceDN w:val="0"/>
              <w:adjustRightInd w:val="0"/>
              <w:snapToGrid w:val="0"/>
              <w:spacing w:line="240" w:lineRule="auto"/>
              <w:jc w:val="center"/>
              <w:rPr>
                <w:rFonts w:ascii="宋体" w:cs="楷体_GB2312"/>
                <w:b/>
                <w:bCs/>
                <w:color w:val="auto"/>
                <w:sz w:val="24"/>
              </w:rPr>
            </w:pPr>
            <w:r>
              <w:rPr>
                <w:rFonts w:ascii="宋体" w:hAnsi="宋体" w:cs="楷体_GB2312"/>
                <w:b/>
                <w:bCs/>
                <w:color w:val="auto"/>
                <w:sz w:val="24"/>
              </w:rPr>
              <w:t>7.2</w:t>
            </w:r>
          </w:p>
        </w:tc>
        <w:tc>
          <w:tcPr>
            <w:tcW w:w="1893" w:type="dxa"/>
            <w:tcBorders>
              <w:top w:val="single" w:color="auto" w:sz="6" w:space="0"/>
              <w:left w:val="single" w:color="auto" w:sz="6" w:space="0"/>
              <w:bottom w:val="single" w:color="auto" w:sz="6" w:space="0"/>
              <w:right w:val="single" w:color="auto" w:sz="6" w:space="0"/>
            </w:tcBorders>
            <w:vAlign w:val="center"/>
          </w:tcPr>
          <w:p w14:paraId="2A0F9940">
            <w:pPr>
              <w:autoSpaceDE w:val="0"/>
              <w:autoSpaceDN w:val="0"/>
              <w:adjustRightInd w:val="0"/>
              <w:snapToGrid w:val="0"/>
              <w:spacing w:line="240" w:lineRule="auto"/>
              <w:jc w:val="center"/>
              <w:rPr>
                <w:rFonts w:ascii="宋体"/>
                <w:b/>
                <w:color w:val="auto"/>
                <w:sz w:val="24"/>
              </w:rPr>
            </w:pPr>
            <w:r>
              <w:rPr>
                <w:rFonts w:hint="eastAsia" w:ascii="宋体" w:hAnsi="宋体"/>
                <w:b/>
                <w:color w:val="auto"/>
                <w:sz w:val="24"/>
              </w:rPr>
              <w:t>成交结果公告</w:t>
            </w:r>
          </w:p>
        </w:tc>
        <w:tc>
          <w:tcPr>
            <w:tcW w:w="6653" w:type="dxa"/>
            <w:tcBorders>
              <w:top w:val="single" w:color="auto" w:sz="6" w:space="0"/>
              <w:left w:val="single" w:color="auto" w:sz="6" w:space="0"/>
              <w:bottom w:val="single" w:color="auto" w:sz="6" w:space="0"/>
              <w:right w:val="single" w:color="auto" w:sz="12" w:space="0"/>
            </w:tcBorders>
            <w:vAlign w:val="center"/>
          </w:tcPr>
          <w:p w14:paraId="337706B1">
            <w:pPr>
              <w:adjustRightInd w:val="0"/>
              <w:snapToGrid w:val="0"/>
              <w:spacing w:before="120" w:beforeLines="50" w:line="240" w:lineRule="auto"/>
              <w:rPr>
                <w:rFonts w:ascii="宋体"/>
                <w:color w:val="auto"/>
                <w:sz w:val="24"/>
              </w:rPr>
            </w:pPr>
            <w:r>
              <w:rPr>
                <w:rFonts w:hint="eastAsia" w:ascii="宋体" w:hAnsi="宋体"/>
                <w:color w:val="auto"/>
                <w:sz w:val="24"/>
              </w:rPr>
              <w:t>本次竞争性磋商的成交结果将在成交供应商确定当天在竞争性磋商公告所述媒介公告</w:t>
            </w:r>
            <w:r>
              <w:rPr>
                <w:rFonts w:ascii="宋体" w:hAnsi="宋体"/>
                <w:color w:val="auto"/>
                <w:sz w:val="24"/>
              </w:rPr>
              <w:t>1</w:t>
            </w:r>
            <w:r>
              <w:rPr>
                <w:rFonts w:hint="eastAsia" w:ascii="宋体" w:hAnsi="宋体"/>
                <w:color w:val="auto"/>
                <w:sz w:val="24"/>
              </w:rPr>
              <w:t>个工作日。</w:t>
            </w:r>
          </w:p>
        </w:tc>
      </w:tr>
      <w:tr w14:paraId="414AA1EE">
        <w:tblPrEx>
          <w:tblCellMar>
            <w:top w:w="0" w:type="dxa"/>
            <w:left w:w="108" w:type="dxa"/>
            <w:bottom w:w="0" w:type="dxa"/>
            <w:right w:w="108" w:type="dxa"/>
          </w:tblCellMar>
        </w:tblPrEx>
        <w:trPr>
          <w:trHeight w:val="453" w:hRule="atLeast"/>
          <w:jc w:val="center"/>
        </w:trPr>
        <w:tc>
          <w:tcPr>
            <w:tcW w:w="508" w:type="dxa"/>
            <w:vMerge w:val="continue"/>
            <w:tcBorders>
              <w:left w:val="single" w:color="auto" w:sz="12" w:space="0"/>
              <w:right w:val="single" w:color="auto" w:sz="6" w:space="0"/>
            </w:tcBorders>
          </w:tcPr>
          <w:p w14:paraId="0E239F10">
            <w:pPr>
              <w:autoSpaceDE w:val="0"/>
              <w:autoSpaceDN w:val="0"/>
              <w:adjustRightInd w:val="0"/>
              <w:snapToGrid w:val="0"/>
              <w:spacing w:line="240" w:lineRule="auto"/>
              <w:jc w:val="center"/>
              <w:rPr>
                <w:rFonts w:ascii="宋体" w:cs="楷体_GB2312"/>
                <w:b/>
                <w:bCs/>
                <w:color w:val="auto"/>
                <w:sz w:val="24"/>
              </w:rPr>
            </w:pPr>
          </w:p>
        </w:tc>
        <w:tc>
          <w:tcPr>
            <w:tcW w:w="699" w:type="dxa"/>
            <w:tcBorders>
              <w:top w:val="single" w:color="auto" w:sz="6" w:space="0"/>
              <w:left w:val="single" w:color="auto" w:sz="12" w:space="0"/>
              <w:bottom w:val="single" w:color="auto" w:sz="6" w:space="0"/>
              <w:right w:val="single" w:color="auto" w:sz="6" w:space="0"/>
            </w:tcBorders>
            <w:vAlign w:val="center"/>
          </w:tcPr>
          <w:p w14:paraId="0799D3C0">
            <w:pPr>
              <w:autoSpaceDE w:val="0"/>
              <w:autoSpaceDN w:val="0"/>
              <w:adjustRightInd w:val="0"/>
              <w:snapToGrid w:val="0"/>
              <w:spacing w:line="240" w:lineRule="auto"/>
              <w:jc w:val="center"/>
              <w:rPr>
                <w:rFonts w:ascii="宋体" w:cs="楷体_GB2312"/>
                <w:b/>
                <w:bCs/>
                <w:color w:val="auto"/>
                <w:sz w:val="24"/>
              </w:rPr>
            </w:pPr>
            <w:r>
              <w:rPr>
                <w:rFonts w:ascii="宋体" w:hAnsi="宋体" w:cs="楷体_GB2312"/>
                <w:b/>
                <w:bCs/>
                <w:color w:val="auto"/>
                <w:sz w:val="24"/>
              </w:rPr>
              <w:t>7.3</w:t>
            </w:r>
          </w:p>
        </w:tc>
        <w:tc>
          <w:tcPr>
            <w:tcW w:w="1893" w:type="dxa"/>
            <w:tcBorders>
              <w:top w:val="single" w:color="auto" w:sz="6" w:space="0"/>
              <w:left w:val="single" w:color="auto" w:sz="6" w:space="0"/>
              <w:bottom w:val="single" w:color="auto" w:sz="6" w:space="0"/>
              <w:right w:val="single" w:color="auto" w:sz="6" w:space="0"/>
            </w:tcBorders>
            <w:vAlign w:val="center"/>
          </w:tcPr>
          <w:p w14:paraId="335D234D">
            <w:pPr>
              <w:autoSpaceDE w:val="0"/>
              <w:autoSpaceDN w:val="0"/>
              <w:adjustRightInd w:val="0"/>
              <w:snapToGrid w:val="0"/>
              <w:spacing w:line="240" w:lineRule="auto"/>
              <w:jc w:val="center"/>
              <w:rPr>
                <w:rFonts w:ascii="宋体" w:cs="楷体_GB2312"/>
                <w:b/>
                <w:bCs/>
                <w:color w:val="auto"/>
                <w:sz w:val="24"/>
              </w:rPr>
            </w:pPr>
            <w:r>
              <w:rPr>
                <w:rFonts w:hint="eastAsia" w:ascii="宋体" w:hAnsi="宋体" w:cs="楷体_GB2312"/>
                <w:b/>
                <w:bCs/>
                <w:color w:val="auto"/>
                <w:sz w:val="24"/>
              </w:rPr>
              <w:t>质疑</w:t>
            </w:r>
          </w:p>
        </w:tc>
        <w:tc>
          <w:tcPr>
            <w:tcW w:w="6653" w:type="dxa"/>
            <w:tcBorders>
              <w:top w:val="single" w:color="auto" w:sz="6" w:space="0"/>
              <w:left w:val="single" w:color="auto" w:sz="6" w:space="0"/>
              <w:bottom w:val="single" w:color="auto" w:sz="6" w:space="0"/>
              <w:right w:val="single" w:color="auto" w:sz="12" w:space="0"/>
            </w:tcBorders>
            <w:vAlign w:val="center"/>
          </w:tcPr>
          <w:p w14:paraId="171FFD71">
            <w:pPr>
              <w:rPr>
                <w:rFonts w:hint="eastAsia" w:ascii="宋体" w:hAnsi="宋体"/>
                <w:color w:val="auto"/>
                <w:sz w:val="24"/>
              </w:rPr>
            </w:pPr>
            <w:r>
              <w:rPr>
                <w:rFonts w:hint="eastAsia" w:ascii="宋体" w:hAnsi="宋体"/>
                <w:color w:val="auto"/>
                <w:sz w:val="24"/>
              </w:rPr>
              <w:t>参与本次采购活动的供应商如有异议，可在各环节法定质疑期内向采购代理机构一次性提出针对该采购程序环节的书面质疑函，书面原件送达至磋商文件列示的采购代理机构及采购单位联系人处；依据法规规定，质疑函应当有明确的请求和必要的证明材料，应当包括下列内容：1、供应商的姓名或者名称、地址、邮编、联系人及联系电话；2、质疑项目的名称、编号；3、具体、明确的质疑事项和与质疑事项相关的请求；4、事实依据；5、必要的法律依据；6、提出质</w:t>
            </w:r>
            <w:r>
              <w:rPr>
                <w:rFonts w:hint="eastAsia" w:ascii="宋体" w:hAnsi="宋体"/>
                <w:bCs/>
                <w:color w:val="auto"/>
                <w:sz w:val="24"/>
                <w:szCs w:val="24"/>
              </w:rPr>
              <w:t>疑的日期。供应商为自然人的，应当由本人签字；供应商为法人或者其他组织的，应当由法定代表人、主要负责人，或者其授权代表签字或者盖章，并加盖公章。</w:t>
            </w:r>
            <w:r>
              <w:rPr>
                <w:rFonts w:hint="eastAsia" w:ascii="宋体" w:hAnsi="宋体"/>
                <w:color w:val="auto"/>
                <w:sz w:val="24"/>
              </w:rPr>
              <w:t>如对采购代理机构的答复仍有异议的，可向同级财政局政府采购监督管理办公室提出书面投诉。（具体程序按照《政府采购质疑和投诉办法》执行）。</w:t>
            </w:r>
          </w:p>
        </w:tc>
      </w:tr>
      <w:tr w14:paraId="3A086A03">
        <w:tblPrEx>
          <w:tblCellMar>
            <w:top w:w="0" w:type="dxa"/>
            <w:left w:w="108" w:type="dxa"/>
            <w:bottom w:w="0" w:type="dxa"/>
            <w:right w:w="108" w:type="dxa"/>
          </w:tblCellMar>
        </w:tblPrEx>
        <w:trPr>
          <w:trHeight w:val="453" w:hRule="atLeast"/>
          <w:jc w:val="center"/>
        </w:trPr>
        <w:tc>
          <w:tcPr>
            <w:tcW w:w="508" w:type="dxa"/>
            <w:vMerge w:val="continue"/>
            <w:tcBorders>
              <w:left w:val="single" w:color="auto" w:sz="12" w:space="0"/>
              <w:right w:val="single" w:color="auto" w:sz="6" w:space="0"/>
            </w:tcBorders>
          </w:tcPr>
          <w:p w14:paraId="6733050B">
            <w:pPr>
              <w:autoSpaceDE w:val="0"/>
              <w:autoSpaceDN w:val="0"/>
              <w:adjustRightInd w:val="0"/>
              <w:snapToGrid w:val="0"/>
              <w:spacing w:line="240" w:lineRule="auto"/>
              <w:jc w:val="center"/>
              <w:rPr>
                <w:rFonts w:ascii="宋体" w:cs="楷体_GB2312"/>
                <w:b/>
                <w:bCs/>
                <w:color w:val="auto"/>
                <w:sz w:val="24"/>
              </w:rPr>
            </w:pPr>
          </w:p>
        </w:tc>
        <w:tc>
          <w:tcPr>
            <w:tcW w:w="699" w:type="dxa"/>
            <w:tcBorders>
              <w:top w:val="single" w:color="auto" w:sz="6" w:space="0"/>
              <w:left w:val="single" w:color="auto" w:sz="12" w:space="0"/>
              <w:bottom w:val="single" w:color="auto" w:sz="6" w:space="0"/>
              <w:right w:val="single" w:color="auto" w:sz="6" w:space="0"/>
            </w:tcBorders>
            <w:vAlign w:val="center"/>
          </w:tcPr>
          <w:p w14:paraId="2B55722E">
            <w:pPr>
              <w:autoSpaceDE w:val="0"/>
              <w:autoSpaceDN w:val="0"/>
              <w:adjustRightInd w:val="0"/>
              <w:snapToGrid w:val="0"/>
              <w:spacing w:line="240" w:lineRule="auto"/>
              <w:jc w:val="center"/>
              <w:rPr>
                <w:rFonts w:ascii="宋体" w:cs="楷体_GB2312"/>
                <w:b/>
                <w:bCs/>
                <w:color w:val="auto"/>
                <w:sz w:val="24"/>
              </w:rPr>
            </w:pPr>
            <w:r>
              <w:rPr>
                <w:rFonts w:ascii="宋体" w:hAnsi="宋体" w:cs="楷体_GB2312"/>
                <w:b/>
                <w:bCs/>
                <w:color w:val="auto"/>
                <w:sz w:val="24"/>
              </w:rPr>
              <w:t>7.4</w:t>
            </w:r>
          </w:p>
        </w:tc>
        <w:tc>
          <w:tcPr>
            <w:tcW w:w="1893" w:type="dxa"/>
            <w:tcBorders>
              <w:top w:val="single" w:color="auto" w:sz="6" w:space="0"/>
              <w:left w:val="single" w:color="auto" w:sz="6" w:space="0"/>
              <w:bottom w:val="single" w:color="auto" w:sz="6" w:space="0"/>
              <w:right w:val="single" w:color="auto" w:sz="6" w:space="0"/>
            </w:tcBorders>
            <w:vAlign w:val="center"/>
          </w:tcPr>
          <w:p w14:paraId="080A19DE">
            <w:pPr>
              <w:autoSpaceDE w:val="0"/>
              <w:autoSpaceDN w:val="0"/>
              <w:adjustRightInd w:val="0"/>
              <w:snapToGrid w:val="0"/>
              <w:spacing w:line="240" w:lineRule="auto"/>
              <w:jc w:val="center"/>
              <w:rPr>
                <w:rFonts w:ascii="宋体" w:cs="楷体_GB2312"/>
                <w:b/>
                <w:bCs/>
                <w:color w:val="auto"/>
                <w:sz w:val="24"/>
              </w:rPr>
            </w:pPr>
            <w:r>
              <w:rPr>
                <w:rFonts w:hint="eastAsia" w:ascii="宋体" w:hAnsi="宋体" w:cs="楷体_GB2312"/>
                <w:b/>
                <w:bCs/>
                <w:color w:val="auto"/>
                <w:sz w:val="24"/>
              </w:rPr>
              <w:t>成交通知书</w:t>
            </w:r>
          </w:p>
        </w:tc>
        <w:tc>
          <w:tcPr>
            <w:tcW w:w="6653" w:type="dxa"/>
            <w:tcBorders>
              <w:top w:val="single" w:color="auto" w:sz="6" w:space="0"/>
              <w:left w:val="single" w:color="auto" w:sz="6" w:space="0"/>
              <w:bottom w:val="single" w:color="auto" w:sz="6" w:space="0"/>
              <w:right w:val="single" w:color="auto" w:sz="12" w:space="0"/>
            </w:tcBorders>
            <w:vAlign w:val="center"/>
          </w:tcPr>
          <w:p w14:paraId="068F143F">
            <w:pPr>
              <w:adjustRightInd w:val="0"/>
              <w:snapToGrid w:val="0"/>
              <w:spacing w:before="120" w:beforeLines="50" w:line="240" w:lineRule="auto"/>
              <w:rPr>
                <w:rFonts w:ascii="宋体" w:cs="楷体_GB2312"/>
                <w:color w:val="auto"/>
                <w:sz w:val="24"/>
                <w:lang w:val="zh-CN"/>
              </w:rPr>
            </w:pPr>
            <w:r>
              <w:rPr>
                <w:rFonts w:hint="eastAsia" w:ascii="宋体" w:hAnsi="宋体" w:cs="楷体_GB2312"/>
                <w:color w:val="auto"/>
                <w:sz w:val="24"/>
                <w:lang w:val="zh-CN"/>
              </w:rPr>
              <w:t>采购代理机构在成交供应商确定当天向成交供应商发出成交通知书。成交供应商应凭缴费凭证及时领取成交通知书。</w:t>
            </w:r>
          </w:p>
        </w:tc>
      </w:tr>
      <w:tr w14:paraId="770F08EE">
        <w:tblPrEx>
          <w:tblCellMar>
            <w:top w:w="0" w:type="dxa"/>
            <w:left w:w="108" w:type="dxa"/>
            <w:bottom w:w="0" w:type="dxa"/>
            <w:right w:w="108" w:type="dxa"/>
          </w:tblCellMar>
        </w:tblPrEx>
        <w:trPr>
          <w:trHeight w:val="453" w:hRule="atLeast"/>
          <w:jc w:val="center"/>
        </w:trPr>
        <w:tc>
          <w:tcPr>
            <w:tcW w:w="508" w:type="dxa"/>
            <w:vMerge w:val="restart"/>
            <w:tcBorders>
              <w:left w:val="single" w:color="auto" w:sz="12" w:space="0"/>
              <w:right w:val="single" w:color="auto" w:sz="6" w:space="0"/>
            </w:tcBorders>
          </w:tcPr>
          <w:p w14:paraId="6FD7C69C">
            <w:pPr>
              <w:autoSpaceDE w:val="0"/>
              <w:autoSpaceDN w:val="0"/>
              <w:adjustRightInd w:val="0"/>
              <w:snapToGrid w:val="0"/>
              <w:spacing w:line="240" w:lineRule="auto"/>
              <w:jc w:val="center"/>
              <w:rPr>
                <w:rFonts w:ascii="宋体" w:cs="楷体_GB2312"/>
                <w:b/>
                <w:bCs/>
                <w:color w:val="auto"/>
                <w:sz w:val="24"/>
                <w:lang w:val="zh-CN"/>
              </w:rPr>
            </w:pPr>
            <w:r>
              <w:rPr>
                <w:rFonts w:hint="eastAsia" w:ascii="宋体" w:hAnsi="宋体" w:cs="楷体_GB2312"/>
                <w:b/>
                <w:bCs/>
                <w:color w:val="auto"/>
                <w:sz w:val="24"/>
                <w:lang w:val="zh-CN"/>
              </w:rPr>
              <w:t>第三章</w:t>
            </w:r>
          </w:p>
        </w:tc>
        <w:tc>
          <w:tcPr>
            <w:tcW w:w="699" w:type="dxa"/>
            <w:tcBorders>
              <w:top w:val="single" w:color="auto" w:sz="6" w:space="0"/>
              <w:left w:val="single" w:color="auto" w:sz="12" w:space="0"/>
              <w:bottom w:val="single" w:color="auto" w:sz="6" w:space="0"/>
              <w:right w:val="single" w:color="auto" w:sz="6" w:space="0"/>
            </w:tcBorders>
            <w:vAlign w:val="center"/>
          </w:tcPr>
          <w:p w14:paraId="43EB407D">
            <w:pPr>
              <w:autoSpaceDE w:val="0"/>
              <w:autoSpaceDN w:val="0"/>
              <w:adjustRightInd w:val="0"/>
              <w:snapToGrid w:val="0"/>
              <w:spacing w:line="240" w:lineRule="auto"/>
              <w:jc w:val="center"/>
              <w:rPr>
                <w:rFonts w:ascii="宋体" w:cs="楷体_GB2312"/>
                <w:b/>
                <w:bCs/>
                <w:color w:val="auto"/>
                <w:sz w:val="24"/>
                <w:lang w:val="zh-CN"/>
              </w:rPr>
            </w:pPr>
            <w:r>
              <w:rPr>
                <w:rFonts w:ascii="宋体" w:hAnsi="宋体" w:cs="楷体_GB2312"/>
                <w:b/>
                <w:bCs/>
                <w:color w:val="auto"/>
                <w:sz w:val="24"/>
                <w:lang w:val="zh-CN"/>
              </w:rPr>
              <w:t>7.5</w:t>
            </w:r>
          </w:p>
        </w:tc>
        <w:tc>
          <w:tcPr>
            <w:tcW w:w="1893" w:type="dxa"/>
            <w:tcBorders>
              <w:top w:val="single" w:color="auto" w:sz="6" w:space="0"/>
              <w:left w:val="single" w:color="auto" w:sz="6" w:space="0"/>
              <w:bottom w:val="single" w:color="auto" w:sz="6" w:space="0"/>
              <w:right w:val="single" w:color="auto" w:sz="6" w:space="0"/>
            </w:tcBorders>
            <w:vAlign w:val="center"/>
          </w:tcPr>
          <w:p w14:paraId="3315D1F4">
            <w:pPr>
              <w:autoSpaceDE w:val="0"/>
              <w:autoSpaceDN w:val="0"/>
              <w:adjustRightInd w:val="0"/>
              <w:snapToGrid w:val="0"/>
              <w:spacing w:line="240" w:lineRule="auto"/>
              <w:jc w:val="center"/>
              <w:rPr>
                <w:rFonts w:ascii="宋体" w:cs="楷体_GB2312"/>
                <w:b/>
                <w:bCs/>
                <w:color w:val="auto"/>
                <w:sz w:val="24"/>
                <w:lang w:val="zh-CN"/>
              </w:rPr>
            </w:pPr>
            <w:r>
              <w:rPr>
                <w:rFonts w:hint="eastAsia" w:ascii="宋体" w:hAnsi="宋体" w:cs="楷体_GB2312"/>
                <w:b/>
                <w:bCs/>
                <w:color w:val="auto"/>
                <w:sz w:val="24"/>
                <w:lang w:val="zh-CN"/>
              </w:rPr>
              <w:t>履约保证金</w:t>
            </w:r>
          </w:p>
        </w:tc>
        <w:tc>
          <w:tcPr>
            <w:tcW w:w="6653" w:type="dxa"/>
            <w:tcBorders>
              <w:top w:val="single" w:color="auto" w:sz="6" w:space="0"/>
              <w:left w:val="single" w:color="auto" w:sz="6" w:space="0"/>
              <w:bottom w:val="single" w:color="auto" w:sz="6" w:space="0"/>
              <w:right w:val="single" w:color="auto" w:sz="12" w:space="0"/>
            </w:tcBorders>
            <w:vAlign w:val="center"/>
          </w:tcPr>
          <w:p w14:paraId="67244F9C">
            <w:pPr>
              <w:widowControl w:val="0"/>
              <w:snapToGrid w:val="0"/>
              <w:spacing w:before="120" w:beforeLines="50" w:line="240" w:lineRule="auto"/>
              <w:rPr>
                <w:color w:val="auto"/>
                <w:sz w:val="24"/>
                <w:szCs w:val="24"/>
              </w:rPr>
            </w:pPr>
            <w:r>
              <w:rPr>
                <w:rFonts w:hint="eastAsia"/>
                <w:color w:val="auto"/>
                <w:sz w:val="24"/>
                <w:szCs w:val="24"/>
              </w:rPr>
              <w:t>不需缴纳</w:t>
            </w:r>
          </w:p>
        </w:tc>
      </w:tr>
      <w:tr w14:paraId="40D7B31D">
        <w:tblPrEx>
          <w:tblCellMar>
            <w:top w:w="0" w:type="dxa"/>
            <w:left w:w="108" w:type="dxa"/>
            <w:bottom w:w="0" w:type="dxa"/>
            <w:right w:w="108" w:type="dxa"/>
          </w:tblCellMar>
        </w:tblPrEx>
        <w:trPr>
          <w:trHeight w:val="453" w:hRule="atLeast"/>
          <w:jc w:val="center"/>
        </w:trPr>
        <w:tc>
          <w:tcPr>
            <w:tcW w:w="508" w:type="dxa"/>
            <w:vMerge w:val="continue"/>
            <w:tcBorders>
              <w:left w:val="single" w:color="auto" w:sz="12" w:space="0"/>
              <w:right w:val="single" w:color="auto" w:sz="6" w:space="0"/>
            </w:tcBorders>
          </w:tcPr>
          <w:p w14:paraId="16D69CEE">
            <w:pPr>
              <w:autoSpaceDE w:val="0"/>
              <w:autoSpaceDN w:val="0"/>
              <w:adjustRightInd w:val="0"/>
              <w:snapToGrid w:val="0"/>
              <w:spacing w:line="240" w:lineRule="auto"/>
              <w:jc w:val="center"/>
              <w:rPr>
                <w:rFonts w:ascii="宋体" w:cs="楷体_GB2312"/>
                <w:b/>
                <w:bCs/>
                <w:color w:val="auto"/>
                <w:sz w:val="24"/>
                <w:lang w:val="zh-CN"/>
              </w:rPr>
            </w:pPr>
          </w:p>
        </w:tc>
        <w:tc>
          <w:tcPr>
            <w:tcW w:w="699" w:type="dxa"/>
            <w:tcBorders>
              <w:top w:val="single" w:color="auto" w:sz="6" w:space="0"/>
              <w:left w:val="single" w:color="auto" w:sz="12" w:space="0"/>
              <w:bottom w:val="single" w:color="auto" w:sz="6" w:space="0"/>
              <w:right w:val="single" w:color="auto" w:sz="6" w:space="0"/>
            </w:tcBorders>
            <w:vAlign w:val="center"/>
          </w:tcPr>
          <w:p w14:paraId="424F23B6">
            <w:pPr>
              <w:autoSpaceDE w:val="0"/>
              <w:autoSpaceDN w:val="0"/>
              <w:adjustRightInd w:val="0"/>
              <w:snapToGrid w:val="0"/>
              <w:spacing w:line="240" w:lineRule="auto"/>
              <w:jc w:val="center"/>
              <w:rPr>
                <w:rFonts w:ascii="宋体" w:cs="楷体_GB2312"/>
                <w:b/>
                <w:bCs/>
                <w:color w:val="auto"/>
                <w:sz w:val="24"/>
                <w:lang w:val="zh-CN"/>
              </w:rPr>
            </w:pPr>
            <w:r>
              <w:rPr>
                <w:rFonts w:ascii="宋体" w:hAnsi="宋体" w:cs="楷体_GB2312"/>
                <w:b/>
                <w:bCs/>
                <w:color w:val="auto"/>
                <w:sz w:val="24"/>
                <w:lang w:val="zh-CN"/>
              </w:rPr>
              <w:t>8</w:t>
            </w:r>
          </w:p>
        </w:tc>
        <w:tc>
          <w:tcPr>
            <w:tcW w:w="1893" w:type="dxa"/>
            <w:tcBorders>
              <w:top w:val="single" w:color="auto" w:sz="6" w:space="0"/>
              <w:left w:val="single" w:color="auto" w:sz="6" w:space="0"/>
              <w:bottom w:val="single" w:color="auto" w:sz="6" w:space="0"/>
              <w:right w:val="single" w:color="auto" w:sz="6" w:space="0"/>
            </w:tcBorders>
            <w:vAlign w:val="center"/>
          </w:tcPr>
          <w:p w14:paraId="7119E15E">
            <w:pPr>
              <w:autoSpaceDE w:val="0"/>
              <w:autoSpaceDN w:val="0"/>
              <w:adjustRightInd w:val="0"/>
              <w:snapToGrid w:val="0"/>
              <w:spacing w:line="240" w:lineRule="auto"/>
              <w:jc w:val="center"/>
              <w:rPr>
                <w:rFonts w:ascii="宋体" w:cs="楷体_GB2312"/>
                <w:b/>
                <w:bCs/>
                <w:color w:val="auto"/>
                <w:sz w:val="24"/>
                <w:lang w:val="zh-CN"/>
              </w:rPr>
            </w:pPr>
            <w:r>
              <w:rPr>
                <w:rFonts w:hint="eastAsia" w:ascii="宋体" w:hAnsi="宋体" w:cs="楷体_GB2312"/>
                <w:b/>
                <w:bCs/>
                <w:color w:val="auto"/>
                <w:sz w:val="24"/>
                <w:lang w:val="zh-CN"/>
              </w:rPr>
              <w:t>验收</w:t>
            </w:r>
          </w:p>
        </w:tc>
        <w:tc>
          <w:tcPr>
            <w:tcW w:w="6653" w:type="dxa"/>
            <w:tcBorders>
              <w:top w:val="single" w:color="auto" w:sz="6" w:space="0"/>
              <w:left w:val="single" w:color="auto" w:sz="6" w:space="0"/>
              <w:bottom w:val="single" w:color="auto" w:sz="6" w:space="0"/>
              <w:right w:val="single" w:color="auto" w:sz="12" w:space="0"/>
            </w:tcBorders>
            <w:vAlign w:val="center"/>
          </w:tcPr>
          <w:p w14:paraId="08E7D4B4">
            <w:pPr>
              <w:widowControl w:val="0"/>
              <w:snapToGrid w:val="0"/>
              <w:spacing w:before="120" w:beforeLines="50" w:line="240" w:lineRule="auto"/>
              <w:rPr>
                <w:color w:val="auto"/>
                <w:sz w:val="24"/>
                <w:szCs w:val="24"/>
              </w:rPr>
            </w:pPr>
            <w:r>
              <w:rPr>
                <w:rFonts w:hint="eastAsia"/>
                <w:color w:val="auto"/>
                <w:sz w:val="24"/>
                <w:szCs w:val="24"/>
              </w:rPr>
              <w:t>见“第三章供应商须知”相应条款</w:t>
            </w:r>
          </w:p>
        </w:tc>
      </w:tr>
      <w:tr w14:paraId="040C7550">
        <w:tblPrEx>
          <w:tblCellMar>
            <w:top w:w="0" w:type="dxa"/>
            <w:left w:w="108" w:type="dxa"/>
            <w:bottom w:w="0" w:type="dxa"/>
            <w:right w:w="108" w:type="dxa"/>
          </w:tblCellMar>
        </w:tblPrEx>
        <w:trPr>
          <w:trHeight w:val="453" w:hRule="atLeast"/>
          <w:jc w:val="center"/>
        </w:trPr>
        <w:tc>
          <w:tcPr>
            <w:tcW w:w="508" w:type="dxa"/>
            <w:vMerge w:val="continue"/>
            <w:tcBorders>
              <w:left w:val="single" w:color="auto" w:sz="12" w:space="0"/>
              <w:right w:val="single" w:color="auto" w:sz="6" w:space="0"/>
            </w:tcBorders>
          </w:tcPr>
          <w:p w14:paraId="2DFF4271">
            <w:pPr>
              <w:autoSpaceDE w:val="0"/>
              <w:autoSpaceDN w:val="0"/>
              <w:adjustRightInd w:val="0"/>
              <w:spacing w:line="360" w:lineRule="auto"/>
              <w:rPr>
                <w:rFonts w:ascii="宋体" w:cs="楷体_GB2312"/>
                <w:b/>
                <w:bCs/>
                <w:color w:val="auto"/>
                <w:sz w:val="24"/>
              </w:rPr>
            </w:pPr>
          </w:p>
        </w:tc>
        <w:tc>
          <w:tcPr>
            <w:tcW w:w="699" w:type="dxa"/>
            <w:tcBorders>
              <w:top w:val="single" w:color="auto" w:sz="6" w:space="0"/>
              <w:left w:val="single" w:color="auto" w:sz="12" w:space="0"/>
              <w:bottom w:val="single" w:color="auto" w:sz="6" w:space="0"/>
              <w:right w:val="single" w:color="auto" w:sz="6" w:space="0"/>
            </w:tcBorders>
            <w:vAlign w:val="center"/>
          </w:tcPr>
          <w:p w14:paraId="34A4B9E6">
            <w:pPr>
              <w:autoSpaceDE w:val="0"/>
              <w:autoSpaceDN w:val="0"/>
              <w:adjustRightInd w:val="0"/>
              <w:spacing w:line="360" w:lineRule="auto"/>
              <w:jc w:val="center"/>
              <w:rPr>
                <w:rFonts w:ascii="宋体" w:cs="楷体_GB2312"/>
                <w:b/>
                <w:bCs/>
                <w:color w:val="auto"/>
                <w:sz w:val="24"/>
              </w:rPr>
            </w:pPr>
            <w:r>
              <w:rPr>
                <w:rFonts w:ascii="宋体" w:hAnsi="宋体" w:cs="楷体_GB2312"/>
                <w:b/>
                <w:bCs/>
                <w:color w:val="auto"/>
                <w:sz w:val="24"/>
              </w:rPr>
              <w:t>9</w:t>
            </w:r>
          </w:p>
        </w:tc>
        <w:tc>
          <w:tcPr>
            <w:tcW w:w="1893" w:type="dxa"/>
            <w:tcBorders>
              <w:top w:val="single" w:color="auto" w:sz="6" w:space="0"/>
              <w:left w:val="single" w:color="auto" w:sz="6" w:space="0"/>
              <w:bottom w:val="single" w:color="auto" w:sz="6" w:space="0"/>
              <w:right w:val="single" w:color="auto" w:sz="6" w:space="0"/>
            </w:tcBorders>
            <w:vAlign w:val="center"/>
          </w:tcPr>
          <w:p w14:paraId="2E7C8605">
            <w:pPr>
              <w:autoSpaceDE w:val="0"/>
              <w:autoSpaceDN w:val="0"/>
              <w:adjustRightInd w:val="0"/>
              <w:snapToGrid w:val="0"/>
              <w:spacing w:line="240" w:lineRule="auto"/>
              <w:jc w:val="center"/>
              <w:rPr>
                <w:rFonts w:ascii="宋体" w:cs="楷体_GB2312"/>
                <w:b/>
                <w:bCs/>
                <w:color w:val="auto"/>
                <w:sz w:val="24"/>
                <w:lang w:val="zh-CN"/>
              </w:rPr>
            </w:pPr>
            <w:r>
              <w:rPr>
                <w:rFonts w:hint="eastAsia" w:ascii="宋体" w:hAnsi="宋体" w:cs="楷体_GB2312"/>
                <w:b/>
                <w:bCs/>
                <w:color w:val="auto"/>
                <w:sz w:val="24"/>
                <w:lang w:val="zh-CN"/>
              </w:rPr>
              <w:t>付款</w:t>
            </w:r>
          </w:p>
        </w:tc>
        <w:tc>
          <w:tcPr>
            <w:tcW w:w="6653" w:type="dxa"/>
            <w:tcBorders>
              <w:top w:val="single" w:color="auto" w:sz="6" w:space="0"/>
              <w:left w:val="single" w:color="auto" w:sz="6" w:space="0"/>
              <w:bottom w:val="single" w:color="auto" w:sz="6" w:space="0"/>
              <w:right w:val="single" w:color="auto" w:sz="12" w:space="0"/>
            </w:tcBorders>
            <w:vAlign w:val="center"/>
          </w:tcPr>
          <w:p w14:paraId="7A2E4302">
            <w:pPr>
              <w:snapToGrid w:val="0"/>
              <w:spacing w:before="120" w:beforeLines="50" w:line="240" w:lineRule="auto"/>
              <w:ind w:firstLine="480" w:firstLineChars="200"/>
              <w:rPr>
                <w:color w:val="auto"/>
                <w:sz w:val="24"/>
                <w:szCs w:val="24"/>
              </w:rPr>
            </w:pPr>
            <w:bookmarkStart w:id="20" w:name="OLE_LINK11"/>
            <w:r>
              <w:rPr>
                <w:rFonts w:hint="eastAsia"/>
                <w:color w:val="auto"/>
                <w:sz w:val="24"/>
                <w:szCs w:val="24"/>
              </w:rPr>
              <w:t>为优化政府采购营商环境，根据安财购﹝2019﹞8号文件落实政府采购预付款的规定，采购人可在政府采购合同履约前向成交供应商预付30%合同资金，成交供应商应向采购人提交预付款保函，未提供保函的，视同其放弃项目预付款的支付。</w:t>
            </w:r>
          </w:p>
          <w:p w14:paraId="5BCD91B8">
            <w:pPr>
              <w:snapToGrid w:val="0"/>
              <w:spacing w:before="120" w:beforeLines="50" w:line="240" w:lineRule="auto"/>
              <w:ind w:firstLine="480" w:firstLineChars="200"/>
              <w:rPr>
                <w:color w:val="auto"/>
                <w:sz w:val="24"/>
                <w:szCs w:val="24"/>
              </w:rPr>
            </w:pPr>
            <w:r>
              <w:rPr>
                <w:rFonts w:hint="eastAsia"/>
                <w:color w:val="auto"/>
                <w:sz w:val="24"/>
                <w:szCs w:val="24"/>
              </w:rPr>
              <w:t>为进一步优化营商环境，根据安财购﹝2022﹞8号文件落实政府采购中小企业预付款的规定，采购人可在政府采购合同签订后，向成交供应商原则上预付不低于合同金额50%的预付款，成交供应商应向采购人提交预付款保函，未提供保函的，视同其放弃项目预付款的支付。</w:t>
            </w:r>
          </w:p>
          <w:p w14:paraId="785C328E">
            <w:pPr>
              <w:snapToGrid w:val="0"/>
              <w:spacing w:before="120" w:beforeLines="50" w:line="240" w:lineRule="auto"/>
              <w:ind w:firstLine="480" w:firstLineChars="200"/>
              <w:rPr>
                <w:rFonts w:ascii="宋体" w:cs="楷体_GB2312"/>
                <w:color w:val="auto"/>
                <w:sz w:val="24"/>
                <w:lang w:val="zh-CN"/>
              </w:rPr>
            </w:pPr>
            <w:r>
              <w:rPr>
                <w:rFonts w:hint="eastAsia"/>
                <w:color w:val="auto"/>
                <w:sz w:val="24"/>
                <w:szCs w:val="24"/>
              </w:rPr>
              <w:t>工程竣工安装调试完毕经验收合格后，采购人需持从“安阳市政府采购网”登录系统下载本项目带水印的《安阳市市直政府采购资金申请表》和《安阳市市直政府采购申报表》，以及《政府采购验收报告》和发票等作为付款依据，按结算评审金额为准，报安阳市财政国库支付中心审核确认后、根据财政资金情况分期支付工程款（具体以实际签订合同为准）。</w:t>
            </w:r>
            <w:bookmarkEnd w:id="20"/>
          </w:p>
        </w:tc>
      </w:tr>
      <w:tr w14:paraId="16527023">
        <w:tblPrEx>
          <w:tblCellMar>
            <w:top w:w="0" w:type="dxa"/>
            <w:left w:w="108" w:type="dxa"/>
            <w:bottom w:w="0" w:type="dxa"/>
            <w:right w:w="108" w:type="dxa"/>
          </w:tblCellMar>
        </w:tblPrEx>
        <w:trPr>
          <w:trHeight w:val="453" w:hRule="atLeast"/>
          <w:jc w:val="center"/>
        </w:trPr>
        <w:tc>
          <w:tcPr>
            <w:tcW w:w="508" w:type="dxa"/>
            <w:tcBorders>
              <w:left w:val="single" w:color="auto" w:sz="12" w:space="0"/>
              <w:bottom w:val="single" w:color="auto" w:sz="6" w:space="0"/>
              <w:right w:val="single" w:color="auto" w:sz="6" w:space="0"/>
            </w:tcBorders>
          </w:tcPr>
          <w:p w14:paraId="6CFD3E20">
            <w:pPr>
              <w:autoSpaceDE w:val="0"/>
              <w:autoSpaceDN w:val="0"/>
              <w:adjustRightInd w:val="0"/>
              <w:spacing w:line="360" w:lineRule="auto"/>
              <w:rPr>
                <w:rFonts w:ascii="宋体" w:cs="楷体_GB2312"/>
                <w:b/>
                <w:bCs/>
                <w:color w:val="auto"/>
                <w:sz w:val="24"/>
              </w:rPr>
            </w:pPr>
          </w:p>
        </w:tc>
        <w:tc>
          <w:tcPr>
            <w:tcW w:w="699" w:type="dxa"/>
            <w:tcBorders>
              <w:top w:val="single" w:color="auto" w:sz="6" w:space="0"/>
              <w:left w:val="single" w:color="auto" w:sz="12" w:space="0"/>
              <w:bottom w:val="single" w:color="auto" w:sz="6" w:space="0"/>
              <w:right w:val="single" w:color="auto" w:sz="6" w:space="0"/>
            </w:tcBorders>
            <w:vAlign w:val="center"/>
          </w:tcPr>
          <w:p w14:paraId="4A453714">
            <w:pPr>
              <w:autoSpaceDE w:val="0"/>
              <w:autoSpaceDN w:val="0"/>
              <w:adjustRightInd w:val="0"/>
              <w:spacing w:line="360" w:lineRule="auto"/>
              <w:jc w:val="center"/>
              <w:rPr>
                <w:rFonts w:hint="eastAsia" w:ascii="宋体" w:hAnsi="宋体" w:cs="楷体_GB2312"/>
                <w:b/>
                <w:bCs/>
                <w:color w:val="auto"/>
                <w:sz w:val="24"/>
              </w:rPr>
            </w:pPr>
            <w:r>
              <w:rPr>
                <w:rFonts w:ascii="宋体" w:hAnsi="宋体" w:cs="楷体_GB2312"/>
                <w:b/>
                <w:bCs/>
                <w:color w:val="auto"/>
                <w:sz w:val="24"/>
              </w:rPr>
              <w:t>10.1</w:t>
            </w:r>
          </w:p>
        </w:tc>
        <w:tc>
          <w:tcPr>
            <w:tcW w:w="1893" w:type="dxa"/>
            <w:tcBorders>
              <w:top w:val="single" w:color="auto" w:sz="6" w:space="0"/>
              <w:left w:val="single" w:color="auto" w:sz="6" w:space="0"/>
              <w:bottom w:val="single" w:color="auto" w:sz="6" w:space="0"/>
              <w:right w:val="single" w:color="auto" w:sz="6" w:space="0"/>
            </w:tcBorders>
            <w:vAlign w:val="center"/>
          </w:tcPr>
          <w:p w14:paraId="5C5ED201">
            <w:pPr>
              <w:autoSpaceDE w:val="0"/>
              <w:autoSpaceDN w:val="0"/>
              <w:adjustRightInd w:val="0"/>
              <w:snapToGrid w:val="0"/>
              <w:spacing w:line="240" w:lineRule="auto"/>
              <w:jc w:val="center"/>
              <w:rPr>
                <w:rFonts w:hint="eastAsia" w:ascii="宋体" w:hAnsi="宋体"/>
                <w:b/>
                <w:color w:val="auto"/>
                <w:sz w:val="24"/>
              </w:rPr>
            </w:pPr>
            <w:r>
              <w:rPr>
                <w:rFonts w:hint="eastAsia" w:ascii="宋体" w:hAnsi="宋体"/>
                <w:b/>
                <w:color w:val="auto"/>
                <w:sz w:val="24"/>
              </w:rPr>
              <w:t>代理服务费</w:t>
            </w:r>
          </w:p>
        </w:tc>
        <w:tc>
          <w:tcPr>
            <w:tcW w:w="6653" w:type="dxa"/>
            <w:tcBorders>
              <w:top w:val="single" w:color="auto" w:sz="6" w:space="0"/>
              <w:left w:val="single" w:color="auto" w:sz="6" w:space="0"/>
              <w:bottom w:val="single" w:color="auto" w:sz="6" w:space="0"/>
              <w:right w:val="single" w:color="auto" w:sz="12" w:space="0"/>
            </w:tcBorders>
            <w:vAlign w:val="center"/>
          </w:tcPr>
          <w:p w14:paraId="3CAB651A">
            <w:pPr>
              <w:adjustRightInd w:val="0"/>
              <w:snapToGrid w:val="0"/>
              <w:spacing w:before="120" w:beforeLines="50" w:line="240" w:lineRule="auto"/>
              <w:rPr>
                <w:rFonts w:hint="eastAsia" w:ascii="宋体" w:hAnsi="宋体"/>
                <w:b/>
                <w:color w:val="auto"/>
                <w:sz w:val="24"/>
                <w:highlight w:val="yellow"/>
              </w:rPr>
            </w:pPr>
            <w:r>
              <w:rPr>
                <w:rFonts w:hint="eastAsia" w:ascii="宋体" w:hAnsi="宋体"/>
                <w:color w:val="auto"/>
                <w:sz w:val="24"/>
              </w:rPr>
              <w:t>本项目采购代理服务费由成交供应商支付，按照河南省招标 投标协会关于印发《河南省招标代理服务收费指导意见》豫招协 (2023）002号文件规定以预算金额为计算基数计取。</w:t>
            </w:r>
          </w:p>
        </w:tc>
      </w:tr>
    </w:tbl>
    <w:p w14:paraId="73A4B272">
      <w:pPr>
        <w:autoSpaceDE w:val="0"/>
        <w:autoSpaceDN w:val="0"/>
        <w:adjustRightInd w:val="0"/>
        <w:spacing w:line="360" w:lineRule="auto"/>
        <w:ind w:firstLine="539"/>
        <w:rPr>
          <w:color w:val="auto"/>
        </w:rPr>
      </w:pPr>
      <w:r>
        <w:rPr>
          <w:color w:val="auto"/>
        </w:rPr>
        <w:br w:type="page"/>
      </w:r>
    </w:p>
    <w:p w14:paraId="105EC76A">
      <w:pPr>
        <w:autoSpaceDE w:val="0"/>
        <w:autoSpaceDN w:val="0"/>
        <w:adjustRightInd w:val="0"/>
        <w:snapToGrid w:val="0"/>
        <w:spacing w:before="120" w:beforeLines="50" w:line="300" w:lineRule="auto"/>
        <w:ind w:firstLine="539"/>
        <w:outlineLvl w:val="1"/>
        <w:rPr>
          <w:rFonts w:hint="eastAsia" w:ascii="黑体" w:hAnsi="黑体" w:eastAsia="黑体"/>
          <w:color w:val="auto"/>
          <w:sz w:val="28"/>
          <w:szCs w:val="28"/>
          <w:lang w:val="zh-CN"/>
        </w:rPr>
      </w:pPr>
      <w:bookmarkStart w:id="21" w:name="_Toc30701"/>
      <w:r>
        <w:rPr>
          <w:rFonts w:ascii="黑体" w:hAnsi="黑体" w:eastAsia="黑体" w:cs="楷体_GB2312"/>
          <w:b/>
          <w:bCs/>
          <w:color w:val="auto"/>
          <w:sz w:val="28"/>
          <w:szCs w:val="28"/>
          <w:lang w:val="zh-CN"/>
        </w:rPr>
        <w:t xml:space="preserve">1. </w:t>
      </w:r>
      <w:r>
        <w:rPr>
          <w:rFonts w:hint="eastAsia" w:ascii="黑体" w:hAnsi="黑体" w:eastAsia="黑体" w:cs="楷体_GB2312"/>
          <w:b/>
          <w:bCs/>
          <w:color w:val="auto"/>
          <w:sz w:val="28"/>
          <w:szCs w:val="28"/>
          <w:lang w:val="zh-CN"/>
        </w:rPr>
        <w:t>总则</w:t>
      </w:r>
      <w:bookmarkEnd w:id="21"/>
    </w:p>
    <w:p w14:paraId="1F14D4B3">
      <w:pPr>
        <w:autoSpaceDE w:val="0"/>
        <w:autoSpaceDN w:val="0"/>
        <w:adjustRightInd w:val="0"/>
        <w:snapToGrid w:val="0"/>
        <w:spacing w:before="120" w:beforeLines="50" w:line="300" w:lineRule="auto"/>
        <w:ind w:firstLine="539"/>
        <w:rPr>
          <w:rFonts w:ascii="宋体"/>
          <w:color w:val="auto"/>
          <w:sz w:val="24"/>
          <w:szCs w:val="24"/>
        </w:rPr>
      </w:pPr>
      <w:r>
        <w:rPr>
          <w:rFonts w:ascii="黑体" w:hAnsi="黑体" w:eastAsia="黑体" w:cs="楷体_GB2312"/>
          <w:b/>
          <w:color w:val="auto"/>
          <w:sz w:val="24"/>
          <w:lang w:val="zh-CN"/>
        </w:rPr>
        <w:t xml:space="preserve">1.1  </w:t>
      </w:r>
      <w:r>
        <w:rPr>
          <w:rFonts w:hint="eastAsia" w:ascii="宋体" w:hAnsi="宋体"/>
          <w:color w:val="auto"/>
          <w:sz w:val="24"/>
          <w:szCs w:val="24"/>
        </w:rPr>
        <w:t>根据《中华人民共和国政府采购法》、《中华人民共和国政府采购法实施条例》、《政府采购竞争性磋商采购方式管理暂行办法》及相关政府采购法律法规等制定本文件。</w:t>
      </w:r>
    </w:p>
    <w:p w14:paraId="7D308A6D">
      <w:pPr>
        <w:adjustRightInd w:val="0"/>
        <w:snapToGrid w:val="0"/>
        <w:spacing w:before="120" w:beforeLines="50" w:line="300" w:lineRule="auto"/>
        <w:ind w:right="240" w:firstLine="482" w:firstLineChars="200"/>
        <w:rPr>
          <w:rFonts w:hint="eastAsia" w:ascii="黑体" w:hAnsi="黑体" w:eastAsia="黑体" w:cs="楷体_GB2312"/>
          <w:b/>
          <w:color w:val="auto"/>
          <w:sz w:val="24"/>
        </w:rPr>
      </w:pPr>
      <w:r>
        <w:rPr>
          <w:rFonts w:ascii="黑体" w:hAnsi="黑体" w:eastAsia="黑体" w:cs="楷体_GB2312"/>
          <w:b/>
          <w:color w:val="auto"/>
          <w:sz w:val="24"/>
        </w:rPr>
        <w:t xml:space="preserve">1.2  </w:t>
      </w:r>
      <w:r>
        <w:rPr>
          <w:rFonts w:hint="eastAsia" w:ascii="黑体" w:hAnsi="黑体" w:eastAsia="黑体" w:cs="楷体_GB2312"/>
          <w:b/>
          <w:color w:val="auto"/>
          <w:sz w:val="24"/>
          <w:lang w:val="zh-CN"/>
        </w:rPr>
        <w:t>《磋商文件》的法律适用及法律效力</w:t>
      </w:r>
    </w:p>
    <w:p w14:paraId="4A3B68AA">
      <w:pPr>
        <w:adjustRightInd w:val="0"/>
        <w:snapToGrid w:val="0"/>
        <w:spacing w:before="120" w:beforeLines="50" w:line="300" w:lineRule="auto"/>
        <w:ind w:right="240" w:firstLine="547" w:firstLineChars="228"/>
        <w:rPr>
          <w:rFonts w:ascii="宋体"/>
          <w:color w:val="auto"/>
          <w:sz w:val="24"/>
          <w:szCs w:val="24"/>
        </w:rPr>
      </w:pPr>
      <w:r>
        <w:rPr>
          <w:rFonts w:ascii="宋体" w:hAnsi="宋体"/>
          <w:color w:val="auto"/>
          <w:sz w:val="24"/>
          <w:szCs w:val="24"/>
        </w:rPr>
        <w:t>1.2.1</w:t>
      </w:r>
      <w:r>
        <w:rPr>
          <w:rFonts w:hint="eastAsia" w:ascii="宋体" w:hAnsi="宋体"/>
          <w:color w:val="auto"/>
          <w:sz w:val="24"/>
          <w:szCs w:val="24"/>
        </w:rPr>
        <w:t>本</w:t>
      </w:r>
      <w:r>
        <w:rPr>
          <w:rFonts w:hint="eastAsia" w:ascii="宋体" w:hAnsi="宋体" w:cs="宋体"/>
          <w:color w:val="auto"/>
          <w:sz w:val="24"/>
          <w:szCs w:val="24"/>
        </w:rPr>
        <w:t>《磋商文件》</w:t>
      </w:r>
      <w:r>
        <w:rPr>
          <w:rFonts w:hint="eastAsia" w:ascii="宋体" w:hAnsi="宋体"/>
          <w:color w:val="auto"/>
          <w:sz w:val="24"/>
          <w:szCs w:val="24"/>
        </w:rPr>
        <w:t>所述内容，仅适用于本次项目采购。</w:t>
      </w:r>
    </w:p>
    <w:p w14:paraId="642B1F57">
      <w:pPr>
        <w:adjustRightInd w:val="0"/>
        <w:snapToGrid w:val="0"/>
        <w:spacing w:before="120" w:beforeLines="50" w:line="300" w:lineRule="auto"/>
        <w:ind w:right="240" w:firstLine="547" w:firstLineChars="228"/>
        <w:rPr>
          <w:rFonts w:ascii="宋体"/>
          <w:color w:val="auto"/>
          <w:sz w:val="24"/>
          <w:szCs w:val="24"/>
        </w:rPr>
      </w:pPr>
      <w:r>
        <w:rPr>
          <w:rFonts w:ascii="宋体" w:hAnsi="宋体"/>
          <w:color w:val="auto"/>
          <w:sz w:val="24"/>
          <w:szCs w:val="24"/>
        </w:rPr>
        <w:t xml:space="preserve">1.2.2 </w:t>
      </w:r>
      <w:r>
        <w:rPr>
          <w:rFonts w:hint="eastAsia" w:ascii="宋体" w:hAnsi="宋体" w:cs="宋体"/>
          <w:color w:val="auto"/>
          <w:sz w:val="24"/>
          <w:szCs w:val="24"/>
        </w:rPr>
        <w:t>《磋商文件》</w:t>
      </w:r>
      <w:r>
        <w:rPr>
          <w:rFonts w:hint="eastAsia" w:ascii="宋体" w:hAnsi="宋体"/>
          <w:color w:val="auto"/>
          <w:sz w:val="24"/>
          <w:szCs w:val="24"/>
        </w:rPr>
        <w:t>的修改性文件、补充文件、澄清文件或说明具有同等法律效力。</w:t>
      </w:r>
    </w:p>
    <w:p w14:paraId="655E47C9">
      <w:pPr>
        <w:adjustRightInd w:val="0"/>
        <w:snapToGrid w:val="0"/>
        <w:spacing w:before="120" w:beforeLines="50" w:line="300" w:lineRule="auto"/>
        <w:ind w:right="240" w:firstLine="547" w:firstLineChars="228"/>
        <w:rPr>
          <w:rFonts w:ascii="宋体"/>
          <w:color w:val="auto"/>
          <w:sz w:val="24"/>
          <w:szCs w:val="24"/>
        </w:rPr>
      </w:pPr>
      <w:r>
        <w:rPr>
          <w:rFonts w:ascii="宋体" w:hAnsi="宋体"/>
          <w:color w:val="auto"/>
          <w:sz w:val="24"/>
          <w:szCs w:val="24"/>
        </w:rPr>
        <w:t xml:space="preserve">1.2.3 </w:t>
      </w:r>
      <w:r>
        <w:rPr>
          <w:rFonts w:hint="eastAsia" w:ascii="宋体" w:hAnsi="宋体"/>
          <w:color w:val="auto"/>
          <w:sz w:val="24"/>
          <w:szCs w:val="24"/>
        </w:rPr>
        <w:t>本</w:t>
      </w:r>
      <w:r>
        <w:rPr>
          <w:rFonts w:hint="eastAsia" w:ascii="宋体" w:hAnsi="宋体" w:cs="宋体"/>
          <w:color w:val="auto"/>
          <w:sz w:val="24"/>
          <w:szCs w:val="24"/>
        </w:rPr>
        <w:t>《磋商文件》</w:t>
      </w:r>
      <w:r>
        <w:rPr>
          <w:rFonts w:hint="eastAsia" w:ascii="宋体" w:hAnsi="宋体"/>
          <w:color w:val="auto"/>
          <w:sz w:val="24"/>
          <w:szCs w:val="24"/>
        </w:rPr>
        <w:t>适用于并执行《政府采购法》和其它相关的法律、法规。</w:t>
      </w:r>
    </w:p>
    <w:p w14:paraId="6CF4DB89">
      <w:pPr>
        <w:adjustRightInd w:val="0"/>
        <w:snapToGrid w:val="0"/>
        <w:spacing w:before="120" w:beforeLines="50" w:line="300" w:lineRule="auto"/>
        <w:ind w:right="240" w:firstLine="600" w:firstLineChars="250"/>
        <w:rPr>
          <w:rFonts w:ascii="宋体"/>
          <w:color w:val="auto"/>
          <w:sz w:val="24"/>
          <w:szCs w:val="24"/>
        </w:rPr>
      </w:pPr>
      <w:r>
        <w:rPr>
          <w:rFonts w:ascii="宋体" w:hAnsi="宋体"/>
          <w:color w:val="auto"/>
          <w:sz w:val="24"/>
          <w:szCs w:val="24"/>
        </w:rPr>
        <w:t xml:space="preserve">1.2.4 </w:t>
      </w:r>
      <w:r>
        <w:rPr>
          <w:rFonts w:hint="eastAsia" w:ascii="宋体" w:hAnsi="宋体"/>
          <w:color w:val="auto"/>
          <w:sz w:val="24"/>
          <w:szCs w:val="24"/>
        </w:rPr>
        <w:t>本</w:t>
      </w:r>
      <w:r>
        <w:rPr>
          <w:rFonts w:hint="eastAsia" w:ascii="宋体" w:hAnsi="宋体" w:cs="宋体"/>
          <w:color w:val="auto"/>
          <w:sz w:val="24"/>
          <w:szCs w:val="24"/>
        </w:rPr>
        <w:t>《磋商文件》</w:t>
      </w:r>
      <w:r>
        <w:rPr>
          <w:rFonts w:hint="eastAsia" w:ascii="宋体" w:hAnsi="宋体"/>
          <w:color w:val="auto"/>
          <w:sz w:val="24"/>
          <w:szCs w:val="24"/>
        </w:rPr>
        <w:t>的解释权属采购人及代理机构。</w:t>
      </w:r>
    </w:p>
    <w:p w14:paraId="0896F7BB">
      <w:pPr>
        <w:autoSpaceDE w:val="0"/>
        <w:autoSpaceDN w:val="0"/>
        <w:adjustRightInd w:val="0"/>
        <w:snapToGrid w:val="0"/>
        <w:spacing w:before="120" w:beforeLines="50" w:line="300" w:lineRule="auto"/>
        <w:ind w:firstLine="539"/>
        <w:rPr>
          <w:rFonts w:hint="eastAsia" w:ascii="黑体" w:hAnsi="黑体" w:eastAsia="黑体" w:cs="楷体_GB2312"/>
          <w:b/>
          <w:color w:val="auto"/>
          <w:sz w:val="24"/>
          <w:lang w:val="zh-CN"/>
        </w:rPr>
      </w:pPr>
      <w:r>
        <w:rPr>
          <w:rFonts w:ascii="黑体" w:hAnsi="黑体" w:eastAsia="黑体" w:cs="楷体_GB2312"/>
          <w:b/>
          <w:color w:val="auto"/>
          <w:sz w:val="24"/>
          <w:lang w:val="zh-CN"/>
        </w:rPr>
        <w:t xml:space="preserve">1.3  </w:t>
      </w:r>
      <w:r>
        <w:rPr>
          <w:rFonts w:hint="eastAsia" w:ascii="黑体" w:hAnsi="黑体" w:eastAsia="黑体" w:cs="楷体_GB2312"/>
          <w:b/>
          <w:color w:val="auto"/>
          <w:sz w:val="24"/>
          <w:lang w:val="zh-CN"/>
        </w:rPr>
        <w:t>合格的供应商</w:t>
      </w:r>
    </w:p>
    <w:p w14:paraId="22AA7636">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s="楷体_GB2312"/>
          <w:color w:val="auto"/>
          <w:sz w:val="24"/>
          <w:lang w:val="zh-CN"/>
        </w:rPr>
        <w:t xml:space="preserve">1.3.1 </w:t>
      </w:r>
      <w:r>
        <w:rPr>
          <w:rFonts w:hint="eastAsia" w:ascii="宋体" w:hAnsi="宋体" w:cs="楷体_GB2312"/>
          <w:color w:val="auto"/>
          <w:sz w:val="24"/>
          <w:lang w:val="zh-CN"/>
        </w:rPr>
        <w:t>凡符合《磋商文件》规定，承认本《磋商文件》所有内容的供应商为合格的供应商。</w:t>
      </w:r>
    </w:p>
    <w:p w14:paraId="0085AEB7">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s="楷体_GB2312"/>
          <w:color w:val="auto"/>
          <w:sz w:val="24"/>
          <w:lang w:val="zh-CN"/>
        </w:rPr>
        <w:t xml:space="preserve">1.3.2 </w:t>
      </w:r>
      <w:r>
        <w:rPr>
          <w:rFonts w:hint="eastAsia" w:ascii="宋体" w:hAnsi="宋体" w:cs="楷体_GB2312"/>
          <w:color w:val="auto"/>
          <w:sz w:val="24"/>
          <w:lang w:val="zh-CN"/>
        </w:rPr>
        <w:t>单位负责人为同一人或者存在直接控股、管理关系的不同供应商，不得参加同一合同项下的政府采购活动。</w:t>
      </w:r>
    </w:p>
    <w:p w14:paraId="238C65B1">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s="楷体_GB2312"/>
          <w:color w:val="auto"/>
          <w:sz w:val="24"/>
          <w:lang w:val="zh-CN"/>
        </w:rPr>
        <w:t xml:space="preserve">1.3.3 </w:t>
      </w:r>
      <w:r>
        <w:rPr>
          <w:rFonts w:hint="eastAsia" w:ascii="宋体" w:hAnsi="宋体" w:cs="楷体_GB2312"/>
          <w:color w:val="auto"/>
          <w:sz w:val="24"/>
          <w:lang w:val="zh-CN"/>
        </w:rPr>
        <w:t>为采购项目提供整体设计、规范编制或者项目管理、监理、检测等服务的供应商，不得再参加该采购项目的其他采购活动。</w:t>
      </w:r>
    </w:p>
    <w:p w14:paraId="5C260E84">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s="楷体_GB2312"/>
          <w:color w:val="auto"/>
          <w:sz w:val="24"/>
          <w:lang w:val="zh-CN"/>
        </w:rPr>
        <w:t xml:space="preserve">1.3.4 </w:t>
      </w:r>
      <w:r>
        <w:rPr>
          <w:rFonts w:hint="eastAsia" w:ascii="宋体" w:hAnsi="宋体" w:cs="楷体_GB2312"/>
          <w:color w:val="auto"/>
          <w:sz w:val="24"/>
          <w:lang w:val="zh-CN"/>
        </w:rPr>
        <w:t>供应商应遵守国家法律、法规和《磋商文件》的规定。</w:t>
      </w:r>
    </w:p>
    <w:p w14:paraId="3B07D3C7">
      <w:pPr>
        <w:autoSpaceDE w:val="0"/>
        <w:autoSpaceDN w:val="0"/>
        <w:adjustRightInd w:val="0"/>
        <w:snapToGrid w:val="0"/>
        <w:spacing w:before="120" w:beforeLines="50" w:line="300" w:lineRule="auto"/>
        <w:ind w:firstLine="539"/>
        <w:rPr>
          <w:rFonts w:hint="eastAsia" w:ascii="黑体" w:hAnsi="黑体" w:eastAsia="黑体" w:cs="楷体_GB2312"/>
          <w:b/>
          <w:color w:val="auto"/>
          <w:sz w:val="24"/>
          <w:lang w:val="zh-CN"/>
        </w:rPr>
      </w:pPr>
      <w:r>
        <w:rPr>
          <w:rFonts w:ascii="黑体" w:hAnsi="黑体" w:eastAsia="黑体" w:cs="楷体_GB2312"/>
          <w:b/>
          <w:color w:val="auto"/>
          <w:sz w:val="24"/>
          <w:lang w:val="zh-CN"/>
        </w:rPr>
        <w:t>1.4</w:t>
      </w:r>
      <w:r>
        <w:rPr>
          <w:rFonts w:hint="eastAsia" w:ascii="黑体" w:hAnsi="黑体" w:eastAsia="黑体" w:cs="楷体_GB2312"/>
          <w:b/>
          <w:color w:val="auto"/>
          <w:sz w:val="24"/>
          <w:lang w:val="zh-CN"/>
        </w:rPr>
        <w:t>　联合体</w:t>
      </w:r>
    </w:p>
    <w:p w14:paraId="36545827">
      <w:pPr>
        <w:autoSpaceDE w:val="0"/>
        <w:autoSpaceDN w:val="0"/>
        <w:adjustRightInd w:val="0"/>
        <w:snapToGrid w:val="0"/>
        <w:spacing w:before="120" w:beforeLines="50" w:line="300" w:lineRule="auto"/>
        <w:ind w:firstLine="539"/>
        <w:rPr>
          <w:rFonts w:ascii="宋体" w:cs="楷体_GB2312"/>
          <w:color w:val="auto"/>
          <w:sz w:val="24"/>
          <w:lang w:val="zh-CN"/>
        </w:rPr>
      </w:pPr>
      <w:r>
        <w:rPr>
          <w:rFonts w:hint="eastAsia" w:ascii="宋体" w:hAnsi="宋体" w:cs="楷体_GB2312"/>
          <w:color w:val="auto"/>
          <w:sz w:val="24"/>
          <w:lang w:val="zh-CN"/>
        </w:rPr>
        <w:t>如供应商须知前附表规定接受联合体投标的，应遵守以下规定：</w:t>
      </w:r>
    </w:p>
    <w:p w14:paraId="5CC6A85B">
      <w:pPr>
        <w:autoSpaceDE w:val="0"/>
        <w:autoSpaceDN w:val="0"/>
        <w:adjustRightInd w:val="0"/>
        <w:snapToGrid w:val="0"/>
        <w:spacing w:before="120" w:beforeLines="50" w:line="300" w:lineRule="auto"/>
        <w:ind w:firstLine="539"/>
        <w:rPr>
          <w:rFonts w:ascii="宋体" w:cs="楷体_GB2312"/>
          <w:color w:val="auto"/>
          <w:sz w:val="24"/>
          <w:lang w:val="zh-CN"/>
        </w:rPr>
      </w:pPr>
      <w:r>
        <w:rPr>
          <w:rFonts w:hint="eastAsia" w:ascii="宋体" w:cs="楷体_GB2312"/>
          <w:color w:val="auto"/>
          <w:sz w:val="24"/>
          <w:lang w:val="zh-CN"/>
        </w:rPr>
        <w:t>（</w:t>
      </w:r>
      <w:r>
        <w:rPr>
          <w:rFonts w:ascii="宋体" w:cs="楷体_GB2312"/>
          <w:color w:val="auto"/>
          <w:sz w:val="24"/>
          <w:lang w:val="zh-CN"/>
        </w:rPr>
        <w:t>1</w:t>
      </w:r>
      <w:r>
        <w:rPr>
          <w:rFonts w:hint="eastAsia" w:ascii="宋体" w:cs="楷体_GB2312"/>
          <w:color w:val="auto"/>
          <w:sz w:val="24"/>
          <w:lang w:val="zh-CN"/>
        </w:rPr>
        <w:t>）两个以上的自然人、法人或者其他组织组成一个联合体，以一个供应商的身份共同参加政府采购活动的，应当对所有的联合体成员进行信用记录查询，联合体成员存在不良信用记录的，视同联合体存在不良信用记录。</w:t>
      </w:r>
    </w:p>
    <w:p w14:paraId="4C35A33E">
      <w:pPr>
        <w:autoSpaceDE w:val="0"/>
        <w:autoSpaceDN w:val="0"/>
        <w:adjustRightInd w:val="0"/>
        <w:snapToGrid w:val="0"/>
        <w:spacing w:before="120" w:beforeLines="50" w:line="300" w:lineRule="auto"/>
        <w:ind w:firstLine="539"/>
        <w:rPr>
          <w:rFonts w:ascii="宋体" w:cs="楷体_GB2312"/>
          <w:color w:val="auto"/>
          <w:sz w:val="24"/>
          <w:lang w:val="zh-CN"/>
        </w:rPr>
      </w:pPr>
      <w:r>
        <w:rPr>
          <w:rFonts w:hint="eastAsia" w:ascii="宋体" w:hAnsi="宋体" w:cs="楷体_GB2312"/>
          <w:color w:val="auto"/>
          <w:sz w:val="24"/>
          <w:lang w:val="zh-CN"/>
        </w:rPr>
        <w:t>（</w:t>
      </w:r>
      <w:r>
        <w:rPr>
          <w:rFonts w:ascii="宋体" w:hAnsi="宋体" w:cs="楷体_GB2312"/>
          <w:color w:val="auto"/>
          <w:sz w:val="24"/>
          <w:lang w:val="zh-CN"/>
        </w:rPr>
        <w:t>2</w:t>
      </w:r>
      <w:r>
        <w:rPr>
          <w:rFonts w:hint="eastAsia" w:ascii="宋体" w:hAnsi="宋体" w:cs="楷体_GB2312"/>
          <w:color w:val="auto"/>
          <w:sz w:val="24"/>
          <w:lang w:val="zh-CN"/>
        </w:rPr>
        <w:t>）两个以上供应商可以组成一个投标联合体，以一个供应商的身份投标，但必须确定其中一个单位为投标的全权代表参加投标活动，并承担投标及履约中应承担的全部责任和义务。</w:t>
      </w:r>
    </w:p>
    <w:p w14:paraId="40C468DA">
      <w:pPr>
        <w:autoSpaceDE w:val="0"/>
        <w:autoSpaceDN w:val="0"/>
        <w:adjustRightInd w:val="0"/>
        <w:snapToGrid w:val="0"/>
        <w:spacing w:before="120" w:beforeLines="50" w:line="300" w:lineRule="auto"/>
        <w:ind w:firstLine="539"/>
        <w:rPr>
          <w:rFonts w:ascii="宋体" w:cs="楷体_GB2312"/>
          <w:color w:val="auto"/>
          <w:sz w:val="24"/>
          <w:lang w:val="zh-CN"/>
        </w:rPr>
      </w:pPr>
      <w:r>
        <w:rPr>
          <w:rFonts w:hint="eastAsia" w:ascii="宋体" w:hAnsi="宋体" w:cs="楷体_GB2312"/>
          <w:color w:val="auto"/>
          <w:sz w:val="24"/>
          <w:lang w:val="zh-CN"/>
        </w:rPr>
        <w:t>（</w:t>
      </w:r>
      <w:r>
        <w:rPr>
          <w:rFonts w:ascii="宋体" w:hAnsi="宋体" w:cs="楷体_GB2312"/>
          <w:color w:val="auto"/>
          <w:sz w:val="24"/>
          <w:lang w:val="zh-CN"/>
        </w:rPr>
        <w:t>3</w:t>
      </w:r>
      <w:r>
        <w:rPr>
          <w:rFonts w:hint="eastAsia" w:ascii="宋体" w:hAnsi="宋体" w:cs="楷体_GB2312"/>
          <w:color w:val="auto"/>
          <w:sz w:val="24"/>
          <w:lang w:val="zh-CN"/>
        </w:rPr>
        <w:t>）以联合体形式参加投标的，应符供应商须知前附表的要求，联合体各方均应当符合政府采购法第二十二条第一款规定的条件，联合体各方均应当具备承担采购项目（标段&lt;包&gt;）的相应能力、具备规定的相应资格条件。</w:t>
      </w:r>
    </w:p>
    <w:p w14:paraId="49F7392E">
      <w:pPr>
        <w:autoSpaceDE w:val="0"/>
        <w:autoSpaceDN w:val="0"/>
        <w:adjustRightInd w:val="0"/>
        <w:snapToGrid w:val="0"/>
        <w:spacing w:before="120" w:beforeLines="50" w:line="300" w:lineRule="auto"/>
        <w:ind w:firstLine="539"/>
        <w:rPr>
          <w:rFonts w:ascii="宋体" w:cs="楷体_GB2312"/>
          <w:color w:val="auto"/>
          <w:sz w:val="24"/>
          <w:lang w:val="zh-CN"/>
        </w:rPr>
      </w:pPr>
      <w:r>
        <w:rPr>
          <w:rFonts w:hint="eastAsia" w:ascii="宋体" w:hAnsi="宋体" w:cs="楷体_GB2312"/>
          <w:color w:val="auto"/>
          <w:sz w:val="24"/>
          <w:lang w:val="zh-CN"/>
        </w:rPr>
        <w:t>（</w:t>
      </w:r>
      <w:r>
        <w:rPr>
          <w:rFonts w:ascii="宋体" w:hAnsi="宋体" w:cs="楷体_GB2312"/>
          <w:color w:val="auto"/>
          <w:sz w:val="24"/>
          <w:lang w:val="zh-CN"/>
        </w:rPr>
        <w:t>4</w:t>
      </w:r>
      <w:r>
        <w:rPr>
          <w:rFonts w:hint="eastAsia" w:ascii="宋体" w:hAnsi="宋体" w:cs="楷体_GB2312"/>
          <w:color w:val="auto"/>
          <w:sz w:val="24"/>
          <w:lang w:val="zh-CN"/>
        </w:rPr>
        <w:t>）联合体中有同类资质的供应商按照联合体分工承担相同工作的，应当按照资质等级较低的供应商确定资质等级。</w:t>
      </w:r>
    </w:p>
    <w:p w14:paraId="2C596637">
      <w:pPr>
        <w:autoSpaceDE w:val="0"/>
        <w:autoSpaceDN w:val="0"/>
        <w:adjustRightInd w:val="0"/>
        <w:snapToGrid w:val="0"/>
        <w:spacing w:before="120" w:beforeLines="50" w:line="300" w:lineRule="auto"/>
        <w:ind w:firstLine="539"/>
        <w:rPr>
          <w:rFonts w:ascii="宋体" w:cs="楷体_GB2312"/>
          <w:color w:val="auto"/>
          <w:sz w:val="24"/>
          <w:lang w:val="zh-CN"/>
        </w:rPr>
      </w:pPr>
      <w:r>
        <w:rPr>
          <w:rFonts w:hint="eastAsia" w:ascii="宋体" w:hAnsi="宋体" w:cs="楷体_GB2312"/>
          <w:color w:val="auto"/>
          <w:sz w:val="24"/>
          <w:lang w:val="zh-CN"/>
        </w:rPr>
        <w:t>（</w:t>
      </w:r>
      <w:r>
        <w:rPr>
          <w:rFonts w:ascii="宋体" w:hAnsi="宋体" w:cs="楷体_GB2312"/>
          <w:color w:val="auto"/>
          <w:sz w:val="24"/>
          <w:lang w:val="zh-CN"/>
        </w:rPr>
        <w:t>5</w:t>
      </w:r>
      <w:r>
        <w:rPr>
          <w:rFonts w:hint="eastAsia" w:ascii="宋体" w:hAnsi="宋体" w:cs="楷体_GB2312"/>
          <w:color w:val="auto"/>
          <w:sz w:val="24"/>
          <w:lang w:val="zh-CN"/>
        </w:rPr>
        <w:t>）联合体各方之间应当签订联合投标协议，明确约定联合体各方承担的工作和相应的责任，并将联合投标协议连同《响应文件》一并提交采购代理机构。</w:t>
      </w:r>
    </w:p>
    <w:p w14:paraId="7CB310E9">
      <w:pPr>
        <w:autoSpaceDE w:val="0"/>
        <w:autoSpaceDN w:val="0"/>
        <w:adjustRightInd w:val="0"/>
        <w:snapToGrid w:val="0"/>
        <w:spacing w:before="120" w:beforeLines="50" w:line="300" w:lineRule="auto"/>
        <w:ind w:firstLine="539"/>
        <w:rPr>
          <w:rFonts w:ascii="宋体" w:cs="楷体_GB2312"/>
          <w:color w:val="auto"/>
          <w:sz w:val="24"/>
          <w:lang w:val="zh-CN"/>
        </w:rPr>
      </w:pPr>
      <w:r>
        <w:rPr>
          <w:rFonts w:hint="eastAsia" w:ascii="宋体" w:hAnsi="宋体" w:cs="楷体_GB2312"/>
          <w:color w:val="auto"/>
          <w:sz w:val="24"/>
          <w:lang w:val="zh-CN"/>
        </w:rPr>
        <w:t>（</w:t>
      </w:r>
      <w:r>
        <w:rPr>
          <w:rFonts w:ascii="宋体" w:hAnsi="宋体" w:cs="楷体_GB2312"/>
          <w:color w:val="auto"/>
          <w:sz w:val="24"/>
          <w:lang w:val="zh-CN"/>
        </w:rPr>
        <w:t>6</w:t>
      </w:r>
      <w:r>
        <w:rPr>
          <w:rFonts w:hint="eastAsia" w:ascii="宋体" w:hAnsi="宋体" w:cs="楷体_GB2312"/>
          <w:color w:val="auto"/>
          <w:sz w:val="24"/>
          <w:lang w:val="zh-CN"/>
        </w:rPr>
        <w:t>）联合体各方签订联合投标协议后，不得再以自己名义单独在同一项目中投标，也不得组成新的联合体参加同一项目投标。</w:t>
      </w:r>
    </w:p>
    <w:p w14:paraId="7C9CBF0A">
      <w:pPr>
        <w:autoSpaceDE w:val="0"/>
        <w:autoSpaceDN w:val="0"/>
        <w:adjustRightInd w:val="0"/>
        <w:snapToGrid w:val="0"/>
        <w:spacing w:before="120" w:beforeLines="50" w:line="300" w:lineRule="auto"/>
        <w:ind w:firstLine="539"/>
        <w:rPr>
          <w:rFonts w:hint="eastAsia" w:ascii="宋体" w:hAnsi="宋体" w:cs="楷体_GB2312"/>
          <w:color w:val="auto"/>
          <w:sz w:val="24"/>
          <w:lang w:val="zh-CN"/>
        </w:rPr>
      </w:pPr>
      <w:r>
        <w:rPr>
          <w:rFonts w:hint="eastAsia" w:ascii="宋体" w:hAnsi="宋体" w:cs="楷体_GB2312"/>
          <w:color w:val="auto"/>
          <w:sz w:val="24"/>
          <w:lang w:val="zh-CN"/>
        </w:rPr>
        <w:t>（</w:t>
      </w:r>
      <w:r>
        <w:rPr>
          <w:rFonts w:ascii="宋体" w:hAnsi="宋体" w:cs="楷体_GB2312"/>
          <w:color w:val="auto"/>
          <w:sz w:val="24"/>
          <w:lang w:val="zh-CN"/>
        </w:rPr>
        <w:t>7</w:t>
      </w:r>
      <w:r>
        <w:rPr>
          <w:rFonts w:hint="eastAsia" w:ascii="宋体" w:hAnsi="宋体" w:cs="楷体_GB2312"/>
          <w:color w:val="auto"/>
          <w:sz w:val="24"/>
          <w:lang w:val="zh-CN"/>
        </w:rPr>
        <w:t>）联合体中标（成交）的，联合体各方应当共同与采购人签订合同，就中标（成交）项目（标段&lt;包&gt;）向采购人承担连带责任。</w:t>
      </w:r>
    </w:p>
    <w:p w14:paraId="2459E157">
      <w:pPr>
        <w:autoSpaceDE w:val="0"/>
        <w:autoSpaceDN w:val="0"/>
        <w:adjustRightInd w:val="0"/>
        <w:snapToGrid w:val="0"/>
        <w:spacing w:before="120" w:beforeLines="50" w:line="300" w:lineRule="auto"/>
        <w:ind w:firstLine="539"/>
        <w:rPr>
          <w:rFonts w:ascii="宋体" w:cs="楷体_GB2312"/>
          <w:color w:val="auto"/>
          <w:sz w:val="24"/>
          <w:lang w:val="zh-CN"/>
        </w:rPr>
      </w:pPr>
      <w:r>
        <w:rPr>
          <w:rFonts w:hint="eastAsia" w:ascii="宋体" w:hAnsi="宋体" w:cs="楷体_GB2312"/>
          <w:color w:val="auto"/>
          <w:sz w:val="24"/>
          <w:lang w:val="zh-CN"/>
        </w:rPr>
        <w:t>（8）预留中小企业份额项目中，</w:t>
      </w:r>
      <w:r>
        <w:rPr>
          <w:rFonts w:hint="eastAsia" w:ascii="宋体" w:hAnsi="宋体"/>
          <w:color w:val="auto"/>
          <w:sz w:val="24"/>
          <w:szCs w:val="24"/>
        </w:rPr>
        <w:t>组成联合体的中小企业与联合体内其他企业不得存在直接控股、管理关系。</w:t>
      </w:r>
    </w:p>
    <w:p w14:paraId="27268014">
      <w:pPr>
        <w:autoSpaceDE w:val="0"/>
        <w:autoSpaceDN w:val="0"/>
        <w:adjustRightInd w:val="0"/>
        <w:snapToGrid w:val="0"/>
        <w:spacing w:before="120" w:beforeLines="50" w:line="300" w:lineRule="auto"/>
        <w:ind w:firstLine="539"/>
        <w:rPr>
          <w:rFonts w:hint="eastAsia" w:ascii="黑体" w:hAnsi="黑体" w:eastAsia="黑体" w:cs="楷体_GB2312"/>
          <w:b/>
          <w:color w:val="auto"/>
          <w:sz w:val="24"/>
          <w:lang w:val="zh-CN"/>
        </w:rPr>
      </w:pPr>
      <w:r>
        <w:rPr>
          <w:rFonts w:hint="eastAsia" w:ascii="黑体" w:hAnsi="黑体" w:eastAsia="黑体" w:cs="楷体_GB2312"/>
          <w:b/>
          <w:color w:val="auto"/>
          <w:sz w:val="24"/>
          <w:lang w:val="zh-CN"/>
        </w:rPr>
        <w:t>1.5  知识产权</w:t>
      </w:r>
    </w:p>
    <w:p w14:paraId="0B0C3EF5">
      <w:pPr>
        <w:ind w:firstLine="480" w:firstLineChars="200"/>
        <w:rPr>
          <w:rFonts w:hint="eastAsia" w:ascii="宋体" w:hAnsi="宋体"/>
          <w:color w:val="auto"/>
          <w:sz w:val="24"/>
        </w:rPr>
      </w:pPr>
      <w:r>
        <w:rPr>
          <w:rFonts w:hint="eastAsia" w:ascii="宋体" w:hAnsi="宋体" w:cs="楷体_GB2312"/>
          <w:color w:val="auto"/>
          <w:sz w:val="24"/>
          <w:lang w:val="zh-CN"/>
        </w:rPr>
        <w:t>1.5.1 供应商须保证采购人使用投标货物、资料、技术、服务或其任何一部分时，享有不受限制的无偿使用权，不会产生因第三方提出侵犯其专利权、商标权或其它知识产权而引起的法律或经济纠纷。</w:t>
      </w:r>
      <w:r>
        <w:rPr>
          <w:rFonts w:hint="eastAsia" w:ascii="宋体" w:hAnsi="宋体"/>
          <w:color w:val="auto"/>
          <w:sz w:val="24"/>
        </w:rPr>
        <w:t>如因专利权、商标权或其它知识产权而引起法律和经济纠纷，由供应商承担所有相关责任。</w:t>
      </w:r>
    </w:p>
    <w:p w14:paraId="6FD7FF9D">
      <w:pPr>
        <w:autoSpaceDE w:val="0"/>
        <w:autoSpaceDN w:val="0"/>
        <w:adjustRightInd w:val="0"/>
        <w:snapToGrid w:val="0"/>
        <w:spacing w:before="120" w:beforeLines="50" w:line="300" w:lineRule="auto"/>
        <w:ind w:firstLine="539"/>
        <w:rPr>
          <w:rFonts w:hint="eastAsia" w:ascii="宋体" w:hAnsi="宋体" w:cs="楷体_GB2312"/>
          <w:color w:val="auto"/>
          <w:sz w:val="24"/>
          <w:lang w:val="zh-CN"/>
        </w:rPr>
      </w:pPr>
      <w:r>
        <w:rPr>
          <w:rFonts w:hint="eastAsia" w:ascii="宋体" w:hAnsi="宋体" w:cs="楷体_GB2312"/>
          <w:color w:val="auto"/>
          <w:sz w:val="24"/>
          <w:lang w:val="zh-CN"/>
        </w:rPr>
        <w:t>如供应商不拥有相应的知识产权，则在投标报价中必须包括合法获取该知识产权的一切相关费用。如因此导致采购人损失的，供应商须承担全部赔偿责任。</w:t>
      </w:r>
    </w:p>
    <w:p w14:paraId="4C76163B">
      <w:pPr>
        <w:spacing w:line="360" w:lineRule="auto"/>
        <w:ind w:firstLine="480" w:firstLineChars="200"/>
        <w:jc w:val="left"/>
        <w:rPr>
          <w:rFonts w:hint="eastAsia" w:ascii="宋体" w:hAnsi="宋体"/>
          <w:color w:val="auto"/>
          <w:sz w:val="24"/>
        </w:rPr>
      </w:pPr>
      <w:r>
        <w:rPr>
          <w:rFonts w:hint="eastAsia" w:ascii="宋体" w:hAnsi="宋体"/>
          <w:color w:val="auto"/>
          <w:sz w:val="24"/>
        </w:rPr>
        <w:t>1.5.2供应商将在采购项目实施过程中采用自有或者第三方知识成果的，应当在投标文件中载明，并提供相关知识产权证明文件。使用该知识成果后，供应商需提供开发接口和开发手册等技术资料，并承诺提供无限期支持，采购人享有使用权（含采购人委托第三方在该项目后续开发的使用权）。</w:t>
      </w:r>
    </w:p>
    <w:p w14:paraId="693FBA5C">
      <w:pPr>
        <w:spacing w:line="360" w:lineRule="auto"/>
        <w:ind w:firstLine="480" w:firstLineChars="200"/>
        <w:jc w:val="left"/>
        <w:rPr>
          <w:rFonts w:hint="eastAsia" w:ascii="宋体" w:hAnsi="宋体"/>
          <w:color w:val="auto"/>
          <w:sz w:val="24"/>
        </w:rPr>
      </w:pPr>
      <w:r>
        <w:rPr>
          <w:rFonts w:hint="eastAsia" w:ascii="宋体" w:hAnsi="宋体"/>
          <w:color w:val="auto"/>
          <w:sz w:val="24"/>
        </w:rPr>
        <w:t>1.5.3 除非磋商文件特别规定，采购人享有本项目实施过程中产生的知识成果及知识产权。</w:t>
      </w:r>
    </w:p>
    <w:p w14:paraId="4CDD4EF6">
      <w:pPr>
        <w:autoSpaceDE w:val="0"/>
        <w:autoSpaceDN w:val="0"/>
        <w:adjustRightInd w:val="0"/>
        <w:snapToGrid w:val="0"/>
        <w:spacing w:before="120" w:beforeLines="50" w:line="300" w:lineRule="auto"/>
        <w:ind w:firstLine="539"/>
        <w:rPr>
          <w:rFonts w:hint="eastAsia" w:ascii="黑体" w:hAnsi="黑体" w:eastAsia="黑体" w:cs="楷体_GB2312"/>
          <w:b/>
          <w:color w:val="auto"/>
          <w:sz w:val="24"/>
          <w:lang w:val="zh-CN"/>
        </w:rPr>
      </w:pPr>
      <w:r>
        <w:rPr>
          <w:rFonts w:ascii="黑体" w:hAnsi="黑体" w:eastAsia="黑体" w:cs="楷体_GB2312"/>
          <w:b/>
          <w:color w:val="auto"/>
          <w:sz w:val="24"/>
          <w:lang w:val="zh-CN"/>
        </w:rPr>
        <w:t>1.</w:t>
      </w:r>
      <w:r>
        <w:rPr>
          <w:rFonts w:hint="eastAsia" w:ascii="黑体" w:hAnsi="黑体" w:eastAsia="黑体" w:cs="楷体_GB2312"/>
          <w:b/>
          <w:color w:val="auto"/>
          <w:sz w:val="24"/>
          <w:lang w:val="zh-CN"/>
        </w:rPr>
        <w:t>6</w:t>
      </w:r>
      <w:r>
        <w:rPr>
          <w:rFonts w:ascii="黑体" w:hAnsi="黑体" w:eastAsia="黑体" w:cs="楷体_GB2312"/>
          <w:b/>
          <w:color w:val="auto"/>
          <w:sz w:val="24"/>
          <w:lang w:val="zh-CN"/>
        </w:rPr>
        <w:t xml:space="preserve">  </w:t>
      </w:r>
      <w:r>
        <w:rPr>
          <w:rFonts w:hint="eastAsia" w:ascii="黑体" w:hAnsi="黑体" w:eastAsia="黑体" w:cs="楷体_GB2312"/>
          <w:b/>
          <w:color w:val="auto"/>
          <w:sz w:val="24"/>
          <w:lang w:val="zh-CN"/>
        </w:rPr>
        <w:t>费用</w:t>
      </w:r>
    </w:p>
    <w:p w14:paraId="612B10A7">
      <w:pPr>
        <w:autoSpaceDE w:val="0"/>
        <w:autoSpaceDN w:val="0"/>
        <w:adjustRightInd w:val="0"/>
        <w:snapToGrid w:val="0"/>
        <w:spacing w:before="120" w:beforeLines="50" w:line="300" w:lineRule="auto"/>
        <w:ind w:firstLine="539"/>
        <w:rPr>
          <w:rFonts w:ascii="宋体" w:cs="楷体_GB2312"/>
          <w:color w:val="auto"/>
          <w:sz w:val="24"/>
          <w:lang w:val="zh-CN"/>
        </w:rPr>
      </w:pPr>
      <w:r>
        <w:rPr>
          <w:rFonts w:hint="eastAsia" w:ascii="宋体" w:hAnsi="宋体" w:cs="楷体_GB2312"/>
          <w:color w:val="auto"/>
          <w:sz w:val="24"/>
          <w:lang w:val="zh-CN"/>
        </w:rPr>
        <w:t>无论磋商过程中的做法和结果如何，无论何种原因的磋商失败或终止，供应商应自行承担所有与准备和参加磋商有关的全部费用（类比商业采购中的客户洽谈费用），采购代理机构在任何情况下均无义务和责任承担供应商的任何费用。</w:t>
      </w:r>
    </w:p>
    <w:p w14:paraId="4C2AB5FA">
      <w:pPr>
        <w:autoSpaceDE w:val="0"/>
        <w:autoSpaceDN w:val="0"/>
        <w:adjustRightInd w:val="0"/>
        <w:snapToGrid w:val="0"/>
        <w:spacing w:before="120" w:beforeLines="50" w:line="300" w:lineRule="auto"/>
        <w:ind w:firstLine="539"/>
        <w:rPr>
          <w:rFonts w:hint="eastAsia" w:ascii="黑体" w:hAnsi="黑体" w:eastAsia="黑体" w:cs="楷体_GB2312"/>
          <w:b/>
          <w:color w:val="auto"/>
          <w:sz w:val="24"/>
          <w:lang w:val="zh-CN"/>
        </w:rPr>
      </w:pPr>
      <w:r>
        <w:rPr>
          <w:rFonts w:ascii="黑体" w:hAnsi="黑体" w:eastAsia="黑体" w:cs="楷体_GB2312"/>
          <w:b/>
          <w:color w:val="auto"/>
          <w:sz w:val="24"/>
          <w:lang w:val="zh-CN"/>
        </w:rPr>
        <w:t>1.</w:t>
      </w:r>
      <w:r>
        <w:rPr>
          <w:rFonts w:hint="eastAsia" w:ascii="黑体" w:hAnsi="黑体" w:eastAsia="黑体" w:cs="楷体_GB2312"/>
          <w:b/>
          <w:color w:val="auto"/>
          <w:sz w:val="24"/>
          <w:lang w:val="zh-CN"/>
        </w:rPr>
        <w:t>7</w:t>
      </w:r>
      <w:r>
        <w:rPr>
          <w:rFonts w:ascii="黑体" w:hAnsi="黑体" w:eastAsia="黑体" w:cs="楷体_GB2312"/>
          <w:b/>
          <w:color w:val="auto"/>
          <w:sz w:val="24"/>
          <w:lang w:val="zh-CN"/>
        </w:rPr>
        <w:t xml:space="preserve"> </w:t>
      </w:r>
      <w:r>
        <w:rPr>
          <w:rFonts w:hint="eastAsia" w:ascii="黑体" w:hAnsi="黑体" w:eastAsia="黑体" w:cs="楷体_GB2312"/>
          <w:b/>
          <w:color w:val="auto"/>
          <w:sz w:val="24"/>
          <w:lang w:val="zh-CN"/>
        </w:rPr>
        <w:t>保密</w:t>
      </w:r>
    </w:p>
    <w:p w14:paraId="1D941376">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s="楷体_GB2312"/>
          <w:color w:val="auto"/>
          <w:sz w:val="24"/>
          <w:lang w:val="zh-CN"/>
        </w:rPr>
        <w:t>1.</w:t>
      </w:r>
      <w:r>
        <w:rPr>
          <w:rFonts w:hint="eastAsia" w:ascii="宋体" w:hAnsi="宋体" w:cs="楷体_GB2312"/>
          <w:color w:val="auto"/>
          <w:sz w:val="24"/>
          <w:lang w:val="zh-CN"/>
        </w:rPr>
        <w:t>7</w:t>
      </w:r>
      <w:r>
        <w:rPr>
          <w:rFonts w:ascii="宋体" w:hAnsi="宋体" w:cs="楷体_GB2312"/>
          <w:color w:val="auto"/>
          <w:sz w:val="24"/>
          <w:lang w:val="zh-CN"/>
        </w:rPr>
        <w:t xml:space="preserve">.1 </w:t>
      </w:r>
      <w:r>
        <w:rPr>
          <w:rFonts w:hint="eastAsia" w:ascii="宋体" w:hAnsi="宋体" w:cs="楷体_GB2312"/>
          <w:color w:val="auto"/>
          <w:sz w:val="24"/>
          <w:lang w:val="zh-CN"/>
        </w:rPr>
        <w:t>参与竞争性磋商活动的各方应对《磋商文件》和《响应文件》中的商业和技术等秘密保密，供应商应在《响应文件》中对需保密事项予以书面声明，否则视为非保密事项。</w:t>
      </w:r>
    </w:p>
    <w:p w14:paraId="54BB4EF6">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s="楷体_GB2312"/>
          <w:color w:val="auto"/>
          <w:sz w:val="24"/>
          <w:lang w:val="zh-CN"/>
        </w:rPr>
        <w:t>1.</w:t>
      </w:r>
      <w:r>
        <w:rPr>
          <w:rFonts w:hint="eastAsia" w:ascii="宋体" w:hAnsi="宋体" w:cs="楷体_GB2312"/>
          <w:color w:val="auto"/>
          <w:sz w:val="24"/>
          <w:lang w:val="zh-CN"/>
        </w:rPr>
        <w:t>7</w:t>
      </w:r>
      <w:r>
        <w:rPr>
          <w:rFonts w:ascii="宋体" w:hAnsi="宋体" w:cs="楷体_GB2312"/>
          <w:color w:val="auto"/>
          <w:sz w:val="24"/>
          <w:lang w:val="zh-CN"/>
        </w:rPr>
        <w:t xml:space="preserve">.2 </w:t>
      </w:r>
      <w:r>
        <w:rPr>
          <w:rFonts w:hint="eastAsia" w:ascii="宋体" w:hAnsi="宋体" w:cs="楷体_GB2312"/>
          <w:color w:val="auto"/>
          <w:sz w:val="24"/>
          <w:lang w:val="zh-CN"/>
        </w:rPr>
        <w:t>依据政府采购成交结果及合同公告规定，成交（合同）标的名称、规格型号、单价及成交（合同）金额等内容不得作为商业秘密。</w:t>
      </w:r>
    </w:p>
    <w:p w14:paraId="30D11CF1">
      <w:pPr>
        <w:autoSpaceDE w:val="0"/>
        <w:autoSpaceDN w:val="0"/>
        <w:adjustRightInd w:val="0"/>
        <w:snapToGrid w:val="0"/>
        <w:spacing w:before="120" w:beforeLines="50" w:line="300" w:lineRule="auto"/>
        <w:ind w:firstLine="539"/>
        <w:rPr>
          <w:rFonts w:hint="eastAsia" w:ascii="黑体" w:hAnsi="黑体" w:eastAsia="黑体" w:cs="楷体_GB2312"/>
          <w:b/>
          <w:color w:val="auto"/>
          <w:sz w:val="24"/>
          <w:lang w:val="zh-CN"/>
        </w:rPr>
      </w:pPr>
      <w:r>
        <w:rPr>
          <w:rFonts w:ascii="黑体" w:hAnsi="黑体" w:eastAsia="黑体" w:cs="楷体_GB2312"/>
          <w:b/>
          <w:color w:val="auto"/>
          <w:sz w:val="24"/>
          <w:lang w:val="zh-CN"/>
        </w:rPr>
        <w:t>1.</w:t>
      </w:r>
      <w:r>
        <w:rPr>
          <w:rFonts w:hint="eastAsia" w:ascii="黑体" w:hAnsi="黑体" w:eastAsia="黑体" w:cs="楷体_GB2312"/>
          <w:b/>
          <w:color w:val="auto"/>
          <w:sz w:val="24"/>
          <w:lang w:val="zh-CN"/>
        </w:rPr>
        <w:t>8</w:t>
      </w:r>
      <w:r>
        <w:rPr>
          <w:rFonts w:ascii="黑体" w:hAnsi="黑体" w:eastAsia="黑体" w:cs="楷体_GB2312"/>
          <w:b/>
          <w:color w:val="auto"/>
          <w:sz w:val="24"/>
          <w:lang w:val="zh-CN"/>
        </w:rPr>
        <w:t xml:space="preserve"> </w:t>
      </w:r>
      <w:r>
        <w:rPr>
          <w:rFonts w:hint="eastAsia" w:ascii="黑体" w:hAnsi="黑体" w:eastAsia="黑体" w:cs="楷体_GB2312"/>
          <w:b/>
          <w:color w:val="auto"/>
          <w:sz w:val="24"/>
          <w:lang w:val="zh-CN"/>
        </w:rPr>
        <w:t>语言文字</w:t>
      </w:r>
    </w:p>
    <w:p w14:paraId="615020C4">
      <w:pPr>
        <w:autoSpaceDE w:val="0"/>
        <w:autoSpaceDN w:val="0"/>
        <w:adjustRightInd w:val="0"/>
        <w:snapToGrid w:val="0"/>
        <w:spacing w:before="120" w:beforeLines="50" w:line="300" w:lineRule="auto"/>
        <w:ind w:firstLine="539"/>
        <w:rPr>
          <w:rFonts w:ascii="宋体" w:cs="楷体_GB2312"/>
          <w:color w:val="auto"/>
          <w:sz w:val="24"/>
          <w:lang w:val="zh-CN"/>
        </w:rPr>
      </w:pPr>
      <w:r>
        <w:rPr>
          <w:rFonts w:hint="eastAsia" w:ascii="宋体" w:hAnsi="宋体" w:cs="楷体_GB2312"/>
          <w:color w:val="auto"/>
          <w:sz w:val="24"/>
          <w:lang w:val="zh-CN"/>
        </w:rPr>
        <w:t>除专用术语外，与竞争性磋商有关的语言均使用中文。必要时专用术语应附有中文注释。如果《响应文件》或与投标有关的其它文件、信件及来往函电以其它语言书写，供应商应将其译成中文，并对中文译稿的真实、准确、完整承担责任。</w:t>
      </w:r>
    </w:p>
    <w:p w14:paraId="5A05E986">
      <w:pPr>
        <w:autoSpaceDE w:val="0"/>
        <w:autoSpaceDN w:val="0"/>
        <w:adjustRightInd w:val="0"/>
        <w:snapToGrid w:val="0"/>
        <w:spacing w:before="120" w:beforeLines="50" w:line="300" w:lineRule="auto"/>
        <w:ind w:firstLine="539"/>
        <w:rPr>
          <w:rFonts w:hint="eastAsia" w:ascii="黑体" w:hAnsi="黑体" w:eastAsia="黑体" w:cs="楷体_GB2312"/>
          <w:b/>
          <w:color w:val="auto"/>
          <w:sz w:val="24"/>
          <w:lang w:val="zh-CN"/>
        </w:rPr>
      </w:pPr>
      <w:r>
        <w:rPr>
          <w:rFonts w:ascii="黑体" w:hAnsi="黑体" w:eastAsia="黑体" w:cs="楷体_GB2312"/>
          <w:b/>
          <w:color w:val="auto"/>
          <w:sz w:val="24"/>
          <w:lang w:val="zh-CN"/>
        </w:rPr>
        <w:t>1.</w:t>
      </w:r>
      <w:r>
        <w:rPr>
          <w:rFonts w:hint="eastAsia" w:ascii="黑体" w:hAnsi="黑体" w:eastAsia="黑体" w:cs="楷体_GB2312"/>
          <w:b/>
          <w:color w:val="auto"/>
          <w:sz w:val="24"/>
          <w:lang w:val="zh-CN"/>
        </w:rPr>
        <w:t>9</w:t>
      </w:r>
      <w:r>
        <w:rPr>
          <w:rFonts w:ascii="黑体" w:hAnsi="黑体" w:eastAsia="黑体" w:cs="楷体_GB2312"/>
          <w:b/>
          <w:color w:val="auto"/>
          <w:sz w:val="24"/>
          <w:lang w:val="zh-CN"/>
        </w:rPr>
        <w:t xml:space="preserve"> </w:t>
      </w:r>
      <w:r>
        <w:rPr>
          <w:rFonts w:hint="eastAsia" w:ascii="黑体" w:hAnsi="黑体" w:eastAsia="黑体" w:cs="楷体_GB2312"/>
          <w:b/>
          <w:color w:val="auto"/>
          <w:sz w:val="24"/>
          <w:lang w:val="zh-CN"/>
        </w:rPr>
        <w:t>计量单位</w:t>
      </w:r>
    </w:p>
    <w:p w14:paraId="2FDCB038">
      <w:pPr>
        <w:autoSpaceDE w:val="0"/>
        <w:autoSpaceDN w:val="0"/>
        <w:adjustRightInd w:val="0"/>
        <w:snapToGrid w:val="0"/>
        <w:spacing w:before="120" w:beforeLines="50" w:line="300" w:lineRule="auto"/>
        <w:ind w:firstLine="539"/>
        <w:rPr>
          <w:rFonts w:ascii="宋体" w:cs="楷体_GB2312"/>
          <w:color w:val="auto"/>
          <w:sz w:val="24"/>
          <w:lang w:val="zh-CN"/>
        </w:rPr>
      </w:pPr>
      <w:r>
        <w:rPr>
          <w:rFonts w:hint="eastAsia" w:ascii="宋体" w:hAnsi="宋体" w:cs="楷体_GB2312"/>
          <w:color w:val="auto"/>
          <w:sz w:val="24"/>
          <w:lang w:val="zh-CN"/>
        </w:rPr>
        <w:t>所有计量均采用中华人民共和国法定计量单位。</w:t>
      </w:r>
    </w:p>
    <w:p w14:paraId="40611575">
      <w:pPr>
        <w:autoSpaceDE w:val="0"/>
        <w:autoSpaceDN w:val="0"/>
        <w:adjustRightInd w:val="0"/>
        <w:snapToGrid w:val="0"/>
        <w:spacing w:before="120" w:beforeLines="50" w:line="300" w:lineRule="auto"/>
        <w:ind w:firstLine="539"/>
        <w:rPr>
          <w:rFonts w:hint="eastAsia" w:ascii="黑体" w:hAnsi="黑体" w:eastAsia="黑体" w:cs="楷体_GB2312"/>
          <w:b/>
          <w:color w:val="auto"/>
          <w:sz w:val="24"/>
          <w:lang w:val="zh-CN"/>
        </w:rPr>
      </w:pPr>
      <w:r>
        <w:rPr>
          <w:rFonts w:ascii="黑体" w:hAnsi="黑体" w:eastAsia="黑体" w:cs="楷体_GB2312"/>
          <w:b/>
          <w:color w:val="auto"/>
          <w:sz w:val="24"/>
          <w:lang w:val="zh-CN"/>
        </w:rPr>
        <w:t>1.</w:t>
      </w:r>
      <w:r>
        <w:rPr>
          <w:rFonts w:hint="eastAsia" w:ascii="黑体" w:hAnsi="黑体" w:eastAsia="黑体" w:cs="楷体_GB2312"/>
          <w:b/>
          <w:color w:val="auto"/>
          <w:sz w:val="24"/>
          <w:lang w:val="zh-CN"/>
        </w:rPr>
        <w:t>10</w:t>
      </w:r>
      <w:r>
        <w:rPr>
          <w:rFonts w:ascii="黑体" w:hAnsi="黑体" w:eastAsia="黑体" w:cs="楷体_GB2312"/>
          <w:b/>
          <w:color w:val="auto"/>
          <w:sz w:val="24"/>
          <w:lang w:val="zh-CN"/>
        </w:rPr>
        <w:t xml:space="preserve"> </w:t>
      </w:r>
      <w:r>
        <w:rPr>
          <w:rFonts w:hint="eastAsia" w:ascii="黑体" w:hAnsi="黑体" w:eastAsia="黑体" w:cs="楷体_GB2312"/>
          <w:b/>
          <w:color w:val="auto"/>
          <w:sz w:val="24"/>
          <w:lang w:val="zh-CN"/>
        </w:rPr>
        <w:t>踏勘现场</w:t>
      </w:r>
    </w:p>
    <w:p w14:paraId="6780FD6C">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s="楷体_GB2312"/>
          <w:color w:val="auto"/>
          <w:sz w:val="24"/>
          <w:lang w:val="zh-CN"/>
        </w:rPr>
        <w:t>1.</w:t>
      </w:r>
      <w:r>
        <w:rPr>
          <w:rFonts w:hint="eastAsia" w:ascii="宋体" w:hAnsi="宋体" w:cs="楷体_GB2312"/>
          <w:color w:val="auto"/>
          <w:sz w:val="24"/>
          <w:lang w:val="zh-CN"/>
        </w:rPr>
        <w:t>10</w:t>
      </w:r>
      <w:r>
        <w:rPr>
          <w:rFonts w:ascii="宋体" w:hAnsi="宋体" w:cs="楷体_GB2312"/>
          <w:color w:val="auto"/>
          <w:sz w:val="24"/>
          <w:lang w:val="zh-CN"/>
        </w:rPr>
        <w:t>.1</w:t>
      </w:r>
      <w:r>
        <w:rPr>
          <w:rFonts w:hint="eastAsia" w:ascii="宋体" w:hAnsi="宋体" w:cs="楷体_GB2312"/>
          <w:color w:val="auto"/>
          <w:sz w:val="24"/>
          <w:lang w:val="zh-CN"/>
        </w:rPr>
        <w:t>供应商踏勘现场发生的费用自理，供应商自行负责在踏勘现场中所发生的人员伤亡和财产损失。</w:t>
      </w:r>
    </w:p>
    <w:p w14:paraId="5A8702DB">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s="楷体_GB2312"/>
          <w:color w:val="auto"/>
          <w:sz w:val="24"/>
          <w:lang w:val="zh-CN"/>
        </w:rPr>
        <w:t>1.</w:t>
      </w:r>
      <w:r>
        <w:rPr>
          <w:rFonts w:hint="eastAsia" w:ascii="宋体" w:hAnsi="宋体" w:cs="楷体_GB2312"/>
          <w:color w:val="auto"/>
          <w:sz w:val="24"/>
          <w:lang w:val="zh-CN"/>
        </w:rPr>
        <w:t>10</w:t>
      </w:r>
      <w:r>
        <w:rPr>
          <w:rFonts w:ascii="宋体" w:hAnsi="宋体" w:cs="楷体_GB2312"/>
          <w:color w:val="auto"/>
          <w:sz w:val="24"/>
          <w:lang w:val="zh-CN"/>
        </w:rPr>
        <w:t>.2</w:t>
      </w:r>
      <w:r>
        <w:rPr>
          <w:rFonts w:hint="eastAsia" w:ascii="宋体" w:hAnsi="宋体" w:cs="楷体_GB2312"/>
          <w:color w:val="auto"/>
          <w:sz w:val="24"/>
          <w:lang w:val="zh-CN"/>
        </w:rPr>
        <w:t>供应商须知前附表规定组织踏勘现场的，采购人及代理机构按供应商须知前附表规定的时间、地点组织供应商踏勘项目现场。采购人及代理机构在踏勘现场中介绍的交验安装条件和相关的周边环境情况，供应商在编制《响应文件》时参考，采购人及代理机构不对供应商据此作出的判断和决策负责。</w:t>
      </w:r>
    </w:p>
    <w:p w14:paraId="0885779C">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s="楷体_GB2312"/>
          <w:color w:val="auto"/>
          <w:sz w:val="24"/>
          <w:lang w:val="zh-CN"/>
        </w:rPr>
        <w:t>1.</w:t>
      </w:r>
      <w:r>
        <w:rPr>
          <w:rFonts w:hint="eastAsia" w:ascii="宋体" w:hAnsi="宋体" w:cs="楷体_GB2312"/>
          <w:color w:val="auto"/>
          <w:sz w:val="24"/>
          <w:lang w:val="zh-CN"/>
        </w:rPr>
        <w:t>10</w:t>
      </w:r>
      <w:r>
        <w:rPr>
          <w:rFonts w:ascii="宋体" w:hAnsi="宋体" w:cs="楷体_GB2312"/>
          <w:color w:val="auto"/>
          <w:sz w:val="24"/>
          <w:lang w:val="zh-CN"/>
        </w:rPr>
        <w:t xml:space="preserve">.3  </w:t>
      </w:r>
      <w:r>
        <w:rPr>
          <w:rFonts w:hint="eastAsia" w:ascii="宋体" w:hAnsi="宋体" w:cs="楷体_GB2312"/>
          <w:color w:val="auto"/>
          <w:sz w:val="24"/>
          <w:lang w:val="zh-CN"/>
        </w:rPr>
        <w:t>供应商须知前附表规定不组织踏勘现场的，《磋商文件》不单独提供交验地自然环境、气候条件、交验安装条件等情况说明，供应商被视为熟悉前述与履行合同有关的一切情况，供应商可自行踏勘现场并自行了解相关情况。</w:t>
      </w:r>
    </w:p>
    <w:p w14:paraId="034A4C4E">
      <w:pPr>
        <w:autoSpaceDE w:val="0"/>
        <w:autoSpaceDN w:val="0"/>
        <w:adjustRightInd w:val="0"/>
        <w:snapToGrid w:val="0"/>
        <w:spacing w:before="120" w:beforeLines="50" w:line="300" w:lineRule="auto"/>
        <w:ind w:firstLine="539"/>
        <w:rPr>
          <w:rFonts w:hint="eastAsia" w:ascii="黑体" w:hAnsi="黑体" w:eastAsia="黑体" w:cs="楷体_GB2312"/>
          <w:b/>
          <w:color w:val="auto"/>
          <w:sz w:val="24"/>
          <w:lang w:val="zh-CN"/>
        </w:rPr>
      </w:pPr>
      <w:r>
        <w:rPr>
          <w:rFonts w:ascii="黑体" w:hAnsi="黑体" w:eastAsia="黑体" w:cs="楷体_GB2312"/>
          <w:b/>
          <w:color w:val="auto"/>
          <w:sz w:val="24"/>
          <w:lang w:val="zh-CN"/>
        </w:rPr>
        <w:t>1.1</w:t>
      </w:r>
      <w:r>
        <w:rPr>
          <w:rFonts w:hint="eastAsia" w:ascii="黑体" w:hAnsi="黑体" w:eastAsia="黑体" w:cs="楷体_GB2312"/>
          <w:b/>
          <w:color w:val="auto"/>
          <w:sz w:val="24"/>
          <w:lang w:val="zh-CN"/>
        </w:rPr>
        <w:t>1</w:t>
      </w:r>
      <w:r>
        <w:rPr>
          <w:rFonts w:ascii="黑体" w:hAnsi="黑体" w:eastAsia="黑体" w:cs="楷体_GB2312"/>
          <w:b/>
          <w:color w:val="auto"/>
          <w:sz w:val="24"/>
          <w:lang w:val="zh-CN"/>
        </w:rPr>
        <w:t xml:space="preserve"> </w:t>
      </w:r>
      <w:r>
        <w:rPr>
          <w:rFonts w:hint="eastAsia" w:ascii="黑体" w:hAnsi="黑体" w:eastAsia="黑体" w:cs="楷体_GB2312"/>
          <w:b/>
          <w:color w:val="auto"/>
          <w:sz w:val="24"/>
          <w:lang w:val="zh-CN"/>
        </w:rPr>
        <w:t>投标预备会</w:t>
      </w:r>
    </w:p>
    <w:p w14:paraId="545DFB64">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s="楷体_GB2312"/>
          <w:color w:val="auto"/>
          <w:sz w:val="24"/>
          <w:lang w:val="zh-CN"/>
        </w:rPr>
        <w:t>1.1</w:t>
      </w:r>
      <w:r>
        <w:rPr>
          <w:rFonts w:hint="eastAsia" w:ascii="宋体" w:hAnsi="宋体" w:cs="楷体_GB2312"/>
          <w:color w:val="auto"/>
          <w:sz w:val="24"/>
          <w:lang w:val="zh-CN"/>
        </w:rPr>
        <w:t>1</w:t>
      </w:r>
      <w:r>
        <w:rPr>
          <w:rFonts w:ascii="宋体" w:hAnsi="宋体" w:cs="楷体_GB2312"/>
          <w:color w:val="auto"/>
          <w:sz w:val="24"/>
          <w:lang w:val="zh-CN"/>
        </w:rPr>
        <w:t xml:space="preserve">.1 </w:t>
      </w:r>
      <w:r>
        <w:rPr>
          <w:rFonts w:hint="eastAsia" w:ascii="宋体" w:hAnsi="宋体" w:cs="楷体_GB2312"/>
          <w:color w:val="auto"/>
          <w:sz w:val="24"/>
          <w:lang w:val="zh-CN"/>
        </w:rPr>
        <w:t>供应商须知前附表规定召开投标预备会的，采购人及代理机构按供应商须知前附表规定的时间和地点召开投标预备会，澄清供应商提出的问题。</w:t>
      </w:r>
    </w:p>
    <w:p w14:paraId="348207DE">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s="楷体_GB2312"/>
          <w:color w:val="auto"/>
          <w:sz w:val="24"/>
          <w:lang w:val="zh-CN"/>
        </w:rPr>
        <w:t>1.1</w:t>
      </w:r>
      <w:r>
        <w:rPr>
          <w:rFonts w:hint="eastAsia" w:ascii="宋体" w:hAnsi="宋体" w:cs="楷体_GB2312"/>
          <w:color w:val="auto"/>
          <w:sz w:val="24"/>
          <w:lang w:val="zh-CN"/>
        </w:rPr>
        <w:t>1</w:t>
      </w:r>
      <w:r>
        <w:rPr>
          <w:rFonts w:ascii="宋体" w:hAnsi="宋体" w:cs="楷体_GB2312"/>
          <w:color w:val="auto"/>
          <w:sz w:val="24"/>
          <w:lang w:val="zh-CN"/>
        </w:rPr>
        <w:t xml:space="preserve">.2 </w:t>
      </w:r>
      <w:r>
        <w:rPr>
          <w:rFonts w:hint="eastAsia" w:ascii="宋体" w:hAnsi="宋体" w:cs="楷体_GB2312"/>
          <w:color w:val="auto"/>
          <w:sz w:val="24"/>
          <w:lang w:val="zh-CN"/>
        </w:rPr>
        <w:t>供应商应在供应商须知前附表规定的时间前，以书面形式将提出的问题送达采购人及代理机构，以便采购人及代理机构在会议期间澄清。</w:t>
      </w:r>
    </w:p>
    <w:p w14:paraId="7B74A6A3">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s="楷体_GB2312"/>
          <w:color w:val="auto"/>
          <w:sz w:val="24"/>
          <w:lang w:val="zh-CN"/>
        </w:rPr>
        <w:t>1.1</w:t>
      </w:r>
      <w:r>
        <w:rPr>
          <w:rFonts w:hint="eastAsia" w:ascii="宋体" w:hAnsi="宋体" w:cs="楷体_GB2312"/>
          <w:color w:val="auto"/>
          <w:sz w:val="24"/>
          <w:lang w:val="zh-CN"/>
        </w:rPr>
        <w:t>1</w:t>
      </w:r>
      <w:r>
        <w:rPr>
          <w:rFonts w:ascii="宋体" w:hAnsi="宋体" w:cs="楷体_GB2312"/>
          <w:color w:val="auto"/>
          <w:sz w:val="24"/>
          <w:lang w:val="zh-CN"/>
        </w:rPr>
        <w:t xml:space="preserve">.3 </w:t>
      </w:r>
      <w:r>
        <w:rPr>
          <w:rFonts w:hint="eastAsia" w:ascii="宋体" w:hAnsi="宋体" w:cs="楷体_GB2312"/>
          <w:color w:val="auto"/>
          <w:sz w:val="24"/>
          <w:lang w:val="zh-CN"/>
        </w:rPr>
        <w:t>投标预备会后，采购人及代理机构在供应商须知前附表规定的时间内，将对供应商所提问题的澄清，以本章</w:t>
      </w:r>
      <w:r>
        <w:rPr>
          <w:rFonts w:ascii="宋体" w:hAnsi="宋体" w:cs="楷体_GB2312"/>
          <w:color w:val="auto"/>
          <w:sz w:val="24"/>
          <w:lang w:val="zh-CN"/>
        </w:rPr>
        <w:t>2.3.2</w:t>
      </w:r>
      <w:r>
        <w:rPr>
          <w:rFonts w:hint="eastAsia" w:ascii="宋体" w:hAnsi="宋体" w:cs="楷体_GB2312"/>
          <w:color w:val="auto"/>
          <w:sz w:val="24"/>
          <w:lang w:val="zh-CN"/>
        </w:rPr>
        <w:t>项方式通告潜在供应商。该澄清内容为《磋商文件》的组成部分。</w:t>
      </w:r>
    </w:p>
    <w:p w14:paraId="4529B6FF">
      <w:pPr>
        <w:autoSpaceDE w:val="0"/>
        <w:autoSpaceDN w:val="0"/>
        <w:adjustRightInd w:val="0"/>
        <w:snapToGrid w:val="0"/>
        <w:spacing w:before="120" w:beforeLines="50" w:line="300" w:lineRule="auto"/>
        <w:ind w:firstLine="539"/>
        <w:rPr>
          <w:rFonts w:hint="eastAsia" w:ascii="黑体" w:hAnsi="黑体" w:eastAsia="黑体" w:cs="楷体_GB2312"/>
          <w:b/>
          <w:color w:val="auto"/>
          <w:sz w:val="24"/>
          <w:lang w:val="zh-CN"/>
        </w:rPr>
      </w:pPr>
      <w:r>
        <w:rPr>
          <w:rFonts w:ascii="黑体" w:hAnsi="黑体" w:eastAsia="黑体" w:cs="楷体_GB2312"/>
          <w:b/>
          <w:color w:val="auto"/>
          <w:sz w:val="24"/>
          <w:lang w:val="zh-CN"/>
        </w:rPr>
        <w:t>1.1</w:t>
      </w:r>
      <w:r>
        <w:rPr>
          <w:rFonts w:hint="eastAsia" w:ascii="黑体" w:hAnsi="黑体" w:eastAsia="黑体" w:cs="楷体_GB2312"/>
          <w:b/>
          <w:color w:val="auto"/>
          <w:sz w:val="24"/>
          <w:lang w:val="zh-CN"/>
        </w:rPr>
        <w:t>2</w:t>
      </w:r>
      <w:r>
        <w:rPr>
          <w:rFonts w:ascii="黑体" w:hAnsi="黑体" w:eastAsia="黑体" w:cs="楷体_GB2312"/>
          <w:b/>
          <w:color w:val="auto"/>
          <w:sz w:val="24"/>
          <w:lang w:val="zh-CN"/>
        </w:rPr>
        <w:t xml:space="preserve"> </w:t>
      </w:r>
      <w:r>
        <w:rPr>
          <w:rFonts w:hint="eastAsia" w:ascii="黑体" w:hAnsi="黑体" w:eastAsia="黑体" w:cs="楷体_GB2312"/>
          <w:b/>
          <w:color w:val="auto"/>
          <w:sz w:val="24"/>
          <w:lang w:val="zh-CN"/>
        </w:rPr>
        <w:t>分包</w:t>
      </w:r>
    </w:p>
    <w:p w14:paraId="6C5E312C">
      <w:pPr>
        <w:autoSpaceDE w:val="0"/>
        <w:autoSpaceDN w:val="0"/>
        <w:adjustRightInd w:val="0"/>
        <w:snapToGrid w:val="0"/>
        <w:spacing w:before="120" w:beforeLines="50" w:line="300" w:lineRule="auto"/>
        <w:ind w:firstLine="539"/>
        <w:rPr>
          <w:rFonts w:hint="eastAsia" w:ascii="宋体" w:hAnsi="宋体" w:cs="楷体_GB2312"/>
          <w:color w:val="auto"/>
          <w:sz w:val="24"/>
          <w:lang w:val="zh-CN"/>
        </w:rPr>
      </w:pPr>
      <w:r>
        <w:rPr>
          <w:rFonts w:hint="eastAsia" w:ascii="宋体" w:hAnsi="宋体" w:cs="楷体_GB2312"/>
          <w:color w:val="auto"/>
          <w:sz w:val="24"/>
          <w:lang w:val="zh-CN"/>
        </w:rPr>
        <w:t>供应商拟在成交后将成交项目</w:t>
      </w:r>
      <w:r>
        <w:rPr>
          <w:rFonts w:ascii="宋体" w:hAnsi="宋体" w:cs="楷体_GB2312"/>
          <w:color w:val="auto"/>
          <w:sz w:val="24"/>
          <w:lang w:val="zh-CN"/>
        </w:rPr>
        <w:t>(</w:t>
      </w:r>
      <w:r>
        <w:rPr>
          <w:rFonts w:hint="eastAsia" w:ascii="宋体" w:hAnsi="宋体" w:cs="楷体_GB2312"/>
          <w:color w:val="auto"/>
          <w:sz w:val="24"/>
          <w:lang w:val="zh-CN"/>
        </w:rPr>
        <w:t>标段&lt;包&gt;</w:t>
      </w:r>
      <w:r>
        <w:rPr>
          <w:rFonts w:ascii="宋体" w:hAnsi="宋体" w:cs="楷体_GB2312"/>
          <w:color w:val="auto"/>
          <w:sz w:val="24"/>
          <w:lang w:val="zh-CN"/>
        </w:rPr>
        <w:t>)</w:t>
      </w:r>
      <w:r>
        <w:rPr>
          <w:rFonts w:hint="eastAsia" w:ascii="宋体" w:hAnsi="宋体" w:cs="楷体_GB2312"/>
          <w:color w:val="auto"/>
          <w:sz w:val="24"/>
          <w:lang w:val="zh-CN"/>
        </w:rPr>
        <w:t>的部分非主体、非关键性工作进行分包的，应符合供应商须知前附表规定的分包内容、分包金额和接受分包的第三人资质要求等限制性条件。</w:t>
      </w:r>
    </w:p>
    <w:p w14:paraId="74914B55">
      <w:pPr>
        <w:autoSpaceDE w:val="0"/>
        <w:autoSpaceDN w:val="0"/>
        <w:adjustRightInd w:val="0"/>
        <w:snapToGrid w:val="0"/>
        <w:spacing w:before="120" w:beforeLines="50" w:line="300" w:lineRule="auto"/>
        <w:ind w:firstLine="539"/>
        <w:rPr>
          <w:rFonts w:hint="eastAsia" w:ascii="宋体" w:hAnsi="宋体"/>
          <w:color w:val="auto"/>
          <w:sz w:val="24"/>
          <w:szCs w:val="24"/>
        </w:rPr>
      </w:pPr>
      <w:r>
        <w:rPr>
          <w:rFonts w:hint="eastAsia" w:ascii="宋体" w:hAnsi="宋体" w:cs="楷体_GB2312"/>
          <w:color w:val="auto"/>
          <w:sz w:val="24"/>
          <w:lang w:val="zh-CN"/>
        </w:rPr>
        <w:t>预留中小企业份额项目中，</w:t>
      </w:r>
      <w:r>
        <w:rPr>
          <w:rFonts w:hint="eastAsia" w:ascii="宋体" w:hAnsi="宋体"/>
          <w:color w:val="auto"/>
          <w:sz w:val="24"/>
          <w:szCs w:val="24"/>
        </w:rPr>
        <w:t>接受分包合同的中小企业与分包企业之间不得存在直接控股、管理关系</w:t>
      </w:r>
    </w:p>
    <w:p w14:paraId="050400E1">
      <w:pPr>
        <w:autoSpaceDE w:val="0"/>
        <w:autoSpaceDN w:val="0"/>
        <w:adjustRightInd w:val="0"/>
        <w:snapToGrid w:val="0"/>
        <w:spacing w:before="120" w:beforeLines="50" w:line="300" w:lineRule="auto"/>
        <w:ind w:firstLine="539"/>
        <w:rPr>
          <w:rFonts w:ascii="宋体" w:cs="楷体_GB2312"/>
          <w:color w:val="auto"/>
          <w:sz w:val="24"/>
        </w:rPr>
      </w:pPr>
      <w:r>
        <w:rPr>
          <w:rFonts w:hint="eastAsia" w:ascii="宋体" w:cs="楷体_GB2312"/>
          <w:color w:val="auto"/>
          <w:sz w:val="24"/>
        </w:rPr>
        <w:t>依法享受扶持政策获得政府采购合同的，小微企业不得将合同分包给大中型企业，中型企业不得将合同分包给大型企业。</w:t>
      </w:r>
    </w:p>
    <w:p w14:paraId="05A27B1A">
      <w:pPr>
        <w:autoSpaceDE w:val="0"/>
        <w:autoSpaceDN w:val="0"/>
        <w:adjustRightInd w:val="0"/>
        <w:snapToGrid w:val="0"/>
        <w:spacing w:before="120" w:beforeLines="50" w:line="300" w:lineRule="auto"/>
        <w:ind w:firstLine="539"/>
        <w:rPr>
          <w:rFonts w:hint="eastAsia" w:ascii="黑体" w:hAnsi="黑体" w:eastAsia="黑体" w:cs="楷体_GB2312"/>
          <w:b/>
          <w:color w:val="auto"/>
          <w:sz w:val="24"/>
          <w:lang w:val="zh-CN"/>
        </w:rPr>
      </w:pPr>
      <w:r>
        <w:rPr>
          <w:rFonts w:ascii="黑体" w:hAnsi="黑体" w:eastAsia="黑体" w:cs="楷体_GB2312"/>
          <w:b/>
          <w:color w:val="auto"/>
          <w:sz w:val="24"/>
          <w:lang w:val="zh-CN"/>
        </w:rPr>
        <w:t>1.1</w:t>
      </w:r>
      <w:r>
        <w:rPr>
          <w:rFonts w:hint="eastAsia" w:ascii="黑体" w:hAnsi="黑体" w:eastAsia="黑体" w:cs="楷体_GB2312"/>
          <w:b/>
          <w:color w:val="auto"/>
          <w:sz w:val="24"/>
          <w:lang w:val="zh-CN"/>
        </w:rPr>
        <w:t>3</w:t>
      </w:r>
      <w:r>
        <w:rPr>
          <w:rFonts w:ascii="黑体" w:hAnsi="黑体" w:eastAsia="黑体" w:cs="楷体_GB2312"/>
          <w:b/>
          <w:color w:val="auto"/>
          <w:sz w:val="24"/>
          <w:lang w:val="zh-CN"/>
        </w:rPr>
        <w:t xml:space="preserve"> </w:t>
      </w:r>
      <w:r>
        <w:rPr>
          <w:rFonts w:hint="eastAsia" w:ascii="黑体" w:hAnsi="黑体" w:eastAsia="黑体" w:cs="楷体_GB2312"/>
          <w:b/>
          <w:color w:val="auto"/>
          <w:sz w:val="24"/>
          <w:lang w:val="zh-CN"/>
        </w:rPr>
        <w:t>偏离</w:t>
      </w:r>
    </w:p>
    <w:p w14:paraId="4559533C">
      <w:pPr>
        <w:autoSpaceDE w:val="0"/>
        <w:autoSpaceDN w:val="0"/>
        <w:adjustRightInd w:val="0"/>
        <w:snapToGrid w:val="0"/>
        <w:spacing w:before="120" w:beforeLines="50" w:line="300" w:lineRule="auto"/>
        <w:ind w:firstLine="539"/>
        <w:rPr>
          <w:rFonts w:ascii="宋体" w:cs="楷体_GB2312"/>
          <w:color w:val="auto"/>
          <w:sz w:val="24"/>
          <w:lang w:val="zh-CN"/>
        </w:rPr>
      </w:pPr>
      <w:r>
        <w:rPr>
          <w:rFonts w:hint="eastAsia" w:ascii="宋体" w:hAnsi="宋体" w:cs="楷体_GB2312"/>
          <w:color w:val="auto"/>
          <w:sz w:val="24"/>
          <w:lang w:val="zh-CN"/>
        </w:rPr>
        <w:t>《磋商文件》允许《响应文件》偏离《磋商文件》某些要求的，偏离应当符合《磋商文件》规定的偏离范围和幅度。</w:t>
      </w:r>
    </w:p>
    <w:p w14:paraId="0EDB06E2">
      <w:pPr>
        <w:autoSpaceDE w:val="0"/>
        <w:autoSpaceDN w:val="0"/>
        <w:adjustRightInd w:val="0"/>
        <w:snapToGrid w:val="0"/>
        <w:spacing w:before="120" w:beforeLines="50" w:line="300" w:lineRule="auto"/>
        <w:ind w:firstLine="539"/>
        <w:rPr>
          <w:rFonts w:hint="eastAsia" w:ascii="黑体" w:hAnsi="黑体" w:eastAsia="黑体" w:cs="楷体_GB2312"/>
          <w:b/>
          <w:bCs/>
          <w:color w:val="auto"/>
          <w:sz w:val="28"/>
          <w:szCs w:val="28"/>
          <w:lang w:val="zh-CN"/>
        </w:rPr>
      </w:pPr>
    </w:p>
    <w:p w14:paraId="03A3B6AA">
      <w:pPr>
        <w:autoSpaceDE w:val="0"/>
        <w:autoSpaceDN w:val="0"/>
        <w:adjustRightInd w:val="0"/>
        <w:snapToGrid w:val="0"/>
        <w:spacing w:before="120" w:beforeLines="50" w:line="300" w:lineRule="auto"/>
        <w:ind w:firstLine="539"/>
        <w:outlineLvl w:val="1"/>
        <w:rPr>
          <w:rFonts w:hint="eastAsia" w:ascii="黑体" w:hAnsi="黑体" w:eastAsia="黑体" w:cs="楷体_GB2312"/>
          <w:b/>
          <w:bCs/>
          <w:color w:val="auto"/>
          <w:sz w:val="28"/>
          <w:szCs w:val="28"/>
          <w:lang w:val="zh-CN"/>
        </w:rPr>
      </w:pPr>
      <w:bookmarkStart w:id="22" w:name="_Toc10806"/>
      <w:r>
        <w:rPr>
          <w:rFonts w:ascii="黑体" w:hAnsi="黑体" w:eastAsia="黑体" w:cs="楷体_GB2312"/>
          <w:b/>
          <w:bCs/>
          <w:color w:val="auto"/>
          <w:sz w:val="28"/>
          <w:szCs w:val="28"/>
          <w:lang w:val="zh-CN"/>
        </w:rPr>
        <w:t xml:space="preserve">2. </w:t>
      </w:r>
      <w:r>
        <w:rPr>
          <w:rFonts w:hint="eastAsia" w:ascii="黑体" w:hAnsi="黑体" w:eastAsia="黑体" w:cs="楷体_GB2312"/>
          <w:b/>
          <w:bCs/>
          <w:color w:val="auto"/>
          <w:sz w:val="28"/>
          <w:szCs w:val="28"/>
          <w:lang w:val="zh-CN"/>
        </w:rPr>
        <w:t>《磋商文件》</w:t>
      </w:r>
      <w:bookmarkEnd w:id="22"/>
    </w:p>
    <w:p w14:paraId="3AA351D4">
      <w:pPr>
        <w:autoSpaceDE w:val="0"/>
        <w:autoSpaceDN w:val="0"/>
        <w:adjustRightInd w:val="0"/>
        <w:snapToGrid w:val="0"/>
        <w:spacing w:before="120" w:beforeLines="50" w:line="300" w:lineRule="auto"/>
        <w:ind w:firstLine="539"/>
        <w:rPr>
          <w:rFonts w:ascii="宋体" w:cs="楷体_GB2312"/>
          <w:color w:val="auto"/>
          <w:sz w:val="24"/>
          <w:lang w:val="zh-CN"/>
        </w:rPr>
      </w:pPr>
      <w:r>
        <w:rPr>
          <w:rFonts w:ascii="黑体" w:hAnsi="黑体" w:eastAsia="黑体" w:cs="楷体_GB2312"/>
          <w:b/>
          <w:color w:val="auto"/>
          <w:sz w:val="24"/>
          <w:lang w:val="zh-CN"/>
        </w:rPr>
        <w:t>2.1</w:t>
      </w:r>
      <w:r>
        <w:rPr>
          <w:rFonts w:hint="eastAsia" w:ascii="黑体" w:hAnsi="黑体" w:eastAsia="黑体" w:cs="楷体_GB2312"/>
          <w:b/>
          <w:color w:val="auto"/>
          <w:sz w:val="24"/>
          <w:lang w:val="zh-CN"/>
        </w:rPr>
        <w:t>《磋商文件》的组成</w:t>
      </w:r>
      <w:r>
        <w:rPr>
          <w:rFonts w:hint="eastAsia" w:ascii="宋体" w:hAnsi="宋体" w:cs="楷体_GB2312"/>
          <w:color w:val="auto"/>
          <w:sz w:val="24"/>
          <w:lang w:val="zh-CN"/>
        </w:rPr>
        <w:t>：</w:t>
      </w:r>
    </w:p>
    <w:p w14:paraId="26870317">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s="楷体_GB2312"/>
          <w:color w:val="auto"/>
          <w:sz w:val="24"/>
          <w:lang w:val="zh-CN"/>
        </w:rPr>
        <w:t xml:space="preserve">2.1.1 </w:t>
      </w:r>
      <w:r>
        <w:rPr>
          <w:rFonts w:hint="eastAsia" w:ascii="宋体" w:hAnsi="宋体" w:cs="楷体_GB2312"/>
          <w:color w:val="auto"/>
          <w:sz w:val="24"/>
          <w:lang w:val="zh-CN"/>
        </w:rPr>
        <w:t>《磋商文件》用以阐明采购项目的内容、程序和合同主要条款。《磋商文件》由下述部分组成：</w:t>
      </w:r>
    </w:p>
    <w:p w14:paraId="248E515D">
      <w:pPr>
        <w:autoSpaceDE w:val="0"/>
        <w:autoSpaceDN w:val="0"/>
        <w:adjustRightInd w:val="0"/>
        <w:snapToGrid w:val="0"/>
        <w:spacing w:line="300" w:lineRule="auto"/>
        <w:ind w:firstLine="539"/>
        <w:rPr>
          <w:rFonts w:ascii="宋体" w:cs="楷体_GB2312"/>
          <w:color w:val="auto"/>
          <w:sz w:val="24"/>
          <w:lang w:val="zh-CN"/>
        </w:rPr>
      </w:pPr>
      <w:r>
        <w:rPr>
          <w:rFonts w:hint="eastAsia" w:ascii="宋体" w:hAnsi="宋体" w:cs="楷体_GB2312"/>
          <w:color w:val="auto"/>
          <w:sz w:val="24"/>
          <w:lang w:val="zh-CN"/>
        </w:rPr>
        <w:t>（</w:t>
      </w:r>
      <w:r>
        <w:rPr>
          <w:rFonts w:ascii="宋体" w:hAnsi="宋体" w:cs="楷体_GB2312"/>
          <w:color w:val="auto"/>
          <w:sz w:val="24"/>
          <w:lang w:val="zh-CN"/>
        </w:rPr>
        <w:t>1</w:t>
      </w:r>
      <w:r>
        <w:rPr>
          <w:rFonts w:hint="eastAsia" w:ascii="宋体" w:hAnsi="宋体" w:cs="楷体_GB2312"/>
          <w:color w:val="auto"/>
          <w:sz w:val="24"/>
          <w:lang w:val="zh-CN"/>
        </w:rPr>
        <w:t>）竞争性磋商公告</w:t>
      </w:r>
    </w:p>
    <w:p w14:paraId="02D4259F">
      <w:pPr>
        <w:autoSpaceDE w:val="0"/>
        <w:autoSpaceDN w:val="0"/>
        <w:adjustRightInd w:val="0"/>
        <w:snapToGrid w:val="0"/>
        <w:spacing w:line="300" w:lineRule="auto"/>
        <w:ind w:firstLine="539"/>
        <w:rPr>
          <w:rFonts w:ascii="宋体" w:cs="楷体_GB2312"/>
          <w:color w:val="auto"/>
          <w:sz w:val="24"/>
          <w:lang w:val="zh-CN"/>
        </w:rPr>
      </w:pPr>
      <w:r>
        <w:rPr>
          <w:rFonts w:hint="eastAsia" w:ascii="宋体" w:hAnsi="宋体" w:cs="楷体_GB2312"/>
          <w:color w:val="auto"/>
          <w:sz w:val="24"/>
          <w:lang w:val="zh-CN"/>
        </w:rPr>
        <w:t>（</w:t>
      </w:r>
      <w:r>
        <w:rPr>
          <w:rFonts w:ascii="宋体" w:hAnsi="宋体" w:cs="楷体_GB2312"/>
          <w:color w:val="auto"/>
          <w:sz w:val="24"/>
          <w:lang w:val="zh-CN"/>
        </w:rPr>
        <w:t>2</w:t>
      </w:r>
      <w:r>
        <w:rPr>
          <w:rFonts w:hint="eastAsia" w:ascii="宋体" w:hAnsi="宋体" w:cs="楷体_GB2312"/>
          <w:color w:val="auto"/>
          <w:sz w:val="24"/>
          <w:lang w:val="zh-CN"/>
        </w:rPr>
        <w:t>）采购项目及技术、服务要求</w:t>
      </w:r>
    </w:p>
    <w:p w14:paraId="1FB3E728">
      <w:pPr>
        <w:autoSpaceDE w:val="0"/>
        <w:autoSpaceDN w:val="0"/>
        <w:adjustRightInd w:val="0"/>
        <w:snapToGrid w:val="0"/>
        <w:spacing w:line="300" w:lineRule="auto"/>
        <w:ind w:firstLine="539"/>
        <w:rPr>
          <w:rFonts w:ascii="宋体" w:cs="楷体_GB2312"/>
          <w:color w:val="auto"/>
          <w:sz w:val="24"/>
          <w:lang w:val="zh-CN"/>
        </w:rPr>
      </w:pPr>
      <w:r>
        <w:rPr>
          <w:rFonts w:hint="eastAsia" w:ascii="宋体" w:hAnsi="宋体" w:cs="楷体_GB2312"/>
          <w:color w:val="auto"/>
          <w:sz w:val="24"/>
          <w:lang w:val="zh-CN"/>
        </w:rPr>
        <w:t>（</w:t>
      </w:r>
      <w:r>
        <w:rPr>
          <w:rFonts w:ascii="宋体" w:hAnsi="宋体" w:cs="楷体_GB2312"/>
          <w:color w:val="auto"/>
          <w:sz w:val="24"/>
          <w:lang w:val="zh-CN"/>
        </w:rPr>
        <w:t>3</w:t>
      </w:r>
      <w:r>
        <w:rPr>
          <w:rFonts w:hint="eastAsia" w:ascii="宋体" w:hAnsi="宋体" w:cs="楷体_GB2312"/>
          <w:color w:val="auto"/>
          <w:sz w:val="24"/>
          <w:lang w:val="zh-CN"/>
        </w:rPr>
        <w:t>）供应商须知</w:t>
      </w:r>
    </w:p>
    <w:p w14:paraId="53B7AB52">
      <w:pPr>
        <w:autoSpaceDE w:val="0"/>
        <w:autoSpaceDN w:val="0"/>
        <w:adjustRightInd w:val="0"/>
        <w:snapToGrid w:val="0"/>
        <w:spacing w:line="300" w:lineRule="auto"/>
        <w:ind w:firstLine="539"/>
        <w:rPr>
          <w:rFonts w:ascii="宋体" w:cs="楷体_GB2312"/>
          <w:color w:val="auto"/>
          <w:sz w:val="24"/>
          <w:lang w:val="zh-CN"/>
        </w:rPr>
      </w:pPr>
      <w:r>
        <w:rPr>
          <w:rFonts w:hint="eastAsia" w:ascii="宋体" w:hAnsi="宋体" w:cs="楷体_GB2312"/>
          <w:color w:val="auto"/>
          <w:sz w:val="24"/>
          <w:lang w:val="zh-CN"/>
        </w:rPr>
        <w:t>（</w:t>
      </w:r>
      <w:r>
        <w:rPr>
          <w:rFonts w:ascii="宋体" w:hAnsi="宋体" w:cs="楷体_GB2312"/>
          <w:color w:val="auto"/>
          <w:sz w:val="24"/>
          <w:lang w:val="zh-CN"/>
        </w:rPr>
        <w:t>4</w:t>
      </w:r>
      <w:r>
        <w:rPr>
          <w:rFonts w:hint="eastAsia" w:ascii="宋体" w:hAnsi="宋体" w:cs="楷体_GB2312"/>
          <w:color w:val="auto"/>
          <w:sz w:val="24"/>
          <w:lang w:val="zh-CN"/>
        </w:rPr>
        <w:t>）评审办法</w:t>
      </w:r>
    </w:p>
    <w:p w14:paraId="483445B3">
      <w:pPr>
        <w:autoSpaceDE w:val="0"/>
        <w:autoSpaceDN w:val="0"/>
        <w:adjustRightInd w:val="0"/>
        <w:snapToGrid w:val="0"/>
        <w:spacing w:line="300" w:lineRule="auto"/>
        <w:ind w:firstLine="539"/>
        <w:rPr>
          <w:rFonts w:ascii="宋体" w:cs="楷体_GB2312"/>
          <w:color w:val="auto"/>
          <w:sz w:val="24"/>
          <w:lang w:val="zh-CN"/>
        </w:rPr>
      </w:pPr>
      <w:r>
        <w:rPr>
          <w:rFonts w:hint="eastAsia" w:ascii="宋体" w:hAnsi="宋体" w:cs="楷体_GB2312"/>
          <w:color w:val="auto"/>
          <w:sz w:val="24"/>
          <w:lang w:val="zh-CN"/>
        </w:rPr>
        <w:t>（</w:t>
      </w:r>
      <w:r>
        <w:rPr>
          <w:rFonts w:ascii="宋体" w:hAnsi="宋体" w:cs="楷体_GB2312"/>
          <w:color w:val="auto"/>
          <w:sz w:val="24"/>
          <w:lang w:val="zh-CN"/>
        </w:rPr>
        <w:t>5</w:t>
      </w:r>
      <w:r>
        <w:rPr>
          <w:rFonts w:hint="eastAsia" w:ascii="宋体" w:hAnsi="宋体" w:cs="楷体_GB2312"/>
          <w:color w:val="auto"/>
          <w:sz w:val="24"/>
          <w:lang w:val="zh-CN"/>
        </w:rPr>
        <w:t>）合同主要条款</w:t>
      </w:r>
    </w:p>
    <w:p w14:paraId="1862C6DC">
      <w:pPr>
        <w:autoSpaceDE w:val="0"/>
        <w:autoSpaceDN w:val="0"/>
        <w:adjustRightInd w:val="0"/>
        <w:snapToGrid w:val="0"/>
        <w:spacing w:line="300" w:lineRule="auto"/>
        <w:ind w:firstLine="539"/>
        <w:rPr>
          <w:rFonts w:ascii="宋体" w:cs="楷体_GB2312"/>
          <w:color w:val="auto"/>
          <w:sz w:val="24"/>
          <w:lang w:val="zh-CN"/>
        </w:rPr>
      </w:pPr>
      <w:r>
        <w:rPr>
          <w:rFonts w:hint="eastAsia" w:ascii="宋体" w:hAnsi="宋体" w:cs="楷体_GB2312"/>
          <w:color w:val="auto"/>
          <w:sz w:val="24"/>
          <w:lang w:val="zh-CN"/>
        </w:rPr>
        <w:t>（</w:t>
      </w:r>
      <w:r>
        <w:rPr>
          <w:rFonts w:ascii="宋体" w:hAnsi="宋体" w:cs="楷体_GB2312"/>
          <w:color w:val="auto"/>
          <w:sz w:val="24"/>
          <w:lang w:val="zh-CN"/>
        </w:rPr>
        <w:t>6</w:t>
      </w:r>
      <w:r>
        <w:rPr>
          <w:rFonts w:hint="eastAsia" w:ascii="宋体" w:hAnsi="宋体" w:cs="楷体_GB2312"/>
          <w:color w:val="auto"/>
          <w:sz w:val="24"/>
          <w:lang w:val="zh-CN"/>
        </w:rPr>
        <w:t>）《响应文件》格式</w:t>
      </w:r>
    </w:p>
    <w:p w14:paraId="2073AFCE">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s="楷体_GB2312"/>
          <w:color w:val="auto"/>
          <w:sz w:val="24"/>
          <w:lang w:val="zh-CN"/>
        </w:rPr>
        <w:t xml:space="preserve">2.1.2 </w:t>
      </w:r>
      <w:r>
        <w:rPr>
          <w:rFonts w:hint="eastAsia" w:ascii="宋体" w:hAnsi="宋体" w:cs="楷体_GB2312"/>
          <w:color w:val="auto"/>
          <w:sz w:val="24"/>
          <w:lang w:val="zh-CN"/>
        </w:rPr>
        <w:t>根据本章第</w:t>
      </w:r>
      <w:r>
        <w:rPr>
          <w:rFonts w:ascii="宋体" w:hAnsi="宋体" w:cs="楷体_GB2312"/>
          <w:color w:val="auto"/>
          <w:sz w:val="24"/>
          <w:lang w:val="zh-CN"/>
        </w:rPr>
        <w:t>1.1</w:t>
      </w:r>
      <w:r>
        <w:rPr>
          <w:rFonts w:hint="eastAsia" w:ascii="宋体" w:hAnsi="宋体" w:cs="楷体_GB2312"/>
          <w:color w:val="auto"/>
          <w:sz w:val="24"/>
          <w:lang w:val="zh-CN"/>
        </w:rPr>
        <w:t>1款、第</w:t>
      </w:r>
      <w:r>
        <w:rPr>
          <w:rFonts w:ascii="宋体" w:hAnsi="宋体" w:cs="楷体_GB2312"/>
          <w:color w:val="auto"/>
          <w:sz w:val="24"/>
          <w:lang w:val="zh-CN"/>
        </w:rPr>
        <w:t>2.2</w:t>
      </w:r>
      <w:r>
        <w:rPr>
          <w:rFonts w:hint="eastAsia" w:ascii="宋体" w:hAnsi="宋体" w:cs="楷体_GB2312"/>
          <w:color w:val="auto"/>
          <w:sz w:val="24"/>
          <w:lang w:val="zh-CN"/>
        </w:rPr>
        <w:t>款和第</w:t>
      </w:r>
      <w:r>
        <w:rPr>
          <w:rFonts w:ascii="宋体" w:hAnsi="宋体" w:cs="楷体_GB2312"/>
          <w:color w:val="auto"/>
          <w:sz w:val="24"/>
          <w:lang w:val="zh-CN"/>
        </w:rPr>
        <w:t>2.3</w:t>
      </w:r>
      <w:r>
        <w:rPr>
          <w:rFonts w:hint="eastAsia" w:ascii="宋体" w:hAnsi="宋体" w:cs="楷体_GB2312"/>
          <w:color w:val="auto"/>
          <w:sz w:val="24"/>
          <w:lang w:val="zh-CN"/>
        </w:rPr>
        <w:t>款、对《磋商文件》的澄清、修改、补充书构成《磋商文件》的组成部分，并取代《磋商文件》中被澄清、修改处，对所有供应商均有约束力。</w:t>
      </w:r>
    </w:p>
    <w:p w14:paraId="112C2910">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s="楷体_GB2312"/>
          <w:color w:val="auto"/>
          <w:sz w:val="24"/>
          <w:lang w:val="zh-CN"/>
        </w:rPr>
        <w:t xml:space="preserve">2.1.3 </w:t>
      </w:r>
      <w:r>
        <w:rPr>
          <w:rFonts w:hint="eastAsia" w:ascii="宋体" w:hAnsi="宋体" w:cs="楷体_GB2312"/>
          <w:color w:val="auto"/>
          <w:sz w:val="24"/>
          <w:lang w:val="zh-CN"/>
        </w:rPr>
        <w:t>当《磋商文件》、《磋商文件》的澄清、修改、补充等在同一内容的表述上不一致时，以最后发出（发布）的文件为准。</w:t>
      </w:r>
    </w:p>
    <w:p w14:paraId="662FF944">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s="楷体_GB2312"/>
          <w:color w:val="auto"/>
          <w:sz w:val="24"/>
          <w:lang w:val="zh-CN"/>
        </w:rPr>
        <w:t xml:space="preserve">2.1.4 </w:t>
      </w:r>
      <w:r>
        <w:rPr>
          <w:rFonts w:hint="eastAsia" w:ascii="宋体" w:hAnsi="宋体" w:cs="楷体_GB2312"/>
          <w:color w:val="auto"/>
          <w:sz w:val="24"/>
          <w:lang w:val="zh-CN"/>
        </w:rPr>
        <w:t>供应商与任何人的口头协议不影响《磋商文件》的任何条款和内容。</w:t>
      </w:r>
    </w:p>
    <w:p w14:paraId="597A9738">
      <w:pPr>
        <w:autoSpaceDE w:val="0"/>
        <w:autoSpaceDN w:val="0"/>
        <w:adjustRightInd w:val="0"/>
        <w:snapToGrid w:val="0"/>
        <w:spacing w:before="120" w:beforeLines="50" w:line="300" w:lineRule="auto"/>
        <w:ind w:firstLine="539"/>
        <w:rPr>
          <w:rFonts w:ascii="宋体" w:cs="楷体_GB2312"/>
          <w:color w:val="auto"/>
          <w:sz w:val="24"/>
        </w:rPr>
      </w:pPr>
      <w:r>
        <w:rPr>
          <w:rFonts w:ascii="宋体" w:hAnsi="宋体" w:cs="楷体_GB2312"/>
          <w:color w:val="auto"/>
          <w:sz w:val="24"/>
        </w:rPr>
        <w:t>2.1.5</w:t>
      </w:r>
      <w:r>
        <w:rPr>
          <w:rFonts w:hint="eastAsia" w:ascii="宋体" w:hAnsi="宋体" w:cs="楷体_GB2312"/>
          <w:color w:val="auto"/>
          <w:sz w:val="24"/>
        </w:rPr>
        <w:t>供应商应仔细阅读和检查《磋商文件》的全部内容是否齐全，如发现缺页或附件不全等遗漏，应及时向采购代理机构提出并索取补齐，否则责任及风险自负。</w:t>
      </w:r>
    </w:p>
    <w:p w14:paraId="4F08204D">
      <w:pPr>
        <w:autoSpaceDE w:val="0"/>
        <w:autoSpaceDN w:val="0"/>
        <w:adjustRightInd w:val="0"/>
        <w:snapToGrid w:val="0"/>
        <w:spacing w:before="120" w:beforeLines="50" w:line="300" w:lineRule="auto"/>
        <w:ind w:firstLine="539"/>
        <w:rPr>
          <w:rFonts w:hint="eastAsia" w:ascii="黑体" w:hAnsi="黑体" w:eastAsia="黑体" w:cs="楷体_GB2312"/>
          <w:b/>
          <w:color w:val="auto"/>
          <w:sz w:val="24"/>
          <w:lang w:val="zh-CN"/>
        </w:rPr>
      </w:pPr>
      <w:r>
        <w:rPr>
          <w:rFonts w:ascii="黑体" w:hAnsi="黑体" w:eastAsia="黑体" w:cs="楷体_GB2312"/>
          <w:b/>
          <w:color w:val="auto"/>
          <w:sz w:val="24"/>
          <w:lang w:val="zh-CN"/>
        </w:rPr>
        <w:t xml:space="preserve">2.2 </w:t>
      </w:r>
      <w:r>
        <w:rPr>
          <w:rFonts w:hint="eastAsia" w:ascii="黑体" w:hAnsi="黑体" w:eastAsia="黑体" w:cs="楷体_GB2312"/>
          <w:b/>
          <w:color w:val="auto"/>
          <w:sz w:val="24"/>
          <w:lang w:val="zh-CN"/>
        </w:rPr>
        <w:t>《磋商文件》的澄清</w:t>
      </w:r>
    </w:p>
    <w:p w14:paraId="05CC0577">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s="楷体_GB2312"/>
          <w:color w:val="auto"/>
          <w:sz w:val="24"/>
          <w:lang w:val="zh-CN"/>
        </w:rPr>
        <w:t xml:space="preserve">2.2.1 </w:t>
      </w:r>
      <w:r>
        <w:rPr>
          <w:rFonts w:hint="eastAsia" w:ascii="宋体" w:hAnsi="宋体" w:cs="楷体_GB2312"/>
          <w:color w:val="auto"/>
          <w:sz w:val="24"/>
          <w:lang w:val="zh-CN"/>
        </w:rPr>
        <w:t>合规获取《磋商文件》的所有潜在供应商对《磋商文件》如有需澄清的疑问，应在供应商须知前附表规定的时间内按竞争性磋商公告中载明的地址以纸质书面形式通知到采购代理机构。在规定的时间内未提出疑问的，将视为对《磋商文件》的完全认可。</w:t>
      </w:r>
    </w:p>
    <w:p w14:paraId="7EFA5163">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s="楷体_GB2312"/>
          <w:color w:val="auto"/>
          <w:sz w:val="24"/>
          <w:lang w:val="zh-CN"/>
        </w:rPr>
        <w:t xml:space="preserve">2.2.2 </w:t>
      </w:r>
      <w:r>
        <w:rPr>
          <w:rFonts w:hint="eastAsia" w:ascii="宋体" w:hAnsi="宋体" w:cs="楷体_GB2312"/>
          <w:color w:val="auto"/>
          <w:sz w:val="24"/>
          <w:lang w:val="zh-CN"/>
        </w:rPr>
        <w:t>采购代理机构对潜在供应商在规定的时间内提出的疑问，将视情况以书面形式予以答复，并在其认为必要时，将不标明查询来源的书面答复，在“竞争性磋商公告”所述媒体通告所有潜在供应商。</w:t>
      </w:r>
    </w:p>
    <w:p w14:paraId="641134C7">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s="楷体_GB2312"/>
          <w:color w:val="auto"/>
          <w:sz w:val="24"/>
          <w:lang w:val="zh-CN"/>
        </w:rPr>
        <w:t xml:space="preserve">2.2.3 </w:t>
      </w:r>
      <w:r>
        <w:rPr>
          <w:rFonts w:hint="eastAsia" w:ascii="宋体" w:hAnsi="宋体" w:cs="楷体_GB2312"/>
          <w:color w:val="auto"/>
          <w:sz w:val="24"/>
          <w:lang w:val="zh-CN"/>
        </w:rPr>
        <w:t>《磋商文件》中如有不符合国家有关强制性规定、不符合国家标准及行业标准的，供应商应在投标阶段或成交实施阶段予以纠正或尽提醒义务。如作为有经验的供应商（成交供应商）应当知道而未尽提醒义务的，执行指令而造成的损失及风险由供应商（成交供应商）承担。</w:t>
      </w:r>
    </w:p>
    <w:p w14:paraId="0322B334">
      <w:pPr>
        <w:adjustRightInd w:val="0"/>
        <w:snapToGrid w:val="0"/>
        <w:spacing w:before="120" w:beforeLines="50" w:line="300" w:lineRule="auto"/>
        <w:ind w:firstLine="480" w:firstLineChars="200"/>
        <w:jc w:val="left"/>
        <w:rPr>
          <w:rFonts w:hint="eastAsia" w:ascii="宋体" w:hAnsi="宋体" w:cs="楷体_GB2312"/>
          <w:color w:val="auto"/>
          <w:sz w:val="24"/>
          <w:lang w:val="zh-CN"/>
        </w:rPr>
      </w:pPr>
      <w:r>
        <w:rPr>
          <w:rFonts w:ascii="宋体" w:hAnsi="宋体" w:cs="楷体_GB2312"/>
          <w:color w:val="auto"/>
          <w:sz w:val="24"/>
          <w:lang w:val="zh-CN"/>
        </w:rPr>
        <w:t>2.2.4</w:t>
      </w:r>
      <w:r>
        <w:rPr>
          <w:rFonts w:hint="eastAsia" w:ascii="宋体" w:hAnsi="宋体" w:cs="楷体_GB2312"/>
          <w:color w:val="auto"/>
          <w:sz w:val="24"/>
          <w:lang w:val="zh-CN"/>
        </w:rPr>
        <w:t>采购代理机构可视情况在投标截止前答疑。</w:t>
      </w:r>
    </w:p>
    <w:p w14:paraId="65417D7F">
      <w:pPr>
        <w:autoSpaceDE w:val="0"/>
        <w:autoSpaceDN w:val="0"/>
        <w:adjustRightInd w:val="0"/>
        <w:snapToGrid w:val="0"/>
        <w:spacing w:before="120" w:beforeLines="50" w:line="300" w:lineRule="auto"/>
        <w:ind w:firstLine="539"/>
        <w:rPr>
          <w:rFonts w:hint="eastAsia" w:ascii="黑体" w:hAnsi="黑体" w:eastAsia="黑体" w:cs="楷体_GB2312"/>
          <w:b/>
          <w:color w:val="auto"/>
          <w:sz w:val="24"/>
          <w:lang w:val="zh-CN"/>
        </w:rPr>
      </w:pPr>
      <w:r>
        <w:rPr>
          <w:rFonts w:ascii="黑体" w:hAnsi="黑体" w:eastAsia="黑体" w:cs="楷体_GB2312"/>
          <w:b/>
          <w:color w:val="auto"/>
          <w:sz w:val="24"/>
          <w:lang w:val="zh-CN"/>
        </w:rPr>
        <w:t xml:space="preserve">2.3 </w:t>
      </w:r>
      <w:r>
        <w:rPr>
          <w:rFonts w:hint="eastAsia" w:ascii="黑体" w:hAnsi="黑体" w:eastAsia="黑体" w:cs="楷体_GB2312"/>
          <w:b/>
          <w:color w:val="auto"/>
          <w:sz w:val="24"/>
          <w:lang w:val="zh-CN"/>
        </w:rPr>
        <w:t>《磋商文件》的澄清、修改、补充</w:t>
      </w:r>
    </w:p>
    <w:p w14:paraId="1C786668">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s="楷体_GB2312"/>
          <w:color w:val="auto"/>
          <w:sz w:val="24"/>
          <w:lang w:val="zh-CN"/>
        </w:rPr>
        <w:t xml:space="preserve">2.3.1 </w:t>
      </w:r>
      <w:r>
        <w:rPr>
          <w:rFonts w:hint="eastAsia" w:ascii="宋体" w:hAnsi="宋体" w:cs="楷体_GB2312"/>
          <w:color w:val="auto"/>
          <w:sz w:val="24"/>
          <w:lang w:val="zh-CN"/>
        </w:rPr>
        <w:t>采购人、代理机构在投标截止时间前有权澄清修改、补充已发售的《磋商文件》。</w:t>
      </w:r>
    </w:p>
    <w:p w14:paraId="51FD5229">
      <w:pPr>
        <w:autoSpaceDE w:val="0"/>
        <w:autoSpaceDN w:val="0"/>
        <w:adjustRightInd w:val="0"/>
        <w:snapToGrid w:val="0"/>
        <w:spacing w:before="120" w:beforeLines="50" w:line="300" w:lineRule="auto"/>
        <w:ind w:firstLine="539"/>
        <w:rPr>
          <w:rFonts w:hint="eastAsia" w:ascii="宋体" w:hAnsi="宋体"/>
          <w:color w:val="auto"/>
          <w:sz w:val="24"/>
        </w:rPr>
      </w:pPr>
      <w:r>
        <w:rPr>
          <w:rFonts w:ascii="宋体" w:hAnsi="宋体" w:cs="楷体_GB2312"/>
          <w:color w:val="auto"/>
          <w:sz w:val="24"/>
          <w:lang w:val="zh-CN"/>
        </w:rPr>
        <w:t>2.3.</w:t>
      </w:r>
      <w:r>
        <w:rPr>
          <w:rFonts w:ascii="宋体" w:hAnsi="宋体"/>
          <w:color w:val="auto"/>
          <w:sz w:val="24"/>
        </w:rPr>
        <w:t xml:space="preserve">2 </w:t>
      </w:r>
      <w:r>
        <w:rPr>
          <w:rFonts w:hint="eastAsia" w:ascii="宋体" w:hAnsi="宋体"/>
          <w:color w:val="auto"/>
          <w:sz w:val="24"/>
        </w:rPr>
        <w:t>磋商过程中对《磋商文件》的变动见第四章评审办法</w:t>
      </w:r>
      <w:r>
        <w:rPr>
          <w:rFonts w:ascii="宋体" w:hAnsi="宋体"/>
          <w:color w:val="auto"/>
          <w:sz w:val="24"/>
        </w:rPr>
        <w:t>3.</w:t>
      </w:r>
      <w:r>
        <w:rPr>
          <w:rFonts w:hint="eastAsia" w:ascii="宋体" w:hAnsi="宋体"/>
          <w:color w:val="auto"/>
          <w:sz w:val="24"/>
        </w:rPr>
        <w:t>4款磋商规则。</w:t>
      </w:r>
    </w:p>
    <w:p w14:paraId="7E45D970">
      <w:pPr>
        <w:autoSpaceDE w:val="0"/>
        <w:autoSpaceDN w:val="0"/>
        <w:adjustRightInd w:val="0"/>
        <w:snapToGrid w:val="0"/>
        <w:spacing w:before="120" w:beforeLines="50" w:line="300" w:lineRule="auto"/>
        <w:ind w:firstLine="539"/>
        <w:rPr>
          <w:rFonts w:ascii="宋体" w:cs="楷体_GB2312"/>
          <w:color w:val="auto"/>
          <w:sz w:val="24"/>
          <w:lang w:val="zh-CN"/>
        </w:rPr>
      </w:pPr>
      <w:r>
        <w:rPr>
          <w:rFonts w:ascii="黑体" w:hAnsi="黑体" w:eastAsia="黑体" w:cs="楷体_GB2312"/>
          <w:b/>
          <w:color w:val="auto"/>
          <w:sz w:val="24"/>
          <w:lang w:val="zh-CN"/>
        </w:rPr>
        <w:t xml:space="preserve">2.4 </w:t>
      </w:r>
      <w:r>
        <w:rPr>
          <w:rFonts w:hint="eastAsia" w:ascii="黑体" w:hAnsi="黑体" w:eastAsia="黑体" w:cs="楷体_GB2312"/>
          <w:b/>
          <w:color w:val="auto"/>
          <w:sz w:val="24"/>
          <w:lang w:val="zh-CN"/>
        </w:rPr>
        <w:t>《磋商文件》的澄清、修改、补充的</w:t>
      </w:r>
      <w:r>
        <w:rPr>
          <w:rFonts w:ascii="黑体" w:hAnsi="黑体" w:eastAsia="黑体" w:cs="楷体_GB2312"/>
          <w:b/>
          <w:color w:val="auto"/>
          <w:sz w:val="24"/>
          <w:lang w:val="zh-CN"/>
        </w:rPr>
        <w:t>通知</w:t>
      </w:r>
      <w:r>
        <w:rPr>
          <w:rFonts w:hint="eastAsia" w:ascii="黑体" w:hAnsi="黑体" w:eastAsia="黑体" w:cs="楷体_GB2312"/>
          <w:b/>
          <w:color w:val="auto"/>
          <w:sz w:val="24"/>
          <w:lang w:val="zh-CN"/>
        </w:rPr>
        <w:t>，及</w:t>
      </w:r>
      <w:r>
        <w:rPr>
          <w:rFonts w:ascii="黑体" w:hAnsi="黑体" w:eastAsia="黑体" w:cs="楷体_GB2312"/>
          <w:b/>
          <w:color w:val="auto"/>
          <w:sz w:val="24"/>
          <w:lang w:val="zh-CN"/>
        </w:rPr>
        <w:t>相应</w:t>
      </w:r>
      <w:r>
        <w:rPr>
          <w:rFonts w:hint="eastAsia" w:ascii="黑体" w:hAnsi="黑体" w:eastAsia="黑体" w:cs="楷体_GB2312"/>
          <w:b/>
          <w:color w:val="auto"/>
          <w:sz w:val="24"/>
          <w:lang w:val="zh-CN"/>
        </w:rPr>
        <w:t>时间变更</w:t>
      </w:r>
    </w:p>
    <w:p w14:paraId="58B3A921">
      <w:pPr>
        <w:autoSpaceDE w:val="0"/>
        <w:autoSpaceDN w:val="0"/>
        <w:adjustRightInd w:val="0"/>
        <w:snapToGrid w:val="0"/>
        <w:spacing w:before="120" w:beforeLines="50" w:line="300" w:lineRule="auto"/>
        <w:ind w:firstLine="539"/>
        <w:rPr>
          <w:rFonts w:hint="eastAsia" w:ascii="宋体" w:hAnsi="宋体" w:cs="楷体_GB2312"/>
          <w:b/>
          <w:color w:val="auto"/>
          <w:sz w:val="24"/>
          <w:lang w:val="zh-CN"/>
        </w:rPr>
      </w:pPr>
      <w:r>
        <w:rPr>
          <w:rFonts w:ascii="宋体" w:hAnsi="宋体" w:cs="楷体_GB2312"/>
          <w:color w:val="auto"/>
          <w:sz w:val="24"/>
          <w:lang w:val="zh-CN"/>
        </w:rPr>
        <w:t xml:space="preserve">2.4.1 </w:t>
      </w:r>
      <w:r>
        <w:rPr>
          <w:rFonts w:hint="eastAsia" w:ascii="宋体" w:hAnsi="宋体"/>
          <w:color w:val="auto"/>
          <w:sz w:val="24"/>
        </w:rPr>
        <w:t>《磋商文件》</w:t>
      </w:r>
      <w:r>
        <w:rPr>
          <w:rFonts w:hint="eastAsia" w:ascii="宋体" w:hAnsi="宋体" w:cs="楷体_GB2312"/>
          <w:color w:val="auto"/>
          <w:sz w:val="24"/>
          <w:lang w:val="zh-CN"/>
        </w:rPr>
        <w:t>在递交截止时间前的所有澄清、修改（包括时间变更等）、补充事项，均在“竞争性磋商公告”所述媒体予以公告。</w:t>
      </w:r>
      <w:r>
        <w:rPr>
          <w:rFonts w:hint="eastAsia" w:ascii="宋体" w:hAnsi="宋体" w:cs="楷体_GB2312"/>
          <w:b/>
          <w:color w:val="auto"/>
          <w:sz w:val="24"/>
          <w:lang w:val="zh-CN"/>
        </w:rPr>
        <w:t>澄清或修改公告一经在</w:t>
      </w:r>
      <w:r>
        <w:rPr>
          <w:rFonts w:ascii="宋体" w:hAnsi="宋体" w:cs="楷体_GB2312"/>
          <w:b/>
          <w:color w:val="auto"/>
          <w:sz w:val="24"/>
          <w:lang w:val="zh-CN"/>
        </w:rPr>
        <w:t>法定网</w:t>
      </w:r>
      <w:r>
        <w:rPr>
          <w:rFonts w:hint="eastAsia" w:ascii="宋体" w:hAnsi="宋体" w:cs="楷体_GB2312"/>
          <w:b/>
          <w:color w:val="auto"/>
          <w:sz w:val="24"/>
          <w:lang w:val="zh-CN"/>
        </w:rPr>
        <w:t>站以</w:t>
      </w:r>
      <w:r>
        <w:rPr>
          <w:rFonts w:ascii="宋体" w:hAnsi="宋体" w:cs="楷体_GB2312"/>
          <w:b/>
          <w:color w:val="auto"/>
          <w:sz w:val="24"/>
          <w:lang w:val="zh-CN"/>
        </w:rPr>
        <w:t>公</w:t>
      </w:r>
      <w:r>
        <w:rPr>
          <w:rFonts w:hint="eastAsia" w:ascii="宋体" w:hAnsi="宋体" w:cs="楷体_GB2312"/>
          <w:b/>
          <w:color w:val="auto"/>
          <w:sz w:val="24"/>
          <w:lang w:val="zh-CN"/>
        </w:rPr>
        <w:t>告</w:t>
      </w:r>
      <w:r>
        <w:rPr>
          <w:rFonts w:ascii="宋体" w:hAnsi="宋体" w:cs="楷体_GB2312"/>
          <w:b/>
          <w:color w:val="auto"/>
          <w:sz w:val="24"/>
          <w:lang w:val="zh-CN"/>
        </w:rPr>
        <w:t>形式</w:t>
      </w:r>
      <w:r>
        <w:rPr>
          <w:rFonts w:hint="eastAsia" w:ascii="宋体" w:hAnsi="宋体" w:cs="楷体_GB2312"/>
          <w:b/>
          <w:color w:val="auto"/>
          <w:sz w:val="24"/>
          <w:lang w:val="zh-CN"/>
        </w:rPr>
        <w:t>发布，依法视为书面通知，不再另行通知。</w:t>
      </w:r>
    </w:p>
    <w:p w14:paraId="7F6C322C">
      <w:pPr>
        <w:autoSpaceDE w:val="0"/>
        <w:autoSpaceDN w:val="0"/>
        <w:adjustRightInd w:val="0"/>
        <w:snapToGrid w:val="0"/>
        <w:spacing w:before="120" w:beforeLines="50" w:line="300" w:lineRule="auto"/>
        <w:ind w:firstLine="539"/>
        <w:rPr>
          <w:rFonts w:hint="eastAsia" w:ascii="宋体" w:hAnsi="宋体" w:cs="楷体_GB2312"/>
          <w:b/>
          <w:color w:val="auto"/>
          <w:sz w:val="24"/>
          <w:lang w:val="zh-CN"/>
        </w:rPr>
      </w:pPr>
      <w:r>
        <w:rPr>
          <w:rFonts w:hint="eastAsia" w:ascii="宋体" w:hAnsi="宋体" w:cs="楷体_GB2312"/>
          <w:b/>
          <w:color w:val="auto"/>
          <w:sz w:val="24"/>
          <w:lang w:val="zh-CN"/>
        </w:rPr>
        <w:t>基于网</w:t>
      </w:r>
      <w:r>
        <w:rPr>
          <w:rFonts w:ascii="宋体" w:hAnsi="宋体" w:cs="楷体_GB2312"/>
          <w:b/>
          <w:color w:val="auto"/>
          <w:sz w:val="24"/>
          <w:lang w:val="zh-CN"/>
        </w:rPr>
        <w:t>上</w:t>
      </w:r>
      <w:r>
        <w:rPr>
          <w:rFonts w:hint="eastAsia" w:ascii="宋体" w:hAnsi="宋体" w:cs="楷体_GB2312"/>
          <w:b/>
          <w:color w:val="auto"/>
          <w:sz w:val="24"/>
          <w:lang w:val="zh-CN"/>
        </w:rPr>
        <w:t>电</w:t>
      </w:r>
      <w:r>
        <w:rPr>
          <w:rFonts w:ascii="宋体" w:hAnsi="宋体" w:cs="楷体_GB2312"/>
          <w:b/>
          <w:color w:val="auto"/>
          <w:sz w:val="24"/>
          <w:lang w:val="zh-CN"/>
        </w:rPr>
        <w:t>子</w:t>
      </w:r>
      <w:r>
        <w:rPr>
          <w:rFonts w:hint="eastAsia" w:ascii="宋体" w:hAnsi="宋体" w:cs="楷体_GB2312"/>
          <w:b/>
          <w:color w:val="auto"/>
          <w:sz w:val="24"/>
          <w:lang w:val="zh-CN"/>
        </w:rPr>
        <w:t>交易</w:t>
      </w:r>
      <w:r>
        <w:rPr>
          <w:rFonts w:ascii="宋体" w:hAnsi="宋体" w:cs="楷体_GB2312"/>
          <w:b/>
          <w:color w:val="auto"/>
          <w:sz w:val="24"/>
          <w:lang w:val="zh-CN"/>
        </w:rPr>
        <w:t>的特点—</w:t>
      </w:r>
      <w:r>
        <w:rPr>
          <w:rFonts w:ascii="宋体" w:cs="楷体_GB2312"/>
          <w:b/>
          <w:color w:val="auto"/>
          <w:sz w:val="24"/>
          <w:lang w:val="zh-CN"/>
        </w:rPr>
        <w:t>-</w:t>
      </w:r>
      <w:r>
        <w:rPr>
          <w:rFonts w:hint="eastAsia" w:ascii="宋体" w:hAnsi="宋体" w:cs="楷体_GB2312"/>
          <w:b/>
          <w:color w:val="auto"/>
          <w:sz w:val="24"/>
          <w:lang w:val="zh-CN"/>
        </w:rPr>
        <w:t>无权限获知或通知潜在供应商，潜在供应商应随时关注“竞争性磋商公告”所</w:t>
      </w:r>
      <w:r>
        <w:rPr>
          <w:rFonts w:ascii="宋体" w:hAnsi="宋体" w:cs="楷体_GB2312"/>
          <w:b/>
          <w:color w:val="auto"/>
          <w:sz w:val="24"/>
          <w:lang w:val="zh-CN"/>
        </w:rPr>
        <w:t>述媒体</w:t>
      </w:r>
      <w:r>
        <w:rPr>
          <w:rFonts w:hint="eastAsia" w:ascii="宋体" w:hAnsi="宋体" w:cs="楷体_GB2312"/>
          <w:b/>
          <w:color w:val="auto"/>
          <w:sz w:val="24"/>
          <w:lang w:val="zh-CN"/>
        </w:rPr>
        <w:t>相关项目信息（为免各部门网站出现维护等情况，潜在供应商应对“竞争性磋商公告”所述媒体逐一查阅），如有遗漏，后果自负。</w:t>
      </w:r>
    </w:p>
    <w:p w14:paraId="74CDC45B">
      <w:pPr>
        <w:autoSpaceDE w:val="0"/>
        <w:autoSpaceDN w:val="0"/>
        <w:adjustRightInd w:val="0"/>
        <w:snapToGrid w:val="0"/>
        <w:spacing w:before="120" w:beforeLines="50" w:line="300" w:lineRule="auto"/>
        <w:ind w:firstLine="539"/>
        <w:rPr>
          <w:rFonts w:ascii="宋体" w:cs="楷体_GB2312"/>
          <w:color w:val="auto"/>
          <w:sz w:val="24"/>
          <w:lang w:val="zh-CN"/>
        </w:rPr>
      </w:pPr>
      <w:r>
        <w:rPr>
          <w:rFonts w:hint="eastAsia" w:ascii="宋体" w:cs="楷体_GB2312"/>
          <w:color w:val="auto"/>
          <w:sz w:val="24"/>
          <w:lang w:val="zh-CN"/>
        </w:rPr>
        <w:t>2.</w:t>
      </w:r>
      <w:r>
        <w:rPr>
          <w:rFonts w:ascii="宋体" w:cs="楷体_GB2312"/>
          <w:color w:val="auto"/>
          <w:sz w:val="24"/>
          <w:lang w:val="zh-CN"/>
        </w:rPr>
        <w:t>4</w:t>
      </w:r>
      <w:r>
        <w:rPr>
          <w:rFonts w:hint="eastAsia" w:ascii="宋体" w:cs="楷体_GB2312"/>
          <w:color w:val="auto"/>
          <w:sz w:val="24"/>
          <w:lang w:val="zh-CN"/>
        </w:rPr>
        <w:t>.2</w:t>
      </w:r>
      <w:r>
        <w:rPr>
          <w:rFonts w:ascii="宋体" w:cs="楷体_GB2312"/>
          <w:color w:val="auto"/>
          <w:sz w:val="24"/>
          <w:lang w:val="zh-CN"/>
        </w:rPr>
        <w:t xml:space="preserve"> </w:t>
      </w:r>
      <w:r>
        <w:rPr>
          <w:rFonts w:hint="eastAsia" w:ascii="宋体" w:hAnsi="宋体"/>
          <w:color w:val="auto"/>
          <w:sz w:val="24"/>
        </w:rPr>
        <w:t>《磋商文件》</w:t>
      </w:r>
      <w:r>
        <w:rPr>
          <w:rFonts w:hint="eastAsia" w:ascii="宋体" w:cs="楷体_GB2312"/>
          <w:color w:val="auto"/>
          <w:sz w:val="24"/>
          <w:lang w:val="zh-CN"/>
        </w:rPr>
        <w:t>的澄清、修改、补充书构成</w:t>
      </w:r>
      <w:r>
        <w:rPr>
          <w:rFonts w:hint="eastAsia" w:ascii="宋体" w:hAnsi="宋体"/>
          <w:color w:val="auto"/>
          <w:sz w:val="24"/>
        </w:rPr>
        <w:t>《磋商文件》</w:t>
      </w:r>
      <w:r>
        <w:rPr>
          <w:rFonts w:hint="eastAsia" w:ascii="宋体" w:cs="楷体_GB2312"/>
          <w:color w:val="auto"/>
          <w:sz w:val="24"/>
          <w:lang w:val="zh-CN"/>
        </w:rPr>
        <w:t>的组成部分，并取代</w:t>
      </w:r>
      <w:r>
        <w:rPr>
          <w:rFonts w:hint="eastAsia" w:ascii="宋体" w:hAnsi="宋体"/>
          <w:color w:val="auto"/>
          <w:sz w:val="24"/>
        </w:rPr>
        <w:t>《磋商文件》</w:t>
      </w:r>
      <w:r>
        <w:rPr>
          <w:rFonts w:hint="eastAsia" w:ascii="宋体" w:cs="楷体_GB2312"/>
          <w:color w:val="auto"/>
          <w:sz w:val="24"/>
          <w:lang w:val="zh-CN"/>
        </w:rPr>
        <w:t>中被澄清、修改处，对所有供应商均有约束力。</w:t>
      </w:r>
    </w:p>
    <w:p w14:paraId="14F2D95D">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s="楷体_GB2312"/>
          <w:color w:val="auto"/>
          <w:sz w:val="24"/>
          <w:lang w:val="zh-CN"/>
        </w:rPr>
        <w:t xml:space="preserve">2.4.3 </w:t>
      </w:r>
      <w:r>
        <w:rPr>
          <w:rFonts w:hint="eastAsia" w:ascii="宋体" w:hAnsi="宋体" w:cs="楷体_GB2312"/>
          <w:color w:val="auto"/>
          <w:sz w:val="24"/>
          <w:lang w:val="zh-CN"/>
        </w:rPr>
        <w:t>如果提交首次《响应文件》截止时间前的澄清修改补充发出的时间不满足供应商须知前附表规定时间，并且澄清修改补充内容影响《响应文件》编制的，代理机构可视采购具体情况延长投标截止时间和开标时间，并将在“竞争性磋商公告”所述媒体予以公告。</w:t>
      </w:r>
    </w:p>
    <w:p w14:paraId="43897377">
      <w:pPr>
        <w:autoSpaceDE w:val="0"/>
        <w:autoSpaceDN w:val="0"/>
        <w:adjustRightInd w:val="0"/>
        <w:snapToGrid w:val="0"/>
        <w:spacing w:before="120" w:beforeLines="50" w:line="300" w:lineRule="auto"/>
        <w:rPr>
          <w:rFonts w:ascii="宋体" w:cs="楷体_GB2312"/>
          <w:color w:val="auto"/>
          <w:sz w:val="24"/>
        </w:rPr>
      </w:pPr>
    </w:p>
    <w:p w14:paraId="0B1F7C4B">
      <w:pPr>
        <w:autoSpaceDE w:val="0"/>
        <w:autoSpaceDN w:val="0"/>
        <w:adjustRightInd w:val="0"/>
        <w:snapToGrid w:val="0"/>
        <w:spacing w:before="120" w:beforeLines="50" w:line="300" w:lineRule="auto"/>
        <w:ind w:firstLine="539"/>
        <w:outlineLvl w:val="1"/>
        <w:rPr>
          <w:rFonts w:hint="eastAsia" w:ascii="黑体" w:hAnsi="黑体" w:eastAsia="黑体" w:cs="楷体_GB2312"/>
          <w:b/>
          <w:bCs/>
          <w:color w:val="auto"/>
          <w:sz w:val="28"/>
          <w:szCs w:val="28"/>
          <w:lang w:val="zh-CN"/>
        </w:rPr>
      </w:pPr>
      <w:bookmarkStart w:id="23" w:name="_Toc13038"/>
      <w:r>
        <w:rPr>
          <w:rFonts w:ascii="黑体" w:hAnsi="黑体" w:eastAsia="黑体" w:cs="楷体_GB2312"/>
          <w:b/>
          <w:bCs/>
          <w:color w:val="auto"/>
          <w:sz w:val="28"/>
          <w:szCs w:val="28"/>
          <w:lang w:val="zh-CN"/>
        </w:rPr>
        <w:t xml:space="preserve">3. </w:t>
      </w:r>
      <w:r>
        <w:rPr>
          <w:rFonts w:hint="eastAsia" w:ascii="黑体" w:hAnsi="黑体" w:eastAsia="黑体" w:cs="楷体_GB2312"/>
          <w:b/>
          <w:bCs/>
          <w:color w:val="auto"/>
          <w:sz w:val="28"/>
          <w:szCs w:val="28"/>
          <w:lang w:val="zh-CN"/>
        </w:rPr>
        <w:t>《响应文件》</w:t>
      </w:r>
      <w:bookmarkEnd w:id="23"/>
    </w:p>
    <w:p w14:paraId="51EFF77A">
      <w:pPr>
        <w:autoSpaceDE w:val="0"/>
        <w:autoSpaceDN w:val="0"/>
        <w:adjustRightInd w:val="0"/>
        <w:snapToGrid w:val="0"/>
        <w:spacing w:before="120" w:beforeLines="50" w:line="300" w:lineRule="auto"/>
        <w:ind w:firstLine="539"/>
        <w:rPr>
          <w:rFonts w:ascii="宋体" w:cs="楷体_GB2312"/>
          <w:color w:val="auto"/>
          <w:sz w:val="24"/>
          <w:lang w:val="zh-CN"/>
        </w:rPr>
      </w:pPr>
      <w:r>
        <w:rPr>
          <w:rFonts w:ascii="黑体" w:hAnsi="黑体" w:eastAsia="黑体" w:cs="楷体_GB2312"/>
          <w:b/>
          <w:color w:val="auto"/>
          <w:sz w:val="24"/>
          <w:lang w:val="zh-CN"/>
        </w:rPr>
        <w:t>3.1</w:t>
      </w:r>
      <w:r>
        <w:rPr>
          <w:rFonts w:hint="eastAsia" w:ascii="宋体" w:hAnsi="宋体" w:cs="楷体_GB2312"/>
          <w:color w:val="auto"/>
          <w:sz w:val="24"/>
          <w:lang w:val="zh-CN"/>
        </w:rPr>
        <w:t>　供应商应仔细阅读《磋商文件》的所有内容，按《磋商文件》的要求提供《响应文件》，并保证所提供全部资料的真实性。《响应文件》应对《磋商文件》实质性要求作出实质性响应。磋商小组对《响应文件》的有效性、完整性和响应程度进行审查，不满足实质性要求的为</w:t>
      </w:r>
      <w:r>
        <w:rPr>
          <w:rFonts w:hint="eastAsia" w:ascii="宋体" w:hAnsi="宋体" w:cs="楷体_GB2312"/>
          <w:b/>
          <w:color w:val="auto"/>
          <w:sz w:val="24"/>
          <w:lang w:val="zh-CN"/>
        </w:rPr>
        <w:t>无效文件</w:t>
      </w:r>
      <w:r>
        <w:rPr>
          <w:rFonts w:hint="eastAsia" w:ascii="宋体" w:hAnsi="宋体" w:cs="楷体_GB2312"/>
          <w:color w:val="auto"/>
          <w:sz w:val="24"/>
          <w:lang w:val="zh-CN"/>
        </w:rPr>
        <w:t>。</w:t>
      </w:r>
    </w:p>
    <w:p w14:paraId="7DF5DFEE">
      <w:pPr>
        <w:autoSpaceDE w:val="0"/>
        <w:autoSpaceDN w:val="0"/>
        <w:adjustRightInd w:val="0"/>
        <w:snapToGrid w:val="0"/>
        <w:spacing w:before="120" w:beforeLines="50" w:line="300" w:lineRule="auto"/>
        <w:ind w:firstLine="539"/>
        <w:rPr>
          <w:rFonts w:hint="eastAsia" w:ascii="黑体" w:hAnsi="黑体" w:eastAsia="黑体" w:cs="楷体_GB2312"/>
          <w:b/>
          <w:color w:val="auto"/>
          <w:sz w:val="24"/>
          <w:lang w:val="zh-CN"/>
        </w:rPr>
      </w:pPr>
      <w:r>
        <w:rPr>
          <w:rFonts w:ascii="黑体" w:hAnsi="黑体" w:eastAsia="黑体" w:cs="楷体_GB2312"/>
          <w:b/>
          <w:color w:val="auto"/>
          <w:sz w:val="24"/>
          <w:lang w:val="zh-CN"/>
        </w:rPr>
        <w:t xml:space="preserve">3.2 </w:t>
      </w:r>
      <w:r>
        <w:rPr>
          <w:rFonts w:hint="eastAsia" w:ascii="黑体" w:hAnsi="黑体" w:eastAsia="黑体" w:cs="楷体_GB2312"/>
          <w:b/>
          <w:color w:val="auto"/>
          <w:sz w:val="24"/>
          <w:lang w:val="zh-CN"/>
        </w:rPr>
        <w:t>《响应文件》的组成</w:t>
      </w:r>
    </w:p>
    <w:p w14:paraId="5C9C9AC8">
      <w:pPr>
        <w:adjustRightInd w:val="0"/>
        <w:snapToGrid w:val="0"/>
        <w:spacing w:before="120" w:beforeLines="50" w:line="300" w:lineRule="auto"/>
        <w:ind w:firstLine="539"/>
        <w:textAlignment w:val="top"/>
        <w:rPr>
          <w:rFonts w:ascii="宋体" w:cs="楷体_GB2312"/>
          <w:color w:val="auto"/>
          <w:sz w:val="24"/>
          <w:lang w:val="zh-CN"/>
        </w:rPr>
      </w:pPr>
      <w:r>
        <w:rPr>
          <w:rFonts w:ascii="宋体" w:hAnsi="宋体" w:cs="楷体_GB2312"/>
          <w:color w:val="auto"/>
          <w:sz w:val="24"/>
          <w:lang w:val="zh-CN"/>
        </w:rPr>
        <w:t xml:space="preserve">3.2.1 </w:t>
      </w:r>
      <w:r>
        <w:rPr>
          <w:rFonts w:hint="eastAsia" w:ascii="宋体" w:hAnsi="宋体" w:cs="楷体_GB2312"/>
          <w:color w:val="auto"/>
          <w:sz w:val="24"/>
          <w:lang w:val="zh-CN"/>
        </w:rPr>
        <w:t>《响应文件》组成如有缺项，磋商小组按照实质性判断原则（实质性要求和实质性响应两因素）、有权视情况将其作无效响应处理，供应商自负此项风险；《响应文件》组成内容未对《磋商文件》实质性要求作出实质性响应，磋商小组按照实质性判断原则、视情况将其作无效响应处理，供应商自负此项风险</w:t>
      </w:r>
    </w:p>
    <w:p w14:paraId="7EEAC517">
      <w:pPr>
        <w:adjustRightInd w:val="0"/>
        <w:snapToGrid w:val="0"/>
        <w:spacing w:before="120" w:beforeLines="50" w:line="300" w:lineRule="auto"/>
        <w:ind w:firstLine="539"/>
        <w:textAlignment w:val="top"/>
        <w:rPr>
          <w:color w:val="auto"/>
          <w:sz w:val="24"/>
          <w:szCs w:val="24"/>
        </w:rPr>
      </w:pPr>
      <w:r>
        <w:rPr>
          <w:color w:val="auto"/>
          <w:sz w:val="24"/>
          <w:szCs w:val="24"/>
        </w:rPr>
        <w:t>3.2.2</w:t>
      </w:r>
      <w:r>
        <w:rPr>
          <w:rFonts w:hint="eastAsia"/>
          <w:color w:val="auto"/>
          <w:sz w:val="24"/>
          <w:szCs w:val="24"/>
        </w:rPr>
        <w:t>《响应文件》应包括下列内容：</w:t>
      </w:r>
    </w:p>
    <w:p w14:paraId="0F980CC7">
      <w:pPr>
        <w:adjustRightInd w:val="0"/>
        <w:snapToGrid w:val="0"/>
        <w:spacing w:line="300" w:lineRule="auto"/>
        <w:ind w:firstLine="539"/>
        <w:textAlignment w:val="top"/>
        <w:rPr>
          <w:color w:val="auto"/>
          <w:sz w:val="24"/>
        </w:rPr>
      </w:pPr>
      <w:r>
        <w:rPr>
          <w:rFonts w:hint="eastAsia"/>
          <w:color w:val="auto"/>
          <w:sz w:val="24"/>
        </w:rPr>
        <w:t>（</w:t>
      </w:r>
      <w:r>
        <w:rPr>
          <w:color w:val="auto"/>
          <w:sz w:val="24"/>
        </w:rPr>
        <w:t>1</w:t>
      </w:r>
      <w:r>
        <w:rPr>
          <w:rFonts w:hint="eastAsia"/>
          <w:color w:val="auto"/>
          <w:sz w:val="24"/>
        </w:rPr>
        <w:t>）投标书。</w:t>
      </w:r>
    </w:p>
    <w:p w14:paraId="572EE6DD">
      <w:pPr>
        <w:adjustRightInd w:val="0"/>
        <w:snapToGrid w:val="0"/>
        <w:spacing w:line="300" w:lineRule="auto"/>
        <w:ind w:firstLine="539"/>
        <w:textAlignment w:val="top"/>
        <w:rPr>
          <w:rFonts w:hint="eastAsia" w:ascii="宋体" w:hAnsi="宋体"/>
          <w:color w:val="auto"/>
          <w:sz w:val="24"/>
          <w:szCs w:val="24"/>
        </w:rPr>
      </w:pPr>
      <w:r>
        <w:rPr>
          <w:rFonts w:hint="eastAsia" w:ascii="宋体" w:hAnsi="宋体" w:cs="楷体_GB2312"/>
          <w:color w:val="auto"/>
          <w:sz w:val="24"/>
          <w:lang w:val="zh-CN"/>
        </w:rPr>
        <w:t>（</w:t>
      </w:r>
      <w:r>
        <w:rPr>
          <w:rFonts w:ascii="宋体" w:hAnsi="宋体" w:cs="楷体_GB2312"/>
          <w:color w:val="auto"/>
          <w:sz w:val="24"/>
          <w:lang w:val="zh-CN"/>
        </w:rPr>
        <w:t>2</w:t>
      </w:r>
      <w:r>
        <w:rPr>
          <w:rFonts w:hint="eastAsia" w:ascii="宋体" w:hAnsi="宋体" w:cs="楷体_GB2312"/>
          <w:color w:val="auto"/>
          <w:sz w:val="24"/>
          <w:lang w:val="zh-CN"/>
        </w:rPr>
        <w:t>）</w:t>
      </w:r>
      <w:r>
        <w:rPr>
          <w:rFonts w:hint="eastAsia" w:ascii="宋体" w:hAnsi="宋体"/>
          <w:color w:val="auto"/>
          <w:sz w:val="24"/>
          <w:szCs w:val="24"/>
        </w:rPr>
        <w:t>开标一览表（即交易系统中报价一览表）</w:t>
      </w:r>
    </w:p>
    <w:p w14:paraId="3D5B8B72">
      <w:pPr>
        <w:adjustRightInd w:val="0"/>
        <w:snapToGrid w:val="0"/>
        <w:spacing w:line="300" w:lineRule="auto"/>
        <w:ind w:firstLine="539"/>
        <w:textAlignment w:val="top"/>
        <w:rPr>
          <w:rFonts w:hint="eastAsia" w:ascii="宋体" w:hAnsi="宋体" w:cs="楷体_GB2312"/>
          <w:color w:val="auto"/>
          <w:sz w:val="24"/>
          <w:lang w:val="zh-CN"/>
        </w:rPr>
      </w:pPr>
      <w:r>
        <w:rPr>
          <w:rFonts w:hint="eastAsia" w:ascii="宋体" w:hAnsi="宋体" w:cs="楷体_GB2312"/>
          <w:color w:val="auto"/>
          <w:sz w:val="24"/>
          <w:lang w:val="zh-CN"/>
        </w:rPr>
        <w:t>（</w:t>
      </w:r>
      <w:r>
        <w:rPr>
          <w:rFonts w:ascii="宋体" w:hAnsi="宋体" w:cs="楷体_GB2312"/>
          <w:color w:val="auto"/>
          <w:sz w:val="24"/>
          <w:lang w:val="zh-CN"/>
        </w:rPr>
        <w:t>3</w:t>
      </w:r>
      <w:r>
        <w:rPr>
          <w:rFonts w:hint="eastAsia" w:ascii="宋体" w:hAnsi="宋体" w:cs="楷体_GB2312"/>
          <w:color w:val="auto"/>
          <w:sz w:val="24"/>
          <w:lang w:val="zh-CN"/>
        </w:rPr>
        <w:t>）第一次</w:t>
      </w:r>
      <w:r>
        <w:rPr>
          <w:rFonts w:hint="eastAsia"/>
          <w:color w:val="auto"/>
          <w:sz w:val="24"/>
        </w:rPr>
        <w:t>报价明细表（或预算书）</w:t>
      </w:r>
    </w:p>
    <w:p w14:paraId="7C01621D">
      <w:pPr>
        <w:adjustRightInd w:val="0"/>
        <w:snapToGrid w:val="0"/>
        <w:spacing w:line="300" w:lineRule="auto"/>
        <w:ind w:firstLine="539"/>
        <w:textAlignment w:val="top"/>
        <w:rPr>
          <w:color w:val="auto"/>
          <w:sz w:val="24"/>
        </w:rPr>
      </w:pPr>
      <w:r>
        <w:rPr>
          <w:rFonts w:hint="eastAsia" w:ascii="宋体" w:hAnsi="宋体" w:cs="楷体_GB2312"/>
          <w:color w:val="auto"/>
          <w:sz w:val="24"/>
          <w:lang w:val="zh-CN"/>
        </w:rPr>
        <w:t>（</w:t>
      </w:r>
      <w:r>
        <w:rPr>
          <w:rFonts w:ascii="宋体" w:hAnsi="宋体" w:cs="楷体_GB2312"/>
          <w:color w:val="auto"/>
          <w:sz w:val="24"/>
          <w:lang w:val="zh-CN"/>
        </w:rPr>
        <w:t>4</w:t>
      </w:r>
      <w:r>
        <w:rPr>
          <w:rFonts w:hint="eastAsia" w:ascii="宋体" w:hAnsi="宋体" w:cs="楷体_GB2312"/>
          <w:color w:val="auto"/>
          <w:sz w:val="24"/>
          <w:lang w:val="zh-CN"/>
        </w:rPr>
        <w:t>）</w:t>
      </w:r>
      <w:r>
        <w:rPr>
          <w:rFonts w:hint="eastAsia"/>
          <w:color w:val="auto"/>
          <w:sz w:val="24"/>
        </w:rPr>
        <w:t>施工方案</w:t>
      </w:r>
    </w:p>
    <w:p w14:paraId="5C1DDA3C">
      <w:pPr>
        <w:autoSpaceDE w:val="0"/>
        <w:autoSpaceDN w:val="0"/>
        <w:adjustRightInd w:val="0"/>
        <w:snapToGrid w:val="0"/>
        <w:spacing w:line="300" w:lineRule="auto"/>
        <w:ind w:firstLine="520" w:firstLineChars="217"/>
        <w:rPr>
          <w:rFonts w:hint="eastAsia" w:ascii="宋体" w:hAnsi="宋体"/>
          <w:color w:val="auto"/>
          <w:sz w:val="24"/>
        </w:rPr>
      </w:pPr>
      <w:r>
        <w:rPr>
          <w:rFonts w:hint="eastAsia"/>
          <w:color w:val="auto"/>
          <w:sz w:val="24"/>
        </w:rPr>
        <w:t>（5）</w:t>
      </w:r>
      <w:r>
        <w:rPr>
          <w:rFonts w:hint="eastAsia" w:ascii="宋体" w:hAnsi="宋体"/>
          <w:color w:val="auto"/>
          <w:sz w:val="24"/>
        </w:rPr>
        <w:t>工程质量保修书</w:t>
      </w:r>
    </w:p>
    <w:p w14:paraId="004A18A0">
      <w:pPr>
        <w:autoSpaceDE w:val="0"/>
        <w:autoSpaceDN w:val="0"/>
        <w:adjustRightInd w:val="0"/>
        <w:snapToGrid w:val="0"/>
        <w:spacing w:line="300" w:lineRule="auto"/>
        <w:ind w:firstLine="520" w:firstLineChars="217"/>
        <w:rPr>
          <w:rFonts w:hint="eastAsia" w:ascii="宋体" w:hAnsi="宋体"/>
          <w:color w:val="auto"/>
          <w:sz w:val="24"/>
        </w:rPr>
      </w:pPr>
      <w:r>
        <w:rPr>
          <w:rFonts w:hint="eastAsia"/>
          <w:color w:val="auto"/>
          <w:sz w:val="24"/>
        </w:rPr>
        <w:t>（6）</w:t>
      </w:r>
      <w:r>
        <w:rPr>
          <w:rFonts w:hint="eastAsia" w:ascii="宋体" w:hAnsi="宋体"/>
          <w:color w:val="auto"/>
          <w:sz w:val="24"/>
        </w:rPr>
        <w:t>工程质量、安全、工期承诺书</w:t>
      </w:r>
    </w:p>
    <w:p w14:paraId="359F6A06">
      <w:pPr>
        <w:adjustRightInd w:val="0"/>
        <w:snapToGrid w:val="0"/>
        <w:spacing w:line="300" w:lineRule="auto"/>
        <w:ind w:firstLine="539"/>
        <w:textAlignment w:val="top"/>
        <w:rPr>
          <w:color w:val="auto"/>
          <w:sz w:val="24"/>
        </w:rPr>
      </w:pPr>
      <w:r>
        <w:rPr>
          <w:rFonts w:hint="eastAsia" w:ascii="宋体" w:hAnsi="宋体" w:cs="楷体_GB2312"/>
          <w:color w:val="auto"/>
          <w:sz w:val="24"/>
          <w:lang w:val="zh-CN"/>
        </w:rPr>
        <w:t>（7）</w:t>
      </w:r>
      <w:r>
        <w:rPr>
          <w:rFonts w:hint="eastAsia"/>
          <w:color w:val="auto"/>
          <w:sz w:val="24"/>
        </w:rPr>
        <w:t>偏差表</w:t>
      </w:r>
    </w:p>
    <w:p w14:paraId="3FB32EFD">
      <w:pPr>
        <w:adjustRightInd w:val="0"/>
        <w:snapToGrid w:val="0"/>
        <w:spacing w:line="300" w:lineRule="auto"/>
        <w:ind w:firstLine="539"/>
        <w:rPr>
          <w:color w:val="auto"/>
          <w:sz w:val="24"/>
        </w:rPr>
      </w:pPr>
      <w:r>
        <w:rPr>
          <w:rFonts w:hint="eastAsia" w:ascii="宋体" w:hAnsi="宋体" w:cs="楷体_GB2312"/>
          <w:color w:val="auto"/>
          <w:sz w:val="24"/>
          <w:lang w:val="zh-CN"/>
        </w:rPr>
        <w:t>（</w:t>
      </w:r>
      <w:r>
        <w:rPr>
          <w:rFonts w:ascii="宋体" w:hAnsi="宋体" w:cs="楷体_GB2312"/>
          <w:color w:val="auto"/>
          <w:sz w:val="24"/>
          <w:lang w:val="zh-CN"/>
        </w:rPr>
        <w:t>8</w:t>
      </w:r>
      <w:r>
        <w:rPr>
          <w:rFonts w:hint="eastAsia" w:ascii="宋体" w:hAnsi="宋体" w:cs="楷体_GB2312"/>
          <w:color w:val="auto"/>
          <w:sz w:val="24"/>
          <w:lang w:val="zh-CN"/>
        </w:rPr>
        <w:t>）</w:t>
      </w:r>
      <w:r>
        <w:rPr>
          <w:rFonts w:hint="eastAsia"/>
          <w:color w:val="auto"/>
          <w:sz w:val="24"/>
        </w:rPr>
        <w:t>关于资格的声明函</w:t>
      </w:r>
    </w:p>
    <w:p w14:paraId="581E7AB9">
      <w:pPr>
        <w:adjustRightInd w:val="0"/>
        <w:snapToGrid w:val="0"/>
        <w:spacing w:line="300" w:lineRule="auto"/>
        <w:ind w:firstLine="539"/>
        <w:rPr>
          <w:color w:val="auto"/>
          <w:sz w:val="24"/>
        </w:rPr>
      </w:pPr>
      <w:r>
        <w:rPr>
          <w:rFonts w:hint="eastAsia" w:ascii="宋体" w:hAnsi="宋体" w:cs="楷体_GB2312"/>
          <w:color w:val="auto"/>
          <w:sz w:val="24"/>
          <w:lang w:val="zh-CN"/>
        </w:rPr>
        <w:t>（</w:t>
      </w:r>
      <w:r>
        <w:rPr>
          <w:rFonts w:ascii="宋体" w:hAnsi="宋体" w:cs="楷体_GB2312"/>
          <w:color w:val="auto"/>
          <w:sz w:val="24"/>
          <w:lang w:val="zh-CN"/>
        </w:rPr>
        <w:t>9</w:t>
      </w:r>
      <w:r>
        <w:rPr>
          <w:rFonts w:hint="eastAsia" w:ascii="宋体" w:hAnsi="宋体" w:cs="楷体_GB2312"/>
          <w:color w:val="auto"/>
          <w:sz w:val="24"/>
          <w:lang w:val="zh-CN"/>
        </w:rPr>
        <w:t>）</w:t>
      </w:r>
      <w:r>
        <w:rPr>
          <w:rFonts w:hint="eastAsia"/>
          <w:color w:val="auto"/>
          <w:sz w:val="24"/>
        </w:rPr>
        <w:t>反商业贿赂承诺书。</w:t>
      </w:r>
    </w:p>
    <w:p w14:paraId="2456EABE">
      <w:pPr>
        <w:adjustRightInd w:val="0"/>
        <w:snapToGrid w:val="0"/>
        <w:spacing w:line="300" w:lineRule="auto"/>
        <w:ind w:firstLine="539"/>
        <w:rPr>
          <w:color w:val="auto"/>
          <w:sz w:val="24"/>
        </w:rPr>
      </w:pPr>
      <w:r>
        <w:rPr>
          <w:rFonts w:hint="eastAsia" w:ascii="宋体" w:hAnsi="宋体" w:cs="楷体_GB2312"/>
          <w:color w:val="auto"/>
          <w:sz w:val="24"/>
          <w:lang w:val="zh-CN"/>
        </w:rPr>
        <w:t>（</w:t>
      </w:r>
      <w:r>
        <w:rPr>
          <w:rFonts w:ascii="宋体" w:hAnsi="宋体" w:cs="楷体_GB2312"/>
          <w:color w:val="auto"/>
          <w:sz w:val="24"/>
          <w:lang w:val="zh-CN"/>
        </w:rPr>
        <w:t>10</w:t>
      </w:r>
      <w:r>
        <w:rPr>
          <w:rFonts w:hint="eastAsia" w:ascii="宋体" w:hAnsi="宋体" w:cs="楷体_GB2312"/>
          <w:color w:val="auto"/>
          <w:sz w:val="24"/>
          <w:lang w:val="zh-CN"/>
        </w:rPr>
        <w:t>）</w:t>
      </w:r>
      <w:r>
        <w:rPr>
          <w:rFonts w:hint="eastAsia"/>
          <w:color w:val="auto"/>
          <w:sz w:val="24"/>
        </w:rPr>
        <w:t>履约承诺书。</w:t>
      </w:r>
    </w:p>
    <w:p w14:paraId="35784534">
      <w:pPr>
        <w:widowControl w:val="0"/>
        <w:adjustRightInd w:val="0"/>
        <w:snapToGrid w:val="0"/>
        <w:spacing w:line="300" w:lineRule="auto"/>
        <w:ind w:firstLine="539"/>
        <w:textAlignment w:val="top"/>
        <w:rPr>
          <w:color w:val="auto"/>
          <w:sz w:val="24"/>
        </w:rPr>
      </w:pPr>
      <w:r>
        <w:rPr>
          <w:rFonts w:hint="eastAsia"/>
          <w:color w:val="auto"/>
          <w:sz w:val="24"/>
        </w:rPr>
        <w:t>（</w:t>
      </w:r>
      <w:r>
        <w:rPr>
          <w:color w:val="auto"/>
          <w:sz w:val="24"/>
        </w:rPr>
        <w:t>11</w:t>
      </w:r>
      <w:r>
        <w:rPr>
          <w:rFonts w:hint="eastAsia"/>
          <w:color w:val="auto"/>
          <w:sz w:val="24"/>
        </w:rPr>
        <w:t>）资格要求相关证明材料（文件）</w:t>
      </w:r>
    </w:p>
    <w:p w14:paraId="6203AEFC">
      <w:pPr>
        <w:widowControl w:val="0"/>
        <w:adjustRightInd w:val="0"/>
        <w:snapToGrid w:val="0"/>
        <w:spacing w:line="300" w:lineRule="auto"/>
        <w:ind w:firstLine="539"/>
        <w:textAlignment w:val="top"/>
        <w:rPr>
          <w:color w:val="auto"/>
          <w:sz w:val="24"/>
        </w:rPr>
      </w:pPr>
      <w:r>
        <w:rPr>
          <w:rFonts w:hint="eastAsia"/>
          <w:color w:val="auto"/>
          <w:sz w:val="24"/>
        </w:rPr>
        <w:t>（</w:t>
      </w:r>
      <w:r>
        <w:rPr>
          <w:color w:val="auto"/>
          <w:sz w:val="24"/>
        </w:rPr>
        <w:t>12</w:t>
      </w:r>
      <w:r>
        <w:rPr>
          <w:rFonts w:hint="eastAsia"/>
          <w:color w:val="auto"/>
          <w:sz w:val="24"/>
        </w:rPr>
        <w:t>）采购项目及技术服务要求所需的其他材料（按条款需要）</w:t>
      </w:r>
    </w:p>
    <w:p w14:paraId="425CE43F">
      <w:pPr>
        <w:widowControl w:val="0"/>
        <w:adjustRightInd w:val="0"/>
        <w:snapToGrid w:val="0"/>
        <w:spacing w:line="300" w:lineRule="auto"/>
        <w:ind w:firstLine="539"/>
        <w:textAlignment w:val="top"/>
        <w:rPr>
          <w:color w:val="auto"/>
          <w:sz w:val="24"/>
        </w:rPr>
      </w:pPr>
      <w:r>
        <w:rPr>
          <w:rFonts w:hint="eastAsia"/>
          <w:color w:val="auto"/>
          <w:sz w:val="24"/>
        </w:rPr>
        <w:t>（</w:t>
      </w:r>
      <w:r>
        <w:rPr>
          <w:color w:val="auto"/>
          <w:sz w:val="24"/>
        </w:rPr>
        <w:t>13</w:t>
      </w:r>
      <w:r>
        <w:rPr>
          <w:rFonts w:hint="eastAsia"/>
          <w:color w:val="auto"/>
          <w:sz w:val="24"/>
        </w:rPr>
        <w:t>）供应商须知所需的其他材料（按条款需要）</w:t>
      </w:r>
    </w:p>
    <w:p w14:paraId="00AD118B">
      <w:pPr>
        <w:widowControl w:val="0"/>
        <w:adjustRightInd w:val="0"/>
        <w:snapToGrid w:val="0"/>
        <w:spacing w:line="300" w:lineRule="auto"/>
        <w:ind w:firstLine="539"/>
        <w:textAlignment w:val="top"/>
        <w:rPr>
          <w:color w:val="auto"/>
          <w:sz w:val="24"/>
        </w:rPr>
      </w:pPr>
      <w:r>
        <w:rPr>
          <w:rFonts w:hint="eastAsia"/>
          <w:color w:val="auto"/>
          <w:sz w:val="24"/>
        </w:rPr>
        <w:t>（</w:t>
      </w:r>
      <w:r>
        <w:rPr>
          <w:color w:val="auto"/>
          <w:sz w:val="24"/>
        </w:rPr>
        <w:t>14</w:t>
      </w:r>
      <w:r>
        <w:rPr>
          <w:rFonts w:hint="eastAsia"/>
          <w:color w:val="auto"/>
          <w:sz w:val="24"/>
        </w:rPr>
        <w:t>）评审办法所需的其他材料（按条款需要）</w:t>
      </w:r>
    </w:p>
    <w:p w14:paraId="0A86AE02">
      <w:pPr>
        <w:autoSpaceDE w:val="0"/>
        <w:autoSpaceDN w:val="0"/>
        <w:adjustRightInd w:val="0"/>
        <w:snapToGrid w:val="0"/>
        <w:spacing w:line="300" w:lineRule="auto"/>
        <w:ind w:firstLine="520" w:firstLineChars="217"/>
        <w:rPr>
          <w:rFonts w:ascii="宋体" w:cs="楷体_GB2312"/>
          <w:color w:val="auto"/>
          <w:sz w:val="24"/>
          <w:lang w:val="zh-CN"/>
        </w:rPr>
      </w:pPr>
      <w:r>
        <w:rPr>
          <w:rFonts w:hint="eastAsia" w:ascii="宋体" w:hAnsi="宋体" w:cs="楷体_GB2312"/>
          <w:color w:val="auto"/>
          <w:sz w:val="24"/>
          <w:lang w:val="zh-CN"/>
        </w:rPr>
        <w:t>（</w:t>
      </w:r>
      <w:r>
        <w:rPr>
          <w:rFonts w:ascii="宋体" w:hAnsi="宋体" w:cs="楷体_GB2312"/>
          <w:color w:val="auto"/>
          <w:sz w:val="24"/>
          <w:lang w:val="zh-CN"/>
        </w:rPr>
        <w:t>15</w:t>
      </w:r>
      <w:r>
        <w:rPr>
          <w:rFonts w:hint="eastAsia" w:ascii="宋体" w:hAnsi="宋体" w:cs="楷体_GB2312"/>
          <w:color w:val="auto"/>
          <w:sz w:val="24"/>
          <w:lang w:val="zh-CN"/>
        </w:rPr>
        <w:t>）</w:t>
      </w:r>
      <w:r>
        <w:rPr>
          <w:rFonts w:hint="eastAsia" w:ascii="宋体" w:hAnsi="宋体"/>
          <w:color w:val="auto"/>
          <w:sz w:val="24"/>
        </w:rPr>
        <w:t>供应商认为有必要提交的其它材料</w:t>
      </w:r>
    </w:p>
    <w:p w14:paraId="6BCE3228">
      <w:pPr>
        <w:topLinePunct/>
        <w:adjustRightInd w:val="0"/>
        <w:snapToGrid w:val="0"/>
        <w:spacing w:line="300" w:lineRule="auto"/>
        <w:ind w:left="561" w:leftChars="267" w:firstLine="120" w:firstLineChars="50"/>
        <w:rPr>
          <w:rFonts w:ascii="宋体" w:cs="楷体_GB2312"/>
          <w:color w:val="auto"/>
          <w:sz w:val="24"/>
          <w:lang w:val="zh-CN"/>
        </w:rPr>
      </w:pPr>
    </w:p>
    <w:p w14:paraId="60670D0C">
      <w:pPr>
        <w:topLinePunct/>
        <w:adjustRightInd w:val="0"/>
        <w:snapToGrid w:val="0"/>
        <w:spacing w:before="120" w:beforeLines="50" w:line="300" w:lineRule="auto"/>
        <w:ind w:firstLine="564" w:firstLineChars="235"/>
        <w:rPr>
          <w:rFonts w:ascii="宋体" w:cs="楷体_GB2312"/>
          <w:color w:val="auto"/>
          <w:sz w:val="24"/>
          <w:lang w:val="zh-CN"/>
        </w:rPr>
      </w:pPr>
      <w:r>
        <w:rPr>
          <w:rFonts w:ascii="宋体" w:hAnsi="宋体" w:cs="楷体_GB2312"/>
          <w:color w:val="auto"/>
          <w:sz w:val="24"/>
          <w:lang w:val="zh-CN"/>
        </w:rPr>
        <w:t>3.2.3</w:t>
      </w:r>
      <w:r>
        <w:rPr>
          <w:rFonts w:hint="eastAsia" w:ascii="宋体" w:hAnsi="宋体" w:cs="楷体_GB2312"/>
          <w:color w:val="auto"/>
          <w:sz w:val="24"/>
          <w:lang w:val="zh-CN"/>
        </w:rPr>
        <w:t>按照本章第</w:t>
      </w:r>
      <w:r>
        <w:rPr>
          <w:rFonts w:ascii="宋体" w:hAnsi="宋体" w:cs="楷体_GB2312"/>
          <w:color w:val="auto"/>
          <w:sz w:val="24"/>
          <w:lang w:val="zh-CN"/>
        </w:rPr>
        <w:t>4.3</w:t>
      </w:r>
      <w:r>
        <w:rPr>
          <w:rFonts w:hint="eastAsia" w:ascii="宋体" w:hAnsi="宋体" w:cs="楷体_GB2312"/>
          <w:color w:val="auto"/>
          <w:sz w:val="24"/>
          <w:lang w:val="zh-CN"/>
        </w:rPr>
        <w:t>款、第四章第</w:t>
      </w:r>
      <w:r>
        <w:rPr>
          <w:rFonts w:ascii="宋体" w:hAnsi="宋体" w:cs="楷体_GB2312"/>
          <w:color w:val="auto"/>
          <w:sz w:val="24"/>
          <w:lang w:val="zh-CN"/>
        </w:rPr>
        <w:t>3.</w:t>
      </w:r>
      <w:r>
        <w:rPr>
          <w:rFonts w:hint="eastAsia" w:ascii="宋体" w:hAnsi="宋体" w:cs="楷体_GB2312"/>
          <w:color w:val="auto"/>
          <w:sz w:val="24"/>
          <w:lang w:val="zh-CN"/>
        </w:rPr>
        <w:t>3款规定，对《响应文件》的补充、修改、澄清、说明或者更正构成《响应文件》的组成部分，</w:t>
      </w:r>
    </w:p>
    <w:p w14:paraId="6C6C65CA">
      <w:pPr>
        <w:topLinePunct/>
        <w:adjustRightInd w:val="0"/>
        <w:snapToGrid w:val="0"/>
        <w:spacing w:before="120" w:beforeLines="50" w:line="300" w:lineRule="auto"/>
        <w:ind w:firstLine="566" w:firstLineChars="235"/>
        <w:rPr>
          <w:rFonts w:ascii="宋体" w:cs="楷体_GB2312"/>
          <w:color w:val="auto"/>
          <w:sz w:val="24"/>
          <w:lang w:val="zh-CN"/>
        </w:rPr>
      </w:pPr>
      <w:r>
        <w:rPr>
          <w:rFonts w:ascii="黑体" w:hAnsi="黑体" w:eastAsia="黑体" w:cs="楷体_GB2312"/>
          <w:b/>
          <w:color w:val="auto"/>
          <w:sz w:val="24"/>
          <w:lang w:val="zh-CN"/>
        </w:rPr>
        <w:t xml:space="preserve">3.3 </w:t>
      </w:r>
      <w:r>
        <w:rPr>
          <w:rFonts w:hint="eastAsia" w:ascii="黑体" w:hAnsi="黑体" w:eastAsia="黑体" w:cs="楷体_GB2312"/>
          <w:b/>
          <w:color w:val="auto"/>
          <w:sz w:val="24"/>
          <w:lang w:val="zh-CN"/>
        </w:rPr>
        <w:t>磋商报价</w:t>
      </w:r>
      <w:r>
        <w:rPr>
          <w:rFonts w:hint="eastAsia" w:ascii="宋体" w:hAnsi="宋体" w:cs="楷体_GB2312"/>
          <w:color w:val="auto"/>
          <w:sz w:val="24"/>
          <w:lang w:val="zh-CN"/>
        </w:rPr>
        <w:t>（价格构成）：见第二章</w:t>
      </w:r>
      <w:r>
        <w:rPr>
          <w:rFonts w:ascii="宋体" w:hAnsi="宋体" w:cs="楷体_GB2312"/>
          <w:color w:val="auto"/>
          <w:sz w:val="24"/>
          <w:lang w:val="zh-CN"/>
        </w:rPr>
        <w:t>1.3</w:t>
      </w:r>
      <w:r>
        <w:rPr>
          <w:rFonts w:hint="eastAsia" w:ascii="宋体" w:hAnsi="宋体" w:cs="楷体_GB2312"/>
          <w:color w:val="auto"/>
          <w:sz w:val="24"/>
          <w:lang w:val="zh-CN"/>
        </w:rPr>
        <w:t>款。</w:t>
      </w:r>
    </w:p>
    <w:p w14:paraId="1589EDD2">
      <w:pPr>
        <w:topLinePunct/>
        <w:adjustRightInd w:val="0"/>
        <w:snapToGrid w:val="0"/>
        <w:spacing w:before="120" w:beforeLines="50" w:line="300" w:lineRule="auto"/>
        <w:ind w:firstLine="566" w:firstLineChars="235"/>
        <w:rPr>
          <w:rFonts w:hint="eastAsia" w:ascii="黑体" w:hAnsi="黑体" w:eastAsia="黑体" w:cs="楷体_GB2312"/>
          <w:b/>
          <w:color w:val="auto"/>
          <w:sz w:val="24"/>
          <w:lang w:val="zh-CN"/>
        </w:rPr>
      </w:pPr>
      <w:r>
        <w:rPr>
          <w:rFonts w:ascii="黑体" w:hAnsi="黑体" w:eastAsia="黑体" w:cs="楷体_GB2312"/>
          <w:b/>
          <w:color w:val="auto"/>
          <w:sz w:val="24"/>
          <w:lang w:val="zh-CN"/>
        </w:rPr>
        <w:t xml:space="preserve">3.4 </w:t>
      </w:r>
      <w:r>
        <w:rPr>
          <w:rFonts w:hint="eastAsia" w:ascii="黑体" w:hAnsi="黑体" w:eastAsia="黑体" w:cs="楷体_GB2312"/>
          <w:b/>
          <w:color w:val="auto"/>
          <w:sz w:val="24"/>
          <w:lang w:val="zh-CN"/>
        </w:rPr>
        <w:t>响应有效期</w:t>
      </w:r>
    </w:p>
    <w:p w14:paraId="67755971">
      <w:pPr>
        <w:topLinePunct/>
        <w:adjustRightInd w:val="0"/>
        <w:snapToGrid w:val="0"/>
        <w:spacing w:before="120" w:beforeLines="50" w:line="300" w:lineRule="auto"/>
        <w:ind w:firstLine="564" w:firstLineChars="235"/>
        <w:rPr>
          <w:rFonts w:ascii="宋体" w:cs="楷体_GB2312"/>
          <w:color w:val="auto"/>
          <w:sz w:val="24"/>
          <w:lang w:val="zh-CN"/>
        </w:rPr>
      </w:pPr>
      <w:r>
        <w:rPr>
          <w:rFonts w:ascii="宋体" w:hAnsi="宋体" w:cs="楷体_GB2312"/>
          <w:color w:val="auto"/>
          <w:sz w:val="24"/>
          <w:lang w:val="zh-CN"/>
        </w:rPr>
        <w:t>3.4.1</w:t>
      </w:r>
      <w:r>
        <w:rPr>
          <w:rFonts w:hint="eastAsia" w:ascii="宋体" w:hAnsi="宋体" w:cs="楷体_GB2312"/>
          <w:color w:val="auto"/>
          <w:sz w:val="24"/>
          <w:lang w:val="zh-CN"/>
        </w:rPr>
        <w:t>响应有效期见供应商须知前附表。《响应文件》在响应有效期内保持不变（包括价格等《响应文件》各项条款）。</w:t>
      </w:r>
    </w:p>
    <w:p w14:paraId="1BF5412F">
      <w:pPr>
        <w:topLinePunct/>
        <w:adjustRightInd w:val="0"/>
        <w:snapToGrid w:val="0"/>
        <w:spacing w:before="120" w:beforeLines="50" w:line="300" w:lineRule="auto"/>
        <w:ind w:firstLine="564" w:firstLineChars="235"/>
        <w:rPr>
          <w:rFonts w:ascii="宋体" w:cs="楷体_GB2312"/>
          <w:color w:val="auto"/>
          <w:sz w:val="24"/>
          <w:lang w:val="zh-CN"/>
        </w:rPr>
      </w:pPr>
      <w:r>
        <w:rPr>
          <w:rFonts w:ascii="宋体" w:hAnsi="宋体" w:cs="楷体_GB2312"/>
          <w:color w:val="auto"/>
          <w:sz w:val="24"/>
          <w:lang w:val="zh-CN"/>
        </w:rPr>
        <w:t>3.4.2</w:t>
      </w:r>
      <w:r>
        <w:rPr>
          <w:rFonts w:hint="eastAsia" w:ascii="宋体" w:hAnsi="宋体" w:cs="楷体_GB2312"/>
          <w:color w:val="auto"/>
          <w:sz w:val="24"/>
          <w:lang w:val="zh-CN"/>
        </w:rPr>
        <w:t>在响应有效期内，供应商撤销或修改其《响应文件》的，应承担《磋商文件》和法律规定的责任。</w:t>
      </w:r>
    </w:p>
    <w:p w14:paraId="2AD26897">
      <w:pPr>
        <w:topLinePunct/>
        <w:adjustRightInd w:val="0"/>
        <w:snapToGrid w:val="0"/>
        <w:spacing w:before="120" w:beforeLines="50" w:line="300" w:lineRule="auto"/>
        <w:ind w:firstLine="566" w:firstLineChars="235"/>
        <w:rPr>
          <w:rFonts w:hint="eastAsia" w:ascii="黑体" w:hAnsi="黑体" w:eastAsia="黑体" w:cs="楷体_GB2312"/>
          <w:b/>
          <w:color w:val="auto"/>
          <w:sz w:val="24"/>
          <w:lang w:val="zh-CN"/>
        </w:rPr>
      </w:pPr>
      <w:r>
        <w:rPr>
          <w:rFonts w:ascii="黑体" w:hAnsi="黑体" w:eastAsia="黑体" w:cs="楷体_GB2312"/>
          <w:b/>
          <w:color w:val="auto"/>
          <w:sz w:val="24"/>
          <w:lang w:val="zh-CN"/>
        </w:rPr>
        <w:t xml:space="preserve">3.5 </w:t>
      </w:r>
      <w:r>
        <w:rPr>
          <w:rFonts w:hint="eastAsia" w:ascii="黑体" w:hAnsi="黑体" w:eastAsia="黑体" w:cs="楷体_GB2312"/>
          <w:b/>
          <w:color w:val="auto"/>
          <w:sz w:val="24"/>
        </w:rPr>
        <w:t>投标承诺函</w:t>
      </w:r>
      <w:r>
        <w:rPr>
          <w:rFonts w:hint="eastAsia" w:ascii="黑体" w:hAnsi="黑体" w:eastAsia="黑体" w:cs="楷体_GB2312"/>
          <w:b/>
          <w:color w:val="auto"/>
          <w:sz w:val="24"/>
          <w:lang w:val="zh-CN"/>
        </w:rPr>
        <w:t>（</w:t>
      </w:r>
      <w:r>
        <w:rPr>
          <w:rFonts w:hint="eastAsia" w:ascii="黑体" w:hAnsi="黑体" w:eastAsia="黑体" w:cs="楷体_GB2312"/>
          <w:b/>
          <w:color w:val="auto"/>
          <w:sz w:val="24"/>
        </w:rPr>
        <w:t>替代</w:t>
      </w:r>
      <w:r>
        <w:rPr>
          <w:rFonts w:hint="eastAsia" w:ascii="黑体" w:hAnsi="黑体" w:eastAsia="黑体" w:cs="楷体_GB2312"/>
          <w:b/>
          <w:color w:val="auto"/>
          <w:sz w:val="24"/>
          <w:lang w:val="zh-CN"/>
        </w:rPr>
        <w:t>投标保证金）：</w:t>
      </w:r>
    </w:p>
    <w:p w14:paraId="65032B64">
      <w:pPr>
        <w:widowControl w:val="0"/>
        <w:tabs>
          <w:tab w:val="left" w:pos="65"/>
        </w:tabs>
        <w:spacing w:line="460" w:lineRule="atLeast"/>
        <w:ind w:firstLine="480" w:firstLineChars="200"/>
        <w:textAlignment w:val="auto"/>
        <w:rPr>
          <w:rFonts w:hint="eastAsia" w:ascii="宋体" w:hAnsi="宋体"/>
          <w:color w:val="auto"/>
          <w:sz w:val="24"/>
          <w:szCs w:val="24"/>
        </w:rPr>
      </w:pPr>
      <w:r>
        <w:rPr>
          <w:rFonts w:hint="eastAsia" w:ascii="宋体" w:hAnsi="宋体"/>
          <w:color w:val="auto"/>
          <w:sz w:val="24"/>
          <w:szCs w:val="24"/>
          <w:lang w:val="zh-CN"/>
        </w:rPr>
        <w:t xml:space="preserve">3.5.1 </w:t>
      </w:r>
      <w:r>
        <w:rPr>
          <w:rFonts w:hint="eastAsia" w:ascii="宋体" w:hAnsi="宋体"/>
          <w:color w:val="auto"/>
          <w:sz w:val="24"/>
          <w:szCs w:val="24"/>
        </w:rPr>
        <w:t>按照豫财购〔2019〕4号文件规定，本项目以投标承诺函的形式替代投标保证金，供应商应按附件格式进行投标承诺，违背承诺的将承担相应的法律责任及违约责任。</w:t>
      </w:r>
    </w:p>
    <w:p w14:paraId="45A4808E">
      <w:pPr>
        <w:widowControl w:val="0"/>
        <w:tabs>
          <w:tab w:val="left" w:pos="65"/>
        </w:tabs>
        <w:spacing w:line="460" w:lineRule="atLeast"/>
        <w:ind w:firstLine="480" w:firstLineChars="200"/>
        <w:textAlignment w:val="auto"/>
        <w:rPr>
          <w:rFonts w:hint="eastAsia" w:ascii="宋体" w:hAnsi="宋体"/>
          <w:color w:val="auto"/>
          <w:sz w:val="24"/>
          <w:szCs w:val="24"/>
        </w:rPr>
      </w:pPr>
      <w:r>
        <w:rPr>
          <w:rFonts w:hint="eastAsia" w:ascii="宋体" w:hAnsi="宋体"/>
          <w:color w:val="auto"/>
          <w:sz w:val="24"/>
          <w:szCs w:val="24"/>
        </w:rPr>
        <w:t>3.5.2 未提供投标承诺函的为无效投标。</w:t>
      </w:r>
    </w:p>
    <w:p w14:paraId="52E4B0A2">
      <w:pPr>
        <w:widowControl w:val="0"/>
        <w:tabs>
          <w:tab w:val="left" w:pos="65"/>
        </w:tabs>
        <w:spacing w:line="460" w:lineRule="atLeast"/>
        <w:ind w:firstLine="480" w:firstLineChars="200"/>
        <w:textAlignment w:val="auto"/>
        <w:rPr>
          <w:rFonts w:hint="eastAsia" w:ascii="宋体" w:hAnsi="宋体"/>
          <w:color w:val="auto"/>
          <w:sz w:val="24"/>
          <w:szCs w:val="24"/>
        </w:rPr>
      </w:pPr>
      <w:r>
        <w:rPr>
          <w:rFonts w:hint="eastAsia" w:ascii="宋体" w:hAnsi="宋体"/>
          <w:color w:val="auto"/>
          <w:sz w:val="24"/>
          <w:szCs w:val="24"/>
        </w:rPr>
        <w:t>3.5.3 供应商的投标承诺函包含供应商承诺的事项及违背承诺的责任追究措施。</w:t>
      </w:r>
    </w:p>
    <w:p w14:paraId="2A592A05">
      <w:pPr>
        <w:widowControl w:val="0"/>
        <w:tabs>
          <w:tab w:val="left" w:pos="65"/>
        </w:tabs>
        <w:spacing w:line="460" w:lineRule="atLeast"/>
        <w:ind w:firstLine="480" w:firstLineChars="200"/>
        <w:textAlignment w:val="auto"/>
        <w:rPr>
          <w:rFonts w:hint="eastAsia" w:ascii="宋体" w:hAnsi="宋体"/>
          <w:color w:val="auto"/>
          <w:sz w:val="24"/>
          <w:szCs w:val="24"/>
        </w:rPr>
      </w:pPr>
      <w:r>
        <w:rPr>
          <w:rFonts w:hint="eastAsia" w:ascii="宋体" w:hAnsi="宋体"/>
          <w:color w:val="auto"/>
          <w:sz w:val="24"/>
          <w:szCs w:val="24"/>
        </w:rPr>
        <w:t>3.5.4 承诺事项：</w:t>
      </w:r>
    </w:p>
    <w:p w14:paraId="39ADBC43">
      <w:pPr>
        <w:widowControl w:val="0"/>
        <w:tabs>
          <w:tab w:val="left" w:pos="65"/>
        </w:tabs>
        <w:spacing w:line="460" w:lineRule="atLeast"/>
        <w:ind w:firstLine="480" w:firstLineChars="200"/>
        <w:textAlignment w:val="auto"/>
        <w:rPr>
          <w:rFonts w:hint="eastAsia" w:ascii="宋体" w:hAnsi="宋体"/>
          <w:color w:val="auto"/>
          <w:sz w:val="24"/>
          <w:szCs w:val="24"/>
        </w:rPr>
      </w:pPr>
      <w:r>
        <w:rPr>
          <w:rFonts w:hint="eastAsia" w:ascii="宋体" w:hAnsi="宋体"/>
          <w:color w:val="auto"/>
          <w:sz w:val="24"/>
          <w:szCs w:val="24"/>
        </w:rPr>
        <w:t>3.5.4.1、供应商应遵循公开、公平、公正和</w:t>
      </w:r>
      <w:r>
        <w:fldChar w:fldCharType="begin"/>
      </w:r>
      <w:r>
        <w:instrText xml:space="preserve"> HYPERLINK "http://www.so.com/s?q=%E8%AF%9A%E5%AE%9E%E4%BF%A1%E7%94%A8&amp;ie=utf-8&amp;src=internal_wenda_recommend_textn" \t "https://wenda.so.com/q/_blank" </w:instrText>
      </w:r>
      <w:r>
        <w:fldChar w:fldCharType="separate"/>
      </w:r>
      <w:r>
        <w:rPr>
          <w:rFonts w:hint="eastAsia" w:ascii="宋体" w:hAnsi="宋体"/>
          <w:color w:val="auto"/>
          <w:sz w:val="24"/>
          <w:szCs w:val="24"/>
        </w:rPr>
        <w:t>诚实信用</w:t>
      </w:r>
      <w:r>
        <w:rPr>
          <w:rFonts w:hint="eastAsia" w:ascii="宋体" w:hAnsi="宋体"/>
          <w:color w:val="auto"/>
          <w:sz w:val="24"/>
          <w:szCs w:val="24"/>
        </w:rPr>
        <w:fldChar w:fldCharType="end"/>
      </w:r>
      <w:r>
        <w:rPr>
          <w:rFonts w:hint="eastAsia" w:ascii="宋体" w:hAnsi="宋体"/>
          <w:color w:val="auto"/>
          <w:sz w:val="24"/>
          <w:szCs w:val="24"/>
        </w:rPr>
        <w:t>的原则自愿参加项目的投标；</w:t>
      </w:r>
      <w:r>
        <w:rPr>
          <w:rFonts w:hint="eastAsia" w:ascii="宋体" w:hAnsi="宋体"/>
          <w:color w:val="auto"/>
          <w:sz w:val="24"/>
          <w:szCs w:val="24"/>
        </w:rPr>
        <w:br w:type="textWrapping"/>
      </w:r>
      <w:r>
        <w:rPr>
          <w:rFonts w:hint="eastAsia" w:ascii="宋体" w:hAnsi="宋体"/>
          <w:color w:val="auto"/>
          <w:sz w:val="24"/>
          <w:szCs w:val="24"/>
        </w:rPr>
        <w:t xml:space="preserve">    3.5.4.2、供应商在政府采购活动中应提供真实、准确、有效、合法的材料，不</w:t>
      </w:r>
      <w:r>
        <w:rPr>
          <w:rFonts w:hint="eastAsia" w:ascii="宋体" w:hAnsi="宋体"/>
          <w:color w:val="auto"/>
          <w:sz w:val="24"/>
          <w:szCs w:val="24"/>
          <w:lang w:val="zh-CN"/>
        </w:rPr>
        <w:t>提供虚假材料；</w:t>
      </w:r>
    </w:p>
    <w:p w14:paraId="591C23E4">
      <w:pPr>
        <w:widowControl w:val="0"/>
        <w:tabs>
          <w:tab w:val="left" w:pos="65"/>
        </w:tabs>
        <w:spacing w:line="460" w:lineRule="atLeast"/>
        <w:ind w:firstLine="480" w:firstLineChars="200"/>
        <w:textAlignment w:val="auto"/>
        <w:rPr>
          <w:rFonts w:hint="eastAsia" w:ascii="宋体" w:hAnsi="宋体"/>
          <w:color w:val="auto"/>
          <w:sz w:val="24"/>
          <w:szCs w:val="24"/>
          <w:lang w:val="zh-CN"/>
        </w:rPr>
      </w:pPr>
      <w:r>
        <w:rPr>
          <w:rFonts w:hint="eastAsia" w:ascii="宋体" w:hAnsi="宋体"/>
          <w:color w:val="auto"/>
          <w:sz w:val="24"/>
          <w:szCs w:val="24"/>
        </w:rPr>
        <w:t>3.5.4.3、供应商</w:t>
      </w:r>
      <w:r>
        <w:rPr>
          <w:rFonts w:hint="eastAsia" w:ascii="宋体" w:hAnsi="宋体"/>
          <w:color w:val="auto"/>
          <w:sz w:val="24"/>
          <w:szCs w:val="24"/>
          <w:lang w:val="zh-CN"/>
        </w:rPr>
        <w:t>按照</w:t>
      </w:r>
      <w:r>
        <w:rPr>
          <w:rFonts w:hint="eastAsia" w:ascii="宋体" w:hAnsi="宋体"/>
          <w:color w:val="auto"/>
          <w:sz w:val="24"/>
          <w:szCs w:val="24"/>
        </w:rPr>
        <w:t>磋商</w:t>
      </w:r>
      <w:r>
        <w:rPr>
          <w:rFonts w:hint="eastAsia" w:ascii="宋体" w:hAnsi="宋体"/>
          <w:color w:val="auto"/>
          <w:sz w:val="24"/>
          <w:szCs w:val="24"/>
          <w:lang w:val="zh-CN"/>
        </w:rPr>
        <w:t>文件规定，在提交响应文件截止时间后，在</w:t>
      </w:r>
      <w:r>
        <w:rPr>
          <w:rFonts w:hint="eastAsia" w:ascii="宋体" w:hAnsi="宋体"/>
          <w:color w:val="auto"/>
          <w:sz w:val="24"/>
          <w:szCs w:val="24"/>
        </w:rPr>
        <w:t>磋商</w:t>
      </w:r>
      <w:r>
        <w:rPr>
          <w:rFonts w:hint="eastAsia" w:ascii="宋体" w:hAnsi="宋体"/>
          <w:color w:val="auto"/>
          <w:sz w:val="24"/>
          <w:szCs w:val="24"/>
          <w:lang w:val="zh-CN"/>
        </w:rPr>
        <w:t>文件规定的投标有效期限内不</w:t>
      </w:r>
      <w:r>
        <w:rPr>
          <w:rFonts w:hint="eastAsia" w:ascii="宋体" w:hAnsi="宋体"/>
          <w:color w:val="auto"/>
          <w:sz w:val="24"/>
          <w:szCs w:val="24"/>
        </w:rPr>
        <w:t>应</w:t>
      </w:r>
      <w:r>
        <w:rPr>
          <w:rFonts w:hint="eastAsia" w:ascii="宋体" w:hAnsi="宋体"/>
          <w:color w:val="auto"/>
          <w:sz w:val="24"/>
          <w:szCs w:val="24"/>
          <w:lang w:val="zh-CN"/>
        </w:rPr>
        <w:t>撤回响应文件；</w:t>
      </w:r>
    </w:p>
    <w:p w14:paraId="2799BB98">
      <w:pPr>
        <w:widowControl w:val="0"/>
        <w:tabs>
          <w:tab w:val="left" w:pos="65"/>
        </w:tabs>
        <w:spacing w:line="460" w:lineRule="atLeast"/>
        <w:ind w:firstLine="480" w:firstLineChars="200"/>
        <w:textAlignment w:val="auto"/>
        <w:rPr>
          <w:rFonts w:hint="eastAsia" w:ascii="宋体" w:hAnsi="宋体"/>
          <w:color w:val="auto"/>
          <w:sz w:val="24"/>
          <w:szCs w:val="24"/>
          <w:lang w:val="zh-CN"/>
        </w:rPr>
      </w:pPr>
      <w:r>
        <w:rPr>
          <w:rFonts w:hint="eastAsia" w:ascii="宋体" w:hAnsi="宋体"/>
          <w:color w:val="auto"/>
          <w:sz w:val="24"/>
          <w:szCs w:val="24"/>
        </w:rPr>
        <w:t>3.5.4.4、不应</w:t>
      </w:r>
      <w:r>
        <w:rPr>
          <w:rFonts w:hint="eastAsia" w:ascii="宋体" w:hAnsi="宋体"/>
          <w:color w:val="auto"/>
          <w:sz w:val="24"/>
          <w:szCs w:val="24"/>
          <w:lang w:val="zh-CN"/>
        </w:rPr>
        <w:t>与其他供应商、采购人或采购代理机构串通或恶意串通。</w:t>
      </w:r>
    </w:p>
    <w:p w14:paraId="4FBE80EC">
      <w:pPr>
        <w:widowControl w:val="0"/>
        <w:tabs>
          <w:tab w:val="left" w:pos="65"/>
        </w:tabs>
        <w:spacing w:line="460" w:lineRule="atLeast"/>
        <w:ind w:firstLine="480" w:firstLineChars="200"/>
        <w:textAlignment w:val="auto"/>
        <w:rPr>
          <w:rFonts w:hint="eastAsia" w:ascii="宋体" w:hAnsi="宋体"/>
          <w:color w:val="auto"/>
          <w:sz w:val="24"/>
          <w:szCs w:val="24"/>
        </w:rPr>
      </w:pPr>
      <w:r>
        <w:rPr>
          <w:rFonts w:hint="eastAsia" w:ascii="宋体" w:hAnsi="宋体"/>
          <w:color w:val="auto"/>
          <w:sz w:val="24"/>
          <w:szCs w:val="24"/>
        </w:rPr>
        <w:t>3.5.4.5、中标后</w:t>
      </w:r>
      <w:r>
        <w:rPr>
          <w:rFonts w:hint="eastAsia" w:ascii="宋体" w:hAnsi="宋体"/>
          <w:color w:val="auto"/>
          <w:sz w:val="24"/>
          <w:szCs w:val="24"/>
          <w:lang w:val="zh-CN"/>
        </w:rPr>
        <w:t>除不可抗拒力或</w:t>
      </w:r>
      <w:r>
        <w:rPr>
          <w:rFonts w:hint="eastAsia" w:ascii="宋体" w:hAnsi="宋体"/>
          <w:color w:val="auto"/>
          <w:sz w:val="24"/>
          <w:szCs w:val="24"/>
        </w:rPr>
        <w:t>磋商</w:t>
      </w:r>
      <w:r>
        <w:rPr>
          <w:rFonts w:hint="eastAsia" w:ascii="宋体" w:hAnsi="宋体"/>
          <w:color w:val="auto"/>
          <w:sz w:val="24"/>
          <w:szCs w:val="24"/>
          <w:lang w:val="zh-CN"/>
        </w:rPr>
        <w:t>文件认可的情形外</w:t>
      </w:r>
      <w:r>
        <w:rPr>
          <w:rFonts w:hint="eastAsia" w:ascii="宋体" w:hAnsi="宋体"/>
          <w:color w:val="auto"/>
          <w:sz w:val="24"/>
          <w:szCs w:val="24"/>
        </w:rPr>
        <w:t>，供应商应及时领取中标通知书，</w:t>
      </w:r>
      <w:r>
        <w:rPr>
          <w:rFonts w:hint="eastAsia" w:ascii="宋体" w:hAnsi="宋体"/>
          <w:color w:val="auto"/>
          <w:sz w:val="24"/>
          <w:szCs w:val="24"/>
          <w:lang w:val="zh-CN"/>
        </w:rPr>
        <w:t>在成交通知书规定时间、地点与采购人签订合同；</w:t>
      </w:r>
      <w:r>
        <w:rPr>
          <w:rFonts w:hint="eastAsia" w:ascii="宋体" w:hAnsi="宋体"/>
          <w:color w:val="auto"/>
          <w:sz w:val="24"/>
          <w:szCs w:val="24"/>
        </w:rPr>
        <w:br w:type="textWrapping"/>
      </w:r>
      <w:r>
        <w:rPr>
          <w:rFonts w:hint="eastAsia" w:ascii="宋体" w:hAnsi="宋体"/>
          <w:color w:val="auto"/>
          <w:sz w:val="24"/>
          <w:szCs w:val="24"/>
        </w:rPr>
        <w:t xml:space="preserve">    3.5.4.6、供应商应</w:t>
      </w:r>
      <w:r>
        <w:rPr>
          <w:rFonts w:hint="eastAsia" w:ascii="宋体" w:hAnsi="宋体"/>
          <w:color w:val="auto"/>
          <w:sz w:val="24"/>
          <w:szCs w:val="24"/>
          <w:lang w:val="zh-CN"/>
        </w:rPr>
        <w:t>遵守法律法规及</w:t>
      </w:r>
      <w:r>
        <w:rPr>
          <w:rFonts w:hint="eastAsia" w:ascii="宋体" w:hAnsi="宋体"/>
          <w:color w:val="auto"/>
          <w:sz w:val="24"/>
          <w:szCs w:val="24"/>
        </w:rPr>
        <w:t>磋商</w:t>
      </w:r>
      <w:r>
        <w:rPr>
          <w:rFonts w:hint="eastAsia" w:ascii="宋体" w:hAnsi="宋体"/>
          <w:color w:val="auto"/>
          <w:sz w:val="24"/>
          <w:szCs w:val="24"/>
          <w:lang w:val="zh-CN"/>
        </w:rPr>
        <w:t>文件规定的其他情况；</w:t>
      </w:r>
    </w:p>
    <w:p w14:paraId="5A64BB3E">
      <w:pPr>
        <w:widowControl w:val="0"/>
        <w:tabs>
          <w:tab w:val="left" w:pos="65"/>
        </w:tabs>
        <w:spacing w:line="460" w:lineRule="atLeast"/>
        <w:ind w:firstLine="480" w:firstLineChars="200"/>
        <w:textAlignment w:val="auto"/>
        <w:rPr>
          <w:rFonts w:hint="eastAsia" w:ascii="宋体" w:hAnsi="宋体"/>
          <w:color w:val="auto"/>
          <w:sz w:val="24"/>
          <w:szCs w:val="24"/>
        </w:rPr>
      </w:pPr>
      <w:r>
        <w:rPr>
          <w:rFonts w:hint="eastAsia" w:ascii="宋体" w:hAnsi="宋体"/>
          <w:color w:val="auto"/>
          <w:sz w:val="24"/>
          <w:szCs w:val="24"/>
        </w:rPr>
        <w:t>3.5.4.7、供应商应按磋商文件规定及时缴纳中标服务费。</w:t>
      </w:r>
    </w:p>
    <w:p w14:paraId="65702DBC">
      <w:pPr>
        <w:widowControl w:val="0"/>
        <w:tabs>
          <w:tab w:val="left" w:pos="65"/>
        </w:tabs>
        <w:spacing w:line="460" w:lineRule="atLeast"/>
        <w:ind w:firstLine="480" w:firstLineChars="200"/>
        <w:textAlignment w:val="auto"/>
        <w:rPr>
          <w:rFonts w:hint="eastAsia" w:ascii="宋体" w:hAnsi="宋体"/>
          <w:color w:val="auto"/>
          <w:sz w:val="24"/>
          <w:szCs w:val="24"/>
        </w:rPr>
      </w:pPr>
      <w:r>
        <w:rPr>
          <w:rFonts w:hint="eastAsia" w:ascii="宋体" w:hAnsi="宋体"/>
          <w:color w:val="auto"/>
          <w:sz w:val="24"/>
          <w:szCs w:val="24"/>
        </w:rPr>
        <w:t>3.5.5 违背承诺的责任追究措施</w:t>
      </w:r>
    </w:p>
    <w:p w14:paraId="1B977AF0">
      <w:pPr>
        <w:widowControl w:val="0"/>
        <w:tabs>
          <w:tab w:val="left" w:pos="65"/>
        </w:tabs>
        <w:spacing w:line="460" w:lineRule="atLeast"/>
        <w:ind w:firstLine="480" w:firstLineChars="200"/>
        <w:textAlignment w:val="auto"/>
        <w:rPr>
          <w:rFonts w:hint="eastAsia" w:ascii="宋体" w:hAnsi="宋体"/>
          <w:color w:val="auto"/>
          <w:sz w:val="24"/>
          <w:szCs w:val="24"/>
        </w:rPr>
      </w:pPr>
      <w:r>
        <w:rPr>
          <w:rFonts w:hint="eastAsia" w:ascii="宋体" w:hAnsi="宋体"/>
          <w:color w:val="auto"/>
          <w:sz w:val="24"/>
          <w:szCs w:val="24"/>
        </w:rPr>
        <w:t>供应商如违背上述承诺事项，应无条件接受以下责任追究：</w:t>
      </w:r>
    </w:p>
    <w:p w14:paraId="1D540369">
      <w:pPr>
        <w:widowControl w:val="0"/>
        <w:tabs>
          <w:tab w:val="left" w:pos="65"/>
        </w:tabs>
        <w:spacing w:line="460" w:lineRule="atLeast"/>
        <w:ind w:firstLine="480" w:firstLineChars="200"/>
        <w:textAlignment w:val="auto"/>
        <w:rPr>
          <w:rFonts w:hint="eastAsia" w:ascii="宋体" w:hAnsi="宋体"/>
          <w:color w:val="auto"/>
          <w:sz w:val="24"/>
          <w:szCs w:val="24"/>
          <w:lang w:val="zh-CN"/>
        </w:rPr>
      </w:pPr>
      <w:r>
        <w:rPr>
          <w:rFonts w:hint="eastAsia" w:ascii="宋体" w:hAnsi="宋体"/>
          <w:color w:val="auto"/>
          <w:sz w:val="24"/>
          <w:szCs w:val="24"/>
        </w:rPr>
        <w:t>3.5.5.1</w:t>
      </w:r>
      <w:r>
        <w:rPr>
          <w:rFonts w:hint="eastAsia" w:ascii="宋体" w:hAnsi="宋体"/>
          <w:color w:val="auto"/>
          <w:sz w:val="24"/>
          <w:szCs w:val="24"/>
          <w:lang w:val="zh-CN"/>
        </w:rPr>
        <w:t>法定责任：</w:t>
      </w:r>
      <w:r>
        <w:rPr>
          <w:rFonts w:hint="eastAsia" w:ascii="宋体" w:hAnsi="宋体"/>
          <w:color w:val="auto"/>
          <w:sz w:val="24"/>
          <w:szCs w:val="24"/>
        </w:rPr>
        <w:t>按照政府采购相关法规，</w:t>
      </w:r>
      <w:r>
        <w:rPr>
          <w:rFonts w:hint="eastAsia" w:ascii="宋体" w:hAnsi="宋体"/>
          <w:color w:val="auto"/>
          <w:sz w:val="24"/>
          <w:szCs w:val="24"/>
          <w:lang w:val="zh-CN"/>
        </w:rPr>
        <w:t>处以罚款，列入不良行为记录名单，在一至三年内禁止参加政府采购活动，有违法所得的，并处没收违法所得，情节严重的，由工商行政管理机关（市场监督机关）吊销营业执照；构成犯罪的，依法追究刑事责任。</w:t>
      </w:r>
    </w:p>
    <w:p w14:paraId="3B138BCA">
      <w:pPr>
        <w:widowControl w:val="0"/>
        <w:tabs>
          <w:tab w:val="left" w:pos="65"/>
        </w:tabs>
        <w:spacing w:line="460" w:lineRule="atLeast"/>
        <w:ind w:firstLine="480" w:firstLineChars="200"/>
        <w:textAlignment w:val="auto"/>
        <w:rPr>
          <w:rFonts w:hint="eastAsia" w:ascii="宋体" w:hAnsi="宋体"/>
          <w:color w:val="auto"/>
          <w:sz w:val="24"/>
          <w:szCs w:val="24"/>
          <w:lang w:val="zh-CN"/>
        </w:rPr>
      </w:pPr>
      <w:r>
        <w:rPr>
          <w:rFonts w:hint="eastAsia" w:ascii="宋体" w:hAnsi="宋体"/>
          <w:color w:val="auto"/>
          <w:sz w:val="24"/>
          <w:szCs w:val="24"/>
        </w:rPr>
        <w:t>给采购人及他人造成损失的，应承担相应的赔偿责任。</w:t>
      </w:r>
    </w:p>
    <w:p w14:paraId="77E6AA82">
      <w:pPr>
        <w:widowControl w:val="0"/>
        <w:tabs>
          <w:tab w:val="left" w:pos="65"/>
        </w:tabs>
        <w:spacing w:line="460" w:lineRule="atLeast"/>
        <w:ind w:firstLine="480" w:firstLineChars="200"/>
        <w:textAlignment w:val="auto"/>
        <w:rPr>
          <w:rFonts w:hint="eastAsia" w:ascii="宋体" w:hAnsi="宋体"/>
          <w:color w:val="auto"/>
          <w:sz w:val="24"/>
          <w:szCs w:val="24"/>
        </w:rPr>
      </w:pPr>
      <w:r>
        <w:rPr>
          <w:rFonts w:hint="eastAsia" w:ascii="宋体" w:hAnsi="宋体"/>
          <w:color w:val="auto"/>
          <w:sz w:val="24"/>
          <w:szCs w:val="24"/>
        </w:rPr>
        <w:t>3.5.5.2</w:t>
      </w:r>
      <w:r>
        <w:rPr>
          <w:rFonts w:hint="eastAsia" w:ascii="宋体" w:hAnsi="宋体"/>
          <w:color w:val="auto"/>
          <w:sz w:val="24"/>
          <w:szCs w:val="24"/>
          <w:lang w:val="zh-CN"/>
        </w:rPr>
        <w:t>违约责任：</w:t>
      </w:r>
      <w:r>
        <w:rPr>
          <w:rFonts w:hint="eastAsia" w:ascii="宋体" w:hAnsi="宋体"/>
          <w:color w:val="auto"/>
          <w:sz w:val="24"/>
          <w:szCs w:val="24"/>
        </w:rPr>
        <w:t xml:space="preserve"> </w:t>
      </w:r>
    </w:p>
    <w:p w14:paraId="67282D2B">
      <w:pPr>
        <w:widowControl w:val="0"/>
        <w:tabs>
          <w:tab w:val="left" w:pos="65"/>
        </w:tabs>
        <w:spacing w:line="460" w:lineRule="atLeast"/>
        <w:ind w:firstLine="480" w:firstLineChars="200"/>
        <w:textAlignment w:val="auto"/>
        <w:rPr>
          <w:rFonts w:hint="eastAsia" w:ascii="宋体" w:hAnsi="宋体"/>
          <w:color w:val="auto"/>
          <w:sz w:val="24"/>
          <w:szCs w:val="24"/>
        </w:rPr>
      </w:pPr>
      <w:r>
        <w:rPr>
          <w:rFonts w:hint="eastAsia" w:ascii="宋体" w:hAnsi="宋体"/>
          <w:color w:val="auto"/>
          <w:sz w:val="24"/>
          <w:szCs w:val="24"/>
        </w:rPr>
        <w:t>3.5.5.2.1 已中标的，中标（成交）无效；</w:t>
      </w:r>
    </w:p>
    <w:p w14:paraId="0B59B2DA">
      <w:pPr>
        <w:widowControl w:val="0"/>
        <w:tabs>
          <w:tab w:val="left" w:pos="65"/>
        </w:tabs>
        <w:spacing w:line="460" w:lineRule="atLeast"/>
        <w:ind w:firstLine="480" w:firstLineChars="200"/>
        <w:textAlignment w:val="auto"/>
        <w:rPr>
          <w:rFonts w:hint="eastAsia" w:ascii="宋体" w:hAnsi="宋体"/>
          <w:color w:val="auto"/>
          <w:sz w:val="24"/>
          <w:szCs w:val="24"/>
        </w:rPr>
      </w:pPr>
      <w:r>
        <w:rPr>
          <w:rFonts w:hint="eastAsia" w:ascii="宋体" w:hAnsi="宋体"/>
          <w:color w:val="auto"/>
          <w:sz w:val="24"/>
          <w:szCs w:val="24"/>
        </w:rPr>
        <w:t>3.5.5.2.2 支付采购人违约标的预算金额2%的</w:t>
      </w:r>
      <w:r>
        <w:rPr>
          <w:rFonts w:hint="eastAsia" w:ascii="宋体" w:hAnsi="宋体"/>
          <w:color w:val="auto"/>
          <w:sz w:val="24"/>
          <w:szCs w:val="24"/>
          <w:lang w:val="zh-CN"/>
        </w:rPr>
        <w:t>违约金</w:t>
      </w:r>
      <w:r>
        <w:rPr>
          <w:rFonts w:hint="eastAsia" w:ascii="宋体" w:hAnsi="宋体"/>
          <w:color w:val="auto"/>
          <w:sz w:val="24"/>
          <w:szCs w:val="24"/>
        </w:rPr>
        <w:t>；</w:t>
      </w:r>
    </w:p>
    <w:p w14:paraId="0B2EFBB6">
      <w:pPr>
        <w:widowControl w:val="0"/>
        <w:tabs>
          <w:tab w:val="left" w:pos="65"/>
        </w:tabs>
        <w:spacing w:line="460" w:lineRule="atLeast"/>
        <w:ind w:firstLine="480" w:firstLineChars="200"/>
        <w:textAlignment w:val="auto"/>
        <w:rPr>
          <w:rFonts w:hint="eastAsia" w:ascii="宋体" w:hAnsi="宋体"/>
          <w:color w:val="auto"/>
          <w:sz w:val="24"/>
          <w:szCs w:val="24"/>
        </w:rPr>
      </w:pPr>
      <w:r>
        <w:rPr>
          <w:rFonts w:hint="eastAsia" w:ascii="宋体" w:hAnsi="宋体"/>
          <w:color w:val="auto"/>
          <w:sz w:val="24"/>
          <w:szCs w:val="24"/>
        </w:rPr>
        <w:t>3.5.5.2.3中标后未缴中标服务费的，作为违约及违背</w:t>
      </w:r>
      <w:r>
        <w:fldChar w:fldCharType="begin"/>
      </w:r>
      <w:r>
        <w:instrText xml:space="preserve"> HYPERLINK "http://www.so.com/s?q=%E8%AF%9A%E5%AE%9E%E4%BF%A1%E7%94%A8&amp;ie=utf-8&amp;src=internal_wenda_recommend_textn" \t "https://wenda.so.com/q/_blank" </w:instrText>
      </w:r>
      <w:r>
        <w:fldChar w:fldCharType="separate"/>
      </w:r>
      <w:r>
        <w:rPr>
          <w:rFonts w:hint="eastAsia" w:ascii="宋体" w:hAnsi="宋体"/>
          <w:color w:val="auto"/>
          <w:sz w:val="24"/>
          <w:szCs w:val="24"/>
        </w:rPr>
        <w:t>诚实信用</w:t>
      </w:r>
      <w:r>
        <w:rPr>
          <w:rFonts w:hint="eastAsia" w:ascii="宋体" w:hAnsi="宋体"/>
          <w:color w:val="auto"/>
          <w:sz w:val="24"/>
          <w:szCs w:val="24"/>
        </w:rPr>
        <w:fldChar w:fldCharType="end"/>
      </w:r>
      <w:r>
        <w:rPr>
          <w:rFonts w:hint="eastAsia" w:ascii="宋体" w:hAnsi="宋体"/>
          <w:color w:val="auto"/>
          <w:sz w:val="24"/>
          <w:szCs w:val="24"/>
        </w:rPr>
        <w:t>原则，在履行承诺前，代理机构将视该单位为失信企业、不予办理其后相关业务。</w:t>
      </w:r>
    </w:p>
    <w:p w14:paraId="247B3688">
      <w:pPr>
        <w:autoSpaceDE w:val="0"/>
        <w:autoSpaceDN w:val="0"/>
        <w:adjustRightInd w:val="0"/>
        <w:spacing w:before="120" w:beforeLines="50" w:line="360" w:lineRule="auto"/>
        <w:ind w:firstLine="539"/>
        <w:rPr>
          <w:rFonts w:hint="eastAsia" w:ascii="黑体" w:hAnsi="黑体" w:eastAsia="黑体" w:cs="楷体_GB2312"/>
          <w:b/>
          <w:bCs/>
          <w:color w:val="auto"/>
          <w:sz w:val="28"/>
          <w:szCs w:val="28"/>
          <w:lang w:val="zh-CN"/>
        </w:rPr>
      </w:pPr>
      <w:r>
        <w:rPr>
          <w:rFonts w:ascii="黑体" w:hAnsi="黑体" w:eastAsia="黑体" w:cs="楷体_GB2312"/>
          <w:b/>
          <w:color w:val="auto"/>
          <w:sz w:val="24"/>
          <w:lang w:val="zh-CN"/>
        </w:rPr>
        <w:t xml:space="preserve">3.6 </w:t>
      </w:r>
      <w:r>
        <w:rPr>
          <w:rFonts w:hint="eastAsia" w:ascii="黑体" w:hAnsi="黑体" w:eastAsia="黑体" w:cs="楷体_GB2312"/>
          <w:b/>
          <w:color w:val="auto"/>
          <w:sz w:val="24"/>
          <w:lang w:val="zh-CN"/>
        </w:rPr>
        <w:t>投标资格文件：</w:t>
      </w:r>
      <w:r>
        <w:rPr>
          <w:rFonts w:hint="eastAsia" w:ascii="宋体" w:hAnsi="宋体" w:cs="楷体_GB2312"/>
          <w:color w:val="auto"/>
          <w:sz w:val="24"/>
          <w:lang w:val="zh-CN"/>
        </w:rPr>
        <w:t>要求见竞争性磋商公告</w:t>
      </w:r>
    </w:p>
    <w:p w14:paraId="25E7C8D7">
      <w:pPr>
        <w:topLinePunct/>
        <w:adjustRightInd w:val="0"/>
        <w:snapToGrid w:val="0"/>
        <w:spacing w:before="120" w:beforeLines="50" w:line="300" w:lineRule="auto"/>
        <w:ind w:left="561" w:leftChars="267" w:firstLine="5" w:firstLineChars="2"/>
        <w:rPr>
          <w:rFonts w:hint="eastAsia" w:ascii="黑体" w:hAnsi="黑体" w:eastAsia="黑体" w:cs="楷体_GB2312"/>
          <w:b/>
          <w:color w:val="auto"/>
          <w:sz w:val="24"/>
          <w:lang w:val="zh-CN"/>
        </w:rPr>
      </w:pPr>
      <w:r>
        <w:rPr>
          <w:rFonts w:ascii="黑体" w:hAnsi="黑体" w:eastAsia="黑体" w:cs="楷体_GB2312"/>
          <w:b/>
          <w:color w:val="auto"/>
          <w:sz w:val="24"/>
          <w:lang w:val="zh-CN"/>
        </w:rPr>
        <w:t>3.7</w:t>
      </w:r>
      <w:r>
        <w:rPr>
          <w:rFonts w:hint="eastAsia" w:ascii="黑体" w:hAnsi="黑体" w:eastAsia="黑体" w:cs="楷体_GB2312"/>
          <w:b/>
          <w:color w:val="auto"/>
          <w:sz w:val="24"/>
          <w:lang w:val="zh-CN"/>
        </w:rPr>
        <w:t>《响应文件》的编制</w:t>
      </w:r>
    </w:p>
    <w:p w14:paraId="481093E1">
      <w:pPr>
        <w:topLinePunct/>
        <w:adjustRightInd w:val="0"/>
        <w:snapToGrid w:val="0"/>
        <w:spacing w:before="120" w:beforeLines="50" w:line="300" w:lineRule="auto"/>
        <w:ind w:firstLine="564" w:firstLineChars="235"/>
        <w:rPr>
          <w:rFonts w:hint="eastAsia" w:ascii="宋体" w:hAnsi="宋体" w:cs="楷体_GB2312"/>
          <w:color w:val="auto"/>
          <w:sz w:val="24"/>
          <w:lang w:val="zh-CN"/>
        </w:rPr>
      </w:pPr>
      <w:r>
        <w:rPr>
          <w:rFonts w:ascii="宋体" w:hAnsi="宋体" w:cs="楷体_GB2312"/>
          <w:color w:val="auto"/>
          <w:sz w:val="24"/>
          <w:lang w:val="zh-CN"/>
        </w:rPr>
        <w:t>3.7.1</w:t>
      </w:r>
      <w:r>
        <w:rPr>
          <w:rFonts w:hint="eastAsia" w:ascii="宋体" w:hAnsi="宋体" w:cs="楷体_GB2312"/>
          <w:color w:val="auto"/>
          <w:sz w:val="24"/>
          <w:lang w:val="zh-CN"/>
        </w:rPr>
        <w:t>《响应文件》应按第六章“《响应文件》格式”进行编写，如有必要，可以增加附页，作为《响应文件》的组成部分。《磋商文件》中未列明格式的，由供应商按一般通用格式自行设计编写。</w:t>
      </w:r>
    </w:p>
    <w:p w14:paraId="3F060C49">
      <w:pPr>
        <w:widowControl w:val="0"/>
        <w:adjustRightInd w:val="0"/>
        <w:spacing w:before="120" w:beforeLines="50" w:line="300" w:lineRule="auto"/>
        <w:ind w:firstLine="540" w:firstLineChars="225"/>
        <w:rPr>
          <w:rFonts w:hint="eastAsia" w:ascii="宋体" w:hAnsi="宋体"/>
          <w:color w:val="auto"/>
          <w:sz w:val="24"/>
          <w:szCs w:val="24"/>
        </w:rPr>
      </w:pPr>
      <w:r>
        <w:rPr>
          <w:rFonts w:hint="eastAsia" w:ascii="宋体" w:hAnsi="宋体" w:cs="楷体_GB2312"/>
          <w:color w:val="auto"/>
          <w:sz w:val="24"/>
          <w:lang w:val="zh-CN"/>
        </w:rPr>
        <w:t>响应文件编制后，</w:t>
      </w:r>
      <w:r>
        <w:rPr>
          <w:rFonts w:hint="eastAsia" w:ascii="宋体" w:hAnsi="宋体"/>
          <w:color w:val="auto"/>
          <w:sz w:val="24"/>
          <w:szCs w:val="24"/>
        </w:rPr>
        <w:t>供应商应在投标截止时间前上传加密的电子投标文件（*.aytf）到安阳市公共资源交易平台。上传时供应商须使用制作该投标文件的同一CA锁进行上传操作。请供应商在上传时认真检查上传投标文件是否完整、正确。供应商应充分考虑上传文件时的不可预见因素，未在投标截止时间前完成上传的，视为逾期送达，安阳市公共资源交易平台将拒绝接收。</w:t>
      </w:r>
    </w:p>
    <w:p w14:paraId="6612156C">
      <w:pPr>
        <w:topLinePunct/>
        <w:adjustRightInd w:val="0"/>
        <w:snapToGrid w:val="0"/>
        <w:spacing w:before="120" w:beforeLines="50" w:line="300" w:lineRule="auto"/>
        <w:ind w:firstLine="564" w:firstLineChars="235"/>
        <w:rPr>
          <w:rFonts w:ascii="宋体" w:cs="楷体_GB2312"/>
          <w:color w:val="auto"/>
          <w:sz w:val="24"/>
          <w:lang w:val="zh-CN"/>
        </w:rPr>
      </w:pPr>
      <w:r>
        <w:rPr>
          <w:rFonts w:ascii="宋体" w:hAnsi="宋体" w:cs="楷体_GB2312"/>
          <w:color w:val="auto"/>
          <w:sz w:val="24"/>
          <w:lang w:val="zh-CN"/>
        </w:rPr>
        <w:t xml:space="preserve">3.7.2 </w:t>
      </w:r>
      <w:r>
        <w:rPr>
          <w:rFonts w:hint="eastAsia" w:ascii="宋体" w:hAnsi="宋体" w:cs="楷体_GB2312"/>
          <w:color w:val="auto"/>
          <w:sz w:val="24"/>
          <w:lang w:val="zh-CN"/>
        </w:rPr>
        <w:t>“《响应文件》格式”仅为对《响应文件》部分内容的格式化规范，并非《响应文件》所应具备的全部内容。供应商应按本章“</w:t>
      </w:r>
      <w:r>
        <w:rPr>
          <w:rFonts w:ascii="宋体" w:hAnsi="宋体" w:cs="楷体_GB2312"/>
          <w:color w:val="auto"/>
          <w:sz w:val="24"/>
          <w:lang w:val="zh-CN"/>
        </w:rPr>
        <w:t>3.2</w:t>
      </w:r>
      <w:r>
        <w:rPr>
          <w:rFonts w:hint="eastAsia" w:ascii="宋体" w:hAnsi="宋体" w:cs="楷体_GB2312"/>
          <w:color w:val="auto"/>
          <w:sz w:val="24"/>
          <w:lang w:val="zh-CN"/>
        </w:rPr>
        <w:t>《响应文件》的组成”列示内容编制《响应文件》。</w:t>
      </w:r>
    </w:p>
    <w:p w14:paraId="5ECCC652">
      <w:pPr>
        <w:adjustRightInd w:val="0"/>
        <w:snapToGrid w:val="0"/>
        <w:spacing w:before="120" w:beforeLines="50" w:line="300" w:lineRule="auto"/>
        <w:ind w:firstLine="480" w:firstLineChars="200"/>
        <w:rPr>
          <w:rFonts w:ascii="宋体" w:cs="楷体_GB2312"/>
          <w:color w:val="auto"/>
          <w:sz w:val="24"/>
          <w:lang w:val="zh-CN"/>
        </w:rPr>
      </w:pPr>
      <w:r>
        <w:rPr>
          <w:rFonts w:ascii="宋体" w:hAnsi="宋体" w:cs="楷体_GB2312"/>
          <w:color w:val="auto"/>
          <w:sz w:val="24"/>
          <w:lang w:val="zh-CN"/>
        </w:rPr>
        <w:t>3.7</w:t>
      </w:r>
      <w:r>
        <w:rPr>
          <w:rFonts w:ascii="宋体" w:cs="楷体_GB2312"/>
          <w:color w:val="auto"/>
          <w:sz w:val="24"/>
          <w:lang w:val="zh-CN"/>
        </w:rPr>
        <w:t>.</w:t>
      </w:r>
      <w:r>
        <w:rPr>
          <w:rFonts w:ascii="宋体" w:hAnsi="宋体" w:cs="楷体_GB2312"/>
          <w:color w:val="auto"/>
          <w:sz w:val="24"/>
          <w:lang w:val="zh-CN"/>
        </w:rPr>
        <w:t>3</w:t>
      </w:r>
      <w:r>
        <w:rPr>
          <w:rFonts w:hint="eastAsia" w:ascii="宋体" w:hAnsi="宋体" w:cs="楷体_GB2312"/>
          <w:color w:val="auto"/>
          <w:sz w:val="24"/>
          <w:lang w:val="zh-CN"/>
        </w:rPr>
        <w:t>《响应文件》应当对《磋商文件》有关标段（包）内容（范围）、技术要求、售后服务、工期、投标有效期等实质性内容作出响应。在满足《磋商文件》实质性要求的基础上，可以提出比《磋商文件》要求更有利于采购人的承诺。并符合《磋商文件》偏差规定。</w:t>
      </w:r>
    </w:p>
    <w:p w14:paraId="70E11BD1">
      <w:pPr>
        <w:adjustRightInd w:val="0"/>
        <w:snapToGrid w:val="0"/>
        <w:spacing w:before="120" w:beforeLines="50" w:line="300" w:lineRule="auto"/>
        <w:ind w:firstLine="480" w:firstLineChars="200"/>
        <w:rPr>
          <w:rFonts w:ascii="宋体" w:cs="楷体_GB2312"/>
          <w:color w:val="auto"/>
          <w:sz w:val="24"/>
          <w:lang w:val="zh-CN"/>
        </w:rPr>
      </w:pPr>
      <w:r>
        <w:rPr>
          <w:rFonts w:hint="eastAsia" w:ascii="宋体" w:hAnsi="宋体" w:cs="楷体_GB2312"/>
          <w:color w:val="auto"/>
          <w:sz w:val="24"/>
          <w:lang w:val="zh-CN"/>
        </w:rPr>
        <w:t>《响应文件》的所有条款与《磋商文件》要求有任何不同之处，应按《偏差表》格式逐一填列。《响应文件》与《磋商文件》所有要求存在偏差而未填列的，磋商小组有权按照实质性判断原则（实质性要求和实质性响应两因素）评定其为</w:t>
      </w:r>
      <w:r>
        <w:rPr>
          <w:rFonts w:hint="eastAsia" w:ascii="宋体" w:hAnsi="宋体" w:cs="楷体_GB2312"/>
          <w:b/>
          <w:color w:val="auto"/>
          <w:sz w:val="24"/>
          <w:lang w:val="zh-CN"/>
        </w:rPr>
        <w:t>无效投标</w:t>
      </w:r>
      <w:r>
        <w:rPr>
          <w:rFonts w:hint="eastAsia" w:ascii="宋体" w:hAnsi="宋体" w:cs="楷体_GB2312"/>
          <w:color w:val="auto"/>
          <w:sz w:val="24"/>
          <w:lang w:val="zh-CN"/>
        </w:rPr>
        <w:t>。供应商应认真编制《响应文件》并自负此项风险。</w:t>
      </w:r>
    </w:p>
    <w:p w14:paraId="06F50D93">
      <w:pPr>
        <w:autoSpaceDE w:val="0"/>
        <w:autoSpaceDN w:val="0"/>
        <w:adjustRightInd w:val="0"/>
        <w:snapToGrid w:val="0"/>
        <w:spacing w:before="120" w:beforeLines="50" w:line="300" w:lineRule="auto"/>
        <w:ind w:firstLine="539"/>
        <w:rPr>
          <w:rFonts w:ascii="宋体" w:cs="楷体_GB2312"/>
          <w:b/>
          <w:color w:val="auto"/>
          <w:sz w:val="24"/>
        </w:rPr>
      </w:pPr>
      <w:r>
        <w:rPr>
          <w:rFonts w:ascii="宋体" w:hAnsi="宋体" w:cs="楷体_GB2312"/>
          <w:b/>
          <w:color w:val="auto"/>
          <w:sz w:val="24"/>
          <w:lang w:val="zh-CN"/>
        </w:rPr>
        <w:t>3</w:t>
      </w:r>
      <w:r>
        <w:rPr>
          <w:rFonts w:ascii="宋体" w:hAnsi="宋体" w:cs="楷体_GB2312"/>
          <w:b/>
          <w:color w:val="auto"/>
          <w:sz w:val="24"/>
        </w:rPr>
        <w:t>.7.</w:t>
      </w:r>
      <w:r>
        <w:rPr>
          <w:rFonts w:hint="eastAsia" w:ascii="宋体" w:hAnsi="宋体" w:cs="楷体_GB2312"/>
          <w:b/>
          <w:color w:val="auto"/>
          <w:sz w:val="24"/>
        </w:rPr>
        <w:t>4</w:t>
      </w:r>
      <w:r>
        <w:rPr>
          <w:rFonts w:ascii="宋体" w:hAnsi="宋体" w:cs="楷体_GB2312"/>
          <w:b/>
          <w:color w:val="auto"/>
          <w:sz w:val="24"/>
        </w:rPr>
        <w:t xml:space="preserve"> </w:t>
      </w:r>
      <w:r>
        <w:rPr>
          <w:rFonts w:hint="eastAsia" w:ascii="宋体" w:hAnsi="宋体" w:cs="楷体_GB2312"/>
          <w:b/>
          <w:color w:val="auto"/>
          <w:sz w:val="24"/>
        </w:rPr>
        <w:t>《响应文件》应按《磋商文件》</w:t>
      </w:r>
      <w:r>
        <w:rPr>
          <w:rFonts w:hint="eastAsia" w:ascii="宋体" w:hAnsi="宋体" w:cs="楷体_GB2312"/>
          <w:b/>
          <w:color w:val="auto"/>
          <w:sz w:val="24"/>
          <w:lang w:val="zh-CN"/>
        </w:rPr>
        <w:t>相关要求（含格式上标注的要求）、</w:t>
      </w:r>
      <w:r>
        <w:rPr>
          <w:rFonts w:hint="eastAsia" w:ascii="宋体" w:hAnsi="宋体" w:cs="楷体_GB2312"/>
          <w:b/>
          <w:color w:val="auto"/>
          <w:sz w:val="24"/>
        </w:rPr>
        <w:t>使用供应商企业数字证书进行电</w:t>
      </w:r>
      <w:r>
        <w:rPr>
          <w:rFonts w:ascii="宋体" w:hAnsi="宋体" w:cs="楷体_GB2312"/>
          <w:b/>
          <w:color w:val="auto"/>
          <w:sz w:val="24"/>
        </w:rPr>
        <w:t>子</w:t>
      </w:r>
      <w:r>
        <w:rPr>
          <w:rFonts w:hint="eastAsia" w:ascii="宋体" w:hAnsi="宋体" w:cs="楷体_GB2312"/>
          <w:b/>
          <w:color w:val="auto"/>
          <w:sz w:val="24"/>
        </w:rPr>
        <w:t>签章和供应商法定代表人数字证书进行电</w:t>
      </w:r>
      <w:r>
        <w:rPr>
          <w:rFonts w:ascii="宋体" w:hAnsi="宋体" w:cs="楷体_GB2312"/>
          <w:b/>
          <w:color w:val="auto"/>
          <w:sz w:val="24"/>
        </w:rPr>
        <w:t>子</w:t>
      </w:r>
      <w:r>
        <w:rPr>
          <w:rFonts w:hint="eastAsia" w:ascii="宋体" w:hAnsi="宋体" w:cs="楷体_GB2312"/>
          <w:b/>
          <w:color w:val="auto"/>
          <w:sz w:val="24"/>
        </w:rPr>
        <w:t>签名（签章）、并加密，没有使用供应商企业数字证书和供应商法定代表人数字证书进行电</w:t>
      </w:r>
      <w:r>
        <w:rPr>
          <w:rFonts w:ascii="宋体" w:hAnsi="宋体" w:cs="楷体_GB2312"/>
          <w:b/>
          <w:color w:val="auto"/>
          <w:sz w:val="24"/>
        </w:rPr>
        <w:t>子</w:t>
      </w:r>
      <w:r>
        <w:rPr>
          <w:rFonts w:hint="eastAsia" w:ascii="宋体" w:hAnsi="宋体" w:cs="楷体_GB2312"/>
          <w:b/>
          <w:color w:val="auto"/>
          <w:sz w:val="24"/>
        </w:rPr>
        <w:t>签名（签章）并加密的《响应文件》，属于未按照《磋商文件》要求进行签署。</w:t>
      </w:r>
    </w:p>
    <w:p w14:paraId="02168291">
      <w:pPr>
        <w:autoSpaceDE w:val="0"/>
        <w:autoSpaceDN w:val="0"/>
        <w:adjustRightInd w:val="0"/>
        <w:snapToGrid w:val="0"/>
        <w:spacing w:before="120" w:beforeLines="50" w:line="300" w:lineRule="auto"/>
        <w:ind w:firstLine="539"/>
        <w:rPr>
          <w:rFonts w:ascii="宋体" w:cs="楷体_GB2312"/>
          <w:color w:val="auto"/>
          <w:sz w:val="24"/>
        </w:rPr>
      </w:pPr>
      <w:r>
        <w:rPr>
          <w:rFonts w:hint="eastAsia" w:ascii="宋体" w:hAnsi="宋体" w:cs="楷体_GB2312"/>
          <w:b/>
          <w:color w:val="auto"/>
          <w:sz w:val="24"/>
        </w:rPr>
        <w:t>根据《中华人民共和国电子签名法》规定，可靠的电子签名与手写签名或者盖章具有同等的法律效力。本次采购活动中，供应商使用有效的企业数字证书对《响应文件》进行电子签章与加盖供应商</w:t>
      </w:r>
      <w:r>
        <w:rPr>
          <w:rFonts w:ascii="宋体" w:hAnsi="宋体" w:cs="楷体_GB2312"/>
          <w:b/>
          <w:color w:val="auto"/>
          <w:sz w:val="24"/>
        </w:rPr>
        <w:t>公</w:t>
      </w:r>
      <w:r>
        <w:rPr>
          <w:rFonts w:hint="eastAsia" w:ascii="宋体" w:hAnsi="宋体" w:cs="楷体_GB2312"/>
          <w:b/>
          <w:color w:val="auto"/>
          <w:sz w:val="24"/>
        </w:rPr>
        <w:t>章具有同等法律效力；供应商法定代表人使用有效的个人数字证书对《响应文件》进行签名（签章）与法人签章具有同等法律效力。</w:t>
      </w:r>
    </w:p>
    <w:p w14:paraId="349BB710">
      <w:pPr>
        <w:adjustRightInd w:val="0"/>
        <w:snapToGrid w:val="0"/>
        <w:spacing w:before="120" w:beforeLines="50" w:line="300" w:lineRule="auto"/>
        <w:ind w:firstLine="480" w:firstLineChars="200"/>
        <w:rPr>
          <w:rFonts w:ascii="宋体" w:cs="楷体_GB2312"/>
          <w:color w:val="auto"/>
          <w:sz w:val="24"/>
          <w:lang w:val="zh-CN"/>
        </w:rPr>
      </w:pPr>
      <w:r>
        <w:rPr>
          <w:rFonts w:ascii="宋体" w:hAnsi="宋体" w:cs="楷体_GB2312"/>
          <w:color w:val="auto"/>
          <w:sz w:val="24"/>
          <w:lang w:val="zh-CN"/>
        </w:rPr>
        <w:t>3.7.5</w:t>
      </w:r>
      <w:r>
        <w:rPr>
          <w:rFonts w:hint="eastAsia" w:ascii="宋体" w:hAnsi="宋体" w:cs="楷体_GB2312"/>
          <w:color w:val="auto"/>
          <w:sz w:val="24"/>
          <w:lang w:val="zh-CN"/>
        </w:rPr>
        <w:t>供应商可对本《磋商文件》“标段（包）一览表”中所列的所有标段（包）进行分别投标，也可选择其中一个标段（包）或几个标段（包）投标，但不得将《磋商文件》规定的同一标段（包）的内容拆开投标，否则将按</w:t>
      </w:r>
      <w:r>
        <w:rPr>
          <w:rFonts w:hint="eastAsia" w:ascii="宋体" w:hAnsi="宋体" w:cs="楷体_GB2312"/>
          <w:b/>
          <w:color w:val="auto"/>
          <w:sz w:val="24"/>
          <w:lang w:val="zh-CN"/>
        </w:rPr>
        <w:t>无效投标</w:t>
      </w:r>
      <w:r>
        <w:rPr>
          <w:rFonts w:hint="eastAsia" w:ascii="宋体" w:hAnsi="宋体" w:cs="楷体_GB2312"/>
          <w:color w:val="auto"/>
          <w:sz w:val="24"/>
          <w:lang w:val="zh-CN"/>
        </w:rPr>
        <w:t>处理。</w:t>
      </w:r>
    </w:p>
    <w:p w14:paraId="54CAB81B">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s="楷体_GB2312"/>
          <w:color w:val="auto"/>
          <w:sz w:val="24"/>
          <w:lang w:val="zh-CN"/>
        </w:rPr>
        <w:t xml:space="preserve">3.7.6 </w:t>
      </w:r>
      <w:r>
        <w:rPr>
          <w:rFonts w:hint="eastAsia" w:ascii="宋体" w:hAnsi="宋体" w:cs="楷体_GB2312"/>
          <w:color w:val="auto"/>
          <w:sz w:val="24"/>
          <w:lang w:val="zh-CN"/>
        </w:rPr>
        <w:t>《响应文件》因字迹或表述不清所引起的后果由供应商自行负责。</w:t>
      </w:r>
    </w:p>
    <w:p w14:paraId="0005C5BE">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s="楷体_GB2312"/>
          <w:color w:val="auto"/>
          <w:sz w:val="24"/>
          <w:lang w:val="zh-CN"/>
        </w:rPr>
        <w:t xml:space="preserve">3.7.7 </w:t>
      </w:r>
      <w:r>
        <w:rPr>
          <w:rFonts w:hint="eastAsia" w:ascii="宋体" w:hAnsi="宋体" w:cs="楷体_GB2312"/>
          <w:color w:val="auto"/>
          <w:sz w:val="24"/>
          <w:lang w:val="zh-CN"/>
        </w:rPr>
        <w:t>未按上述要求提交的《响应文件》将视为</w:t>
      </w:r>
      <w:r>
        <w:rPr>
          <w:rFonts w:hint="eastAsia" w:ascii="宋体" w:hAnsi="宋体" w:cs="楷体_GB2312"/>
          <w:b/>
          <w:color w:val="auto"/>
          <w:sz w:val="24"/>
          <w:lang w:val="zh-CN"/>
        </w:rPr>
        <w:t>无效投标。</w:t>
      </w:r>
    </w:p>
    <w:p w14:paraId="787FCD02">
      <w:pPr>
        <w:autoSpaceDE w:val="0"/>
        <w:autoSpaceDN w:val="0"/>
        <w:adjustRightInd w:val="0"/>
        <w:spacing w:line="360" w:lineRule="auto"/>
        <w:rPr>
          <w:rFonts w:hint="eastAsia" w:ascii="黑体" w:hAnsi="黑体" w:eastAsia="黑体" w:cs="楷体_GB2312"/>
          <w:b/>
          <w:bCs/>
          <w:color w:val="auto"/>
          <w:sz w:val="28"/>
          <w:szCs w:val="28"/>
          <w:lang w:val="zh-CN"/>
        </w:rPr>
      </w:pPr>
    </w:p>
    <w:p w14:paraId="59E8AE67">
      <w:pPr>
        <w:autoSpaceDE w:val="0"/>
        <w:autoSpaceDN w:val="0"/>
        <w:adjustRightInd w:val="0"/>
        <w:snapToGrid w:val="0"/>
        <w:spacing w:before="120" w:beforeLines="50" w:line="300" w:lineRule="auto"/>
        <w:ind w:firstLine="539"/>
        <w:outlineLvl w:val="1"/>
        <w:rPr>
          <w:rFonts w:hint="eastAsia" w:ascii="黑体" w:hAnsi="黑体" w:eastAsia="黑体" w:cs="楷体_GB2312"/>
          <w:b/>
          <w:bCs/>
          <w:color w:val="auto"/>
          <w:sz w:val="28"/>
          <w:szCs w:val="28"/>
          <w:lang w:val="zh-CN"/>
        </w:rPr>
      </w:pPr>
      <w:bookmarkStart w:id="24" w:name="_Toc569"/>
      <w:r>
        <w:rPr>
          <w:rFonts w:ascii="黑体" w:hAnsi="黑体" w:eastAsia="黑体" w:cs="楷体_GB2312"/>
          <w:b/>
          <w:bCs/>
          <w:color w:val="auto"/>
          <w:sz w:val="28"/>
          <w:szCs w:val="28"/>
          <w:lang w:val="zh-CN"/>
        </w:rPr>
        <w:t>4.</w:t>
      </w:r>
      <w:r>
        <w:rPr>
          <w:rFonts w:hint="eastAsia" w:ascii="黑体" w:hAnsi="黑体" w:eastAsia="黑体" w:cs="楷体_GB2312"/>
          <w:b/>
          <w:bCs/>
          <w:color w:val="auto"/>
          <w:sz w:val="28"/>
          <w:szCs w:val="28"/>
          <w:lang w:val="zh-CN"/>
        </w:rPr>
        <w:t>《响应文件》的提交</w:t>
      </w:r>
      <w:bookmarkEnd w:id="24"/>
    </w:p>
    <w:p w14:paraId="4E77839A">
      <w:pPr>
        <w:autoSpaceDE w:val="0"/>
        <w:autoSpaceDN w:val="0"/>
        <w:adjustRightInd w:val="0"/>
        <w:snapToGrid w:val="0"/>
        <w:spacing w:before="120" w:beforeLines="50" w:line="300" w:lineRule="auto"/>
        <w:ind w:firstLine="539"/>
        <w:rPr>
          <w:rFonts w:hint="eastAsia" w:ascii="宋体" w:hAnsi="宋体" w:cs="楷体_GB2312"/>
          <w:b/>
          <w:color w:val="auto"/>
          <w:sz w:val="24"/>
          <w:lang w:val="zh-CN"/>
        </w:rPr>
      </w:pPr>
      <w:bookmarkStart w:id="25" w:name="OLE_LINK2"/>
      <w:bookmarkStart w:id="26" w:name="_Toc296602445"/>
      <w:r>
        <w:rPr>
          <w:rFonts w:hint="eastAsia" w:ascii="宋体" w:hAnsi="宋体" w:cs="楷体_GB2312"/>
          <w:b/>
          <w:color w:val="auto"/>
          <w:sz w:val="24"/>
          <w:lang w:val="zh-CN"/>
        </w:rPr>
        <w:t>4.1《响应文件》的密封和标记：</w:t>
      </w:r>
    </w:p>
    <w:p w14:paraId="5A009125">
      <w:pPr>
        <w:autoSpaceDE w:val="0"/>
        <w:autoSpaceDN w:val="0"/>
        <w:adjustRightInd w:val="0"/>
        <w:snapToGrid w:val="0"/>
        <w:spacing w:before="120" w:beforeLines="50" w:line="300" w:lineRule="auto"/>
        <w:ind w:firstLine="539"/>
        <w:rPr>
          <w:rFonts w:ascii="宋体" w:cs="楷体_GB2312"/>
          <w:b/>
          <w:color w:val="auto"/>
          <w:sz w:val="24"/>
          <w:lang w:val="zh-CN"/>
        </w:rPr>
      </w:pPr>
      <w:r>
        <w:rPr>
          <w:rFonts w:ascii="宋体" w:hAnsi="宋体" w:cs="楷体_GB2312"/>
          <w:b/>
          <w:color w:val="auto"/>
          <w:sz w:val="24"/>
          <w:lang w:val="zh-CN"/>
        </w:rPr>
        <w:t xml:space="preserve">4.1.1 </w:t>
      </w:r>
      <w:r>
        <w:rPr>
          <w:rFonts w:hint="eastAsia" w:ascii="宋体" w:hAnsi="宋体" w:cs="楷体_GB2312"/>
          <w:b/>
          <w:color w:val="auto"/>
          <w:sz w:val="24"/>
          <w:lang w:val="zh-CN"/>
        </w:rPr>
        <w:t>《响应文件》应</w:t>
      </w:r>
      <w:r>
        <w:rPr>
          <w:rFonts w:ascii="宋体" w:hAnsi="宋体" w:cs="楷体_GB2312"/>
          <w:b/>
          <w:color w:val="auto"/>
          <w:sz w:val="24"/>
          <w:lang w:val="zh-CN"/>
        </w:rPr>
        <w:t>当</w:t>
      </w:r>
      <w:r>
        <w:rPr>
          <w:rFonts w:hint="eastAsia" w:ascii="宋体" w:hAnsi="宋体" w:cs="楷体_GB2312"/>
          <w:b/>
          <w:color w:val="auto"/>
          <w:sz w:val="24"/>
          <w:lang w:val="zh-CN"/>
        </w:rPr>
        <w:t>按网上电子交易系统要</w:t>
      </w:r>
      <w:r>
        <w:rPr>
          <w:rFonts w:ascii="宋体" w:hAnsi="宋体" w:cs="楷体_GB2312"/>
          <w:b/>
          <w:color w:val="auto"/>
          <w:sz w:val="24"/>
          <w:lang w:val="zh-CN"/>
        </w:rPr>
        <w:t>求</w:t>
      </w:r>
      <w:r>
        <w:rPr>
          <w:rFonts w:hint="eastAsia" w:ascii="宋体" w:hAnsi="宋体" w:cs="楷体_GB2312"/>
          <w:b/>
          <w:color w:val="auto"/>
          <w:sz w:val="24"/>
          <w:lang w:val="zh-CN"/>
        </w:rPr>
        <w:t>进行</w:t>
      </w:r>
      <w:r>
        <w:rPr>
          <w:rFonts w:ascii="宋体" w:hAnsi="宋体" w:cs="楷体_GB2312"/>
          <w:b/>
          <w:color w:val="auto"/>
          <w:sz w:val="24"/>
          <w:lang w:val="zh-CN"/>
        </w:rPr>
        <w:t>加密</w:t>
      </w:r>
      <w:r>
        <w:rPr>
          <w:rFonts w:hint="eastAsia" w:ascii="宋体" w:hAnsi="宋体" w:cs="楷体_GB2312"/>
          <w:b/>
          <w:color w:val="auto"/>
          <w:sz w:val="24"/>
          <w:lang w:val="zh-CN"/>
        </w:rPr>
        <w:t>和标记，</w:t>
      </w:r>
      <w:r>
        <w:rPr>
          <w:rFonts w:ascii="宋体" w:hAnsi="宋体" w:cs="楷体_GB2312"/>
          <w:b/>
          <w:color w:val="auto"/>
          <w:sz w:val="24"/>
          <w:lang w:val="zh-CN"/>
        </w:rPr>
        <w:t>在</w:t>
      </w:r>
      <w:r>
        <w:rPr>
          <w:rFonts w:hint="eastAsia" w:ascii="宋体" w:hAnsi="宋体" w:cs="楷体_GB2312"/>
          <w:b/>
          <w:color w:val="auto"/>
          <w:sz w:val="24"/>
          <w:lang w:val="zh-CN"/>
        </w:rPr>
        <w:t>《响应文件》提</w:t>
      </w:r>
      <w:r>
        <w:rPr>
          <w:rFonts w:ascii="宋体" w:hAnsi="宋体" w:cs="楷体_GB2312"/>
          <w:b/>
          <w:color w:val="auto"/>
          <w:sz w:val="24"/>
          <w:lang w:val="zh-CN"/>
        </w:rPr>
        <w:t>交</w:t>
      </w:r>
      <w:r>
        <w:rPr>
          <w:rFonts w:hint="eastAsia" w:ascii="宋体" w:hAnsi="宋体" w:cs="楷体_GB2312"/>
          <w:b/>
          <w:color w:val="auto"/>
          <w:sz w:val="24"/>
          <w:lang w:val="zh-CN"/>
        </w:rPr>
        <w:t>截止时间前，将</w:t>
      </w:r>
      <w:r>
        <w:rPr>
          <w:rFonts w:ascii="宋体" w:hAnsi="宋体" w:cs="楷体_GB2312"/>
          <w:b/>
          <w:color w:val="auto"/>
          <w:sz w:val="24"/>
          <w:lang w:val="zh-CN"/>
        </w:rPr>
        <w:t>加密的</w:t>
      </w:r>
      <w:r>
        <w:rPr>
          <w:rFonts w:hint="eastAsia" w:ascii="宋体" w:hAnsi="宋体" w:cs="楷体_GB2312"/>
          <w:b/>
          <w:color w:val="auto"/>
          <w:sz w:val="24"/>
          <w:lang w:val="zh-CN"/>
        </w:rPr>
        <w:t>《响应文件》</w:t>
      </w:r>
      <w:r>
        <w:rPr>
          <w:rFonts w:ascii="宋体" w:hAnsi="宋体" w:cs="楷体_GB2312"/>
          <w:b/>
          <w:color w:val="auto"/>
          <w:sz w:val="24"/>
          <w:lang w:val="zh-CN"/>
        </w:rPr>
        <w:t>上</w:t>
      </w:r>
      <w:r>
        <w:rPr>
          <w:rFonts w:hint="eastAsia" w:ascii="宋体" w:hAnsi="宋体" w:cs="楷体_GB2312"/>
          <w:b/>
          <w:color w:val="auto"/>
          <w:sz w:val="24"/>
          <w:lang w:val="zh-CN"/>
        </w:rPr>
        <w:t>传至“竞争性磋商</w:t>
      </w:r>
      <w:r>
        <w:rPr>
          <w:rFonts w:ascii="宋体" w:hAnsi="宋体" w:cs="楷体_GB2312"/>
          <w:b/>
          <w:color w:val="auto"/>
          <w:sz w:val="24"/>
          <w:lang w:val="zh-CN"/>
        </w:rPr>
        <w:t>公告</w:t>
      </w:r>
      <w:r>
        <w:rPr>
          <w:rFonts w:hint="eastAsia" w:ascii="宋体" w:hAnsi="宋体" w:cs="楷体_GB2312"/>
          <w:b/>
          <w:color w:val="auto"/>
          <w:sz w:val="24"/>
          <w:lang w:val="zh-CN"/>
        </w:rPr>
        <w:t>”所述网上电子交易系</w:t>
      </w:r>
      <w:r>
        <w:rPr>
          <w:rFonts w:ascii="宋体" w:hAnsi="宋体" w:cs="楷体_GB2312"/>
          <w:b/>
          <w:color w:val="auto"/>
          <w:sz w:val="24"/>
          <w:lang w:val="zh-CN"/>
        </w:rPr>
        <w:t>统</w:t>
      </w:r>
      <w:r>
        <w:rPr>
          <w:rFonts w:hint="eastAsia" w:ascii="宋体" w:hAnsi="宋体" w:cs="楷体_GB2312"/>
          <w:b/>
          <w:color w:val="auto"/>
          <w:sz w:val="24"/>
          <w:lang w:val="zh-CN"/>
        </w:rPr>
        <w:t>。</w:t>
      </w:r>
    </w:p>
    <w:p w14:paraId="62CD2F5A">
      <w:pPr>
        <w:autoSpaceDE w:val="0"/>
        <w:autoSpaceDN w:val="0"/>
        <w:adjustRightInd w:val="0"/>
        <w:snapToGrid w:val="0"/>
        <w:spacing w:before="120" w:beforeLines="50" w:line="300" w:lineRule="auto"/>
        <w:ind w:firstLine="539"/>
        <w:rPr>
          <w:rFonts w:hint="eastAsia" w:ascii="黑体" w:hAnsi="黑体" w:eastAsia="黑体" w:cs="楷体_GB2312"/>
          <w:b/>
          <w:color w:val="auto"/>
          <w:sz w:val="24"/>
          <w:lang w:val="zh-CN"/>
        </w:rPr>
      </w:pPr>
      <w:bookmarkStart w:id="27" w:name="OLE_LINK1"/>
      <w:r>
        <w:rPr>
          <w:rFonts w:ascii="宋体" w:hAnsi="宋体" w:cs="楷体_GB2312"/>
          <w:b/>
          <w:color w:val="auto"/>
          <w:sz w:val="24"/>
          <w:lang w:val="zh-CN"/>
        </w:rPr>
        <w:t xml:space="preserve">4.1.2 </w:t>
      </w:r>
      <w:r>
        <w:rPr>
          <w:rFonts w:hint="eastAsia" w:ascii="宋体" w:hAnsi="宋体" w:cs="楷体_GB2312"/>
          <w:b/>
          <w:color w:val="auto"/>
          <w:sz w:val="24"/>
          <w:lang w:val="zh-CN"/>
        </w:rPr>
        <w:t>《响应文件》没有按照上述要求进行</w:t>
      </w:r>
      <w:r>
        <w:rPr>
          <w:rFonts w:ascii="宋体" w:hAnsi="宋体" w:cs="楷体_GB2312"/>
          <w:b/>
          <w:color w:val="auto"/>
          <w:sz w:val="24"/>
          <w:lang w:val="zh-CN"/>
        </w:rPr>
        <w:t>加密</w:t>
      </w:r>
      <w:r>
        <w:rPr>
          <w:rFonts w:hint="eastAsia" w:ascii="黑体" w:hAnsi="黑体" w:eastAsia="黑体" w:cs="楷体_GB2312"/>
          <w:b/>
          <w:color w:val="auto"/>
          <w:sz w:val="24"/>
          <w:lang w:val="zh-CN"/>
        </w:rPr>
        <w:t>和标记</w:t>
      </w:r>
      <w:r>
        <w:rPr>
          <w:rFonts w:hint="eastAsia" w:ascii="宋体" w:hAnsi="宋体" w:cs="楷体_GB2312"/>
          <w:b/>
          <w:color w:val="auto"/>
          <w:sz w:val="24"/>
          <w:lang w:val="zh-CN"/>
        </w:rPr>
        <w:t>的、网上电子交易系</w:t>
      </w:r>
      <w:r>
        <w:rPr>
          <w:rFonts w:ascii="宋体" w:hAnsi="宋体" w:cs="楷体_GB2312"/>
          <w:b/>
          <w:color w:val="auto"/>
          <w:sz w:val="24"/>
          <w:lang w:val="zh-CN"/>
        </w:rPr>
        <w:t>统</w:t>
      </w:r>
      <w:r>
        <w:rPr>
          <w:rFonts w:hint="eastAsia" w:ascii="宋体" w:hAnsi="宋体" w:cs="楷体_GB2312"/>
          <w:b/>
          <w:color w:val="auto"/>
          <w:sz w:val="24"/>
          <w:lang w:val="zh-CN"/>
        </w:rPr>
        <w:t>将</w:t>
      </w:r>
      <w:r>
        <w:rPr>
          <w:rFonts w:ascii="宋体" w:hAnsi="宋体" w:cs="楷体_GB2312"/>
          <w:b/>
          <w:color w:val="auto"/>
          <w:sz w:val="24"/>
          <w:lang w:val="zh-CN"/>
        </w:rPr>
        <w:t>据系统设定</w:t>
      </w:r>
      <w:r>
        <w:rPr>
          <w:rFonts w:hint="eastAsia" w:ascii="宋体" w:hAnsi="宋体" w:cs="楷体_GB2312"/>
          <w:b/>
          <w:color w:val="auto"/>
          <w:sz w:val="24"/>
          <w:lang w:val="zh-CN"/>
        </w:rPr>
        <w:t>拒收其《响应文件》，供应商应自负该项风险，采购代理机构对可能产</w:t>
      </w:r>
      <w:r>
        <w:rPr>
          <w:rFonts w:ascii="宋体" w:hAnsi="宋体" w:cs="楷体_GB2312"/>
          <w:b/>
          <w:color w:val="auto"/>
          <w:sz w:val="24"/>
          <w:lang w:val="zh-CN"/>
        </w:rPr>
        <w:t>生的</w:t>
      </w:r>
      <w:r>
        <w:rPr>
          <w:rFonts w:hint="eastAsia" w:ascii="宋体" w:hAnsi="宋体" w:cs="楷体_GB2312"/>
          <w:b/>
          <w:color w:val="auto"/>
          <w:sz w:val="24"/>
          <w:lang w:val="zh-CN"/>
        </w:rPr>
        <w:t>误投或提前启封概不负责。</w:t>
      </w:r>
      <w:bookmarkEnd w:id="27"/>
    </w:p>
    <w:bookmarkEnd w:id="25"/>
    <w:p w14:paraId="749E73A6">
      <w:pPr>
        <w:autoSpaceDE w:val="0"/>
        <w:autoSpaceDN w:val="0"/>
        <w:adjustRightInd w:val="0"/>
        <w:snapToGrid w:val="0"/>
        <w:spacing w:before="120" w:beforeLines="50" w:line="300" w:lineRule="auto"/>
        <w:ind w:firstLine="539"/>
        <w:rPr>
          <w:rFonts w:hint="eastAsia" w:ascii="黑体" w:hAnsi="黑体" w:eastAsia="黑体" w:cs="楷体_GB2312"/>
          <w:b/>
          <w:color w:val="auto"/>
          <w:sz w:val="24"/>
          <w:lang w:val="zh-CN"/>
        </w:rPr>
      </w:pPr>
      <w:r>
        <w:rPr>
          <w:rFonts w:ascii="黑体" w:hAnsi="黑体" w:eastAsia="黑体" w:cs="楷体_GB2312"/>
          <w:b/>
          <w:color w:val="auto"/>
          <w:sz w:val="24"/>
          <w:lang w:val="zh-CN"/>
        </w:rPr>
        <w:t xml:space="preserve">4.2 </w:t>
      </w:r>
      <w:r>
        <w:rPr>
          <w:rFonts w:hint="eastAsia" w:ascii="黑体" w:hAnsi="黑体" w:eastAsia="黑体" w:cs="楷体_GB2312"/>
          <w:b/>
          <w:color w:val="auto"/>
          <w:sz w:val="24"/>
          <w:lang w:val="zh-CN"/>
        </w:rPr>
        <w:t>《响应文件》的递交</w:t>
      </w:r>
      <w:bookmarkEnd w:id="26"/>
    </w:p>
    <w:p w14:paraId="7DC78CFB">
      <w:pPr>
        <w:widowControl w:val="0"/>
        <w:adjustRightInd w:val="0"/>
        <w:spacing w:before="120" w:beforeLines="50" w:line="300" w:lineRule="auto"/>
        <w:ind w:firstLine="542" w:firstLineChars="225"/>
        <w:rPr>
          <w:rFonts w:hint="eastAsia" w:ascii="宋体" w:hAnsi="宋体"/>
          <w:color w:val="auto"/>
          <w:sz w:val="24"/>
          <w:szCs w:val="24"/>
        </w:rPr>
      </w:pPr>
      <w:r>
        <w:rPr>
          <w:rFonts w:ascii="宋体" w:hAnsi="宋体" w:cs="楷体_GB2312"/>
          <w:b/>
          <w:color w:val="auto"/>
          <w:sz w:val="24"/>
          <w:lang w:val="zh-CN"/>
        </w:rPr>
        <w:t>4.2.1</w:t>
      </w:r>
      <w:r>
        <w:rPr>
          <w:rFonts w:hint="eastAsia" w:ascii="宋体" w:hAnsi="宋体"/>
          <w:color w:val="auto"/>
          <w:sz w:val="24"/>
          <w:szCs w:val="24"/>
        </w:rPr>
        <w:t>供应商应在投标截止时间前上传加密的电子投标文件（*.aytf）到安阳市公共资源交易平台。上传时供应商须使用制作该投标文件的同一CA锁进行上传操作。请供应商在上传时认真检查上传投标文件是否完整、正确。供应商应充分考虑上传文件时的不可预见因素，未在投标截止时间前完成上传的，视为逾期送达，安阳市公共资源交易平台将拒绝接收。</w:t>
      </w:r>
    </w:p>
    <w:p w14:paraId="6B7865C1">
      <w:pPr>
        <w:autoSpaceDE w:val="0"/>
        <w:autoSpaceDN w:val="0"/>
        <w:adjustRightInd w:val="0"/>
        <w:snapToGrid w:val="0"/>
        <w:spacing w:before="120" w:beforeLines="50" w:line="300" w:lineRule="auto"/>
        <w:ind w:firstLine="539"/>
        <w:rPr>
          <w:rFonts w:hint="eastAsia" w:ascii="宋体" w:hAnsi="宋体" w:cs="楷体_GB2312"/>
          <w:b/>
          <w:color w:val="auto"/>
          <w:sz w:val="24"/>
          <w:lang w:val="zh-CN"/>
        </w:rPr>
      </w:pPr>
      <w:r>
        <w:rPr>
          <w:rFonts w:ascii="宋体" w:hAnsi="宋体" w:cs="楷体_GB2312"/>
          <w:b/>
          <w:color w:val="auto"/>
          <w:sz w:val="24"/>
          <w:lang w:val="zh-CN"/>
        </w:rPr>
        <w:t xml:space="preserve">4.2.2 </w:t>
      </w:r>
      <w:r>
        <w:rPr>
          <w:rFonts w:hint="eastAsia" w:ascii="宋体" w:hAnsi="宋体" w:cs="楷体_GB2312"/>
          <w:b/>
          <w:color w:val="auto"/>
          <w:sz w:val="24"/>
          <w:lang w:val="zh-CN"/>
        </w:rPr>
        <w:t>据网上电子交易系统设</w:t>
      </w:r>
      <w:r>
        <w:rPr>
          <w:rFonts w:ascii="宋体" w:hAnsi="宋体" w:cs="楷体_GB2312"/>
          <w:b/>
          <w:color w:val="auto"/>
          <w:sz w:val="24"/>
          <w:lang w:val="zh-CN"/>
        </w:rPr>
        <w:t>定，</w:t>
      </w:r>
      <w:r>
        <w:rPr>
          <w:rFonts w:hint="eastAsia" w:ascii="宋体" w:hAnsi="宋体" w:cs="楷体_GB2312"/>
          <w:b/>
          <w:color w:val="auto"/>
          <w:sz w:val="24"/>
          <w:lang w:val="zh-CN"/>
        </w:rPr>
        <w:t>《响应文件》提交截止时间后，系统将自动锁定已经提交的电子《响应文件》，拒绝再次提交。供应商将无法通过网上电子交易系统进行上传，采购代理机构将无法接受并拒绝接受投标截止时间以后提</w:t>
      </w:r>
      <w:r>
        <w:rPr>
          <w:rFonts w:ascii="宋体" w:hAnsi="宋体" w:cs="楷体_GB2312"/>
          <w:b/>
          <w:color w:val="auto"/>
          <w:sz w:val="24"/>
          <w:lang w:val="zh-CN"/>
        </w:rPr>
        <w:t>交</w:t>
      </w:r>
      <w:r>
        <w:rPr>
          <w:rFonts w:hint="eastAsia" w:ascii="宋体" w:hAnsi="宋体" w:cs="楷体_GB2312"/>
          <w:b/>
          <w:color w:val="auto"/>
          <w:sz w:val="24"/>
          <w:lang w:val="zh-CN"/>
        </w:rPr>
        <w:t>的《响应文件》。</w:t>
      </w:r>
    </w:p>
    <w:p w14:paraId="04E47E99">
      <w:pPr>
        <w:autoSpaceDE w:val="0"/>
        <w:autoSpaceDN w:val="0"/>
        <w:adjustRightInd w:val="0"/>
        <w:snapToGrid w:val="0"/>
        <w:spacing w:before="120" w:beforeLines="50" w:line="300" w:lineRule="auto"/>
        <w:ind w:firstLine="539"/>
        <w:rPr>
          <w:rFonts w:hint="eastAsia" w:ascii="宋体" w:hAnsi="宋体" w:cs="楷体_GB2312"/>
          <w:color w:val="auto"/>
          <w:sz w:val="24"/>
          <w:lang w:val="zh-CN"/>
        </w:rPr>
      </w:pPr>
      <w:r>
        <w:rPr>
          <w:rFonts w:ascii="宋体" w:hAnsi="宋体" w:cs="楷体_GB2312"/>
          <w:color w:val="auto"/>
          <w:sz w:val="24"/>
          <w:lang w:val="zh-CN"/>
        </w:rPr>
        <w:t xml:space="preserve">4.2.3 </w:t>
      </w:r>
      <w:r>
        <w:rPr>
          <w:rFonts w:hint="eastAsia" w:ascii="宋体" w:hAnsi="宋体" w:cs="楷体_GB2312"/>
          <w:color w:val="auto"/>
          <w:sz w:val="24"/>
          <w:lang w:val="zh-CN"/>
        </w:rPr>
        <w:t>由于不可抗拒的原因，代理机构对《响应文件》的遗失和损坏不负任何责任。</w:t>
      </w:r>
    </w:p>
    <w:p w14:paraId="4CD97332">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s="楷体_GB2312"/>
          <w:color w:val="auto"/>
          <w:sz w:val="24"/>
          <w:lang w:val="zh-CN"/>
        </w:rPr>
        <w:t xml:space="preserve">4.2.4 </w:t>
      </w:r>
      <w:r>
        <w:rPr>
          <w:rFonts w:hint="eastAsia" w:ascii="宋体" w:hAnsi="宋体" w:cs="楷体_GB2312"/>
          <w:color w:val="auto"/>
          <w:sz w:val="24"/>
          <w:lang w:val="zh-CN"/>
        </w:rPr>
        <w:t>除供应商须知前附表另有规定外，供应商所递交的《响应文件》不予退还。</w:t>
      </w:r>
    </w:p>
    <w:p w14:paraId="4D25272B">
      <w:pPr>
        <w:autoSpaceDE w:val="0"/>
        <w:autoSpaceDN w:val="0"/>
        <w:adjustRightInd w:val="0"/>
        <w:snapToGrid w:val="0"/>
        <w:spacing w:before="120" w:beforeLines="50" w:line="300" w:lineRule="auto"/>
        <w:ind w:firstLine="539"/>
        <w:rPr>
          <w:rFonts w:hint="eastAsia" w:ascii="宋体" w:hAnsi="宋体" w:cs="楷体_GB2312"/>
          <w:b/>
          <w:color w:val="auto"/>
          <w:sz w:val="24"/>
          <w:lang w:val="zh-CN"/>
        </w:rPr>
      </w:pPr>
      <w:r>
        <w:rPr>
          <w:rFonts w:ascii="宋体" w:hAnsi="宋体" w:cs="楷体_GB2312"/>
          <w:b/>
          <w:color w:val="auto"/>
          <w:sz w:val="24"/>
          <w:lang w:val="zh-CN"/>
        </w:rPr>
        <w:t xml:space="preserve">4.2.5 </w:t>
      </w:r>
      <w:r>
        <w:rPr>
          <w:rFonts w:hint="eastAsia" w:ascii="宋体" w:hAnsi="宋体" w:cs="楷体_GB2312"/>
          <w:b/>
          <w:color w:val="auto"/>
          <w:sz w:val="24"/>
          <w:lang w:val="zh-CN"/>
        </w:rPr>
        <w:t>基于</w:t>
      </w:r>
      <w:r>
        <w:rPr>
          <w:rFonts w:ascii="宋体" w:hAnsi="宋体" w:cs="楷体_GB2312"/>
          <w:b/>
          <w:color w:val="auto"/>
          <w:sz w:val="24"/>
          <w:lang w:val="zh-CN"/>
        </w:rPr>
        <w:t>网上电子交易的</w:t>
      </w:r>
      <w:r>
        <w:rPr>
          <w:rFonts w:hint="eastAsia" w:ascii="宋体" w:hAnsi="宋体" w:cs="楷体_GB2312"/>
          <w:b/>
          <w:color w:val="auto"/>
          <w:sz w:val="24"/>
          <w:lang w:val="zh-CN"/>
        </w:rPr>
        <w:t>系统</w:t>
      </w:r>
      <w:r>
        <w:rPr>
          <w:rFonts w:ascii="宋体" w:hAnsi="宋体" w:cs="楷体_GB2312"/>
          <w:b/>
          <w:color w:val="auto"/>
          <w:sz w:val="24"/>
          <w:lang w:val="zh-CN"/>
        </w:rPr>
        <w:t>要求及</w:t>
      </w:r>
      <w:r>
        <w:rPr>
          <w:rFonts w:hint="eastAsia" w:ascii="宋体" w:hAnsi="宋体" w:cs="楷体_GB2312"/>
          <w:b/>
          <w:color w:val="auto"/>
          <w:sz w:val="24"/>
          <w:lang w:val="zh-CN"/>
        </w:rPr>
        <w:t>特点</w:t>
      </w:r>
      <w:r>
        <w:rPr>
          <w:rFonts w:ascii="宋体" w:hAnsi="宋体" w:cs="楷体_GB2312"/>
          <w:b/>
          <w:color w:val="auto"/>
          <w:sz w:val="24"/>
          <w:lang w:val="zh-CN"/>
        </w:rPr>
        <w:t>，</w:t>
      </w:r>
      <w:r>
        <w:rPr>
          <w:rFonts w:hint="eastAsia" w:ascii="宋体" w:hAnsi="宋体" w:cs="楷体_GB2312"/>
          <w:b/>
          <w:color w:val="auto"/>
          <w:sz w:val="24"/>
          <w:lang w:val="zh-CN"/>
        </w:rPr>
        <w:t>只</w:t>
      </w:r>
      <w:r>
        <w:rPr>
          <w:rFonts w:ascii="宋体" w:hAnsi="宋体" w:cs="楷体_GB2312"/>
          <w:b/>
          <w:color w:val="auto"/>
          <w:sz w:val="24"/>
          <w:lang w:val="zh-CN"/>
        </w:rPr>
        <w:t>接受基于</w:t>
      </w:r>
      <w:r>
        <w:rPr>
          <w:rFonts w:hint="eastAsia" w:ascii="宋体" w:hAnsi="宋体" w:cs="楷体_GB2312"/>
          <w:b/>
          <w:color w:val="auto"/>
          <w:sz w:val="24"/>
          <w:lang w:val="zh-CN"/>
        </w:rPr>
        <w:t>符</w:t>
      </w:r>
      <w:r>
        <w:rPr>
          <w:rFonts w:ascii="宋体" w:hAnsi="宋体" w:cs="楷体_GB2312"/>
          <w:b/>
          <w:color w:val="auto"/>
          <w:sz w:val="24"/>
          <w:lang w:val="zh-CN"/>
        </w:rPr>
        <w:t>合</w:t>
      </w:r>
      <w:r>
        <w:rPr>
          <w:rFonts w:hint="eastAsia" w:ascii="宋体" w:hAnsi="宋体" w:cs="楷体_GB2312"/>
          <w:b/>
          <w:color w:val="auto"/>
          <w:sz w:val="24"/>
          <w:lang w:val="zh-CN"/>
        </w:rPr>
        <w:t>网上电子交易系统要</w:t>
      </w:r>
      <w:r>
        <w:rPr>
          <w:rFonts w:ascii="宋体" w:hAnsi="宋体" w:cs="楷体_GB2312"/>
          <w:b/>
          <w:color w:val="auto"/>
          <w:sz w:val="24"/>
          <w:lang w:val="zh-CN"/>
        </w:rPr>
        <w:t>求</w:t>
      </w:r>
      <w:r>
        <w:rPr>
          <w:rFonts w:hint="eastAsia" w:ascii="宋体" w:hAnsi="宋体" w:cs="楷体_GB2312"/>
          <w:b/>
          <w:color w:val="auto"/>
          <w:sz w:val="24"/>
          <w:lang w:val="zh-CN"/>
        </w:rPr>
        <w:t>的</w:t>
      </w:r>
      <w:r>
        <w:rPr>
          <w:rFonts w:ascii="宋体" w:hAnsi="宋体" w:cs="楷体_GB2312"/>
          <w:b/>
          <w:color w:val="auto"/>
          <w:sz w:val="24"/>
          <w:lang w:val="zh-CN"/>
        </w:rPr>
        <w:t>投标</w:t>
      </w:r>
      <w:r>
        <w:rPr>
          <w:rFonts w:hint="eastAsia" w:ascii="宋体" w:hAnsi="宋体" w:cs="楷体_GB2312"/>
          <w:b/>
          <w:color w:val="auto"/>
          <w:sz w:val="24"/>
          <w:lang w:val="zh-CN"/>
        </w:rPr>
        <w:t>，</w:t>
      </w:r>
      <w:r>
        <w:rPr>
          <w:rFonts w:ascii="宋体" w:hAnsi="宋体" w:cs="楷体_GB2312"/>
          <w:b/>
          <w:color w:val="auto"/>
          <w:sz w:val="24"/>
          <w:lang w:val="zh-CN"/>
        </w:rPr>
        <w:t>其他如纸制、送达、</w:t>
      </w:r>
      <w:r>
        <w:rPr>
          <w:rFonts w:hint="eastAsia" w:ascii="宋体" w:hAnsi="宋体" w:cs="楷体_GB2312"/>
          <w:b/>
          <w:color w:val="auto"/>
          <w:sz w:val="24"/>
          <w:lang w:val="zh-CN"/>
        </w:rPr>
        <w:t>电报、电话、电子邮件等形式的投标概不接受。</w:t>
      </w:r>
    </w:p>
    <w:p w14:paraId="255C8CF1">
      <w:pPr>
        <w:autoSpaceDE w:val="0"/>
        <w:autoSpaceDN w:val="0"/>
        <w:adjustRightInd w:val="0"/>
        <w:snapToGrid w:val="0"/>
        <w:spacing w:before="120" w:beforeLines="50" w:line="300" w:lineRule="auto"/>
        <w:ind w:firstLine="539"/>
        <w:rPr>
          <w:rFonts w:hint="eastAsia" w:ascii="宋体" w:hAnsi="宋体" w:cs="楷体_GB2312"/>
          <w:color w:val="auto"/>
          <w:sz w:val="24"/>
          <w:lang w:val="zh-CN"/>
        </w:rPr>
      </w:pPr>
      <w:r>
        <w:rPr>
          <w:rFonts w:ascii="黑体" w:hAnsi="黑体" w:eastAsia="黑体" w:cs="楷体_GB2312"/>
          <w:b/>
          <w:color w:val="auto"/>
          <w:sz w:val="24"/>
          <w:lang w:val="zh-CN"/>
        </w:rPr>
        <w:t xml:space="preserve">4.3 </w:t>
      </w:r>
      <w:r>
        <w:rPr>
          <w:rFonts w:hint="eastAsia" w:ascii="黑体" w:hAnsi="黑体" w:eastAsia="黑体" w:cs="楷体_GB2312"/>
          <w:b/>
          <w:color w:val="auto"/>
          <w:sz w:val="24"/>
          <w:lang w:val="zh-CN"/>
        </w:rPr>
        <w:t>《响应文件》的修改与撤回</w:t>
      </w:r>
      <w:r>
        <w:rPr>
          <w:rFonts w:hint="eastAsia" w:ascii="宋体" w:hAnsi="宋体" w:cs="楷体_GB2312"/>
          <w:color w:val="auto"/>
          <w:sz w:val="24"/>
          <w:lang w:val="zh-CN"/>
        </w:rPr>
        <w:t>：</w:t>
      </w:r>
    </w:p>
    <w:p w14:paraId="6A97B7BD">
      <w:pPr>
        <w:autoSpaceDE w:val="0"/>
        <w:autoSpaceDN w:val="0"/>
        <w:adjustRightInd w:val="0"/>
        <w:snapToGrid w:val="0"/>
        <w:spacing w:before="120" w:beforeLines="50" w:line="300" w:lineRule="auto"/>
        <w:ind w:firstLine="539"/>
        <w:rPr>
          <w:rFonts w:hint="eastAsia" w:ascii="宋体" w:hAnsi="宋体" w:cs="楷体_GB2312"/>
          <w:b/>
          <w:color w:val="auto"/>
          <w:sz w:val="24"/>
          <w:lang w:val="zh-CN"/>
        </w:rPr>
      </w:pPr>
      <w:r>
        <w:rPr>
          <w:rFonts w:ascii="宋体" w:hAnsi="宋体" w:cs="楷体_GB2312"/>
          <w:b/>
          <w:color w:val="auto"/>
          <w:sz w:val="24"/>
          <w:lang w:val="zh-CN"/>
        </w:rPr>
        <w:t>4.3.1</w:t>
      </w:r>
      <w:r>
        <w:rPr>
          <w:rFonts w:hint="eastAsia" w:ascii="宋体" w:hAnsi="宋体" w:cs="楷体_GB2312"/>
          <w:b/>
          <w:color w:val="auto"/>
          <w:sz w:val="24"/>
          <w:lang w:val="zh-CN"/>
        </w:rPr>
        <w:t xml:space="preserve"> 供应商于提交《响应文件》截止时间前如对《响应文件》进行补充、修改，可以上传新的《响应文件》进行覆盖。供应商如撤回《响应文件》，应及时书面通知采购代理机构进行办理。</w:t>
      </w:r>
    </w:p>
    <w:p w14:paraId="5970C4B8">
      <w:pPr>
        <w:autoSpaceDE w:val="0"/>
        <w:autoSpaceDN w:val="0"/>
        <w:adjustRightInd w:val="0"/>
        <w:snapToGrid w:val="0"/>
        <w:spacing w:before="120" w:beforeLines="50" w:line="300" w:lineRule="auto"/>
        <w:ind w:firstLine="539"/>
        <w:rPr>
          <w:rFonts w:hint="eastAsia" w:ascii="宋体" w:hAnsi="宋体" w:cs="楷体_GB2312"/>
          <w:b/>
          <w:color w:val="auto"/>
          <w:sz w:val="24"/>
          <w:lang w:val="zh-CN"/>
        </w:rPr>
      </w:pPr>
      <w:r>
        <w:rPr>
          <w:rFonts w:ascii="宋体" w:hAnsi="宋体" w:cs="楷体_GB2312"/>
          <w:b/>
          <w:color w:val="auto"/>
          <w:sz w:val="24"/>
          <w:lang w:val="zh-CN"/>
        </w:rPr>
        <w:t>4.3.</w:t>
      </w:r>
      <w:r>
        <w:rPr>
          <w:rFonts w:hint="eastAsia" w:ascii="宋体" w:hAnsi="宋体" w:cs="楷体_GB2312"/>
          <w:b/>
          <w:color w:val="auto"/>
          <w:sz w:val="24"/>
          <w:lang w:val="zh-CN"/>
        </w:rPr>
        <w:t>2 供应商在《响应文件》提</w:t>
      </w:r>
      <w:r>
        <w:rPr>
          <w:rFonts w:ascii="宋体" w:hAnsi="宋体" w:cs="楷体_GB2312"/>
          <w:b/>
          <w:color w:val="auto"/>
          <w:sz w:val="24"/>
          <w:lang w:val="zh-CN"/>
        </w:rPr>
        <w:t>交</w:t>
      </w:r>
      <w:r>
        <w:rPr>
          <w:rFonts w:hint="eastAsia" w:ascii="宋体" w:hAnsi="宋体" w:cs="楷体_GB2312"/>
          <w:b/>
          <w:color w:val="auto"/>
          <w:sz w:val="24"/>
          <w:lang w:val="zh-CN"/>
        </w:rPr>
        <w:t>截止时间后不得自行修改或撤回其投标，否则</w:t>
      </w:r>
      <w:r>
        <w:rPr>
          <w:rFonts w:hint="eastAsia" w:ascii="宋体" w:hAnsi="宋体"/>
          <w:color w:val="auto"/>
          <w:sz w:val="24"/>
          <w:szCs w:val="24"/>
        </w:rPr>
        <w:t>依据磋商文件“第三章</w:t>
      </w:r>
      <w:r>
        <w:rPr>
          <w:rFonts w:hint="eastAsia" w:ascii="宋体" w:hAnsi="宋体" w:cs="楷体_GB2312"/>
          <w:color w:val="auto"/>
          <w:sz w:val="24"/>
          <w:szCs w:val="22"/>
        </w:rPr>
        <w:t>3.5.5 违背承诺的责任追究措施</w:t>
      </w:r>
      <w:r>
        <w:rPr>
          <w:rFonts w:hint="eastAsia" w:ascii="宋体" w:hAnsi="宋体"/>
          <w:color w:val="auto"/>
          <w:sz w:val="24"/>
          <w:szCs w:val="24"/>
        </w:rPr>
        <w:t>”，供应商</w:t>
      </w:r>
      <w:r>
        <w:rPr>
          <w:rFonts w:hint="eastAsia" w:ascii="宋体" w:hAnsi="宋体" w:cs="楷体_GB2312"/>
          <w:color w:val="auto"/>
          <w:sz w:val="24"/>
          <w:szCs w:val="22"/>
        </w:rPr>
        <w:t>承担相应法律责任及违约责任。</w:t>
      </w:r>
    </w:p>
    <w:p w14:paraId="5637B8BC">
      <w:pPr>
        <w:autoSpaceDE w:val="0"/>
        <w:autoSpaceDN w:val="0"/>
        <w:adjustRightInd w:val="0"/>
        <w:snapToGrid w:val="0"/>
        <w:spacing w:before="120" w:beforeLines="50" w:line="300" w:lineRule="auto"/>
        <w:rPr>
          <w:rFonts w:ascii="宋体" w:cs="楷体_GB2312"/>
          <w:color w:val="auto"/>
          <w:sz w:val="24"/>
          <w:lang w:val="zh-CN"/>
        </w:rPr>
      </w:pPr>
    </w:p>
    <w:p w14:paraId="32B6E1BC">
      <w:pPr>
        <w:autoSpaceDE w:val="0"/>
        <w:autoSpaceDN w:val="0"/>
        <w:adjustRightInd w:val="0"/>
        <w:snapToGrid w:val="0"/>
        <w:spacing w:before="120" w:beforeLines="50" w:line="300" w:lineRule="auto"/>
        <w:ind w:firstLine="539"/>
        <w:outlineLvl w:val="1"/>
        <w:rPr>
          <w:rFonts w:ascii="宋体" w:cs="楷体_GB2312"/>
          <w:color w:val="auto"/>
          <w:sz w:val="24"/>
          <w:lang w:val="zh-CN"/>
        </w:rPr>
      </w:pPr>
      <w:bookmarkStart w:id="28" w:name="_Toc16240"/>
      <w:r>
        <w:rPr>
          <w:rFonts w:ascii="黑体" w:hAnsi="黑体" w:eastAsia="黑体" w:cs="楷体_GB2312"/>
          <w:b/>
          <w:bCs/>
          <w:color w:val="auto"/>
          <w:sz w:val="28"/>
          <w:szCs w:val="28"/>
          <w:lang w:val="zh-CN"/>
        </w:rPr>
        <w:t>5.</w:t>
      </w:r>
      <w:r>
        <w:rPr>
          <w:rFonts w:hint="eastAsia" w:ascii="黑体" w:hAnsi="黑体" w:eastAsia="黑体" w:cs="楷体_GB2312"/>
          <w:b/>
          <w:bCs/>
          <w:color w:val="auto"/>
          <w:sz w:val="28"/>
          <w:szCs w:val="28"/>
          <w:lang w:val="zh-CN"/>
        </w:rPr>
        <w:t>《响应文件》的开启</w:t>
      </w:r>
      <w:bookmarkEnd w:id="28"/>
    </w:p>
    <w:p w14:paraId="2CFEB02E">
      <w:pPr>
        <w:autoSpaceDE w:val="0"/>
        <w:autoSpaceDN w:val="0"/>
        <w:adjustRightInd w:val="0"/>
        <w:snapToGrid w:val="0"/>
        <w:spacing w:before="120" w:beforeLines="50" w:line="300" w:lineRule="auto"/>
        <w:ind w:firstLine="539"/>
        <w:rPr>
          <w:rFonts w:hint="eastAsia" w:ascii="黑体" w:hAnsi="黑体" w:eastAsia="黑体" w:cs="楷体_GB2312"/>
          <w:b/>
          <w:color w:val="auto"/>
          <w:sz w:val="24"/>
          <w:lang w:val="zh-CN"/>
        </w:rPr>
      </w:pPr>
      <w:r>
        <w:rPr>
          <w:rFonts w:ascii="黑体" w:hAnsi="黑体" w:eastAsia="黑体" w:cs="楷体_GB2312"/>
          <w:b/>
          <w:color w:val="auto"/>
          <w:sz w:val="24"/>
          <w:lang w:val="zh-CN"/>
        </w:rPr>
        <w:t xml:space="preserve">5.1 </w:t>
      </w:r>
      <w:r>
        <w:rPr>
          <w:rFonts w:hint="eastAsia" w:ascii="黑体" w:hAnsi="黑体" w:eastAsia="黑体" w:cs="楷体_GB2312"/>
          <w:b/>
          <w:color w:val="auto"/>
          <w:sz w:val="24"/>
          <w:lang w:val="zh-CN"/>
        </w:rPr>
        <w:t>《响应文件》开启时间和地点</w:t>
      </w:r>
    </w:p>
    <w:p w14:paraId="41B9A81B">
      <w:pPr>
        <w:autoSpaceDE w:val="0"/>
        <w:autoSpaceDN w:val="0"/>
        <w:adjustRightInd w:val="0"/>
        <w:snapToGrid w:val="0"/>
        <w:spacing w:before="120" w:beforeLines="50" w:line="300" w:lineRule="auto"/>
        <w:ind w:firstLine="539"/>
        <w:rPr>
          <w:rFonts w:hint="eastAsia" w:ascii="宋体" w:hAnsi="宋体" w:cs="楷体_GB2312"/>
          <w:b/>
          <w:color w:val="auto"/>
          <w:sz w:val="24"/>
          <w:lang w:val="zh-CN"/>
        </w:rPr>
      </w:pPr>
      <w:r>
        <w:rPr>
          <w:rFonts w:ascii="宋体" w:hAnsi="宋体" w:cs="楷体_GB2312"/>
          <w:b/>
          <w:color w:val="auto"/>
          <w:sz w:val="24"/>
          <w:lang w:val="zh-CN"/>
        </w:rPr>
        <w:t xml:space="preserve">5.1.1 </w:t>
      </w:r>
      <w:r>
        <w:rPr>
          <w:rFonts w:hint="eastAsia" w:ascii="宋体" w:hAnsi="宋体" w:cs="楷体_GB2312"/>
          <w:b/>
          <w:color w:val="auto"/>
          <w:sz w:val="24"/>
          <w:lang w:val="zh-CN"/>
        </w:rPr>
        <w:t>采购人和采购代理机构按“竞争性磋商</w:t>
      </w:r>
      <w:r>
        <w:rPr>
          <w:rFonts w:ascii="宋体" w:hAnsi="宋体" w:cs="楷体_GB2312"/>
          <w:b/>
          <w:color w:val="auto"/>
          <w:sz w:val="24"/>
          <w:lang w:val="zh-CN"/>
        </w:rPr>
        <w:t>公告</w:t>
      </w:r>
      <w:r>
        <w:rPr>
          <w:rFonts w:hint="eastAsia" w:ascii="宋体" w:hAnsi="宋体" w:cs="楷体_GB2312"/>
          <w:b/>
          <w:color w:val="auto"/>
          <w:sz w:val="24"/>
          <w:lang w:val="zh-CN"/>
        </w:rPr>
        <w:t>”规定的时间和地点于</w:t>
      </w:r>
      <w:r>
        <w:rPr>
          <w:rFonts w:ascii="宋体" w:hAnsi="宋体" w:cs="楷体_GB2312"/>
          <w:b/>
          <w:color w:val="auto"/>
          <w:sz w:val="24"/>
          <w:lang w:val="zh-CN"/>
        </w:rPr>
        <w:t>网上</w:t>
      </w:r>
      <w:r>
        <w:rPr>
          <w:rFonts w:hint="eastAsia" w:ascii="宋体" w:hAnsi="宋体" w:cs="楷体_GB2312"/>
          <w:b/>
          <w:color w:val="auto"/>
          <w:sz w:val="24"/>
          <w:lang w:val="zh-CN"/>
        </w:rPr>
        <w:t>（竞争性磋商公告所述网上电子交易系统</w:t>
      </w:r>
      <w:r>
        <w:rPr>
          <w:rFonts w:ascii="宋体" w:hAnsi="宋体" w:cs="楷体_GB2312"/>
          <w:b/>
          <w:color w:val="auto"/>
          <w:sz w:val="24"/>
          <w:lang w:val="zh-CN"/>
        </w:rPr>
        <w:t>）</w:t>
      </w:r>
      <w:r>
        <w:rPr>
          <w:rFonts w:hint="eastAsia" w:ascii="宋体" w:hAnsi="宋体" w:cs="楷体_GB2312"/>
          <w:b/>
          <w:color w:val="auto"/>
          <w:sz w:val="24"/>
          <w:lang w:val="zh-CN"/>
        </w:rPr>
        <w:t>公开《响应文件》开启。</w:t>
      </w:r>
    </w:p>
    <w:p w14:paraId="0A72F405">
      <w:pPr>
        <w:autoSpaceDE w:val="0"/>
        <w:autoSpaceDN w:val="0"/>
        <w:adjustRightInd w:val="0"/>
        <w:snapToGrid w:val="0"/>
        <w:spacing w:before="120" w:beforeLines="50" w:line="300" w:lineRule="auto"/>
        <w:ind w:firstLine="539"/>
        <w:rPr>
          <w:rFonts w:hint="eastAsia" w:ascii="宋体" w:hAnsi="宋体" w:cs="楷体_GB2312"/>
          <w:b/>
          <w:color w:val="auto"/>
          <w:sz w:val="24"/>
          <w:lang w:val="zh-CN"/>
        </w:rPr>
      </w:pPr>
      <w:r>
        <w:rPr>
          <w:rFonts w:ascii="宋体" w:hAnsi="宋体" w:cs="楷体_GB2312"/>
          <w:b/>
          <w:color w:val="auto"/>
          <w:sz w:val="24"/>
          <w:lang w:val="zh-CN"/>
        </w:rPr>
        <w:t>5.1.2</w:t>
      </w:r>
      <w:r>
        <w:rPr>
          <w:rFonts w:hint="eastAsia" w:ascii="宋体" w:hAnsi="宋体" w:cs="楷体_GB2312"/>
          <w:b/>
          <w:color w:val="auto"/>
          <w:sz w:val="24"/>
          <w:lang w:val="zh-CN"/>
        </w:rPr>
        <w:t>本项目采用远程不见面交易的模式，开标当日，供应商无需到开标现场参加开标会议，供应商应当在投标截止时间前，使用IE浏览器登录到安阳市公共资源交易不见面开标大厅，点击右上方【登录】按钮进入，在线准时参加开标活动并进行响应文件解密等。因供应商原因未能解密、解密失败或解密超时的将被拒绝。</w:t>
      </w:r>
    </w:p>
    <w:p w14:paraId="77081FFB">
      <w:pPr>
        <w:autoSpaceDE w:val="0"/>
        <w:autoSpaceDN w:val="0"/>
        <w:adjustRightInd w:val="0"/>
        <w:snapToGrid w:val="0"/>
        <w:spacing w:before="120" w:beforeLines="50" w:line="300" w:lineRule="auto"/>
        <w:ind w:firstLine="539"/>
        <w:rPr>
          <w:rFonts w:hint="eastAsia" w:ascii="黑体" w:hAnsi="黑体" w:eastAsia="黑体" w:cs="楷体_GB2312"/>
          <w:b/>
          <w:color w:val="auto"/>
          <w:sz w:val="24"/>
          <w:lang w:val="zh-CN"/>
        </w:rPr>
      </w:pPr>
      <w:r>
        <w:rPr>
          <w:rFonts w:ascii="黑体" w:hAnsi="黑体" w:eastAsia="黑体" w:cs="楷体_GB2312"/>
          <w:b/>
          <w:color w:val="auto"/>
          <w:sz w:val="24"/>
          <w:lang w:val="zh-CN"/>
        </w:rPr>
        <w:t xml:space="preserve">5.2 </w:t>
      </w:r>
      <w:r>
        <w:rPr>
          <w:rFonts w:hint="eastAsia" w:ascii="黑体" w:hAnsi="黑体" w:eastAsia="黑体" w:cs="楷体_GB2312"/>
          <w:b/>
          <w:color w:val="auto"/>
          <w:sz w:val="24"/>
          <w:lang w:val="zh-CN"/>
        </w:rPr>
        <w:t>《响应文件》开启程序</w:t>
      </w:r>
    </w:p>
    <w:p w14:paraId="0DBFDAEB">
      <w:pPr>
        <w:autoSpaceDE w:val="0"/>
        <w:autoSpaceDN w:val="0"/>
        <w:adjustRightInd w:val="0"/>
        <w:snapToGrid w:val="0"/>
        <w:spacing w:before="120" w:beforeLines="50" w:line="300" w:lineRule="auto"/>
        <w:ind w:firstLine="539"/>
        <w:rPr>
          <w:rFonts w:hint="eastAsia" w:ascii="宋体" w:hAnsi="宋体" w:cs="楷体_GB2312"/>
          <w:b/>
          <w:color w:val="auto"/>
          <w:sz w:val="24"/>
          <w:lang w:val="zh-CN"/>
        </w:rPr>
      </w:pPr>
      <w:r>
        <w:rPr>
          <w:rFonts w:ascii="宋体" w:hAnsi="宋体" w:cs="楷体_GB2312"/>
          <w:b/>
          <w:color w:val="auto"/>
          <w:sz w:val="24"/>
          <w:lang w:val="zh-CN"/>
        </w:rPr>
        <w:t>5.2.1</w:t>
      </w:r>
      <w:r>
        <w:rPr>
          <w:rFonts w:hint="eastAsia" w:ascii="宋体" w:hAnsi="宋体" w:cs="楷体_GB2312"/>
          <w:b/>
          <w:color w:val="auto"/>
          <w:sz w:val="24"/>
          <w:lang w:val="zh-CN"/>
        </w:rPr>
        <w:t xml:space="preserve"> 本项目为网</w:t>
      </w:r>
      <w:r>
        <w:rPr>
          <w:rFonts w:ascii="宋体" w:hAnsi="宋体" w:cs="楷体_GB2312"/>
          <w:b/>
          <w:color w:val="auto"/>
          <w:sz w:val="24"/>
          <w:lang w:val="zh-CN"/>
        </w:rPr>
        <w:t>上</w:t>
      </w:r>
      <w:r>
        <w:rPr>
          <w:rFonts w:hint="eastAsia" w:ascii="宋体" w:hAnsi="宋体" w:cs="楷体_GB2312"/>
          <w:b/>
          <w:color w:val="auto"/>
          <w:sz w:val="24"/>
          <w:lang w:val="zh-CN"/>
        </w:rPr>
        <w:t>电子交易方</w:t>
      </w:r>
      <w:r>
        <w:rPr>
          <w:rFonts w:ascii="宋体" w:hAnsi="宋体" w:cs="楷体_GB2312"/>
          <w:b/>
          <w:color w:val="auto"/>
          <w:sz w:val="24"/>
          <w:lang w:val="zh-CN"/>
        </w:rPr>
        <w:t>式，</w:t>
      </w:r>
      <w:r>
        <w:rPr>
          <w:rFonts w:hint="eastAsia" w:ascii="宋体" w:hAnsi="宋体" w:cs="楷体_GB2312"/>
          <w:b/>
          <w:color w:val="auto"/>
          <w:sz w:val="24"/>
          <w:lang w:val="zh-CN"/>
        </w:rPr>
        <w:t>《响应文件》的开启方式为远程解密，为保证开启工作顺利进行，供应商需在开标阶段</w:t>
      </w:r>
      <w:r>
        <w:rPr>
          <w:rFonts w:ascii="宋体" w:hAnsi="宋体" w:cs="楷体_GB2312"/>
          <w:b/>
          <w:color w:val="auto"/>
          <w:sz w:val="24"/>
          <w:lang w:val="zh-CN"/>
        </w:rPr>
        <w:t>、在</w:t>
      </w:r>
      <w:r>
        <w:rPr>
          <w:rFonts w:hint="eastAsia" w:ascii="宋体" w:hAnsi="宋体" w:cs="楷体_GB2312"/>
          <w:b/>
          <w:color w:val="auto"/>
          <w:sz w:val="24"/>
          <w:lang w:val="zh-CN"/>
        </w:rPr>
        <w:t>管理员下达解密指令后的指定时限内，完成对本单位的加密《响应文件》的远程解密。如供应商因自身原因、在指定时限内没</w:t>
      </w:r>
      <w:r>
        <w:rPr>
          <w:rFonts w:ascii="宋体" w:hAnsi="宋体" w:cs="楷体_GB2312"/>
          <w:b/>
          <w:color w:val="auto"/>
          <w:sz w:val="24"/>
          <w:lang w:val="zh-CN"/>
        </w:rPr>
        <w:t>有</w:t>
      </w:r>
      <w:r>
        <w:rPr>
          <w:rFonts w:hint="eastAsia" w:ascii="宋体" w:hAnsi="宋体" w:cs="楷体_GB2312"/>
          <w:b/>
          <w:color w:val="auto"/>
          <w:sz w:val="24"/>
          <w:lang w:val="zh-CN"/>
        </w:rPr>
        <w:t>解密成功的，其投标将不能被接受，供应商自行承担相应后果。</w:t>
      </w:r>
    </w:p>
    <w:p w14:paraId="143E313B">
      <w:pPr>
        <w:autoSpaceDE w:val="0"/>
        <w:autoSpaceDN w:val="0"/>
        <w:adjustRightInd w:val="0"/>
        <w:snapToGrid w:val="0"/>
        <w:spacing w:before="120" w:beforeLines="50" w:line="300" w:lineRule="auto"/>
        <w:ind w:firstLine="539"/>
        <w:rPr>
          <w:rFonts w:hint="eastAsia" w:ascii="宋体" w:hAnsi="宋体" w:cs="楷体_GB2312"/>
          <w:b/>
          <w:color w:val="auto"/>
          <w:sz w:val="24"/>
          <w:lang w:val="zh-CN"/>
        </w:rPr>
      </w:pPr>
      <w:r>
        <w:rPr>
          <w:rFonts w:hint="eastAsia" w:ascii="宋体" w:hAnsi="宋体" w:cs="楷体_GB2312"/>
          <w:b/>
          <w:color w:val="auto"/>
          <w:sz w:val="24"/>
          <w:lang w:val="zh-CN"/>
        </w:rPr>
        <w:t>鉴于网上电子交易方式的特点，管理员将根据系统情况下达解密指令。</w:t>
      </w:r>
    </w:p>
    <w:p w14:paraId="30F35F54">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s="楷体_GB2312"/>
          <w:b/>
          <w:color w:val="auto"/>
          <w:sz w:val="24"/>
          <w:lang w:val="zh-CN"/>
        </w:rPr>
        <w:t>5.2.2</w:t>
      </w:r>
      <w:r>
        <w:rPr>
          <w:rFonts w:hint="eastAsia" w:ascii="宋体" w:hAnsi="宋体" w:cs="楷体_GB2312"/>
          <w:b/>
          <w:color w:val="auto"/>
          <w:sz w:val="24"/>
          <w:lang w:val="zh-CN"/>
        </w:rPr>
        <w:t xml:space="preserve"> 供应商对开标过程和开标记录有疑义，以及认为采购人、采购代理机构相关工作人员有需要回避的情形的，应在系统中提出询问或者回避申请，否则，视为对开标无异议。</w:t>
      </w:r>
    </w:p>
    <w:p w14:paraId="039CEA84">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s="楷体_GB2312"/>
          <w:color w:val="auto"/>
          <w:sz w:val="24"/>
          <w:lang w:val="zh-CN"/>
        </w:rPr>
        <w:t xml:space="preserve">5.2.3 </w:t>
      </w:r>
      <w:r>
        <w:rPr>
          <w:rFonts w:hint="eastAsia" w:ascii="宋体" w:hAnsi="宋体" w:cs="楷体_GB2312"/>
          <w:color w:val="auto"/>
          <w:sz w:val="24"/>
          <w:lang w:val="zh-CN"/>
        </w:rPr>
        <w:t>在开标或评审过程中，有效投标应在三家以上（包括三家）；有效投标不足三家的应予终止（废标）。</w:t>
      </w:r>
    </w:p>
    <w:p w14:paraId="35DD8AFE">
      <w:pPr>
        <w:autoSpaceDE w:val="0"/>
        <w:autoSpaceDN w:val="0"/>
        <w:adjustRightInd w:val="0"/>
        <w:snapToGrid w:val="0"/>
        <w:spacing w:before="120" w:beforeLines="50" w:line="300" w:lineRule="auto"/>
        <w:ind w:firstLine="539"/>
        <w:rPr>
          <w:rFonts w:ascii="宋体" w:cs="楷体_GB2312"/>
          <w:color w:val="auto"/>
          <w:sz w:val="24"/>
          <w:lang w:val="zh-CN"/>
        </w:rPr>
      </w:pPr>
    </w:p>
    <w:p w14:paraId="0F29FF3A">
      <w:pPr>
        <w:autoSpaceDE w:val="0"/>
        <w:autoSpaceDN w:val="0"/>
        <w:adjustRightInd w:val="0"/>
        <w:snapToGrid w:val="0"/>
        <w:spacing w:before="120" w:beforeLines="50" w:line="300" w:lineRule="auto"/>
        <w:ind w:firstLine="539"/>
        <w:outlineLvl w:val="1"/>
        <w:rPr>
          <w:rFonts w:ascii="宋体" w:cs="楷体_GB2312"/>
          <w:color w:val="auto"/>
          <w:sz w:val="24"/>
          <w:lang w:val="zh-CN"/>
        </w:rPr>
      </w:pPr>
      <w:bookmarkStart w:id="29" w:name="_Toc4151"/>
      <w:r>
        <w:rPr>
          <w:rFonts w:ascii="黑体" w:hAnsi="黑体" w:eastAsia="黑体" w:cs="楷体_GB2312"/>
          <w:b/>
          <w:bCs/>
          <w:color w:val="auto"/>
          <w:sz w:val="28"/>
          <w:szCs w:val="28"/>
          <w:lang w:val="zh-CN"/>
        </w:rPr>
        <w:t xml:space="preserve">6. </w:t>
      </w:r>
      <w:r>
        <w:rPr>
          <w:rFonts w:hint="eastAsia" w:ascii="黑体" w:hAnsi="黑体" w:eastAsia="黑体" w:cs="楷体_GB2312"/>
          <w:b/>
          <w:bCs/>
          <w:color w:val="auto"/>
          <w:sz w:val="28"/>
          <w:szCs w:val="28"/>
          <w:lang w:val="zh-CN"/>
        </w:rPr>
        <w:t>评审</w:t>
      </w:r>
      <w:bookmarkEnd w:id="29"/>
    </w:p>
    <w:p w14:paraId="59311C73">
      <w:pPr>
        <w:autoSpaceDE w:val="0"/>
        <w:autoSpaceDN w:val="0"/>
        <w:adjustRightInd w:val="0"/>
        <w:snapToGrid w:val="0"/>
        <w:spacing w:before="120" w:beforeLines="50" w:line="300" w:lineRule="auto"/>
        <w:ind w:firstLine="539"/>
        <w:rPr>
          <w:rFonts w:hint="eastAsia" w:ascii="黑体" w:hAnsi="黑体" w:eastAsia="黑体" w:cs="楷体_GB2312"/>
          <w:b/>
          <w:color w:val="auto"/>
          <w:sz w:val="24"/>
          <w:lang w:val="zh-CN"/>
        </w:rPr>
      </w:pPr>
      <w:r>
        <w:rPr>
          <w:rFonts w:ascii="黑体" w:hAnsi="黑体" w:eastAsia="黑体" w:cs="楷体_GB2312"/>
          <w:b/>
          <w:color w:val="auto"/>
          <w:sz w:val="24"/>
          <w:lang w:val="zh-CN"/>
        </w:rPr>
        <w:t xml:space="preserve">6.1 </w:t>
      </w:r>
      <w:r>
        <w:rPr>
          <w:rFonts w:hint="eastAsia" w:ascii="黑体" w:hAnsi="黑体" w:eastAsia="黑体" w:cs="楷体_GB2312"/>
          <w:b/>
          <w:color w:val="auto"/>
          <w:sz w:val="24"/>
          <w:lang w:val="zh-CN"/>
        </w:rPr>
        <w:t>磋商小组</w:t>
      </w:r>
    </w:p>
    <w:p w14:paraId="4C1D5373">
      <w:pPr>
        <w:autoSpaceDE w:val="0"/>
        <w:autoSpaceDN w:val="0"/>
        <w:adjustRightInd w:val="0"/>
        <w:snapToGrid w:val="0"/>
        <w:spacing w:before="120" w:beforeLines="50" w:line="300" w:lineRule="auto"/>
        <w:ind w:firstLine="539"/>
        <w:rPr>
          <w:rFonts w:hint="eastAsia" w:ascii="宋体" w:hAnsi="宋体" w:cs="楷体_GB2312"/>
          <w:color w:val="auto"/>
          <w:sz w:val="24"/>
          <w:lang w:val="zh-CN"/>
        </w:rPr>
      </w:pPr>
      <w:r>
        <w:rPr>
          <w:rFonts w:hint="eastAsia" w:ascii="宋体" w:hAnsi="宋体" w:cs="楷体_GB2312"/>
          <w:color w:val="auto"/>
          <w:sz w:val="24"/>
          <w:lang w:val="zh-CN"/>
        </w:rPr>
        <w:t>评审工作由依法组建的磋商小组负责。磋商小组由采购人代表和评审专家共</w:t>
      </w:r>
      <w:r>
        <w:rPr>
          <w:rFonts w:ascii="宋体" w:hAnsi="宋体" w:cs="楷体_GB2312"/>
          <w:color w:val="auto"/>
          <w:sz w:val="24"/>
          <w:lang w:val="zh-CN"/>
        </w:rPr>
        <w:t>3</w:t>
      </w:r>
      <w:r>
        <w:rPr>
          <w:rFonts w:hint="eastAsia" w:ascii="宋体" w:hAnsi="宋体" w:cs="楷体_GB2312"/>
          <w:color w:val="auto"/>
          <w:sz w:val="24"/>
          <w:lang w:val="zh-CN"/>
        </w:rPr>
        <w:t>人及以上单数组成，其中评审专家人数不少于磋商小组成员总数的</w:t>
      </w:r>
      <w:r>
        <w:rPr>
          <w:rFonts w:ascii="宋体" w:hAnsi="宋体" w:cs="楷体_GB2312"/>
          <w:color w:val="auto"/>
          <w:sz w:val="24"/>
          <w:lang w:val="zh-CN"/>
        </w:rPr>
        <w:t>2/3</w:t>
      </w:r>
      <w:r>
        <w:rPr>
          <w:rFonts w:hint="eastAsia" w:ascii="宋体" w:hAnsi="宋体" w:cs="楷体_GB2312"/>
          <w:color w:val="auto"/>
          <w:sz w:val="24"/>
          <w:lang w:val="zh-CN"/>
        </w:rPr>
        <w:t>，评审专家是在监督部门监督下从政府采购专家库中随机抽取产生。</w:t>
      </w:r>
    </w:p>
    <w:p w14:paraId="1C173D4B">
      <w:pPr>
        <w:autoSpaceDE w:val="0"/>
        <w:autoSpaceDN w:val="0"/>
        <w:adjustRightInd w:val="0"/>
        <w:snapToGrid w:val="0"/>
        <w:spacing w:before="120" w:beforeLines="50" w:line="300" w:lineRule="auto"/>
        <w:ind w:firstLine="539"/>
        <w:rPr>
          <w:rFonts w:hint="eastAsia" w:ascii="黑体" w:hAnsi="黑体" w:eastAsia="黑体" w:cs="楷体_GB2312"/>
          <w:b/>
          <w:color w:val="auto"/>
          <w:sz w:val="24"/>
          <w:lang w:val="zh-CN"/>
        </w:rPr>
      </w:pPr>
      <w:r>
        <w:rPr>
          <w:rFonts w:ascii="黑体" w:hAnsi="黑体" w:eastAsia="黑体" w:cs="楷体_GB2312"/>
          <w:b/>
          <w:color w:val="auto"/>
          <w:sz w:val="24"/>
          <w:lang w:val="zh-CN"/>
        </w:rPr>
        <w:t xml:space="preserve">6.2 </w:t>
      </w:r>
      <w:r>
        <w:rPr>
          <w:rFonts w:hint="eastAsia" w:ascii="黑体" w:hAnsi="黑体" w:eastAsia="黑体" w:cs="楷体_GB2312"/>
          <w:b/>
          <w:color w:val="auto"/>
          <w:sz w:val="24"/>
          <w:lang w:val="zh-CN"/>
        </w:rPr>
        <w:t>评审原则</w:t>
      </w:r>
    </w:p>
    <w:p w14:paraId="429729E8">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s="楷体_GB2312"/>
          <w:color w:val="auto"/>
          <w:sz w:val="24"/>
          <w:lang w:val="zh-CN"/>
        </w:rPr>
        <w:t xml:space="preserve">6.2.1 </w:t>
      </w:r>
      <w:r>
        <w:rPr>
          <w:rFonts w:hint="eastAsia" w:ascii="宋体" w:hAnsi="宋体" w:cs="楷体_GB2312"/>
          <w:color w:val="auto"/>
          <w:sz w:val="24"/>
          <w:lang w:val="zh-CN"/>
        </w:rPr>
        <w:t>坚持公开、公平、公正地对待所有供应商。</w:t>
      </w:r>
    </w:p>
    <w:p w14:paraId="3C2F83F2">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s="楷体_GB2312"/>
          <w:color w:val="auto"/>
          <w:sz w:val="24"/>
          <w:lang w:val="zh-CN"/>
        </w:rPr>
        <w:t xml:space="preserve">6.2.2 </w:t>
      </w:r>
      <w:r>
        <w:rPr>
          <w:rFonts w:hint="eastAsia" w:ascii="宋体" w:hAnsi="宋体" w:cs="楷体_GB2312"/>
          <w:color w:val="auto"/>
          <w:sz w:val="24"/>
          <w:lang w:val="zh-CN"/>
        </w:rPr>
        <w:t>按照同一评审程序及方法审查所有供应商的《响应文件》。</w:t>
      </w:r>
    </w:p>
    <w:p w14:paraId="05E5AC84">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s="楷体_GB2312"/>
          <w:color w:val="auto"/>
          <w:sz w:val="24"/>
          <w:lang w:val="zh-CN"/>
        </w:rPr>
        <w:t xml:space="preserve">6.2.3 </w:t>
      </w:r>
      <w:r>
        <w:rPr>
          <w:rFonts w:hint="eastAsia" w:ascii="宋体" w:hAnsi="宋体" w:cs="楷体_GB2312"/>
          <w:color w:val="auto"/>
          <w:sz w:val="24"/>
          <w:lang w:val="zh-CN"/>
        </w:rPr>
        <w:t>反对不正当竞争</w:t>
      </w:r>
    </w:p>
    <w:p w14:paraId="5717F003">
      <w:pPr>
        <w:autoSpaceDE w:val="0"/>
        <w:autoSpaceDN w:val="0"/>
        <w:adjustRightInd w:val="0"/>
        <w:snapToGrid w:val="0"/>
        <w:spacing w:before="120" w:beforeLines="50" w:line="300" w:lineRule="auto"/>
        <w:ind w:firstLine="539"/>
        <w:rPr>
          <w:rFonts w:hint="eastAsia" w:ascii="黑体" w:hAnsi="黑体" w:eastAsia="黑体" w:cs="楷体_GB2312"/>
          <w:b/>
          <w:color w:val="auto"/>
          <w:sz w:val="24"/>
          <w:lang w:val="zh-CN"/>
        </w:rPr>
      </w:pPr>
      <w:r>
        <w:rPr>
          <w:rFonts w:ascii="黑体" w:hAnsi="黑体" w:eastAsia="黑体" w:cs="楷体_GB2312"/>
          <w:b/>
          <w:color w:val="auto"/>
          <w:sz w:val="24"/>
          <w:lang w:val="zh-CN"/>
        </w:rPr>
        <w:t xml:space="preserve">6.3 </w:t>
      </w:r>
      <w:r>
        <w:rPr>
          <w:rFonts w:hint="eastAsia" w:ascii="黑体" w:hAnsi="黑体" w:eastAsia="黑体" w:cs="楷体_GB2312"/>
          <w:b/>
          <w:color w:val="auto"/>
          <w:sz w:val="24"/>
          <w:lang w:val="zh-CN"/>
        </w:rPr>
        <w:t>评审</w:t>
      </w:r>
    </w:p>
    <w:p w14:paraId="4C5F7570">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s="楷体_GB2312"/>
          <w:color w:val="auto"/>
          <w:sz w:val="24"/>
          <w:lang w:val="zh-CN"/>
        </w:rPr>
        <w:t>6.3.1</w:t>
      </w:r>
      <w:r>
        <w:rPr>
          <w:rFonts w:hint="eastAsia" w:ascii="宋体" w:hAnsi="宋体" w:cs="楷体_GB2312"/>
          <w:color w:val="auto"/>
          <w:sz w:val="24"/>
          <w:lang w:val="zh-CN"/>
        </w:rPr>
        <w:t>评审工作在磋商小组内独立进行。磋商小组按照第四章“评审办法”规定的方法、评审因素、标准和程序对《响应文件》进行评审。第四章“评审办法”没有规定的方法、评审因素和标准，不作为评审依据。</w:t>
      </w:r>
    </w:p>
    <w:p w14:paraId="05291512">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s="楷体_GB2312"/>
          <w:color w:val="auto"/>
          <w:sz w:val="24"/>
          <w:lang w:val="zh-CN"/>
        </w:rPr>
        <w:t>6.3.2</w:t>
      </w:r>
      <w:r>
        <w:rPr>
          <w:rFonts w:hint="eastAsia" w:ascii="宋体" w:hAnsi="宋体" w:cs="楷体_GB2312"/>
          <w:color w:val="auto"/>
          <w:sz w:val="24"/>
          <w:lang w:val="zh-CN"/>
        </w:rPr>
        <w:t>在《响应文件》开启、评审期间，供应商不得向磋商小组成员询问情况，不得进行旨在影响评审结果的活动。</w:t>
      </w:r>
    </w:p>
    <w:p w14:paraId="1419FCAD">
      <w:pPr>
        <w:autoSpaceDE w:val="0"/>
        <w:autoSpaceDN w:val="0"/>
        <w:adjustRightInd w:val="0"/>
        <w:snapToGrid w:val="0"/>
        <w:spacing w:before="120" w:beforeLines="50" w:line="300" w:lineRule="auto"/>
        <w:ind w:firstLine="539"/>
        <w:rPr>
          <w:rFonts w:ascii="宋体" w:cs="楷体_GB2312"/>
          <w:color w:val="auto"/>
          <w:sz w:val="24"/>
          <w:lang w:val="zh-CN"/>
        </w:rPr>
      </w:pPr>
      <w:r>
        <w:rPr>
          <w:rFonts w:ascii="黑体" w:hAnsi="黑体" w:eastAsia="黑体" w:cs="楷体_GB2312"/>
          <w:b/>
          <w:color w:val="auto"/>
          <w:sz w:val="24"/>
          <w:lang w:val="zh-CN"/>
        </w:rPr>
        <w:t xml:space="preserve">6.4 </w:t>
      </w:r>
      <w:r>
        <w:rPr>
          <w:rFonts w:hint="eastAsia" w:ascii="黑体" w:hAnsi="黑体" w:eastAsia="黑体" w:cs="楷体_GB2312"/>
          <w:b/>
          <w:color w:val="auto"/>
          <w:sz w:val="24"/>
          <w:lang w:val="zh-CN"/>
        </w:rPr>
        <w:t>磋商：</w:t>
      </w:r>
      <w:r>
        <w:rPr>
          <w:rFonts w:hint="eastAsia" w:ascii="宋体" w:hAnsi="宋体" w:cs="楷体_GB2312"/>
          <w:color w:val="auto"/>
          <w:sz w:val="24"/>
          <w:lang w:val="zh-CN"/>
        </w:rPr>
        <w:t>见第四章评审办法</w:t>
      </w:r>
      <w:r>
        <w:rPr>
          <w:rFonts w:ascii="宋体" w:hAnsi="宋体" w:cs="楷体_GB2312"/>
          <w:color w:val="auto"/>
          <w:sz w:val="24"/>
          <w:lang w:val="zh-CN"/>
        </w:rPr>
        <w:t>3.4</w:t>
      </w:r>
      <w:r>
        <w:rPr>
          <w:rFonts w:hint="eastAsia" w:ascii="宋体" w:hAnsi="宋体" w:cs="楷体_GB2312"/>
          <w:color w:val="auto"/>
          <w:sz w:val="24"/>
          <w:lang w:val="zh-CN"/>
        </w:rPr>
        <w:t>款磋商规则</w:t>
      </w:r>
    </w:p>
    <w:p w14:paraId="43FF47F9">
      <w:pPr>
        <w:autoSpaceDE w:val="0"/>
        <w:autoSpaceDN w:val="0"/>
        <w:adjustRightInd w:val="0"/>
        <w:snapToGrid w:val="0"/>
        <w:spacing w:before="120" w:beforeLines="50" w:line="300" w:lineRule="auto"/>
        <w:ind w:firstLine="539"/>
        <w:rPr>
          <w:rFonts w:ascii="宋体" w:cs="楷体_GB2312"/>
          <w:color w:val="auto"/>
          <w:sz w:val="24"/>
          <w:lang w:val="zh-CN"/>
        </w:rPr>
      </w:pPr>
    </w:p>
    <w:p w14:paraId="3378EE1B">
      <w:pPr>
        <w:autoSpaceDE w:val="0"/>
        <w:autoSpaceDN w:val="0"/>
        <w:adjustRightInd w:val="0"/>
        <w:snapToGrid w:val="0"/>
        <w:spacing w:before="120" w:beforeLines="50" w:line="300" w:lineRule="auto"/>
        <w:ind w:firstLine="539"/>
        <w:outlineLvl w:val="1"/>
        <w:rPr>
          <w:rFonts w:hint="eastAsia" w:ascii="黑体" w:hAnsi="黑体" w:eastAsia="黑体" w:cs="楷体_GB2312"/>
          <w:b/>
          <w:bCs/>
          <w:color w:val="auto"/>
          <w:sz w:val="28"/>
          <w:szCs w:val="28"/>
          <w:lang w:val="zh-CN"/>
        </w:rPr>
      </w:pPr>
      <w:bookmarkStart w:id="30" w:name="_Toc10125"/>
      <w:r>
        <w:rPr>
          <w:rFonts w:ascii="黑体" w:hAnsi="黑体" w:eastAsia="黑体" w:cs="楷体_GB2312"/>
          <w:b/>
          <w:bCs/>
          <w:color w:val="auto"/>
          <w:sz w:val="28"/>
          <w:szCs w:val="28"/>
          <w:lang w:val="zh-CN"/>
        </w:rPr>
        <w:t xml:space="preserve">7. </w:t>
      </w:r>
      <w:r>
        <w:rPr>
          <w:rFonts w:hint="eastAsia" w:ascii="黑体" w:hAnsi="黑体" w:eastAsia="黑体" w:cs="楷体_GB2312"/>
          <w:b/>
          <w:bCs/>
          <w:color w:val="auto"/>
          <w:sz w:val="28"/>
          <w:szCs w:val="28"/>
          <w:lang w:val="zh-CN"/>
        </w:rPr>
        <w:t>授予合同</w:t>
      </w:r>
      <w:bookmarkEnd w:id="30"/>
    </w:p>
    <w:p w14:paraId="415342B2">
      <w:pPr>
        <w:autoSpaceDE w:val="0"/>
        <w:autoSpaceDN w:val="0"/>
        <w:adjustRightInd w:val="0"/>
        <w:snapToGrid w:val="0"/>
        <w:spacing w:before="120" w:beforeLines="50" w:line="300" w:lineRule="auto"/>
        <w:ind w:firstLine="539"/>
        <w:rPr>
          <w:rFonts w:hint="eastAsia" w:ascii="黑体" w:hAnsi="黑体" w:eastAsia="黑体" w:cs="楷体_GB2312"/>
          <w:b/>
          <w:color w:val="auto"/>
          <w:sz w:val="24"/>
          <w:lang w:val="zh-CN"/>
        </w:rPr>
      </w:pPr>
      <w:r>
        <w:rPr>
          <w:rFonts w:ascii="黑体" w:hAnsi="黑体" w:eastAsia="黑体" w:cs="楷体_GB2312"/>
          <w:b/>
          <w:color w:val="auto"/>
          <w:sz w:val="24"/>
          <w:lang w:val="zh-CN"/>
        </w:rPr>
        <w:t xml:space="preserve">7.1 </w:t>
      </w:r>
      <w:r>
        <w:rPr>
          <w:rFonts w:hint="eastAsia" w:ascii="黑体" w:hAnsi="黑体" w:eastAsia="黑体" w:cs="楷体_GB2312"/>
          <w:b/>
          <w:color w:val="auto"/>
          <w:sz w:val="24"/>
          <w:lang w:val="zh-CN"/>
        </w:rPr>
        <w:t>确定成交供应商方式</w:t>
      </w:r>
    </w:p>
    <w:p w14:paraId="32328C0B">
      <w:pPr>
        <w:autoSpaceDE w:val="0"/>
        <w:autoSpaceDN w:val="0"/>
        <w:adjustRightInd w:val="0"/>
        <w:snapToGrid w:val="0"/>
        <w:spacing w:before="120" w:beforeLines="50" w:line="300" w:lineRule="auto"/>
        <w:ind w:firstLine="539"/>
        <w:rPr>
          <w:rFonts w:ascii="宋体" w:cs="楷体_GB2312"/>
          <w:color w:val="auto"/>
          <w:sz w:val="24"/>
          <w:lang w:val="zh-CN"/>
        </w:rPr>
      </w:pPr>
      <w:r>
        <w:rPr>
          <w:rFonts w:hint="eastAsia" w:ascii="宋体" w:hAnsi="宋体" w:cs="楷体_GB2312"/>
          <w:color w:val="auto"/>
          <w:sz w:val="24"/>
          <w:lang w:val="zh-CN"/>
        </w:rPr>
        <w:t>除供应商须知前附表规定授权磋商小组直接确定成交供应商外，采购人应当自收到评审报告之日起</w:t>
      </w:r>
      <w:r>
        <w:rPr>
          <w:rFonts w:ascii="宋体" w:hAnsi="宋体" w:cs="楷体_GB2312"/>
          <w:color w:val="auto"/>
          <w:sz w:val="24"/>
          <w:lang w:val="zh-CN"/>
        </w:rPr>
        <w:t>5</w:t>
      </w:r>
      <w:r>
        <w:rPr>
          <w:rFonts w:hint="eastAsia" w:ascii="宋体" w:hAnsi="宋体" w:cs="楷体_GB2312"/>
          <w:color w:val="auto"/>
          <w:sz w:val="24"/>
          <w:lang w:val="zh-CN"/>
        </w:rPr>
        <w:t>个工作日内在评审报告推荐的成交候选人中按顺序确定成交供应商。若排名第一的成交候选人放弃中标（成交），或者因不可抗力不能履行合同，或者被查实存在影响成交结果的违法行为等情形、不符合成交条件的，采购人可以按照磋商小组提出的成交候选人名单排序依次确定其他成交候选人为成交供应商，也可以重新采购。</w:t>
      </w:r>
    </w:p>
    <w:p w14:paraId="5833529E">
      <w:pPr>
        <w:autoSpaceDE w:val="0"/>
        <w:autoSpaceDN w:val="0"/>
        <w:adjustRightInd w:val="0"/>
        <w:snapToGrid w:val="0"/>
        <w:spacing w:before="120" w:beforeLines="50" w:line="300" w:lineRule="auto"/>
        <w:ind w:firstLine="539"/>
        <w:rPr>
          <w:rFonts w:hint="eastAsia" w:ascii="黑体" w:hAnsi="黑体" w:eastAsia="黑体" w:cs="楷体_GB2312"/>
          <w:b/>
          <w:color w:val="auto"/>
          <w:sz w:val="24"/>
          <w:lang w:val="zh-CN"/>
        </w:rPr>
      </w:pPr>
      <w:r>
        <w:rPr>
          <w:rFonts w:ascii="黑体" w:hAnsi="黑体" w:eastAsia="黑体" w:cs="楷体_GB2312"/>
          <w:b/>
          <w:color w:val="auto"/>
          <w:sz w:val="24"/>
          <w:lang w:val="zh-CN"/>
        </w:rPr>
        <w:t xml:space="preserve">7.2 </w:t>
      </w:r>
      <w:r>
        <w:rPr>
          <w:rFonts w:hint="eastAsia" w:ascii="黑体" w:hAnsi="黑体" w:eastAsia="黑体" w:cs="楷体_GB2312"/>
          <w:b/>
          <w:color w:val="auto"/>
          <w:sz w:val="24"/>
          <w:lang w:val="zh-CN"/>
        </w:rPr>
        <w:t>成交结果公告</w:t>
      </w:r>
    </w:p>
    <w:p w14:paraId="43F56252">
      <w:pPr>
        <w:autoSpaceDE w:val="0"/>
        <w:autoSpaceDN w:val="0"/>
        <w:adjustRightInd w:val="0"/>
        <w:snapToGrid w:val="0"/>
        <w:spacing w:before="120" w:beforeLines="50" w:line="300" w:lineRule="auto"/>
        <w:ind w:firstLine="539"/>
        <w:rPr>
          <w:rFonts w:hint="eastAsia" w:ascii="宋体" w:hAnsi="宋体" w:cs="楷体_GB2312"/>
          <w:color w:val="auto"/>
          <w:sz w:val="24"/>
          <w:lang w:val="zh-CN"/>
        </w:rPr>
      </w:pPr>
      <w:r>
        <w:rPr>
          <w:rFonts w:hint="eastAsia" w:ascii="宋体" w:hAnsi="宋体" w:cs="楷体_GB2312"/>
          <w:color w:val="auto"/>
          <w:sz w:val="24"/>
          <w:lang w:val="zh-CN"/>
        </w:rPr>
        <w:t>采购代理机构在成交供应商确定当天在竞争性磋商公告所述媒体公告成交结果。同时向成交供应商发出成交通知书。成交结果公告期限为</w:t>
      </w:r>
      <w:r>
        <w:rPr>
          <w:rFonts w:ascii="宋体" w:hAnsi="宋体" w:cs="楷体_GB2312"/>
          <w:color w:val="auto"/>
          <w:sz w:val="24"/>
          <w:lang w:val="zh-CN"/>
        </w:rPr>
        <w:t>1</w:t>
      </w:r>
      <w:r>
        <w:rPr>
          <w:rFonts w:hint="eastAsia" w:ascii="宋体" w:hAnsi="宋体" w:cs="楷体_GB2312"/>
          <w:color w:val="auto"/>
          <w:sz w:val="24"/>
          <w:lang w:val="zh-CN"/>
        </w:rPr>
        <w:t>个工作日。</w:t>
      </w:r>
    </w:p>
    <w:p w14:paraId="37C9C559">
      <w:pPr>
        <w:autoSpaceDE w:val="0"/>
        <w:autoSpaceDN w:val="0"/>
        <w:adjustRightInd w:val="0"/>
        <w:snapToGrid w:val="0"/>
        <w:spacing w:before="120" w:beforeLines="50" w:line="300" w:lineRule="auto"/>
        <w:ind w:firstLine="539"/>
        <w:rPr>
          <w:rFonts w:hint="eastAsia" w:ascii="黑体" w:hAnsi="黑体" w:eastAsia="黑体" w:cs="楷体_GB2312"/>
          <w:b/>
          <w:color w:val="auto"/>
          <w:sz w:val="24"/>
          <w:lang w:val="zh-CN"/>
        </w:rPr>
      </w:pPr>
      <w:r>
        <w:rPr>
          <w:rFonts w:ascii="黑体" w:hAnsi="黑体" w:eastAsia="黑体" w:cs="楷体_GB2312"/>
          <w:b/>
          <w:color w:val="auto"/>
          <w:sz w:val="24"/>
          <w:lang w:val="zh-CN"/>
        </w:rPr>
        <w:t xml:space="preserve">7.3 </w:t>
      </w:r>
      <w:r>
        <w:rPr>
          <w:rFonts w:hint="eastAsia" w:ascii="黑体" w:hAnsi="黑体" w:eastAsia="黑体" w:cs="楷体_GB2312"/>
          <w:b/>
          <w:color w:val="auto"/>
          <w:sz w:val="24"/>
          <w:lang w:val="zh-CN"/>
        </w:rPr>
        <w:t>质疑：</w:t>
      </w:r>
    </w:p>
    <w:p w14:paraId="52A4ADD7">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olor w:val="auto"/>
          <w:sz w:val="24"/>
        </w:rPr>
        <w:t>7.3.1</w:t>
      </w:r>
      <w:r>
        <w:rPr>
          <w:rFonts w:hint="eastAsia" w:ascii="宋体" w:hAnsi="宋体" w:cs="楷体_GB2312"/>
          <w:color w:val="auto"/>
          <w:sz w:val="24"/>
          <w:lang w:val="zh-CN"/>
        </w:rPr>
        <w:t>见供应商须知前附表</w:t>
      </w:r>
    </w:p>
    <w:p w14:paraId="12ADE806">
      <w:pPr>
        <w:adjustRightInd w:val="0"/>
        <w:snapToGrid w:val="0"/>
        <w:spacing w:before="120" w:beforeLines="50" w:line="240" w:lineRule="auto"/>
        <w:ind w:firstLine="600" w:firstLineChars="250"/>
        <w:rPr>
          <w:rFonts w:ascii="宋体"/>
          <w:color w:val="auto"/>
          <w:sz w:val="24"/>
        </w:rPr>
      </w:pPr>
      <w:r>
        <w:rPr>
          <w:rFonts w:ascii="宋体" w:hAnsi="宋体"/>
          <w:color w:val="auto"/>
          <w:sz w:val="24"/>
        </w:rPr>
        <w:t>7.3.2</w:t>
      </w:r>
      <w:r>
        <w:rPr>
          <w:rFonts w:hint="eastAsia" w:ascii="宋体" w:hAnsi="宋体"/>
          <w:color w:val="auto"/>
          <w:sz w:val="24"/>
        </w:rPr>
        <w:t>询问或者质疑事项可能影响成交结果的，采购人应当暂停签订合同，已经签订合同的，应当中止履行合同。</w:t>
      </w:r>
    </w:p>
    <w:p w14:paraId="34AAFCA1">
      <w:pPr>
        <w:autoSpaceDE w:val="0"/>
        <w:autoSpaceDN w:val="0"/>
        <w:adjustRightInd w:val="0"/>
        <w:snapToGrid w:val="0"/>
        <w:spacing w:before="120" w:beforeLines="50" w:line="300" w:lineRule="auto"/>
        <w:ind w:firstLine="539"/>
        <w:rPr>
          <w:rFonts w:hint="eastAsia" w:ascii="黑体" w:hAnsi="黑体" w:eastAsia="黑体" w:cs="楷体_GB2312"/>
          <w:b/>
          <w:color w:val="auto"/>
          <w:sz w:val="24"/>
          <w:lang w:val="zh-CN"/>
        </w:rPr>
      </w:pPr>
      <w:r>
        <w:rPr>
          <w:rFonts w:ascii="黑体" w:hAnsi="黑体" w:eastAsia="黑体" w:cs="楷体_GB2312"/>
          <w:b/>
          <w:color w:val="auto"/>
          <w:sz w:val="24"/>
          <w:lang w:val="zh-CN"/>
        </w:rPr>
        <w:t xml:space="preserve">7.4 </w:t>
      </w:r>
      <w:r>
        <w:rPr>
          <w:rFonts w:hint="eastAsia" w:ascii="黑体" w:hAnsi="黑体" w:eastAsia="黑体" w:cs="楷体_GB2312"/>
          <w:b/>
          <w:color w:val="auto"/>
          <w:sz w:val="24"/>
          <w:lang w:val="zh-CN"/>
        </w:rPr>
        <w:t>成交通知：</w:t>
      </w:r>
      <w:r>
        <w:rPr>
          <w:rFonts w:hint="eastAsia" w:ascii="宋体" w:hAnsi="宋体" w:cs="楷体_GB2312"/>
          <w:color w:val="auto"/>
          <w:sz w:val="24"/>
          <w:lang w:val="zh-CN"/>
        </w:rPr>
        <w:t>见供应商须知前附表</w:t>
      </w:r>
    </w:p>
    <w:p w14:paraId="1EAA8D26">
      <w:pPr>
        <w:autoSpaceDE w:val="0"/>
        <w:autoSpaceDN w:val="0"/>
        <w:adjustRightInd w:val="0"/>
        <w:snapToGrid w:val="0"/>
        <w:spacing w:before="120" w:beforeLines="50" w:line="300" w:lineRule="auto"/>
        <w:ind w:firstLine="539"/>
        <w:rPr>
          <w:rFonts w:hint="eastAsia" w:ascii="黑体" w:hAnsi="黑体" w:eastAsia="黑体" w:cs="楷体_GB2312"/>
          <w:b/>
          <w:color w:val="auto"/>
          <w:sz w:val="24"/>
          <w:lang w:val="zh-CN"/>
        </w:rPr>
      </w:pPr>
      <w:r>
        <w:rPr>
          <w:rFonts w:ascii="黑体" w:hAnsi="黑体" w:eastAsia="黑体" w:cs="楷体_GB2312"/>
          <w:b/>
          <w:color w:val="auto"/>
          <w:sz w:val="24"/>
          <w:lang w:val="zh-CN"/>
        </w:rPr>
        <w:t xml:space="preserve">7.5 </w:t>
      </w:r>
      <w:r>
        <w:rPr>
          <w:rFonts w:hint="eastAsia" w:ascii="黑体" w:hAnsi="黑体" w:eastAsia="黑体" w:cs="楷体_GB2312"/>
          <w:b/>
          <w:color w:val="auto"/>
          <w:sz w:val="24"/>
          <w:lang w:val="zh-CN"/>
        </w:rPr>
        <w:t>履约保证金</w:t>
      </w:r>
    </w:p>
    <w:p w14:paraId="0FF5AA6C">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s="楷体_GB2312"/>
          <w:color w:val="auto"/>
          <w:sz w:val="24"/>
          <w:lang w:val="zh-CN"/>
        </w:rPr>
        <w:t>7.5.1</w:t>
      </w:r>
      <w:r>
        <w:rPr>
          <w:rFonts w:hint="eastAsia" w:ascii="宋体" w:hAnsi="宋体" w:cs="楷体_GB2312"/>
          <w:color w:val="auto"/>
          <w:sz w:val="24"/>
          <w:lang w:val="zh-CN"/>
        </w:rPr>
        <w:t>在签订合同时，成交供应商应按供应商须知前附表规定向采购人提交履约保证金。</w:t>
      </w:r>
    </w:p>
    <w:p w14:paraId="5E97ACE0">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s="楷体_GB2312"/>
          <w:color w:val="auto"/>
          <w:sz w:val="24"/>
          <w:lang w:val="zh-CN"/>
        </w:rPr>
        <w:t xml:space="preserve">7.5.2 </w:t>
      </w:r>
      <w:r>
        <w:rPr>
          <w:rFonts w:hint="eastAsia" w:ascii="宋体" w:hAnsi="宋体" w:cs="楷体_GB2312"/>
          <w:color w:val="auto"/>
          <w:sz w:val="24"/>
          <w:lang w:val="zh-CN"/>
        </w:rPr>
        <w:t>成交供应商不能按本章第</w:t>
      </w:r>
      <w:r>
        <w:rPr>
          <w:rFonts w:ascii="宋体" w:hAnsi="宋体" w:cs="楷体_GB2312"/>
          <w:color w:val="auto"/>
          <w:sz w:val="24"/>
          <w:lang w:val="zh-CN"/>
        </w:rPr>
        <w:t>7.5.1</w:t>
      </w:r>
      <w:r>
        <w:rPr>
          <w:rFonts w:hint="eastAsia" w:ascii="宋体" w:hAnsi="宋体" w:cs="楷体_GB2312"/>
          <w:color w:val="auto"/>
          <w:sz w:val="24"/>
          <w:lang w:val="zh-CN"/>
        </w:rPr>
        <w:t>项要求提交履约保证金的，视为放弃成交资格，</w:t>
      </w:r>
      <w:r>
        <w:rPr>
          <w:rFonts w:hint="eastAsia" w:ascii="宋体" w:hAnsi="宋体"/>
          <w:color w:val="auto"/>
          <w:sz w:val="24"/>
          <w:szCs w:val="24"/>
        </w:rPr>
        <w:t>依据磋商文件“第三章</w:t>
      </w:r>
      <w:r>
        <w:rPr>
          <w:rFonts w:hint="eastAsia" w:ascii="宋体" w:hAnsi="宋体" w:cs="楷体_GB2312"/>
          <w:color w:val="auto"/>
          <w:sz w:val="24"/>
          <w:szCs w:val="22"/>
        </w:rPr>
        <w:t>3.5.5 违背承诺的责任追究措施</w:t>
      </w:r>
      <w:r>
        <w:rPr>
          <w:rFonts w:hint="eastAsia" w:ascii="宋体" w:hAnsi="宋体"/>
          <w:color w:val="auto"/>
          <w:sz w:val="24"/>
          <w:szCs w:val="24"/>
        </w:rPr>
        <w:t>”，供应商</w:t>
      </w:r>
      <w:r>
        <w:rPr>
          <w:rFonts w:hint="eastAsia" w:ascii="宋体" w:hAnsi="宋体" w:cs="楷体_GB2312"/>
          <w:color w:val="auto"/>
          <w:sz w:val="24"/>
          <w:szCs w:val="22"/>
        </w:rPr>
        <w:t>承担相应法律责任及违约责任。</w:t>
      </w:r>
      <w:r>
        <w:rPr>
          <w:rFonts w:hint="eastAsia" w:ascii="宋体" w:hAnsi="宋体" w:cs="楷体_GB2312"/>
          <w:color w:val="auto"/>
          <w:sz w:val="24"/>
          <w:lang w:val="zh-CN"/>
        </w:rPr>
        <w:t>给采购人及采购代理机构造成损失的，成交供应商应当予以赔偿。</w:t>
      </w:r>
    </w:p>
    <w:p w14:paraId="7BCFFDB0">
      <w:pPr>
        <w:autoSpaceDE w:val="0"/>
        <w:autoSpaceDN w:val="0"/>
        <w:adjustRightInd w:val="0"/>
        <w:snapToGrid w:val="0"/>
        <w:spacing w:before="120" w:beforeLines="50" w:line="300" w:lineRule="auto"/>
        <w:ind w:firstLine="539"/>
        <w:rPr>
          <w:rFonts w:hint="eastAsia" w:ascii="黑体" w:hAnsi="黑体" w:eastAsia="黑体" w:cs="楷体_GB2312"/>
          <w:b/>
          <w:color w:val="auto"/>
          <w:sz w:val="24"/>
          <w:lang w:val="zh-CN"/>
        </w:rPr>
      </w:pPr>
      <w:r>
        <w:rPr>
          <w:rFonts w:ascii="黑体" w:hAnsi="黑体" w:eastAsia="黑体" w:cs="楷体_GB2312"/>
          <w:b/>
          <w:color w:val="auto"/>
          <w:sz w:val="24"/>
          <w:lang w:val="zh-CN"/>
        </w:rPr>
        <w:t xml:space="preserve">7.6 </w:t>
      </w:r>
      <w:r>
        <w:rPr>
          <w:rFonts w:hint="eastAsia" w:ascii="黑体" w:hAnsi="黑体" w:eastAsia="黑体" w:cs="楷体_GB2312"/>
          <w:b/>
          <w:color w:val="auto"/>
          <w:sz w:val="24"/>
          <w:lang w:val="zh-CN"/>
        </w:rPr>
        <w:t>签订合同</w:t>
      </w:r>
    </w:p>
    <w:p w14:paraId="754453DA">
      <w:pPr>
        <w:autoSpaceDE w:val="0"/>
        <w:autoSpaceDN w:val="0"/>
        <w:adjustRightInd w:val="0"/>
        <w:snapToGrid w:val="0"/>
        <w:spacing w:before="120" w:beforeLines="50" w:line="300" w:lineRule="auto"/>
        <w:ind w:firstLine="539"/>
        <w:rPr>
          <w:rFonts w:hint="eastAsia" w:ascii="宋体" w:hAnsi="宋体"/>
          <w:color w:val="auto"/>
          <w:sz w:val="24"/>
        </w:rPr>
      </w:pPr>
      <w:r>
        <w:rPr>
          <w:rFonts w:ascii="宋体" w:hAnsi="宋体"/>
          <w:color w:val="auto"/>
          <w:sz w:val="24"/>
        </w:rPr>
        <w:t xml:space="preserve">7.6.1 </w:t>
      </w:r>
      <w:r>
        <w:rPr>
          <w:rFonts w:hint="eastAsia" w:ascii="宋体" w:hAnsi="宋体"/>
          <w:color w:val="auto"/>
          <w:sz w:val="24"/>
        </w:rPr>
        <w:t>据优化营商环境精神，成交供应商应在《成交通知书》发出后2个工作日内，按照《磋商文件》确定的合同文本以及成交标的、技术和服务等事项与采购人签订</w:t>
      </w:r>
      <w:r>
        <w:rPr>
          <w:rFonts w:hint="eastAsia" w:ascii="宋体" w:hAnsi="宋体" w:cs="楷体_GB2312"/>
          <w:color w:val="auto"/>
          <w:sz w:val="24"/>
          <w:lang w:val="zh-CN"/>
        </w:rPr>
        <w:t>书面</w:t>
      </w:r>
      <w:r>
        <w:rPr>
          <w:rFonts w:hint="eastAsia" w:ascii="宋体" w:hAnsi="宋体"/>
          <w:color w:val="auto"/>
          <w:sz w:val="24"/>
        </w:rPr>
        <w:t>政府采购合同。</w:t>
      </w:r>
    </w:p>
    <w:p w14:paraId="5951C968">
      <w:pPr>
        <w:autoSpaceDE w:val="0"/>
        <w:autoSpaceDN w:val="0"/>
        <w:adjustRightInd w:val="0"/>
        <w:snapToGrid w:val="0"/>
        <w:spacing w:before="120" w:beforeLines="50" w:line="300" w:lineRule="auto"/>
        <w:ind w:firstLine="539"/>
        <w:rPr>
          <w:rFonts w:ascii="宋体" w:cs="楷体_GB2312"/>
          <w:color w:val="auto"/>
          <w:sz w:val="24"/>
          <w:lang w:val="zh-CN"/>
        </w:rPr>
      </w:pPr>
      <w:r>
        <w:rPr>
          <w:rFonts w:ascii="宋体" w:hAnsi="宋体"/>
          <w:color w:val="auto"/>
          <w:sz w:val="24"/>
        </w:rPr>
        <w:t xml:space="preserve">7.6.2 </w:t>
      </w:r>
      <w:r>
        <w:rPr>
          <w:rFonts w:hint="eastAsia" w:ascii="宋体" w:hAnsi="宋体"/>
          <w:color w:val="auto"/>
          <w:sz w:val="24"/>
        </w:rPr>
        <w:t>如成交供应商不按时签订合同、</w:t>
      </w:r>
      <w:r>
        <w:rPr>
          <w:rFonts w:hint="eastAsia" w:ascii="宋体" w:hAnsi="宋体" w:cs="楷体_GB2312"/>
          <w:color w:val="auto"/>
          <w:sz w:val="24"/>
          <w:lang w:val="zh-CN"/>
        </w:rPr>
        <w:t>拒签合同的，取消其成交资格，</w:t>
      </w:r>
      <w:r>
        <w:rPr>
          <w:rFonts w:hint="eastAsia" w:ascii="宋体" w:hAnsi="宋体"/>
          <w:color w:val="auto"/>
          <w:sz w:val="24"/>
          <w:szCs w:val="24"/>
        </w:rPr>
        <w:t>依据磋商文件“第三章</w:t>
      </w:r>
      <w:r>
        <w:rPr>
          <w:rFonts w:hint="eastAsia" w:ascii="宋体" w:hAnsi="宋体" w:cs="楷体_GB2312"/>
          <w:color w:val="auto"/>
          <w:sz w:val="24"/>
          <w:szCs w:val="22"/>
        </w:rPr>
        <w:t>3.5.5 违背承诺的责任追究措施</w:t>
      </w:r>
      <w:r>
        <w:rPr>
          <w:rFonts w:hint="eastAsia" w:ascii="宋体" w:hAnsi="宋体"/>
          <w:color w:val="auto"/>
          <w:sz w:val="24"/>
          <w:szCs w:val="24"/>
        </w:rPr>
        <w:t>”，供应商</w:t>
      </w:r>
      <w:r>
        <w:rPr>
          <w:rFonts w:hint="eastAsia" w:ascii="宋体" w:hAnsi="宋体" w:cs="楷体_GB2312"/>
          <w:color w:val="auto"/>
          <w:sz w:val="24"/>
          <w:szCs w:val="22"/>
        </w:rPr>
        <w:t>承担相应法律责任及违约责任。</w:t>
      </w:r>
      <w:r>
        <w:rPr>
          <w:rFonts w:hint="eastAsia" w:ascii="宋体" w:hAnsi="宋体" w:cs="楷体_GB2312"/>
          <w:color w:val="auto"/>
          <w:sz w:val="24"/>
          <w:lang w:val="zh-CN"/>
        </w:rPr>
        <w:t>给采购人造成的损失，成交供应商应予以赔偿。</w:t>
      </w:r>
    </w:p>
    <w:p w14:paraId="31A87452">
      <w:pPr>
        <w:widowControl w:val="0"/>
        <w:adjustRightInd w:val="0"/>
        <w:snapToGrid w:val="0"/>
        <w:spacing w:before="120" w:beforeLines="50" w:line="300" w:lineRule="auto"/>
        <w:ind w:firstLine="566"/>
        <w:rPr>
          <w:rFonts w:hint="eastAsia" w:ascii="宋体" w:hAnsi="宋体"/>
          <w:color w:val="auto"/>
          <w:sz w:val="24"/>
          <w:szCs w:val="24"/>
        </w:rPr>
      </w:pPr>
      <w:r>
        <w:rPr>
          <w:color w:val="auto"/>
          <w:sz w:val="24"/>
          <w:szCs w:val="24"/>
        </w:rPr>
        <w:t>7.6.3</w:t>
      </w:r>
      <w:r>
        <w:rPr>
          <w:rFonts w:hint="eastAsia"/>
          <w:color w:val="auto"/>
          <w:sz w:val="24"/>
          <w:szCs w:val="24"/>
        </w:rPr>
        <w:t>合同生效：成交供应商与采购人签订的合同，双方签字后盖章生效。</w:t>
      </w:r>
      <w:r>
        <w:rPr>
          <w:rFonts w:hint="eastAsia" w:ascii="宋体" w:hAnsi="宋体"/>
          <w:color w:val="auto"/>
          <w:sz w:val="24"/>
          <w:szCs w:val="24"/>
        </w:rPr>
        <w:t>采购人要在合同签订后1个工作日内登录安阳市政府采购网进行备案并公告。</w:t>
      </w:r>
    </w:p>
    <w:p w14:paraId="268349F4">
      <w:pPr>
        <w:widowControl w:val="0"/>
        <w:adjustRightInd w:val="0"/>
        <w:snapToGrid w:val="0"/>
        <w:spacing w:before="120" w:beforeLines="50" w:line="300" w:lineRule="auto"/>
        <w:ind w:firstLine="566"/>
        <w:rPr>
          <w:color w:val="auto"/>
          <w:sz w:val="24"/>
          <w:szCs w:val="24"/>
        </w:rPr>
      </w:pPr>
      <w:r>
        <w:rPr>
          <w:color w:val="auto"/>
          <w:sz w:val="24"/>
          <w:szCs w:val="24"/>
        </w:rPr>
        <w:t>7.6.4</w:t>
      </w:r>
      <w:r>
        <w:rPr>
          <w:rFonts w:hint="eastAsia"/>
          <w:color w:val="auto"/>
          <w:sz w:val="24"/>
          <w:szCs w:val="24"/>
        </w:rPr>
        <w:t>《成交通知书》、《磋商文件》</w:t>
      </w:r>
      <w:r>
        <w:rPr>
          <w:rFonts w:hint="eastAsia"/>
          <w:color w:val="auto"/>
          <w:spacing w:val="20"/>
          <w:sz w:val="24"/>
          <w:szCs w:val="24"/>
        </w:rPr>
        <w:t>及其修改补充澄清</w:t>
      </w:r>
      <w:r>
        <w:rPr>
          <w:rFonts w:hint="eastAsia"/>
          <w:color w:val="auto"/>
          <w:sz w:val="24"/>
          <w:szCs w:val="24"/>
        </w:rPr>
        <w:t>、成交供应商的《响应文件》及</w:t>
      </w:r>
      <w:r>
        <w:rPr>
          <w:rFonts w:hint="eastAsia"/>
          <w:color w:val="auto"/>
          <w:spacing w:val="20"/>
          <w:sz w:val="24"/>
          <w:szCs w:val="24"/>
        </w:rPr>
        <w:t>其修改补充澄清</w:t>
      </w:r>
      <w:r>
        <w:rPr>
          <w:rFonts w:hint="eastAsia"/>
          <w:color w:val="auto"/>
          <w:sz w:val="24"/>
          <w:szCs w:val="24"/>
        </w:rPr>
        <w:t>等，均为签订合同的依据。所定合同不得对《磋商文件》和成交供应商的《响应文件》作实质性修改，采购人和成交供应商不得私下订立背离合同实质性内容的协议。</w:t>
      </w:r>
    </w:p>
    <w:p w14:paraId="15B8D927">
      <w:pPr>
        <w:widowControl w:val="0"/>
        <w:adjustRightInd w:val="0"/>
        <w:snapToGrid w:val="0"/>
        <w:spacing w:before="120" w:beforeLines="50" w:line="300" w:lineRule="auto"/>
        <w:ind w:firstLine="549"/>
        <w:rPr>
          <w:color w:val="auto"/>
          <w:sz w:val="24"/>
          <w:szCs w:val="24"/>
        </w:rPr>
      </w:pPr>
      <w:r>
        <w:rPr>
          <w:color w:val="auto"/>
          <w:sz w:val="24"/>
          <w:szCs w:val="24"/>
        </w:rPr>
        <w:t xml:space="preserve">7.6.5 </w:t>
      </w:r>
      <w:r>
        <w:rPr>
          <w:rFonts w:hint="eastAsia"/>
          <w:color w:val="auto"/>
          <w:sz w:val="24"/>
          <w:szCs w:val="24"/>
        </w:rPr>
        <w:t>评审会后，成交供应商、采购人之间擅自私下谈判、变更中标（成交）标的、价格及《磋商文件》《响应文件》实质性内容的，有关部门将按《中华人民共和国政府采购法》及相关法规的规定处理。</w:t>
      </w:r>
    </w:p>
    <w:p w14:paraId="6F6F79E4">
      <w:pPr>
        <w:widowControl w:val="0"/>
        <w:adjustRightInd w:val="0"/>
        <w:snapToGrid w:val="0"/>
        <w:spacing w:before="120" w:beforeLines="50" w:line="300" w:lineRule="auto"/>
        <w:ind w:firstLine="555"/>
        <w:rPr>
          <w:color w:val="auto"/>
          <w:sz w:val="24"/>
          <w:szCs w:val="24"/>
        </w:rPr>
      </w:pPr>
      <w:r>
        <w:rPr>
          <w:color w:val="auto"/>
          <w:sz w:val="24"/>
          <w:szCs w:val="24"/>
        </w:rPr>
        <w:t>7.6.</w:t>
      </w:r>
      <w:r>
        <w:rPr>
          <w:rFonts w:hint="eastAsia"/>
          <w:color w:val="auto"/>
          <w:sz w:val="24"/>
          <w:szCs w:val="24"/>
        </w:rPr>
        <w:t>6</w:t>
      </w:r>
      <w:r>
        <w:rPr>
          <w:color w:val="auto"/>
          <w:sz w:val="24"/>
          <w:szCs w:val="24"/>
        </w:rPr>
        <w:t xml:space="preserve"> </w:t>
      </w:r>
      <w:r>
        <w:rPr>
          <w:rFonts w:hint="eastAsia"/>
          <w:color w:val="auto"/>
          <w:sz w:val="24"/>
          <w:szCs w:val="24"/>
        </w:rPr>
        <w:t>采购人与成交供应商签订《政府采购合同》后，合同履行中产生的纠纷、争议，由采购人与成交供应商按合同条款及《中华人民共和国民法典》处理。</w:t>
      </w:r>
    </w:p>
    <w:p w14:paraId="22A42008">
      <w:pPr>
        <w:widowControl w:val="0"/>
        <w:adjustRightInd w:val="0"/>
        <w:snapToGrid w:val="0"/>
        <w:spacing w:before="120" w:beforeLines="50" w:line="300" w:lineRule="auto"/>
        <w:ind w:firstLine="555"/>
        <w:rPr>
          <w:rFonts w:hint="eastAsia" w:ascii="黑体" w:hAnsi="黑体" w:eastAsia="黑体" w:cs="楷体_GB2312"/>
          <w:b/>
          <w:color w:val="auto"/>
          <w:sz w:val="24"/>
          <w:lang w:val="zh-CN"/>
        </w:rPr>
      </w:pPr>
      <w:r>
        <w:rPr>
          <w:rFonts w:ascii="黑体" w:hAnsi="黑体" w:eastAsia="黑体" w:cs="楷体_GB2312"/>
          <w:b/>
          <w:color w:val="auto"/>
          <w:sz w:val="24"/>
          <w:lang w:val="zh-CN"/>
        </w:rPr>
        <w:t xml:space="preserve">7.7 </w:t>
      </w:r>
      <w:r>
        <w:rPr>
          <w:rFonts w:hint="eastAsia" w:ascii="黑体" w:hAnsi="黑体" w:eastAsia="黑体" w:cs="楷体_GB2312"/>
          <w:b/>
          <w:color w:val="auto"/>
          <w:sz w:val="24"/>
          <w:lang w:val="zh-CN"/>
        </w:rPr>
        <w:t>合同补充变更</w:t>
      </w:r>
    </w:p>
    <w:p w14:paraId="0D6DA4A8">
      <w:pPr>
        <w:widowControl w:val="0"/>
        <w:adjustRightInd w:val="0"/>
        <w:snapToGrid w:val="0"/>
        <w:spacing w:before="120" w:beforeLines="50" w:line="300" w:lineRule="auto"/>
        <w:ind w:firstLine="555"/>
        <w:rPr>
          <w:color w:val="auto"/>
          <w:sz w:val="24"/>
          <w:szCs w:val="24"/>
        </w:rPr>
      </w:pPr>
      <w:r>
        <w:rPr>
          <w:color w:val="auto"/>
          <w:sz w:val="24"/>
          <w:szCs w:val="24"/>
        </w:rPr>
        <w:t xml:space="preserve">7.7.1 </w:t>
      </w:r>
      <w:r>
        <w:rPr>
          <w:rFonts w:hint="eastAsia"/>
          <w:color w:val="auto"/>
          <w:sz w:val="24"/>
          <w:szCs w:val="24"/>
        </w:rPr>
        <w:t>政府采购合同履行中，采购人需追加或减少与合同标的相同的货物</w:t>
      </w:r>
      <w:r>
        <w:rPr>
          <w:rFonts w:hint="eastAsia" w:ascii="宋体" w:hAnsi="宋体"/>
          <w:color w:val="auto"/>
          <w:sz w:val="24"/>
          <w:szCs w:val="24"/>
        </w:rPr>
        <w:t>、工程和服务的</w:t>
      </w:r>
      <w:r>
        <w:rPr>
          <w:rFonts w:hint="eastAsia"/>
          <w:color w:val="auto"/>
          <w:sz w:val="24"/>
          <w:szCs w:val="24"/>
        </w:rPr>
        <w:t>（即追加或减少原合同标的数量），在不改变合同条款（包括原合同单价）的前提下，双方可以协商签订补充合同，但所有补充合同总金额不得超过原合同采购金额的</w:t>
      </w:r>
      <w:r>
        <w:rPr>
          <w:color w:val="auto"/>
          <w:sz w:val="24"/>
          <w:szCs w:val="24"/>
        </w:rPr>
        <w:t>10%</w:t>
      </w:r>
      <w:r>
        <w:rPr>
          <w:rFonts w:hint="eastAsia"/>
          <w:color w:val="auto"/>
          <w:sz w:val="24"/>
          <w:szCs w:val="24"/>
        </w:rPr>
        <w:t>，不得调增原合同单价，不得超出项目预算，超过原合同采购金额的</w:t>
      </w:r>
      <w:r>
        <w:rPr>
          <w:color w:val="auto"/>
          <w:sz w:val="24"/>
          <w:szCs w:val="24"/>
        </w:rPr>
        <w:t>10%</w:t>
      </w:r>
      <w:r>
        <w:rPr>
          <w:rFonts w:hint="eastAsia"/>
          <w:color w:val="auto"/>
          <w:sz w:val="24"/>
          <w:szCs w:val="24"/>
        </w:rPr>
        <w:t>，应重新组织采购活动。</w:t>
      </w:r>
    </w:p>
    <w:p w14:paraId="42527B07">
      <w:pPr>
        <w:widowControl w:val="0"/>
        <w:adjustRightInd w:val="0"/>
        <w:snapToGrid w:val="0"/>
        <w:spacing w:before="120" w:beforeLines="50" w:line="300" w:lineRule="auto"/>
        <w:ind w:firstLine="555"/>
        <w:rPr>
          <w:color w:val="auto"/>
          <w:sz w:val="24"/>
          <w:szCs w:val="24"/>
        </w:rPr>
      </w:pPr>
      <w:r>
        <w:rPr>
          <w:color w:val="auto"/>
          <w:sz w:val="24"/>
          <w:szCs w:val="24"/>
        </w:rPr>
        <w:t xml:space="preserve">7.7.2 </w:t>
      </w:r>
      <w:r>
        <w:rPr>
          <w:rFonts w:hint="eastAsia"/>
          <w:color w:val="auto"/>
          <w:sz w:val="24"/>
          <w:szCs w:val="24"/>
        </w:rPr>
        <w:t>采购人需追加或减少的货物</w:t>
      </w:r>
      <w:r>
        <w:rPr>
          <w:rFonts w:hint="eastAsia" w:ascii="宋体" w:hAnsi="宋体"/>
          <w:color w:val="auto"/>
          <w:sz w:val="24"/>
          <w:szCs w:val="24"/>
        </w:rPr>
        <w:t>、工程和服务的</w:t>
      </w:r>
      <w:r>
        <w:rPr>
          <w:rFonts w:hint="eastAsia"/>
          <w:color w:val="auto"/>
          <w:sz w:val="24"/>
          <w:szCs w:val="24"/>
        </w:rPr>
        <w:t>金额达到</w:t>
      </w:r>
      <w:r>
        <w:rPr>
          <w:color w:val="auto"/>
          <w:sz w:val="24"/>
          <w:szCs w:val="24"/>
        </w:rPr>
        <w:t>50</w:t>
      </w:r>
      <w:r>
        <w:rPr>
          <w:rFonts w:hint="eastAsia"/>
          <w:color w:val="auto"/>
          <w:sz w:val="24"/>
          <w:szCs w:val="24"/>
        </w:rPr>
        <w:t>万元以上（含</w:t>
      </w:r>
      <w:r>
        <w:rPr>
          <w:color w:val="auto"/>
          <w:sz w:val="24"/>
          <w:szCs w:val="24"/>
        </w:rPr>
        <w:t>50</w:t>
      </w:r>
      <w:r>
        <w:rPr>
          <w:rFonts w:hint="eastAsia"/>
          <w:color w:val="auto"/>
          <w:sz w:val="24"/>
          <w:szCs w:val="24"/>
        </w:rPr>
        <w:t>万元）、且超过中标（成交）价</w:t>
      </w:r>
      <w:r>
        <w:rPr>
          <w:color w:val="auto"/>
          <w:sz w:val="24"/>
          <w:szCs w:val="24"/>
        </w:rPr>
        <w:t>3%</w:t>
      </w:r>
      <w:r>
        <w:rPr>
          <w:rFonts w:hint="eastAsia"/>
          <w:color w:val="auto"/>
          <w:sz w:val="24"/>
          <w:szCs w:val="24"/>
        </w:rPr>
        <w:t>的，采购人应当自确定变更之日起</w:t>
      </w:r>
      <w:r>
        <w:rPr>
          <w:color w:val="auto"/>
          <w:sz w:val="24"/>
          <w:szCs w:val="24"/>
        </w:rPr>
        <w:t>5</w:t>
      </w:r>
      <w:r>
        <w:rPr>
          <w:rFonts w:hint="eastAsia"/>
          <w:color w:val="auto"/>
          <w:sz w:val="24"/>
          <w:szCs w:val="24"/>
        </w:rPr>
        <w:t>个工作日内将变更情况及事由报送同级监察机关。</w:t>
      </w:r>
    </w:p>
    <w:p w14:paraId="714685A5">
      <w:pPr>
        <w:widowControl w:val="0"/>
        <w:adjustRightInd w:val="0"/>
        <w:snapToGrid w:val="0"/>
        <w:spacing w:before="120" w:beforeLines="50" w:line="300" w:lineRule="auto"/>
        <w:ind w:firstLine="555"/>
        <w:rPr>
          <w:color w:val="auto"/>
          <w:sz w:val="24"/>
          <w:szCs w:val="24"/>
        </w:rPr>
      </w:pPr>
      <w:r>
        <w:rPr>
          <w:rFonts w:hint="eastAsia"/>
          <w:color w:val="auto"/>
          <w:sz w:val="24"/>
          <w:szCs w:val="24"/>
        </w:rPr>
        <w:t>采购项目在中标（成交）后经有关行政机关批准变更的，批准的行政机关应当自批准之日起</w:t>
      </w:r>
      <w:r>
        <w:rPr>
          <w:color w:val="auto"/>
          <w:sz w:val="24"/>
          <w:szCs w:val="24"/>
        </w:rPr>
        <w:t>3</w:t>
      </w:r>
      <w:r>
        <w:rPr>
          <w:rFonts w:hint="eastAsia"/>
          <w:color w:val="auto"/>
          <w:sz w:val="24"/>
          <w:szCs w:val="24"/>
        </w:rPr>
        <w:t>个工作日内将批准文件抄送同级监察机关备案。</w:t>
      </w:r>
    </w:p>
    <w:p w14:paraId="3981FD6F">
      <w:pPr>
        <w:widowControl w:val="0"/>
        <w:adjustRightInd w:val="0"/>
        <w:snapToGrid w:val="0"/>
        <w:spacing w:before="120" w:beforeLines="50" w:line="300" w:lineRule="auto"/>
        <w:ind w:firstLine="561"/>
        <w:outlineLvl w:val="1"/>
        <w:rPr>
          <w:rFonts w:hint="eastAsia" w:ascii="黑体" w:hAnsi="黑体" w:eastAsia="黑体" w:cs="楷体_GB2312"/>
          <w:b/>
          <w:bCs/>
          <w:color w:val="auto"/>
          <w:sz w:val="28"/>
          <w:szCs w:val="28"/>
          <w:lang w:val="zh-CN"/>
        </w:rPr>
      </w:pPr>
      <w:bookmarkStart w:id="31" w:name="_Toc7096"/>
      <w:r>
        <w:rPr>
          <w:rFonts w:ascii="黑体" w:hAnsi="黑体" w:eastAsia="黑体" w:cs="楷体_GB2312"/>
          <w:b/>
          <w:bCs/>
          <w:color w:val="auto"/>
          <w:sz w:val="28"/>
          <w:szCs w:val="28"/>
          <w:lang w:val="zh-CN"/>
        </w:rPr>
        <w:t xml:space="preserve">8. </w:t>
      </w:r>
      <w:r>
        <w:rPr>
          <w:rFonts w:hint="eastAsia" w:ascii="黑体" w:hAnsi="黑体" w:eastAsia="黑体" w:cs="楷体_GB2312"/>
          <w:b/>
          <w:bCs/>
          <w:color w:val="auto"/>
          <w:sz w:val="28"/>
          <w:szCs w:val="28"/>
          <w:lang w:val="zh-CN"/>
        </w:rPr>
        <w:t>验收</w:t>
      </w:r>
      <w:bookmarkEnd w:id="31"/>
    </w:p>
    <w:p w14:paraId="4AE453C8">
      <w:pPr>
        <w:widowControl w:val="0"/>
        <w:adjustRightInd w:val="0"/>
        <w:snapToGrid w:val="0"/>
        <w:spacing w:before="120" w:beforeLines="50" w:line="300" w:lineRule="auto"/>
        <w:ind w:firstLine="561"/>
        <w:rPr>
          <w:rFonts w:ascii="宋体" w:cs="楷体_GB2312"/>
          <w:color w:val="auto"/>
          <w:sz w:val="24"/>
          <w:lang w:val="zh-CN"/>
        </w:rPr>
      </w:pPr>
      <w:r>
        <w:rPr>
          <w:rFonts w:hint="eastAsia" w:ascii="宋体" w:hAnsi="宋体" w:cs="楷体_GB2312"/>
          <w:color w:val="auto"/>
          <w:sz w:val="24"/>
          <w:lang w:val="zh-CN"/>
        </w:rPr>
        <w:t>8.1验收时间：项目完工达到验收条件时，由采购</w:t>
      </w:r>
      <w:r>
        <w:rPr>
          <w:rFonts w:hint="eastAsia" w:ascii="宋体" w:hAnsi="宋体" w:cs="楷体_GB2312"/>
          <w:color w:val="auto"/>
          <w:sz w:val="24"/>
        </w:rPr>
        <w:t>人</w:t>
      </w:r>
      <w:r>
        <w:rPr>
          <w:rFonts w:hint="eastAsia" w:ascii="宋体" w:hAnsi="宋体" w:cs="楷体_GB2312"/>
          <w:color w:val="auto"/>
          <w:sz w:val="24"/>
          <w:lang w:val="zh-CN"/>
        </w:rPr>
        <w:t>成立验收工作组负责验收。</w:t>
      </w:r>
      <w:r>
        <w:rPr>
          <w:rFonts w:hint="eastAsia" w:ascii="宋体" w:hAnsi="宋体" w:cs="楷体_GB2312"/>
          <w:color w:val="auto"/>
          <w:sz w:val="24"/>
        </w:rPr>
        <w:t>技术复杂、社会影响较大的货物类项目，可以根据需要设置出厂检验、到货检验、安装调试检验、配套服务检验等多重验收环节；服务类项目，可根据项目特点对工期内的服务实施情况进行分期考核，结合考核情况和服务效果进行验收。</w:t>
      </w:r>
    </w:p>
    <w:p w14:paraId="346EEBEF">
      <w:pPr>
        <w:widowControl w:val="0"/>
        <w:adjustRightInd w:val="0"/>
        <w:snapToGrid w:val="0"/>
        <w:spacing w:before="120" w:beforeLines="50" w:line="300" w:lineRule="auto"/>
        <w:ind w:firstLine="561"/>
        <w:rPr>
          <w:rFonts w:hint="eastAsia" w:ascii="宋体" w:hAnsi="宋体" w:cs="楷体_GB2312"/>
          <w:color w:val="auto"/>
          <w:sz w:val="24"/>
          <w:lang w:val="zh-CN"/>
        </w:rPr>
      </w:pPr>
      <w:r>
        <w:rPr>
          <w:rFonts w:ascii="宋体" w:hAnsi="宋体" w:cs="楷体_GB2312"/>
          <w:color w:val="auto"/>
          <w:sz w:val="24"/>
          <w:lang w:val="zh-CN"/>
        </w:rPr>
        <w:t>8.2</w:t>
      </w:r>
      <w:r>
        <w:rPr>
          <w:rFonts w:hint="eastAsia" w:ascii="宋体" w:hAnsi="宋体" w:cs="楷体_GB2312"/>
          <w:color w:val="auto"/>
          <w:sz w:val="24"/>
          <w:lang w:val="zh-CN"/>
        </w:rPr>
        <w:t>验收工作组：合同履约验收工作应成立验收工作组专门负责。</w:t>
      </w:r>
    </w:p>
    <w:p w14:paraId="1E5E0638">
      <w:pPr>
        <w:widowControl w:val="0"/>
        <w:adjustRightInd w:val="0"/>
        <w:snapToGrid w:val="0"/>
        <w:spacing w:before="120" w:beforeLines="50" w:line="300" w:lineRule="auto"/>
        <w:ind w:firstLine="561"/>
        <w:rPr>
          <w:rFonts w:hint="eastAsia" w:ascii="宋体" w:hAnsi="宋体" w:cs="楷体_GB2312"/>
          <w:color w:val="auto"/>
          <w:sz w:val="24"/>
          <w:lang w:val="zh-CN"/>
        </w:rPr>
      </w:pPr>
      <w:r>
        <w:rPr>
          <w:rFonts w:hint="eastAsia" w:ascii="宋体" w:hAnsi="宋体" w:cs="楷体_GB2312"/>
          <w:color w:val="auto"/>
          <w:sz w:val="24"/>
          <w:lang w:val="zh-CN"/>
        </w:rPr>
        <w:t>直接参与该项目政府采购活动的主要负责人不得作为验收工作的主要负责人。</w:t>
      </w:r>
      <w:r>
        <w:rPr>
          <w:rFonts w:hint="eastAsia" w:ascii="宋体" w:hAnsi="宋体" w:cs="楷体_GB2312"/>
          <w:color w:val="auto"/>
          <w:sz w:val="24"/>
        </w:rPr>
        <w:t>对于采购人和使用人分离的采购项目，应当邀请实际使用人参与验收；政府向社会公众提供的公共服务项目，验收时应当邀请服务对象参与并出具意见，验收结果应当向社会公告。</w:t>
      </w:r>
    </w:p>
    <w:p w14:paraId="18215662">
      <w:pPr>
        <w:widowControl w:val="0"/>
        <w:adjustRightInd w:val="0"/>
        <w:snapToGrid w:val="0"/>
        <w:spacing w:before="120" w:beforeLines="50" w:line="300" w:lineRule="auto"/>
        <w:ind w:firstLine="561"/>
        <w:rPr>
          <w:rFonts w:hint="eastAsia" w:ascii="宋体" w:hAnsi="宋体" w:cs="楷体_GB2312"/>
          <w:color w:val="auto"/>
          <w:sz w:val="24"/>
        </w:rPr>
      </w:pPr>
      <w:r>
        <w:rPr>
          <w:rFonts w:hint="eastAsia" w:ascii="宋体" w:hAnsi="宋体" w:cs="楷体_GB2312"/>
          <w:color w:val="auto"/>
          <w:sz w:val="24"/>
        </w:rPr>
        <w:t>8.2.1</w:t>
      </w:r>
      <w:r>
        <w:rPr>
          <w:rFonts w:hint="eastAsia" w:ascii="宋体" w:hAnsi="宋体" w:cs="楷体_GB2312"/>
          <w:color w:val="auto"/>
          <w:sz w:val="24"/>
          <w:lang w:val="zh-CN"/>
        </w:rPr>
        <w:t>政府采购合同金额</w:t>
      </w:r>
      <w:r>
        <w:rPr>
          <w:rFonts w:hint="eastAsia" w:ascii="宋体" w:hAnsi="宋体" w:cs="楷体_GB2312"/>
          <w:color w:val="auto"/>
          <w:sz w:val="24"/>
        </w:rPr>
        <w:t>在</w:t>
      </w:r>
      <w:r>
        <w:rPr>
          <w:rFonts w:hint="eastAsia" w:ascii="宋体" w:hAnsi="宋体" w:cs="楷体_GB2312"/>
          <w:color w:val="auto"/>
          <w:sz w:val="24"/>
          <w:lang w:val="zh-CN"/>
        </w:rPr>
        <w:t>10万元以下（</w:t>
      </w:r>
      <w:r>
        <w:rPr>
          <w:rFonts w:hint="eastAsia" w:ascii="宋体" w:hAnsi="宋体" w:cs="楷体_GB2312"/>
          <w:color w:val="auto"/>
          <w:sz w:val="24"/>
        </w:rPr>
        <w:t>含10万元</w:t>
      </w:r>
      <w:r>
        <w:rPr>
          <w:rFonts w:hint="eastAsia" w:ascii="宋体" w:hAnsi="宋体" w:cs="楷体_GB2312"/>
          <w:color w:val="auto"/>
          <w:sz w:val="24"/>
          <w:lang w:val="zh-CN"/>
        </w:rPr>
        <w:t>）的项目，原则上可以不邀请评审专家参加，组织方成立验收小组自行验收。</w:t>
      </w:r>
      <w:r>
        <w:rPr>
          <w:rFonts w:hint="eastAsia" w:ascii="宋体" w:hAnsi="宋体" w:cs="楷体_GB2312"/>
          <w:color w:val="auto"/>
          <w:sz w:val="24"/>
        </w:rPr>
        <w:t>自行验收时，验收小组应仔细对照采购文件及合同，对标的物的数量、质量、规格、型号等参数逐一核对，并编制验收报告。组织方认为不能独立完成验收任务的，可以邀请评审专家参与验收。</w:t>
      </w:r>
    </w:p>
    <w:p w14:paraId="51FB9E61">
      <w:pPr>
        <w:widowControl w:val="0"/>
        <w:adjustRightInd w:val="0"/>
        <w:snapToGrid w:val="0"/>
        <w:spacing w:before="120" w:beforeLines="50" w:line="300" w:lineRule="auto"/>
        <w:ind w:firstLine="561"/>
        <w:rPr>
          <w:rFonts w:hint="eastAsia" w:ascii="宋体" w:hAnsi="宋体" w:cs="楷体_GB2312"/>
          <w:color w:val="auto"/>
          <w:sz w:val="24"/>
        </w:rPr>
      </w:pPr>
      <w:r>
        <w:rPr>
          <w:rFonts w:hint="eastAsia" w:ascii="宋体" w:hAnsi="宋体" w:cs="楷体_GB2312"/>
          <w:color w:val="auto"/>
          <w:sz w:val="24"/>
        </w:rPr>
        <w:t>8.2.2</w:t>
      </w:r>
      <w:r>
        <w:rPr>
          <w:rFonts w:hint="eastAsia" w:ascii="宋体" w:hAnsi="宋体" w:cs="楷体_GB2312"/>
          <w:color w:val="auto"/>
          <w:sz w:val="24"/>
          <w:lang w:val="zh-CN"/>
        </w:rPr>
        <w:t>政府采购合同金额50万元以下的（含50万元）的项目，验收工作组应不少于三人；政府采购合同金额50万元以上的项目，验收工作组应由</w:t>
      </w:r>
      <w:r>
        <w:rPr>
          <w:rFonts w:hint="eastAsia" w:ascii="宋体" w:hAnsi="宋体" w:cs="楷体_GB2312"/>
          <w:color w:val="auto"/>
          <w:sz w:val="24"/>
        </w:rPr>
        <w:t>采购人</w:t>
      </w:r>
      <w:r>
        <w:rPr>
          <w:rFonts w:hint="eastAsia" w:ascii="宋体" w:hAnsi="宋体" w:cs="楷体_GB2312"/>
          <w:color w:val="auto"/>
          <w:sz w:val="24"/>
          <w:lang w:val="zh-CN"/>
        </w:rPr>
        <w:t>领导牵头，财务、审计、监察、资产管理、技术等部门人员参与，成员不少于五人。验收工作</w:t>
      </w:r>
      <w:r>
        <w:rPr>
          <w:rFonts w:hint="eastAsia" w:ascii="宋体" w:hAnsi="宋体" w:cs="楷体_GB2312"/>
          <w:color w:val="auto"/>
          <w:sz w:val="24"/>
        </w:rPr>
        <w:t>原则上</w:t>
      </w:r>
      <w:r>
        <w:rPr>
          <w:rFonts w:hint="eastAsia" w:ascii="宋体" w:hAnsi="宋体" w:cs="楷体_GB2312"/>
          <w:color w:val="auto"/>
          <w:sz w:val="24"/>
          <w:lang w:val="zh-CN"/>
        </w:rPr>
        <w:t>应当邀请采购评审专家参加验收；大型、复杂或者技术性很强的政府采购项目，应当邀请国家认可的质量检测机构参加验收工作；国家规定强制性检测的采购项目，</w:t>
      </w:r>
      <w:r>
        <w:rPr>
          <w:rFonts w:hint="eastAsia" w:ascii="宋体" w:hAnsi="宋体" w:cs="楷体_GB2312"/>
          <w:color w:val="auto"/>
          <w:sz w:val="24"/>
        </w:rPr>
        <w:t>采购人</w:t>
      </w:r>
      <w:r>
        <w:rPr>
          <w:rFonts w:hint="eastAsia" w:ascii="宋体" w:hAnsi="宋体" w:cs="楷体_GB2312"/>
          <w:color w:val="auto"/>
          <w:sz w:val="24"/>
          <w:lang w:val="zh-CN"/>
        </w:rPr>
        <w:t>必须委托国家认可专业检测机构进行验收。</w:t>
      </w:r>
    </w:p>
    <w:p w14:paraId="3CF7D298">
      <w:pPr>
        <w:widowControl w:val="0"/>
        <w:adjustRightInd w:val="0"/>
        <w:snapToGrid w:val="0"/>
        <w:spacing w:before="120" w:beforeLines="50" w:line="300" w:lineRule="auto"/>
        <w:ind w:firstLine="561"/>
        <w:rPr>
          <w:rFonts w:hint="eastAsia" w:ascii="宋体" w:hAnsi="宋体" w:cs="楷体_GB2312"/>
          <w:color w:val="auto"/>
          <w:sz w:val="24"/>
          <w:lang w:val="zh-CN"/>
        </w:rPr>
      </w:pPr>
      <w:r>
        <w:rPr>
          <w:rFonts w:hint="eastAsia" w:ascii="宋体" w:hAnsi="宋体" w:cs="楷体_GB2312"/>
          <w:color w:val="auto"/>
          <w:sz w:val="24"/>
        </w:rPr>
        <w:t>8.3验收时，验收小组按照采购合同的约定对每一项技术、服务、安全标准的履约情况进行确认。</w:t>
      </w:r>
      <w:r>
        <w:rPr>
          <w:rFonts w:hint="eastAsia" w:ascii="宋体" w:hAnsi="宋体" w:cs="楷体_GB2312"/>
          <w:color w:val="auto"/>
          <w:sz w:val="24"/>
          <w:lang w:val="zh-CN"/>
        </w:rPr>
        <w:t>验收时需要进行破坏性试验的，供应商应进行充分的配合并提供备品备件。</w:t>
      </w:r>
    </w:p>
    <w:p w14:paraId="0A56E584">
      <w:pPr>
        <w:widowControl w:val="0"/>
        <w:adjustRightInd w:val="0"/>
        <w:snapToGrid w:val="0"/>
        <w:spacing w:before="120" w:beforeLines="50" w:line="300" w:lineRule="auto"/>
        <w:ind w:firstLine="561"/>
        <w:rPr>
          <w:rFonts w:hint="eastAsia" w:ascii="宋体" w:hAnsi="宋体" w:cs="楷体_GB2312"/>
          <w:color w:val="auto"/>
          <w:sz w:val="24"/>
        </w:rPr>
      </w:pPr>
      <w:r>
        <w:rPr>
          <w:rFonts w:hint="eastAsia" w:ascii="宋体" w:hAnsi="宋体" w:cs="楷体_GB2312"/>
          <w:color w:val="auto"/>
          <w:sz w:val="24"/>
        </w:rPr>
        <w:t>工程质量必须达到对应专业现行的国家（行业）的技术标准、规范且符合相关环保要求。</w:t>
      </w:r>
    </w:p>
    <w:p w14:paraId="42AFB9B1">
      <w:pPr>
        <w:widowControl w:val="0"/>
        <w:adjustRightInd w:val="0"/>
        <w:snapToGrid w:val="0"/>
        <w:spacing w:before="120" w:beforeLines="50" w:line="300" w:lineRule="auto"/>
        <w:ind w:firstLine="561"/>
        <w:rPr>
          <w:rFonts w:hint="eastAsia" w:ascii="宋体" w:hAnsi="宋体" w:cs="楷体_GB2312"/>
          <w:color w:val="auto"/>
          <w:sz w:val="24"/>
        </w:rPr>
      </w:pPr>
      <w:r>
        <w:rPr>
          <w:rFonts w:ascii="宋体" w:hAnsi="宋体" w:cs="楷体_GB2312"/>
          <w:color w:val="auto"/>
          <w:sz w:val="24"/>
          <w:lang w:val="zh-CN"/>
        </w:rPr>
        <w:t>8.</w:t>
      </w:r>
      <w:r>
        <w:rPr>
          <w:rFonts w:hint="eastAsia" w:ascii="宋体" w:hAnsi="宋体" w:cs="楷体_GB2312"/>
          <w:color w:val="auto"/>
          <w:sz w:val="24"/>
        </w:rPr>
        <w:t>4</w:t>
      </w:r>
      <w:r>
        <w:rPr>
          <w:rFonts w:ascii="宋体" w:hAnsi="宋体" w:cs="楷体_GB2312"/>
          <w:color w:val="auto"/>
          <w:sz w:val="24"/>
          <w:lang w:val="zh-CN"/>
        </w:rPr>
        <w:t xml:space="preserve"> </w:t>
      </w:r>
      <w:r>
        <w:rPr>
          <w:rFonts w:hint="eastAsia" w:ascii="宋体" w:hAnsi="宋体" w:cs="楷体_GB2312"/>
          <w:color w:val="auto"/>
          <w:sz w:val="24"/>
          <w:lang w:val="zh-CN"/>
        </w:rPr>
        <w:t>验收报告：验收后，由采购</w:t>
      </w:r>
      <w:r>
        <w:rPr>
          <w:rFonts w:hint="eastAsia" w:ascii="宋体" w:hAnsi="宋体" w:cs="楷体_GB2312"/>
          <w:color w:val="auto"/>
          <w:sz w:val="24"/>
        </w:rPr>
        <w:t>人</w:t>
      </w:r>
      <w:r>
        <w:rPr>
          <w:rFonts w:hint="eastAsia" w:ascii="宋体" w:hAnsi="宋体" w:cs="楷体_GB2312"/>
          <w:color w:val="auto"/>
          <w:sz w:val="24"/>
          <w:lang w:val="zh-CN"/>
        </w:rPr>
        <w:t>及专家等出具验收报告（</w:t>
      </w:r>
      <w:r>
        <w:rPr>
          <w:rFonts w:hint="eastAsia" w:ascii="宋体" w:hAnsi="宋体" w:cs="楷体_GB2312"/>
          <w:color w:val="auto"/>
          <w:sz w:val="24"/>
        </w:rPr>
        <w:t>自行验收的，由采购人出具</w:t>
      </w:r>
      <w:r>
        <w:rPr>
          <w:rFonts w:hint="eastAsia" w:ascii="宋体" w:hAnsi="宋体" w:cs="楷体_GB2312"/>
          <w:color w:val="auto"/>
          <w:sz w:val="24"/>
          <w:lang w:val="zh-CN"/>
        </w:rPr>
        <w:t>），国家规定强制性检测的采购项目应附国家认可的专业检测机构出具的验收报告。</w:t>
      </w:r>
    </w:p>
    <w:p w14:paraId="6A7392BD">
      <w:pPr>
        <w:widowControl w:val="0"/>
        <w:adjustRightInd w:val="0"/>
        <w:snapToGrid w:val="0"/>
        <w:spacing w:before="120" w:beforeLines="50" w:line="300" w:lineRule="auto"/>
        <w:ind w:firstLine="561"/>
        <w:rPr>
          <w:rFonts w:ascii="宋体" w:cs="楷体_GB2312"/>
          <w:color w:val="auto"/>
          <w:sz w:val="24"/>
          <w:lang w:val="zh-CN"/>
        </w:rPr>
      </w:pPr>
      <w:r>
        <w:rPr>
          <w:rFonts w:hint="eastAsia" w:ascii="宋体" w:hAnsi="宋体" w:cs="楷体_GB2312"/>
          <w:color w:val="auto"/>
          <w:sz w:val="24"/>
          <w:lang w:val="zh-CN"/>
        </w:rPr>
        <w:t>8.</w:t>
      </w:r>
      <w:r>
        <w:rPr>
          <w:rFonts w:hint="eastAsia" w:ascii="宋体" w:hAnsi="宋体" w:cs="楷体_GB2312"/>
          <w:color w:val="auto"/>
          <w:sz w:val="24"/>
        </w:rPr>
        <w:t>5</w:t>
      </w:r>
      <w:r>
        <w:rPr>
          <w:rFonts w:hint="eastAsia" w:ascii="宋体" w:hAnsi="宋体" w:cs="楷体_GB2312"/>
          <w:color w:val="auto"/>
          <w:sz w:val="24"/>
          <w:lang w:val="zh-CN"/>
        </w:rPr>
        <w:t>验收中发现成交供应商未按合同约定的时间、地点或方式履约，提供的货物或服务的数量、质量、性能、功能达不到合同约定的，或者提供假冒伪劣产品等违反合同约定的，验收人员应在验收报告中注明违约情形和事项，并应及时通知财政部门。属假冒伪劣产品的，同时向工商管理、质量监督等行政执法部门举报。</w:t>
      </w:r>
    </w:p>
    <w:p w14:paraId="6ED15BE3">
      <w:pPr>
        <w:autoSpaceDE w:val="0"/>
        <w:autoSpaceDN w:val="0"/>
        <w:adjustRightInd w:val="0"/>
        <w:snapToGrid w:val="0"/>
        <w:spacing w:before="120" w:beforeLines="50" w:line="300" w:lineRule="auto"/>
        <w:ind w:firstLine="539"/>
        <w:rPr>
          <w:rFonts w:hint="eastAsia" w:ascii="宋体" w:hAnsi="宋体" w:cs="楷体_GB2312"/>
          <w:color w:val="auto"/>
          <w:sz w:val="24"/>
          <w:lang w:val="zh-CN"/>
        </w:rPr>
      </w:pPr>
      <w:r>
        <w:rPr>
          <w:rFonts w:hint="eastAsia" w:ascii="宋体" w:hAnsi="宋体" w:cs="楷体_GB2312"/>
          <w:color w:val="auto"/>
          <w:sz w:val="24"/>
          <w:lang w:val="zh-CN"/>
        </w:rPr>
        <w:t>8.6 验收公告的时限：采购人要在政府采购项目验收完成后1个工作日内登录安阳市政府采购网进行验收公告。</w:t>
      </w:r>
    </w:p>
    <w:p w14:paraId="70BEFDA3">
      <w:pPr>
        <w:pStyle w:val="17"/>
        <w:ind w:firstLine="210"/>
        <w:rPr>
          <w:color w:val="auto"/>
          <w:lang w:val="zh-CN"/>
        </w:rPr>
      </w:pPr>
    </w:p>
    <w:p w14:paraId="6A153EE3">
      <w:pPr>
        <w:widowControl w:val="0"/>
        <w:adjustRightInd w:val="0"/>
        <w:snapToGrid w:val="0"/>
        <w:spacing w:before="120" w:beforeLines="50" w:line="300" w:lineRule="auto"/>
        <w:ind w:firstLine="561"/>
        <w:outlineLvl w:val="1"/>
        <w:rPr>
          <w:rFonts w:hint="eastAsia" w:ascii="黑体" w:hAnsi="黑体" w:eastAsia="黑体" w:cs="楷体_GB2312"/>
          <w:b/>
          <w:bCs/>
          <w:color w:val="auto"/>
          <w:sz w:val="28"/>
          <w:szCs w:val="28"/>
          <w:lang w:val="zh-CN"/>
        </w:rPr>
      </w:pPr>
      <w:bookmarkStart w:id="32" w:name="_Toc19235"/>
      <w:r>
        <w:rPr>
          <w:rFonts w:ascii="黑体" w:hAnsi="黑体" w:eastAsia="黑体" w:cs="楷体_GB2312"/>
          <w:b/>
          <w:bCs/>
          <w:color w:val="auto"/>
          <w:sz w:val="28"/>
          <w:szCs w:val="28"/>
          <w:lang w:val="zh-CN"/>
        </w:rPr>
        <w:t>9.</w:t>
      </w:r>
      <w:r>
        <w:rPr>
          <w:rFonts w:hint="eastAsia" w:ascii="黑体" w:hAnsi="黑体" w:eastAsia="黑体" w:cs="楷体_GB2312"/>
          <w:b/>
          <w:bCs/>
          <w:color w:val="auto"/>
          <w:sz w:val="28"/>
          <w:szCs w:val="28"/>
          <w:lang w:val="zh-CN"/>
        </w:rPr>
        <w:t>付款</w:t>
      </w:r>
      <w:bookmarkEnd w:id="32"/>
    </w:p>
    <w:p w14:paraId="4C1A813A">
      <w:pPr>
        <w:widowControl w:val="0"/>
        <w:adjustRightInd w:val="0"/>
        <w:snapToGrid w:val="0"/>
        <w:spacing w:before="120" w:beforeLines="50" w:line="300" w:lineRule="auto"/>
        <w:ind w:firstLine="561"/>
        <w:rPr>
          <w:rFonts w:hint="eastAsia" w:ascii="黑体" w:hAnsi="黑体" w:eastAsia="黑体" w:cs="楷体_GB2312"/>
          <w:b/>
          <w:bCs/>
          <w:color w:val="auto"/>
          <w:sz w:val="28"/>
          <w:szCs w:val="28"/>
          <w:lang w:val="zh-CN"/>
        </w:rPr>
      </w:pPr>
      <w:r>
        <w:rPr>
          <w:rFonts w:hint="eastAsia" w:ascii="宋体" w:hAnsi="宋体" w:cs="楷体_GB2312"/>
          <w:color w:val="auto"/>
          <w:sz w:val="24"/>
          <w:lang w:val="zh-CN"/>
        </w:rPr>
        <w:t>见供应商须知前附表</w:t>
      </w:r>
    </w:p>
    <w:p w14:paraId="2FDC6417">
      <w:pPr>
        <w:widowControl w:val="0"/>
        <w:adjustRightInd w:val="0"/>
        <w:snapToGrid w:val="0"/>
        <w:spacing w:before="120" w:beforeLines="50" w:line="300" w:lineRule="auto"/>
        <w:ind w:firstLine="561"/>
        <w:outlineLvl w:val="1"/>
        <w:rPr>
          <w:rFonts w:hint="eastAsia" w:ascii="黑体" w:hAnsi="黑体" w:eastAsia="黑体" w:cs="楷体_GB2312"/>
          <w:b/>
          <w:bCs/>
          <w:color w:val="auto"/>
          <w:sz w:val="28"/>
          <w:szCs w:val="28"/>
          <w:lang w:val="zh-CN"/>
        </w:rPr>
      </w:pPr>
      <w:bookmarkStart w:id="33" w:name="_Toc10702"/>
      <w:r>
        <w:rPr>
          <w:rFonts w:ascii="黑体" w:hAnsi="黑体" w:eastAsia="黑体" w:cs="楷体_GB2312"/>
          <w:b/>
          <w:bCs/>
          <w:color w:val="auto"/>
          <w:sz w:val="28"/>
          <w:szCs w:val="28"/>
          <w:lang w:val="zh-CN"/>
        </w:rPr>
        <w:t xml:space="preserve">10. </w:t>
      </w:r>
      <w:r>
        <w:rPr>
          <w:rFonts w:hint="eastAsia" w:ascii="黑体" w:hAnsi="黑体" w:eastAsia="黑体" w:cs="楷体_GB2312"/>
          <w:b/>
          <w:bCs/>
          <w:color w:val="auto"/>
          <w:sz w:val="28"/>
          <w:szCs w:val="28"/>
          <w:lang w:val="zh-CN"/>
        </w:rPr>
        <w:t>其他</w:t>
      </w:r>
      <w:bookmarkEnd w:id="33"/>
    </w:p>
    <w:p w14:paraId="34F88DEA">
      <w:pPr>
        <w:widowControl w:val="0"/>
        <w:adjustRightInd w:val="0"/>
        <w:snapToGrid w:val="0"/>
        <w:spacing w:before="120" w:beforeLines="50" w:line="300" w:lineRule="auto"/>
        <w:ind w:firstLine="561"/>
        <w:rPr>
          <w:rFonts w:ascii="宋体" w:cs="楷体_GB2312"/>
          <w:color w:val="auto"/>
          <w:sz w:val="24"/>
          <w:lang w:val="zh-CN"/>
        </w:rPr>
      </w:pPr>
      <w:r>
        <w:rPr>
          <w:rFonts w:ascii="宋体" w:hAnsi="宋体" w:cs="楷体_GB2312"/>
          <w:color w:val="auto"/>
          <w:sz w:val="24"/>
          <w:lang w:val="zh-CN"/>
        </w:rPr>
        <w:t>10.1</w:t>
      </w:r>
      <w:r>
        <w:rPr>
          <w:rFonts w:hint="eastAsia" w:ascii="宋体" w:hAnsi="宋体" w:cs="楷体_GB2312"/>
          <w:color w:val="auto"/>
          <w:sz w:val="24"/>
          <w:lang w:val="zh-CN"/>
        </w:rPr>
        <w:t>中标服务费等：见供应商须知前附表</w:t>
      </w:r>
    </w:p>
    <w:p w14:paraId="3E690F64">
      <w:pPr>
        <w:widowControl w:val="0"/>
        <w:adjustRightInd w:val="0"/>
        <w:snapToGrid w:val="0"/>
        <w:spacing w:before="120" w:beforeLines="50" w:line="300" w:lineRule="auto"/>
        <w:ind w:firstLine="561"/>
        <w:rPr>
          <w:rFonts w:ascii="宋体" w:cs="楷体_GB2312"/>
          <w:color w:val="auto"/>
          <w:sz w:val="24"/>
          <w:lang w:val="zh-CN"/>
        </w:rPr>
      </w:pPr>
      <w:r>
        <w:rPr>
          <w:rFonts w:ascii="宋体" w:hAnsi="宋体" w:cs="楷体_GB2312"/>
          <w:color w:val="auto"/>
          <w:sz w:val="24"/>
          <w:lang w:val="zh-CN"/>
        </w:rPr>
        <w:t>1</w:t>
      </w:r>
      <w:r>
        <w:rPr>
          <w:rFonts w:ascii="宋体" w:cs="楷体_GB2312"/>
          <w:color w:val="auto"/>
          <w:sz w:val="24"/>
          <w:lang w:val="zh-CN"/>
        </w:rPr>
        <w:t>0</w:t>
      </w:r>
      <w:r>
        <w:rPr>
          <w:rFonts w:ascii="宋体" w:hAnsi="宋体" w:cs="楷体_GB2312"/>
          <w:color w:val="auto"/>
          <w:sz w:val="24"/>
          <w:lang w:val="zh-CN"/>
        </w:rPr>
        <w:t xml:space="preserve">.2 </w:t>
      </w:r>
      <w:r>
        <w:rPr>
          <w:rFonts w:hint="eastAsia" w:ascii="宋体" w:hAnsi="宋体" w:cs="楷体_GB2312"/>
          <w:color w:val="auto"/>
          <w:sz w:val="24"/>
          <w:lang w:val="zh-CN"/>
        </w:rPr>
        <w:t>近义解释。《磋商文件》中：“投标”同义“递交《响应文件》”，“供应商”同义“递交《响应文件》的供应商”，“《响应文件》”同义“《投标文件》”，“中标”同义“成交”，“中标供应商”同义“成交供应商</w:t>
      </w:r>
      <w:r>
        <w:rPr>
          <w:rFonts w:hint="eastAsia" w:ascii="宋体" w:cs="楷体_GB2312"/>
          <w:color w:val="auto"/>
          <w:sz w:val="24"/>
          <w:lang w:val="zh-CN"/>
        </w:rPr>
        <w:t>”</w:t>
      </w:r>
      <w:r>
        <w:rPr>
          <w:rFonts w:hint="eastAsia" w:ascii="宋体" w:hAnsi="宋体" w:cs="楷体_GB2312"/>
          <w:color w:val="auto"/>
          <w:sz w:val="24"/>
          <w:lang w:val="zh-CN"/>
        </w:rPr>
        <w:t>，</w:t>
      </w:r>
      <w:r>
        <w:rPr>
          <w:rFonts w:hint="eastAsia" w:ascii="宋体" w:cs="楷体_GB2312"/>
          <w:color w:val="auto"/>
          <w:sz w:val="24"/>
          <w:lang w:val="zh-CN"/>
        </w:rPr>
        <w:t>“</w:t>
      </w:r>
      <w:r>
        <w:rPr>
          <w:rFonts w:hint="eastAsia" w:ascii="宋体" w:hAnsi="宋体" w:cs="楷体_GB2312"/>
          <w:color w:val="auto"/>
          <w:sz w:val="24"/>
          <w:lang w:val="zh-CN"/>
        </w:rPr>
        <w:t>《响应文件》开启”同义“《响应文件》的开启</w:t>
      </w:r>
      <w:r>
        <w:rPr>
          <w:rFonts w:hint="eastAsia" w:ascii="宋体" w:cs="楷体_GB2312"/>
          <w:color w:val="auto"/>
          <w:sz w:val="24"/>
          <w:lang w:val="zh-CN"/>
        </w:rPr>
        <w:t>”</w:t>
      </w:r>
      <w:r>
        <w:rPr>
          <w:rFonts w:hint="eastAsia" w:ascii="宋体" w:hAnsi="宋体" w:cs="楷体_GB2312"/>
          <w:color w:val="auto"/>
          <w:sz w:val="24"/>
          <w:lang w:val="zh-CN"/>
        </w:rPr>
        <w:t>。</w:t>
      </w:r>
    </w:p>
    <w:p w14:paraId="5F8050CF">
      <w:pPr>
        <w:widowControl w:val="0"/>
        <w:adjustRightInd w:val="0"/>
        <w:snapToGrid w:val="0"/>
        <w:spacing w:before="120" w:beforeLines="50" w:line="300" w:lineRule="auto"/>
        <w:ind w:firstLine="561"/>
        <w:rPr>
          <w:rFonts w:ascii="宋体" w:cs="楷体_GB2312"/>
          <w:color w:val="auto"/>
          <w:sz w:val="24"/>
          <w:lang w:val="zh-CN"/>
        </w:rPr>
      </w:pPr>
      <w:r>
        <w:rPr>
          <w:rFonts w:ascii="宋体" w:hAnsi="宋体" w:cs="楷体_GB2312"/>
          <w:color w:val="auto"/>
          <w:sz w:val="24"/>
          <w:lang w:val="zh-CN"/>
        </w:rPr>
        <w:t xml:space="preserve">10.3 </w:t>
      </w:r>
      <w:r>
        <w:rPr>
          <w:rFonts w:hint="eastAsia" w:ascii="宋体" w:hAnsi="宋体" w:cs="楷体_GB2312"/>
          <w:color w:val="auto"/>
          <w:sz w:val="24"/>
          <w:lang w:val="zh-CN"/>
        </w:rPr>
        <w:t>供应商资格条件中包含非法人单位的，《磋商文件》中法定代表人一词相应包含表示证照标示的负责人；</w:t>
      </w:r>
      <w:r>
        <w:rPr>
          <w:rFonts w:ascii="宋体" w:hAnsi="宋体" w:cs="楷体_GB2312"/>
          <w:color w:val="auto"/>
          <w:sz w:val="24"/>
          <w:lang w:val="zh-CN"/>
        </w:rPr>
        <w:t xml:space="preserve"> </w:t>
      </w:r>
      <w:r>
        <w:rPr>
          <w:rFonts w:hint="eastAsia" w:ascii="宋体" w:hAnsi="宋体" w:cs="楷体_GB2312"/>
          <w:color w:val="auto"/>
          <w:sz w:val="24"/>
          <w:lang w:val="zh-CN"/>
        </w:rPr>
        <w:t>供应商资格条件中包含自然人的，《磋商文件》中法定代表人一词相应包含表示自然人，自然人应由其本人签署《响应文件》、参加投标，不应再授权他人。</w:t>
      </w:r>
    </w:p>
    <w:p w14:paraId="58A8FB1A">
      <w:pPr>
        <w:widowControl w:val="0"/>
        <w:autoSpaceDE w:val="0"/>
        <w:autoSpaceDN w:val="0"/>
        <w:adjustRightInd w:val="0"/>
        <w:spacing w:before="120" w:beforeLines="50" w:line="300" w:lineRule="auto"/>
        <w:ind w:firstLine="480" w:firstLineChars="200"/>
        <w:jc w:val="left"/>
        <w:textAlignment w:val="auto"/>
        <w:rPr>
          <w:rFonts w:hint="eastAsia" w:ascii="宋体" w:hAnsi="宋体" w:cs="楷体_GB2312"/>
          <w:color w:val="auto"/>
          <w:sz w:val="24"/>
          <w:lang w:val="zh-CN"/>
        </w:rPr>
      </w:pPr>
      <w:r>
        <w:rPr>
          <w:rFonts w:ascii="宋体" w:hAnsi="宋体" w:cs="楷体_GB2312"/>
          <w:color w:val="auto"/>
          <w:sz w:val="24"/>
          <w:lang w:val="zh-CN"/>
        </w:rPr>
        <w:t xml:space="preserve">10.4  </w:t>
      </w:r>
      <w:r>
        <w:rPr>
          <w:rFonts w:hint="eastAsia" w:ascii="宋体" w:hAnsi="宋体" w:cs="楷体_GB2312"/>
          <w:color w:val="auto"/>
          <w:sz w:val="24"/>
          <w:lang w:val="zh-CN"/>
        </w:rPr>
        <w:t>《磋商文件》第一章至第四章各章中，用序号标示条、款、项、目，例如：</w:t>
      </w:r>
      <w:r>
        <w:rPr>
          <w:rFonts w:ascii="宋体" w:hAnsi="宋体" w:cs="楷体_GB2312"/>
          <w:color w:val="auto"/>
          <w:sz w:val="24"/>
          <w:lang w:val="zh-CN"/>
        </w:rPr>
        <w:t>1</w:t>
      </w:r>
      <w:r>
        <w:rPr>
          <w:rFonts w:hint="eastAsia" w:ascii="宋体" w:hAnsi="宋体" w:cs="楷体_GB2312"/>
          <w:color w:val="auto"/>
          <w:sz w:val="24"/>
          <w:lang w:val="zh-CN"/>
        </w:rPr>
        <w:t>为第</w:t>
      </w:r>
      <w:r>
        <w:rPr>
          <w:rFonts w:ascii="宋体" w:hAnsi="宋体" w:cs="楷体_GB2312"/>
          <w:color w:val="auto"/>
          <w:sz w:val="24"/>
          <w:lang w:val="zh-CN"/>
        </w:rPr>
        <w:t xml:space="preserve">1 </w:t>
      </w:r>
      <w:r>
        <w:rPr>
          <w:rFonts w:hint="eastAsia" w:ascii="宋体" w:hAnsi="宋体" w:cs="楷体_GB2312"/>
          <w:color w:val="auto"/>
          <w:sz w:val="24"/>
          <w:lang w:val="zh-CN"/>
        </w:rPr>
        <w:t>条，</w:t>
      </w:r>
      <w:r>
        <w:rPr>
          <w:rFonts w:ascii="宋体" w:hAnsi="宋体" w:cs="楷体_GB2312"/>
          <w:color w:val="auto"/>
          <w:sz w:val="24"/>
          <w:lang w:val="zh-CN"/>
        </w:rPr>
        <w:t>1.1</w:t>
      </w:r>
      <w:r>
        <w:rPr>
          <w:rFonts w:hint="eastAsia" w:ascii="宋体" w:hAnsi="宋体" w:cs="楷体_GB2312"/>
          <w:color w:val="auto"/>
          <w:sz w:val="24"/>
          <w:lang w:val="zh-CN"/>
        </w:rPr>
        <w:t>为第</w:t>
      </w:r>
      <w:r>
        <w:rPr>
          <w:rFonts w:ascii="宋体" w:hAnsi="宋体" w:cs="楷体_GB2312"/>
          <w:color w:val="auto"/>
          <w:sz w:val="24"/>
          <w:lang w:val="zh-CN"/>
        </w:rPr>
        <w:t>1</w:t>
      </w:r>
      <w:r>
        <w:rPr>
          <w:rFonts w:hint="eastAsia" w:ascii="宋体" w:hAnsi="宋体" w:cs="楷体_GB2312"/>
          <w:color w:val="auto"/>
          <w:sz w:val="24"/>
          <w:lang w:val="zh-CN"/>
        </w:rPr>
        <w:t>条第</w:t>
      </w:r>
      <w:r>
        <w:rPr>
          <w:rFonts w:ascii="宋体" w:hAnsi="宋体" w:cs="楷体_GB2312"/>
          <w:color w:val="auto"/>
          <w:sz w:val="24"/>
          <w:lang w:val="zh-CN"/>
        </w:rPr>
        <w:t>1</w:t>
      </w:r>
      <w:r>
        <w:rPr>
          <w:rFonts w:hint="eastAsia" w:ascii="宋体" w:hAnsi="宋体" w:cs="楷体_GB2312"/>
          <w:color w:val="auto"/>
          <w:sz w:val="24"/>
          <w:lang w:val="zh-CN"/>
        </w:rPr>
        <w:t>款（简称</w:t>
      </w:r>
      <w:r>
        <w:rPr>
          <w:rFonts w:ascii="宋体" w:hAnsi="宋体" w:cs="楷体_GB2312"/>
          <w:color w:val="auto"/>
          <w:sz w:val="24"/>
          <w:lang w:val="zh-CN"/>
        </w:rPr>
        <w:t>1.1</w:t>
      </w:r>
      <w:r>
        <w:rPr>
          <w:rFonts w:hint="eastAsia" w:ascii="宋体" w:hAnsi="宋体" w:cs="楷体_GB2312"/>
          <w:color w:val="auto"/>
          <w:sz w:val="24"/>
          <w:lang w:val="zh-CN"/>
        </w:rPr>
        <w:t>款），</w:t>
      </w:r>
      <w:r>
        <w:rPr>
          <w:rFonts w:ascii="宋体" w:hAnsi="宋体" w:cs="楷体_GB2312"/>
          <w:color w:val="auto"/>
          <w:sz w:val="24"/>
          <w:lang w:val="zh-CN"/>
        </w:rPr>
        <w:t>1.1.1</w:t>
      </w:r>
      <w:r>
        <w:rPr>
          <w:rFonts w:hint="eastAsia" w:ascii="宋体" w:hAnsi="宋体" w:cs="楷体_GB2312"/>
          <w:color w:val="auto"/>
          <w:sz w:val="24"/>
          <w:lang w:val="zh-CN"/>
        </w:rPr>
        <w:t>为第</w:t>
      </w:r>
      <w:r>
        <w:rPr>
          <w:rFonts w:ascii="宋体" w:hAnsi="宋体" w:cs="楷体_GB2312"/>
          <w:color w:val="auto"/>
          <w:sz w:val="24"/>
          <w:lang w:val="zh-CN"/>
        </w:rPr>
        <w:t>1</w:t>
      </w:r>
      <w:r>
        <w:rPr>
          <w:rFonts w:hint="eastAsia" w:ascii="宋体" w:hAnsi="宋体" w:cs="楷体_GB2312"/>
          <w:color w:val="auto"/>
          <w:sz w:val="24"/>
          <w:lang w:val="zh-CN"/>
        </w:rPr>
        <w:t>条第</w:t>
      </w:r>
      <w:r>
        <w:rPr>
          <w:rFonts w:ascii="宋体" w:hAnsi="宋体" w:cs="楷体_GB2312"/>
          <w:color w:val="auto"/>
          <w:sz w:val="24"/>
          <w:lang w:val="zh-CN"/>
        </w:rPr>
        <w:t>1</w:t>
      </w:r>
      <w:r>
        <w:rPr>
          <w:rFonts w:hint="eastAsia" w:ascii="宋体" w:hAnsi="宋体" w:cs="楷体_GB2312"/>
          <w:color w:val="auto"/>
          <w:sz w:val="24"/>
          <w:lang w:val="zh-CN"/>
        </w:rPr>
        <w:t>款第</w:t>
      </w:r>
      <w:r>
        <w:rPr>
          <w:rFonts w:ascii="宋体" w:hAnsi="宋体" w:cs="楷体_GB2312"/>
          <w:color w:val="auto"/>
          <w:sz w:val="24"/>
          <w:lang w:val="zh-CN"/>
        </w:rPr>
        <w:t>1</w:t>
      </w:r>
      <w:r>
        <w:rPr>
          <w:rFonts w:hint="eastAsia" w:ascii="宋体" w:hAnsi="宋体" w:cs="楷体_GB2312"/>
          <w:color w:val="auto"/>
          <w:sz w:val="24"/>
          <w:lang w:val="zh-CN"/>
        </w:rPr>
        <w:t>项（简称</w:t>
      </w:r>
      <w:r>
        <w:rPr>
          <w:rFonts w:ascii="宋体" w:hAnsi="宋体" w:cs="楷体_GB2312"/>
          <w:color w:val="auto"/>
          <w:sz w:val="24"/>
          <w:lang w:val="zh-CN"/>
        </w:rPr>
        <w:t>1.1.1</w:t>
      </w:r>
      <w:r>
        <w:rPr>
          <w:rFonts w:hint="eastAsia" w:ascii="宋体" w:hAnsi="宋体" w:cs="楷体_GB2312"/>
          <w:color w:val="auto"/>
          <w:sz w:val="24"/>
          <w:lang w:val="zh-CN"/>
        </w:rPr>
        <w:t>项）。“条”包含款、项、目；“款”包含项、目；“项”包含目。</w:t>
      </w:r>
    </w:p>
    <w:p w14:paraId="65B5EF7B">
      <w:pPr>
        <w:widowControl w:val="0"/>
        <w:autoSpaceDE w:val="0"/>
        <w:autoSpaceDN w:val="0"/>
        <w:adjustRightInd w:val="0"/>
        <w:spacing w:before="120" w:beforeLines="50" w:line="300" w:lineRule="auto"/>
        <w:ind w:firstLine="480" w:firstLineChars="200"/>
        <w:jc w:val="left"/>
        <w:textAlignment w:val="auto"/>
        <w:rPr>
          <w:rFonts w:hint="eastAsia" w:ascii="宋体" w:hAnsi="宋体" w:cs="楷体_GB2312"/>
          <w:color w:val="auto"/>
          <w:sz w:val="24"/>
          <w:lang w:val="zh-CN"/>
        </w:rPr>
      </w:pPr>
    </w:p>
    <w:p w14:paraId="0FB13620">
      <w:pPr>
        <w:widowControl w:val="0"/>
        <w:adjustRightInd w:val="0"/>
        <w:snapToGrid w:val="0"/>
        <w:spacing w:before="120" w:beforeLines="50" w:line="300" w:lineRule="auto"/>
        <w:ind w:firstLine="561"/>
        <w:outlineLvl w:val="1"/>
        <w:rPr>
          <w:rFonts w:hint="eastAsia" w:ascii="黑体" w:hAnsi="黑体" w:eastAsia="黑体" w:cs="楷体_GB2312"/>
          <w:b/>
          <w:bCs/>
          <w:color w:val="auto"/>
          <w:sz w:val="28"/>
          <w:szCs w:val="28"/>
          <w:lang w:val="zh-CN"/>
        </w:rPr>
      </w:pPr>
      <w:bookmarkStart w:id="34" w:name="_Toc21755"/>
      <w:bookmarkStart w:id="35" w:name="_Toc58858635"/>
      <w:r>
        <w:rPr>
          <w:rFonts w:hint="eastAsia" w:ascii="黑体" w:hAnsi="黑体" w:eastAsia="黑体" w:cs="楷体_GB2312"/>
          <w:b/>
          <w:bCs/>
          <w:color w:val="auto"/>
          <w:sz w:val="28"/>
          <w:szCs w:val="28"/>
          <w:lang w:val="zh-CN"/>
        </w:rPr>
        <w:t>11. 河南省政府采购合同融资政策告知函</w:t>
      </w:r>
      <w:bookmarkEnd w:id="34"/>
      <w:bookmarkEnd w:id="35"/>
    </w:p>
    <w:p w14:paraId="1C762771">
      <w:pPr>
        <w:widowControl w:val="0"/>
        <w:adjustRightInd w:val="0"/>
        <w:snapToGrid w:val="0"/>
        <w:spacing w:before="120" w:beforeLines="50" w:line="300" w:lineRule="auto"/>
        <w:ind w:firstLine="555"/>
        <w:rPr>
          <w:rFonts w:hint="eastAsia" w:ascii="宋体" w:hAnsi="宋体"/>
          <w:color w:val="auto"/>
          <w:sz w:val="24"/>
          <w:szCs w:val="24"/>
        </w:rPr>
      </w:pPr>
      <w:r>
        <w:rPr>
          <w:rFonts w:hint="eastAsia" w:ascii="宋体" w:hAnsi="宋体"/>
          <w:color w:val="auto"/>
          <w:sz w:val="24"/>
          <w:szCs w:val="24"/>
        </w:rPr>
        <w:t>各供应商：</w:t>
      </w:r>
    </w:p>
    <w:p w14:paraId="7BD3EE44">
      <w:pPr>
        <w:widowControl w:val="0"/>
        <w:adjustRightInd w:val="0"/>
        <w:snapToGrid w:val="0"/>
        <w:spacing w:before="120" w:beforeLines="50" w:line="300" w:lineRule="auto"/>
        <w:ind w:firstLine="555"/>
        <w:rPr>
          <w:rFonts w:hint="eastAsia" w:ascii="宋体" w:hAnsi="宋体"/>
          <w:color w:val="auto"/>
          <w:sz w:val="24"/>
          <w:szCs w:val="24"/>
        </w:rPr>
      </w:pPr>
      <w:r>
        <w:rPr>
          <w:rFonts w:hint="eastAsia" w:ascii="宋体" w:hAnsi="宋体"/>
          <w:color w:val="auto"/>
          <w:sz w:val="24"/>
          <w:szCs w:val="24"/>
        </w:rPr>
        <w:t>欢迎贵公司参与河南省政府采购活动！</w:t>
      </w:r>
    </w:p>
    <w:p w14:paraId="0C68AD34">
      <w:pPr>
        <w:widowControl w:val="0"/>
        <w:adjustRightInd w:val="0"/>
        <w:snapToGrid w:val="0"/>
        <w:spacing w:before="120" w:beforeLines="50" w:line="300" w:lineRule="auto"/>
        <w:ind w:firstLine="555"/>
        <w:rPr>
          <w:rFonts w:hint="eastAsia" w:ascii="宋体" w:hAnsi="宋体"/>
          <w:color w:val="auto"/>
          <w:sz w:val="24"/>
          <w:szCs w:val="24"/>
        </w:rPr>
      </w:pPr>
      <w:r>
        <w:rPr>
          <w:rFonts w:hint="eastAsia" w:ascii="宋体" w:hAnsi="宋体"/>
          <w:color w:val="auto"/>
          <w:sz w:val="24"/>
          <w:szCs w:val="24"/>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26C9592B">
      <w:pPr>
        <w:widowControl w:val="0"/>
        <w:adjustRightInd w:val="0"/>
        <w:snapToGrid w:val="0"/>
        <w:spacing w:before="120" w:beforeLines="50" w:line="300" w:lineRule="auto"/>
        <w:ind w:firstLine="555"/>
        <w:rPr>
          <w:rFonts w:hint="eastAsia" w:ascii="宋体" w:hAnsi="宋体"/>
          <w:color w:val="auto"/>
          <w:sz w:val="24"/>
          <w:szCs w:val="24"/>
        </w:rPr>
      </w:pPr>
      <w:r>
        <w:rPr>
          <w:rFonts w:hint="eastAsia" w:ascii="宋体" w:hAnsi="宋体"/>
          <w:color w:val="auto"/>
          <w:sz w:val="24"/>
          <w:szCs w:val="24"/>
        </w:rPr>
        <w:t>贷款渠道和提供贷款的金融机构，可在河南省政府采购网“河南省政府采购合同融资平台”查询联系。</w:t>
      </w:r>
    </w:p>
    <w:p w14:paraId="156E7FB8">
      <w:pPr>
        <w:widowControl w:val="0"/>
        <w:snapToGrid w:val="0"/>
        <w:spacing w:line="560" w:lineRule="exact"/>
        <w:jc w:val="left"/>
        <w:rPr>
          <w:rFonts w:hint="eastAsia" w:ascii="宋体" w:hAnsi="宋体"/>
          <w:b/>
          <w:color w:val="auto"/>
          <w:sz w:val="24"/>
          <w:szCs w:val="24"/>
          <w:highlight w:val="cyan"/>
        </w:rPr>
      </w:pPr>
      <w:r>
        <w:rPr>
          <w:rFonts w:eastAsia="黑体"/>
          <w:b/>
          <w:color w:val="auto"/>
          <w:sz w:val="44"/>
        </w:rPr>
        <w:br w:type="page"/>
      </w:r>
      <w:bookmarkStart w:id="36" w:name="_Toc423723402"/>
    </w:p>
    <w:p w14:paraId="4B26790E">
      <w:pPr>
        <w:widowControl w:val="0"/>
        <w:snapToGrid w:val="0"/>
        <w:spacing w:line="360" w:lineRule="auto"/>
        <w:ind w:firstLine="567"/>
        <w:jc w:val="center"/>
        <w:outlineLvl w:val="0"/>
        <w:rPr>
          <w:rFonts w:hint="eastAsia" w:ascii="黑体" w:hAnsi="黑体" w:eastAsia="黑体"/>
          <w:b/>
          <w:color w:val="auto"/>
          <w:sz w:val="36"/>
          <w:szCs w:val="36"/>
          <w:lang w:val="zh-CN"/>
        </w:rPr>
      </w:pPr>
      <w:bookmarkStart w:id="37" w:name="_Toc5141"/>
      <w:r>
        <w:rPr>
          <w:rFonts w:hint="eastAsia" w:ascii="黑体" w:hAnsi="黑体" w:eastAsia="黑体"/>
          <w:b/>
          <w:color w:val="auto"/>
          <w:sz w:val="36"/>
          <w:szCs w:val="36"/>
          <w:lang w:val="zh-CN"/>
        </w:rPr>
        <w:t>第四章</w:t>
      </w:r>
      <w:r>
        <w:rPr>
          <w:rFonts w:ascii="黑体" w:hAnsi="黑体" w:eastAsia="黑体"/>
          <w:b/>
          <w:color w:val="auto"/>
          <w:sz w:val="36"/>
          <w:szCs w:val="36"/>
          <w:lang w:val="zh-CN"/>
        </w:rPr>
        <w:t xml:space="preserve">  </w:t>
      </w:r>
      <w:r>
        <w:rPr>
          <w:rFonts w:hint="eastAsia" w:ascii="黑体" w:hAnsi="黑体" w:eastAsia="黑体"/>
          <w:b/>
          <w:color w:val="auto"/>
          <w:sz w:val="36"/>
          <w:szCs w:val="36"/>
          <w:lang w:val="zh-CN"/>
        </w:rPr>
        <w:t>评审办法</w:t>
      </w:r>
      <w:bookmarkEnd w:id="36"/>
      <w:bookmarkEnd w:id="37"/>
    </w:p>
    <w:p w14:paraId="1DFEE54E">
      <w:pPr>
        <w:widowControl w:val="0"/>
        <w:snapToGrid w:val="0"/>
        <w:spacing w:line="360" w:lineRule="auto"/>
        <w:ind w:firstLine="567"/>
        <w:jc w:val="center"/>
        <w:outlineLvl w:val="0"/>
        <w:rPr>
          <w:b/>
          <w:color w:val="auto"/>
          <w:sz w:val="24"/>
          <w:szCs w:val="24"/>
        </w:rPr>
      </w:pPr>
    </w:p>
    <w:p w14:paraId="56AFA54B">
      <w:pPr>
        <w:spacing w:line="500" w:lineRule="exact"/>
        <w:jc w:val="left"/>
        <w:outlineLvl w:val="1"/>
        <w:rPr>
          <w:rFonts w:hint="eastAsia" w:ascii="黑体" w:hAnsi="黑体" w:eastAsia="黑体"/>
          <w:b/>
          <w:color w:val="auto"/>
          <w:sz w:val="28"/>
          <w:szCs w:val="28"/>
          <w:lang w:val="zh-CN"/>
        </w:rPr>
      </w:pPr>
      <w:bookmarkStart w:id="38" w:name="_Toc4695"/>
      <w:r>
        <w:rPr>
          <w:rFonts w:hint="eastAsia" w:ascii="黑体" w:hAnsi="黑体" w:eastAsia="黑体"/>
          <w:b/>
          <w:color w:val="auto"/>
          <w:sz w:val="28"/>
          <w:szCs w:val="28"/>
        </w:rPr>
        <w:t>评审办法前附表</w:t>
      </w:r>
      <w:bookmarkEnd w:id="38"/>
    </w:p>
    <w:tbl>
      <w:tblPr>
        <w:tblStyle w:val="19"/>
        <w:tblW w:w="100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4"/>
        <w:gridCol w:w="560"/>
        <w:gridCol w:w="960"/>
        <w:gridCol w:w="2217"/>
        <w:gridCol w:w="5736"/>
      </w:tblGrid>
      <w:tr w14:paraId="3EC59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124" w:type="dxa"/>
            <w:gridSpan w:val="2"/>
            <w:vAlign w:val="center"/>
          </w:tcPr>
          <w:p w14:paraId="2B6524C9">
            <w:pPr>
              <w:pStyle w:val="51"/>
              <w:jc w:val="center"/>
              <w:rPr>
                <w:rFonts w:hint="eastAsia" w:hAnsi="宋体"/>
                <w:b/>
                <w:color w:val="auto"/>
                <w:szCs w:val="24"/>
              </w:rPr>
            </w:pPr>
            <w:r>
              <w:rPr>
                <w:rFonts w:hint="eastAsia" w:hAnsi="宋体"/>
                <w:b/>
                <w:color w:val="auto"/>
                <w:szCs w:val="24"/>
              </w:rPr>
              <w:t>条款号</w:t>
            </w:r>
          </w:p>
        </w:tc>
        <w:tc>
          <w:tcPr>
            <w:tcW w:w="3177" w:type="dxa"/>
            <w:gridSpan w:val="2"/>
            <w:vAlign w:val="center"/>
          </w:tcPr>
          <w:p w14:paraId="6240F421">
            <w:pPr>
              <w:pStyle w:val="51"/>
              <w:jc w:val="center"/>
              <w:rPr>
                <w:rFonts w:hint="eastAsia" w:hAnsi="宋体"/>
                <w:b/>
                <w:color w:val="auto"/>
                <w:szCs w:val="24"/>
              </w:rPr>
            </w:pPr>
            <w:r>
              <w:rPr>
                <w:rFonts w:hint="eastAsia" w:hAnsi="宋体"/>
                <w:b/>
                <w:color w:val="auto"/>
                <w:szCs w:val="24"/>
              </w:rPr>
              <w:t>评审因素</w:t>
            </w:r>
          </w:p>
        </w:tc>
        <w:tc>
          <w:tcPr>
            <w:tcW w:w="5736" w:type="dxa"/>
            <w:vAlign w:val="center"/>
          </w:tcPr>
          <w:p w14:paraId="70E29045">
            <w:pPr>
              <w:pStyle w:val="51"/>
              <w:jc w:val="center"/>
              <w:rPr>
                <w:rFonts w:hint="eastAsia" w:hAnsi="宋体"/>
                <w:b/>
                <w:color w:val="auto"/>
                <w:szCs w:val="24"/>
              </w:rPr>
            </w:pPr>
            <w:r>
              <w:rPr>
                <w:rFonts w:hint="eastAsia" w:hAnsi="宋体"/>
                <w:b/>
                <w:color w:val="auto"/>
                <w:szCs w:val="24"/>
              </w:rPr>
              <w:t>评审标准</w:t>
            </w:r>
          </w:p>
        </w:tc>
      </w:tr>
      <w:tr w14:paraId="750C2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4" w:hRule="atLeast"/>
          <w:jc w:val="center"/>
        </w:trPr>
        <w:tc>
          <w:tcPr>
            <w:tcW w:w="564" w:type="dxa"/>
            <w:vMerge w:val="restart"/>
            <w:vAlign w:val="center"/>
          </w:tcPr>
          <w:p w14:paraId="3C72F90F">
            <w:pPr>
              <w:pStyle w:val="51"/>
              <w:spacing w:line="360" w:lineRule="auto"/>
              <w:ind w:right="-101" w:rightChars="-48"/>
              <w:jc w:val="center"/>
              <w:rPr>
                <w:rFonts w:hint="eastAsia" w:hAnsi="宋体"/>
                <w:color w:val="auto"/>
                <w:szCs w:val="24"/>
              </w:rPr>
            </w:pPr>
            <w:r>
              <w:rPr>
                <w:rFonts w:hAnsi="宋体"/>
                <w:color w:val="auto"/>
                <w:szCs w:val="24"/>
              </w:rPr>
              <w:t>2.1.1</w:t>
            </w:r>
          </w:p>
        </w:tc>
        <w:tc>
          <w:tcPr>
            <w:tcW w:w="560" w:type="dxa"/>
            <w:vMerge w:val="restart"/>
            <w:vAlign w:val="center"/>
          </w:tcPr>
          <w:p w14:paraId="21C99269">
            <w:pPr>
              <w:pStyle w:val="51"/>
              <w:jc w:val="center"/>
              <w:rPr>
                <w:rFonts w:hint="eastAsia" w:hAnsi="宋体"/>
                <w:color w:val="auto"/>
                <w:szCs w:val="24"/>
              </w:rPr>
            </w:pPr>
            <w:r>
              <w:rPr>
                <w:rFonts w:hint="eastAsia" w:hAnsi="宋体"/>
                <w:color w:val="auto"/>
                <w:szCs w:val="24"/>
              </w:rPr>
              <w:t>资</w:t>
            </w:r>
          </w:p>
          <w:p w14:paraId="4D029771">
            <w:pPr>
              <w:pStyle w:val="51"/>
              <w:jc w:val="center"/>
              <w:rPr>
                <w:rFonts w:hint="eastAsia" w:hAnsi="宋体"/>
                <w:color w:val="auto"/>
                <w:szCs w:val="24"/>
              </w:rPr>
            </w:pPr>
            <w:r>
              <w:rPr>
                <w:rFonts w:hint="eastAsia" w:hAnsi="宋体"/>
                <w:color w:val="auto"/>
                <w:szCs w:val="24"/>
              </w:rPr>
              <w:t>格</w:t>
            </w:r>
          </w:p>
          <w:p w14:paraId="7778A6F5">
            <w:pPr>
              <w:pStyle w:val="51"/>
              <w:jc w:val="center"/>
              <w:rPr>
                <w:rFonts w:hint="eastAsia" w:hAnsi="宋体"/>
                <w:color w:val="auto"/>
                <w:szCs w:val="24"/>
              </w:rPr>
            </w:pPr>
            <w:r>
              <w:rPr>
                <w:rFonts w:hint="eastAsia" w:hAnsi="宋体"/>
                <w:color w:val="auto"/>
                <w:szCs w:val="24"/>
              </w:rPr>
              <w:t>性</w:t>
            </w:r>
          </w:p>
          <w:p w14:paraId="6AAA0E32">
            <w:pPr>
              <w:pStyle w:val="51"/>
              <w:jc w:val="center"/>
              <w:rPr>
                <w:rFonts w:hint="eastAsia" w:hAnsi="宋体"/>
                <w:color w:val="auto"/>
                <w:szCs w:val="24"/>
              </w:rPr>
            </w:pPr>
            <w:r>
              <w:rPr>
                <w:rFonts w:hint="eastAsia" w:hAnsi="宋体"/>
                <w:color w:val="auto"/>
                <w:szCs w:val="24"/>
              </w:rPr>
              <w:t>审</w:t>
            </w:r>
          </w:p>
          <w:p w14:paraId="18EF847C">
            <w:pPr>
              <w:pStyle w:val="51"/>
              <w:jc w:val="center"/>
              <w:rPr>
                <w:rFonts w:hint="eastAsia" w:hAnsi="宋体"/>
                <w:color w:val="auto"/>
                <w:szCs w:val="24"/>
              </w:rPr>
            </w:pPr>
            <w:r>
              <w:rPr>
                <w:rFonts w:hint="eastAsia" w:hAnsi="宋体"/>
                <w:color w:val="auto"/>
                <w:szCs w:val="24"/>
              </w:rPr>
              <w:t>查</w:t>
            </w:r>
          </w:p>
        </w:tc>
        <w:tc>
          <w:tcPr>
            <w:tcW w:w="3177" w:type="dxa"/>
            <w:gridSpan w:val="2"/>
            <w:vAlign w:val="center"/>
          </w:tcPr>
          <w:p w14:paraId="37BA473D">
            <w:pPr>
              <w:widowControl w:val="0"/>
              <w:snapToGrid w:val="0"/>
              <w:spacing w:line="240" w:lineRule="auto"/>
              <w:rPr>
                <w:rFonts w:ascii="宋体"/>
                <w:color w:val="auto"/>
                <w:sz w:val="24"/>
                <w:szCs w:val="24"/>
              </w:rPr>
            </w:pPr>
            <w:r>
              <w:rPr>
                <w:rFonts w:hint="eastAsia"/>
                <w:color w:val="auto"/>
                <w:sz w:val="24"/>
                <w:szCs w:val="24"/>
              </w:rPr>
              <w:t>第一章“竞争性磋商公告”第</w:t>
            </w:r>
            <w:r>
              <w:rPr>
                <w:color w:val="auto"/>
                <w:sz w:val="24"/>
                <w:szCs w:val="24"/>
              </w:rPr>
              <w:t>2</w:t>
            </w:r>
            <w:r>
              <w:rPr>
                <w:rFonts w:hint="eastAsia"/>
                <w:color w:val="auto"/>
                <w:sz w:val="24"/>
                <w:szCs w:val="24"/>
              </w:rPr>
              <w:t>条各项资格要求</w:t>
            </w:r>
          </w:p>
        </w:tc>
        <w:tc>
          <w:tcPr>
            <w:tcW w:w="5736" w:type="dxa"/>
            <w:vAlign w:val="center"/>
          </w:tcPr>
          <w:p w14:paraId="004BBFDD">
            <w:pPr>
              <w:widowControl w:val="0"/>
              <w:snapToGrid w:val="0"/>
              <w:spacing w:line="240" w:lineRule="auto"/>
              <w:rPr>
                <w:rFonts w:ascii="宋体"/>
                <w:color w:val="auto"/>
                <w:sz w:val="24"/>
                <w:szCs w:val="24"/>
              </w:rPr>
            </w:pPr>
            <w:r>
              <w:rPr>
                <w:rFonts w:hint="eastAsia" w:ascii="宋体" w:hAnsi="宋体"/>
                <w:color w:val="auto"/>
                <w:sz w:val="24"/>
                <w:szCs w:val="24"/>
              </w:rPr>
              <w:t>符合第一章“竞争性磋商公告”第</w:t>
            </w:r>
            <w:r>
              <w:rPr>
                <w:rFonts w:ascii="宋体" w:hAnsi="宋体"/>
                <w:color w:val="auto"/>
                <w:sz w:val="24"/>
                <w:szCs w:val="24"/>
              </w:rPr>
              <w:t>2</w:t>
            </w:r>
            <w:r>
              <w:rPr>
                <w:rFonts w:hint="eastAsia" w:ascii="宋体" w:hAnsi="宋体"/>
                <w:color w:val="auto"/>
                <w:sz w:val="24"/>
                <w:szCs w:val="24"/>
              </w:rPr>
              <w:t>条各项</w:t>
            </w:r>
            <w:r>
              <w:rPr>
                <w:rFonts w:hint="eastAsia"/>
                <w:color w:val="auto"/>
                <w:sz w:val="24"/>
                <w:szCs w:val="24"/>
              </w:rPr>
              <w:t>资格要求所需证件材料及证明材料</w:t>
            </w:r>
          </w:p>
        </w:tc>
      </w:tr>
      <w:tr w14:paraId="0044F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564" w:type="dxa"/>
            <w:vMerge w:val="continue"/>
            <w:vAlign w:val="center"/>
          </w:tcPr>
          <w:p w14:paraId="6E2BE736">
            <w:pPr>
              <w:pStyle w:val="51"/>
              <w:spacing w:line="360" w:lineRule="auto"/>
              <w:jc w:val="center"/>
              <w:rPr>
                <w:rFonts w:hint="eastAsia" w:hAnsi="宋体"/>
                <w:color w:val="auto"/>
                <w:szCs w:val="24"/>
              </w:rPr>
            </w:pPr>
          </w:p>
        </w:tc>
        <w:tc>
          <w:tcPr>
            <w:tcW w:w="560" w:type="dxa"/>
            <w:vMerge w:val="continue"/>
            <w:vAlign w:val="center"/>
          </w:tcPr>
          <w:p w14:paraId="2551FE53">
            <w:pPr>
              <w:pStyle w:val="51"/>
              <w:spacing w:line="360" w:lineRule="auto"/>
              <w:jc w:val="center"/>
              <w:rPr>
                <w:rFonts w:hint="eastAsia" w:hAnsi="宋体"/>
                <w:color w:val="auto"/>
                <w:szCs w:val="24"/>
              </w:rPr>
            </w:pPr>
          </w:p>
        </w:tc>
        <w:tc>
          <w:tcPr>
            <w:tcW w:w="3177" w:type="dxa"/>
            <w:gridSpan w:val="2"/>
            <w:vAlign w:val="center"/>
          </w:tcPr>
          <w:p w14:paraId="55968BCB">
            <w:pPr>
              <w:widowControl w:val="0"/>
              <w:snapToGrid w:val="0"/>
              <w:spacing w:line="240" w:lineRule="auto"/>
              <w:rPr>
                <w:color w:val="auto"/>
                <w:sz w:val="24"/>
                <w:szCs w:val="24"/>
              </w:rPr>
            </w:pPr>
            <w:r>
              <w:rPr>
                <w:rFonts w:hint="eastAsia"/>
                <w:color w:val="auto"/>
                <w:sz w:val="24"/>
                <w:szCs w:val="24"/>
              </w:rPr>
              <w:t>投标承诺函</w:t>
            </w:r>
          </w:p>
          <w:p w14:paraId="0B7DDC31">
            <w:pPr>
              <w:rPr>
                <w:color w:val="auto"/>
                <w:sz w:val="24"/>
                <w:szCs w:val="24"/>
              </w:rPr>
            </w:pPr>
            <w:r>
              <w:rPr>
                <w:rFonts w:hint="eastAsia"/>
                <w:color w:val="auto"/>
                <w:sz w:val="24"/>
                <w:szCs w:val="24"/>
              </w:rPr>
              <w:t>(替代投标保证金)</w:t>
            </w:r>
          </w:p>
        </w:tc>
        <w:tc>
          <w:tcPr>
            <w:tcW w:w="5736" w:type="dxa"/>
            <w:vAlign w:val="center"/>
          </w:tcPr>
          <w:p w14:paraId="7674F76C">
            <w:pPr>
              <w:widowControl w:val="0"/>
              <w:snapToGrid w:val="0"/>
              <w:spacing w:line="240" w:lineRule="auto"/>
              <w:rPr>
                <w:rFonts w:ascii="宋体"/>
                <w:color w:val="auto"/>
                <w:sz w:val="24"/>
                <w:szCs w:val="24"/>
              </w:rPr>
            </w:pPr>
            <w:r>
              <w:rPr>
                <w:rFonts w:hint="eastAsia" w:ascii="宋体" w:hAnsi="宋体"/>
                <w:color w:val="auto"/>
                <w:sz w:val="24"/>
                <w:szCs w:val="24"/>
              </w:rPr>
              <w:t>符合第三章“供应商须知”</w:t>
            </w:r>
            <w:r>
              <w:rPr>
                <w:rFonts w:ascii="宋体" w:hAnsi="宋体"/>
                <w:color w:val="auto"/>
                <w:sz w:val="24"/>
                <w:szCs w:val="24"/>
              </w:rPr>
              <w:t>3.5</w:t>
            </w:r>
            <w:r>
              <w:rPr>
                <w:rFonts w:hint="eastAsia" w:ascii="宋体" w:hAnsi="宋体"/>
                <w:color w:val="auto"/>
                <w:sz w:val="24"/>
                <w:szCs w:val="24"/>
              </w:rPr>
              <w:t>款规定</w:t>
            </w:r>
          </w:p>
        </w:tc>
      </w:tr>
      <w:tr w14:paraId="7D04C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jc w:val="center"/>
        </w:trPr>
        <w:tc>
          <w:tcPr>
            <w:tcW w:w="564" w:type="dxa"/>
            <w:vMerge w:val="continue"/>
            <w:vAlign w:val="center"/>
          </w:tcPr>
          <w:p w14:paraId="6FBFF266">
            <w:pPr>
              <w:pStyle w:val="51"/>
              <w:spacing w:line="360" w:lineRule="auto"/>
              <w:jc w:val="center"/>
              <w:rPr>
                <w:rFonts w:hint="eastAsia" w:hAnsi="宋体"/>
                <w:color w:val="auto"/>
                <w:szCs w:val="24"/>
              </w:rPr>
            </w:pPr>
          </w:p>
        </w:tc>
        <w:tc>
          <w:tcPr>
            <w:tcW w:w="560" w:type="dxa"/>
            <w:vMerge w:val="continue"/>
            <w:vAlign w:val="center"/>
          </w:tcPr>
          <w:p w14:paraId="31C32865">
            <w:pPr>
              <w:pStyle w:val="51"/>
              <w:spacing w:line="360" w:lineRule="auto"/>
              <w:jc w:val="center"/>
              <w:rPr>
                <w:rFonts w:hint="eastAsia" w:hAnsi="宋体"/>
                <w:color w:val="auto"/>
                <w:szCs w:val="24"/>
              </w:rPr>
            </w:pPr>
          </w:p>
        </w:tc>
        <w:tc>
          <w:tcPr>
            <w:tcW w:w="3177" w:type="dxa"/>
            <w:gridSpan w:val="2"/>
            <w:vAlign w:val="center"/>
          </w:tcPr>
          <w:p w14:paraId="26F17DCA">
            <w:pPr>
              <w:widowControl w:val="0"/>
              <w:snapToGrid w:val="0"/>
              <w:spacing w:line="240" w:lineRule="auto"/>
              <w:rPr>
                <w:color w:val="auto"/>
                <w:sz w:val="24"/>
                <w:szCs w:val="24"/>
              </w:rPr>
            </w:pPr>
            <w:r>
              <w:rPr>
                <w:rFonts w:hint="eastAsia"/>
                <w:color w:val="auto"/>
                <w:sz w:val="24"/>
                <w:szCs w:val="24"/>
              </w:rPr>
              <w:t>联合体（如有）</w:t>
            </w:r>
          </w:p>
        </w:tc>
        <w:tc>
          <w:tcPr>
            <w:tcW w:w="5736" w:type="dxa"/>
            <w:vAlign w:val="center"/>
          </w:tcPr>
          <w:p w14:paraId="197372B8">
            <w:pPr>
              <w:widowControl w:val="0"/>
              <w:snapToGrid w:val="0"/>
              <w:spacing w:line="240" w:lineRule="auto"/>
              <w:rPr>
                <w:rFonts w:ascii="宋体"/>
                <w:color w:val="auto"/>
                <w:sz w:val="24"/>
                <w:szCs w:val="24"/>
              </w:rPr>
            </w:pPr>
            <w:r>
              <w:rPr>
                <w:rFonts w:hint="eastAsia" w:ascii="宋体" w:hAnsi="宋体"/>
                <w:color w:val="auto"/>
                <w:sz w:val="24"/>
                <w:szCs w:val="24"/>
              </w:rPr>
              <w:t>符合第三章“供应商须知”</w:t>
            </w:r>
            <w:r>
              <w:rPr>
                <w:rFonts w:ascii="宋体" w:hAnsi="宋体"/>
                <w:color w:val="auto"/>
                <w:sz w:val="24"/>
                <w:szCs w:val="24"/>
              </w:rPr>
              <w:t>1.4</w:t>
            </w:r>
            <w:r>
              <w:rPr>
                <w:rFonts w:hint="eastAsia" w:ascii="宋体" w:hAnsi="宋体"/>
                <w:color w:val="auto"/>
                <w:sz w:val="24"/>
                <w:szCs w:val="24"/>
              </w:rPr>
              <w:t>款规定</w:t>
            </w:r>
          </w:p>
        </w:tc>
      </w:tr>
      <w:tr w14:paraId="52225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atLeast"/>
          <w:jc w:val="center"/>
        </w:trPr>
        <w:tc>
          <w:tcPr>
            <w:tcW w:w="564" w:type="dxa"/>
            <w:vMerge w:val="restart"/>
            <w:vAlign w:val="center"/>
          </w:tcPr>
          <w:p w14:paraId="3BB2E002">
            <w:pPr>
              <w:pStyle w:val="51"/>
              <w:spacing w:line="360" w:lineRule="auto"/>
              <w:ind w:right="-160" w:rightChars="-76"/>
              <w:jc w:val="center"/>
              <w:rPr>
                <w:rFonts w:hint="eastAsia" w:hAnsi="宋体"/>
                <w:color w:val="auto"/>
                <w:szCs w:val="24"/>
              </w:rPr>
            </w:pPr>
            <w:r>
              <w:rPr>
                <w:rFonts w:hAnsi="宋体"/>
                <w:color w:val="auto"/>
                <w:szCs w:val="24"/>
              </w:rPr>
              <w:t>2.1.2</w:t>
            </w:r>
          </w:p>
        </w:tc>
        <w:tc>
          <w:tcPr>
            <w:tcW w:w="560" w:type="dxa"/>
            <w:vMerge w:val="restart"/>
            <w:vAlign w:val="center"/>
          </w:tcPr>
          <w:p w14:paraId="584882AB">
            <w:pPr>
              <w:pStyle w:val="51"/>
              <w:spacing w:line="360" w:lineRule="auto"/>
              <w:jc w:val="center"/>
              <w:rPr>
                <w:rFonts w:hint="eastAsia" w:hAnsi="宋体"/>
                <w:color w:val="auto"/>
                <w:szCs w:val="24"/>
              </w:rPr>
            </w:pPr>
            <w:r>
              <w:rPr>
                <w:rFonts w:hint="eastAsia" w:hAnsi="宋体"/>
                <w:color w:val="auto"/>
                <w:szCs w:val="24"/>
              </w:rPr>
              <w:t>符</w:t>
            </w:r>
          </w:p>
          <w:p w14:paraId="70C9C112">
            <w:pPr>
              <w:pStyle w:val="51"/>
              <w:spacing w:line="360" w:lineRule="auto"/>
              <w:jc w:val="center"/>
              <w:rPr>
                <w:rFonts w:hint="eastAsia" w:hAnsi="宋体"/>
                <w:color w:val="auto"/>
                <w:szCs w:val="24"/>
              </w:rPr>
            </w:pPr>
            <w:r>
              <w:rPr>
                <w:rFonts w:hint="eastAsia" w:hAnsi="宋体"/>
                <w:color w:val="auto"/>
                <w:szCs w:val="24"/>
              </w:rPr>
              <w:t>合</w:t>
            </w:r>
          </w:p>
          <w:p w14:paraId="0700BF69">
            <w:pPr>
              <w:pStyle w:val="51"/>
              <w:spacing w:line="360" w:lineRule="auto"/>
              <w:jc w:val="center"/>
              <w:rPr>
                <w:rFonts w:hint="eastAsia" w:hAnsi="宋体"/>
                <w:color w:val="auto"/>
                <w:szCs w:val="24"/>
              </w:rPr>
            </w:pPr>
            <w:r>
              <w:rPr>
                <w:rFonts w:hint="eastAsia" w:hAnsi="宋体"/>
                <w:color w:val="auto"/>
                <w:szCs w:val="24"/>
              </w:rPr>
              <w:t>性</w:t>
            </w:r>
          </w:p>
          <w:p w14:paraId="42BBD9F7">
            <w:pPr>
              <w:pStyle w:val="51"/>
              <w:spacing w:line="360" w:lineRule="auto"/>
              <w:jc w:val="center"/>
              <w:rPr>
                <w:rFonts w:hint="eastAsia" w:hAnsi="宋体"/>
                <w:color w:val="auto"/>
                <w:szCs w:val="24"/>
              </w:rPr>
            </w:pPr>
            <w:r>
              <w:rPr>
                <w:rFonts w:hint="eastAsia" w:hAnsi="宋体"/>
                <w:color w:val="auto"/>
                <w:szCs w:val="24"/>
              </w:rPr>
              <w:t>审</w:t>
            </w:r>
          </w:p>
          <w:p w14:paraId="3BA5A2C3">
            <w:pPr>
              <w:pStyle w:val="51"/>
              <w:spacing w:line="360" w:lineRule="auto"/>
              <w:jc w:val="center"/>
              <w:rPr>
                <w:rFonts w:hint="eastAsia" w:hAnsi="宋体"/>
                <w:color w:val="auto"/>
                <w:szCs w:val="24"/>
              </w:rPr>
            </w:pPr>
            <w:r>
              <w:rPr>
                <w:rFonts w:hint="eastAsia" w:hAnsi="宋体"/>
                <w:color w:val="auto"/>
                <w:szCs w:val="24"/>
              </w:rPr>
              <w:t>查</w:t>
            </w:r>
          </w:p>
        </w:tc>
        <w:tc>
          <w:tcPr>
            <w:tcW w:w="960" w:type="dxa"/>
            <w:vMerge w:val="restart"/>
            <w:vAlign w:val="center"/>
          </w:tcPr>
          <w:p w14:paraId="5C61D7FF">
            <w:pPr>
              <w:pStyle w:val="51"/>
              <w:adjustRightInd/>
              <w:snapToGrid w:val="0"/>
              <w:jc w:val="center"/>
              <w:rPr>
                <w:rFonts w:hint="eastAsia" w:hAnsi="宋体"/>
                <w:color w:val="auto"/>
                <w:szCs w:val="24"/>
              </w:rPr>
            </w:pPr>
            <w:r>
              <w:rPr>
                <w:rFonts w:hint="eastAsia" w:hAnsi="宋体"/>
                <w:color w:val="auto"/>
                <w:szCs w:val="24"/>
              </w:rPr>
              <w:t>有效性</w:t>
            </w:r>
          </w:p>
        </w:tc>
        <w:tc>
          <w:tcPr>
            <w:tcW w:w="2217" w:type="dxa"/>
            <w:vAlign w:val="center"/>
          </w:tcPr>
          <w:p w14:paraId="30A84494">
            <w:pPr>
              <w:pStyle w:val="51"/>
              <w:adjustRightInd/>
              <w:snapToGrid w:val="0"/>
              <w:jc w:val="center"/>
              <w:rPr>
                <w:rFonts w:hint="eastAsia" w:hAnsi="宋体"/>
                <w:color w:val="auto"/>
                <w:szCs w:val="24"/>
              </w:rPr>
            </w:pPr>
            <w:r>
              <w:rPr>
                <w:rFonts w:hint="eastAsia" w:hAnsi="宋体"/>
                <w:color w:val="auto"/>
                <w:szCs w:val="24"/>
              </w:rPr>
              <w:t>供应商名称</w:t>
            </w:r>
          </w:p>
        </w:tc>
        <w:tc>
          <w:tcPr>
            <w:tcW w:w="5736" w:type="dxa"/>
            <w:vAlign w:val="center"/>
          </w:tcPr>
          <w:p w14:paraId="425BADAB">
            <w:pPr>
              <w:pStyle w:val="51"/>
              <w:adjustRightInd/>
              <w:snapToGrid w:val="0"/>
              <w:rPr>
                <w:rFonts w:hint="eastAsia" w:hAnsi="宋体"/>
                <w:color w:val="auto"/>
                <w:szCs w:val="24"/>
              </w:rPr>
            </w:pPr>
            <w:r>
              <w:rPr>
                <w:rFonts w:hint="eastAsia" w:hAnsi="宋体"/>
                <w:color w:val="auto"/>
                <w:szCs w:val="24"/>
              </w:rPr>
              <w:t>与营业执照证等证照及签章一致</w:t>
            </w:r>
          </w:p>
        </w:tc>
      </w:tr>
      <w:tr w14:paraId="3177C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atLeast"/>
          <w:jc w:val="center"/>
        </w:trPr>
        <w:tc>
          <w:tcPr>
            <w:tcW w:w="564" w:type="dxa"/>
            <w:vMerge w:val="continue"/>
            <w:vAlign w:val="center"/>
          </w:tcPr>
          <w:p w14:paraId="09D858EA">
            <w:pPr>
              <w:pStyle w:val="51"/>
              <w:spacing w:line="360" w:lineRule="auto"/>
              <w:jc w:val="center"/>
              <w:rPr>
                <w:rFonts w:hint="eastAsia" w:hAnsi="宋体"/>
                <w:color w:val="auto"/>
                <w:szCs w:val="24"/>
              </w:rPr>
            </w:pPr>
          </w:p>
        </w:tc>
        <w:tc>
          <w:tcPr>
            <w:tcW w:w="560" w:type="dxa"/>
            <w:vMerge w:val="continue"/>
            <w:vAlign w:val="center"/>
          </w:tcPr>
          <w:p w14:paraId="4BD7B7EA">
            <w:pPr>
              <w:pStyle w:val="51"/>
              <w:spacing w:line="360" w:lineRule="auto"/>
              <w:jc w:val="center"/>
              <w:rPr>
                <w:rFonts w:hint="eastAsia" w:hAnsi="宋体"/>
                <w:color w:val="auto"/>
                <w:szCs w:val="24"/>
              </w:rPr>
            </w:pPr>
          </w:p>
        </w:tc>
        <w:tc>
          <w:tcPr>
            <w:tcW w:w="960" w:type="dxa"/>
            <w:vMerge w:val="continue"/>
            <w:vAlign w:val="center"/>
          </w:tcPr>
          <w:p w14:paraId="2DB75A9C">
            <w:pPr>
              <w:pStyle w:val="51"/>
              <w:adjustRightInd/>
              <w:snapToGrid w:val="0"/>
              <w:jc w:val="center"/>
              <w:rPr>
                <w:rFonts w:hint="eastAsia" w:hAnsi="宋体"/>
                <w:color w:val="auto"/>
                <w:szCs w:val="24"/>
              </w:rPr>
            </w:pPr>
          </w:p>
        </w:tc>
        <w:tc>
          <w:tcPr>
            <w:tcW w:w="2217" w:type="dxa"/>
            <w:vAlign w:val="center"/>
          </w:tcPr>
          <w:p w14:paraId="6E1BDAE6">
            <w:pPr>
              <w:pStyle w:val="51"/>
              <w:adjustRightInd/>
              <w:snapToGrid w:val="0"/>
              <w:jc w:val="center"/>
              <w:rPr>
                <w:rFonts w:hint="eastAsia" w:hAnsi="宋体"/>
                <w:color w:val="auto"/>
                <w:szCs w:val="24"/>
              </w:rPr>
            </w:pPr>
            <w:r>
              <w:rPr>
                <w:rFonts w:hint="eastAsia" w:hAnsi="宋体"/>
                <w:color w:val="auto"/>
                <w:szCs w:val="24"/>
              </w:rPr>
              <w:t>签字或盖章</w:t>
            </w:r>
          </w:p>
        </w:tc>
        <w:tc>
          <w:tcPr>
            <w:tcW w:w="5736" w:type="dxa"/>
            <w:vAlign w:val="center"/>
          </w:tcPr>
          <w:p w14:paraId="3DA9ADA7">
            <w:pPr>
              <w:pStyle w:val="51"/>
              <w:adjustRightInd/>
              <w:snapToGrid w:val="0"/>
              <w:rPr>
                <w:rFonts w:hint="eastAsia" w:hAnsi="宋体"/>
                <w:color w:val="auto"/>
                <w:szCs w:val="24"/>
              </w:rPr>
            </w:pPr>
            <w:r>
              <w:rPr>
                <w:rFonts w:hint="eastAsia" w:hAnsi="宋体"/>
                <w:color w:val="auto"/>
                <w:szCs w:val="24"/>
              </w:rPr>
              <w:t>符合第三章“供应商须知”</w:t>
            </w:r>
            <w:r>
              <w:rPr>
                <w:rFonts w:hAnsi="宋体"/>
                <w:color w:val="auto"/>
                <w:szCs w:val="24"/>
              </w:rPr>
              <w:t>3.7.</w:t>
            </w:r>
            <w:r>
              <w:rPr>
                <w:rFonts w:hint="eastAsia" w:hAnsi="宋体"/>
                <w:color w:val="auto"/>
                <w:szCs w:val="24"/>
              </w:rPr>
              <w:t>4项规定</w:t>
            </w:r>
          </w:p>
        </w:tc>
      </w:tr>
      <w:tr w14:paraId="7181D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jc w:val="center"/>
        </w:trPr>
        <w:tc>
          <w:tcPr>
            <w:tcW w:w="564" w:type="dxa"/>
            <w:vMerge w:val="continue"/>
            <w:vAlign w:val="center"/>
          </w:tcPr>
          <w:p w14:paraId="5A6D7261">
            <w:pPr>
              <w:pStyle w:val="51"/>
              <w:spacing w:line="360" w:lineRule="auto"/>
              <w:jc w:val="center"/>
              <w:rPr>
                <w:rFonts w:hint="eastAsia" w:hAnsi="宋体"/>
                <w:color w:val="auto"/>
                <w:szCs w:val="24"/>
              </w:rPr>
            </w:pPr>
          </w:p>
        </w:tc>
        <w:tc>
          <w:tcPr>
            <w:tcW w:w="560" w:type="dxa"/>
            <w:vMerge w:val="continue"/>
            <w:vAlign w:val="center"/>
          </w:tcPr>
          <w:p w14:paraId="33C9D0D3">
            <w:pPr>
              <w:pStyle w:val="51"/>
              <w:spacing w:line="360" w:lineRule="auto"/>
              <w:jc w:val="center"/>
              <w:rPr>
                <w:rFonts w:hint="eastAsia" w:hAnsi="宋体"/>
                <w:color w:val="auto"/>
                <w:szCs w:val="24"/>
              </w:rPr>
            </w:pPr>
          </w:p>
        </w:tc>
        <w:tc>
          <w:tcPr>
            <w:tcW w:w="960" w:type="dxa"/>
            <w:vAlign w:val="center"/>
          </w:tcPr>
          <w:p w14:paraId="605D0378">
            <w:pPr>
              <w:pStyle w:val="51"/>
              <w:adjustRightInd/>
              <w:snapToGrid w:val="0"/>
              <w:jc w:val="center"/>
              <w:rPr>
                <w:rFonts w:hint="eastAsia" w:hAnsi="宋体"/>
                <w:color w:val="auto"/>
                <w:szCs w:val="24"/>
              </w:rPr>
            </w:pPr>
            <w:r>
              <w:rPr>
                <w:rFonts w:hint="eastAsia" w:hAnsi="宋体"/>
                <w:color w:val="auto"/>
                <w:szCs w:val="24"/>
              </w:rPr>
              <w:t>完整性</w:t>
            </w:r>
          </w:p>
        </w:tc>
        <w:tc>
          <w:tcPr>
            <w:tcW w:w="2217" w:type="dxa"/>
            <w:vAlign w:val="center"/>
          </w:tcPr>
          <w:p w14:paraId="6B5B041C">
            <w:pPr>
              <w:pStyle w:val="51"/>
              <w:adjustRightInd/>
              <w:snapToGrid w:val="0"/>
              <w:jc w:val="center"/>
              <w:rPr>
                <w:rFonts w:hint="eastAsia" w:hAnsi="宋体"/>
                <w:color w:val="auto"/>
                <w:szCs w:val="24"/>
              </w:rPr>
            </w:pPr>
            <w:r>
              <w:rPr>
                <w:rFonts w:hint="eastAsia" w:hAnsi="宋体"/>
                <w:color w:val="auto"/>
                <w:szCs w:val="24"/>
              </w:rPr>
              <w:t>《响应文件》组成</w:t>
            </w:r>
          </w:p>
        </w:tc>
        <w:tc>
          <w:tcPr>
            <w:tcW w:w="5736" w:type="dxa"/>
            <w:vAlign w:val="center"/>
          </w:tcPr>
          <w:p w14:paraId="1DB98722">
            <w:pPr>
              <w:pStyle w:val="51"/>
              <w:adjustRightInd/>
              <w:snapToGrid w:val="0"/>
              <w:rPr>
                <w:rFonts w:hint="eastAsia" w:hAnsi="宋体"/>
                <w:color w:val="auto"/>
                <w:szCs w:val="24"/>
              </w:rPr>
            </w:pPr>
            <w:r>
              <w:rPr>
                <w:rFonts w:hint="eastAsia" w:hAnsi="宋体"/>
                <w:color w:val="auto"/>
                <w:szCs w:val="24"/>
              </w:rPr>
              <w:t>符合第三章“供应商须知”</w:t>
            </w:r>
            <w:r>
              <w:rPr>
                <w:rFonts w:hAnsi="宋体"/>
                <w:color w:val="auto"/>
                <w:szCs w:val="24"/>
              </w:rPr>
              <w:t>3.2</w:t>
            </w:r>
            <w:r>
              <w:rPr>
                <w:rFonts w:hint="eastAsia" w:hAnsi="宋体"/>
                <w:color w:val="auto"/>
                <w:szCs w:val="24"/>
              </w:rPr>
              <w:t>款规定</w:t>
            </w:r>
          </w:p>
        </w:tc>
      </w:tr>
      <w:tr w14:paraId="6364F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jc w:val="center"/>
        </w:trPr>
        <w:tc>
          <w:tcPr>
            <w:tcW w:w="564" w:type="dxa"/>
            <w:vMerge w:val="continue"/>
            <w:vAlign w:val="center"/>
          </w:tcPr>
          <w:p w14:paraId="1D605196">
            <w:pPr>
              <w:pStyle w:val="51"/>
              <w:spacing w:line="360" w:lineRule="auto"/>
              <w:jc w:val="center"/>
              <w:rPr>
                <w:rFonts w:hint="eastAsia" w:hAnsi="宋体"/>
                <w:color w:val="auto"/>
                <w:szCs w:val="24"/>
              </w:rPr>
            </w:pPr>
          </w:p>
        </w:tc>
        <w:tc>
          <w:tcPr>
            <w:tcW w:w="560" w:type="dxa"/>
            <w:vMerge w:val="continue"/>
            <w:vAlign w:val="center"/>
          </w:tcPr>
          <w:p w14:paraId="1326AADB">
            <w:pPr>
              <w:pStyle w:val="51"/>
              <w:spacing w:line="360" w:lineRule="auto"/>
              <w:jc w:val="center"/>
              <w:rPr>
                <w:rFonts w:hint="eastAsia" w:hAnsi="宋体"/>
                <w:color w:val="auto"/>
                <w:szCs w:val="24"/>
              </w:rPr>
            </w:pPr>
          </w:p>
        </w:tc>
        <w:tc>
          <w:tcPr>
            <w:tcW w:w="960" w:type="dxa"/>
            <w:vMerge w:val="restart"/>
            <w:vAlign w:val="center"/>
          </w:tcPr>
          <w:p w14:paraId="4D755259">
            <w:pPr>
              <w:pStyle w:val="51"/>
              <w:snapToGrid w:val="0"/>
              <w:jc w:val="center"/>
              <w:rPr>
                <w:rFonts w:hint="eastAsia" w:hAnsi="宋体"/>
                <w:color w:val="auto"/>
                <w:szCs w:val="24"/>
              </w:rPr>
            </w:pPr>
            <w:r>
              <w:rPr>
                <w:rFonts w:hint="eastAsia" w:hAnsi="宋体"/>
                <w:color w:val="auto"/>
                <w:szCs w:val="24"/>
              </w:rPr>
              <w:t>响应程度</w:t>
            </w:r>
          </w:p>
        </w:tc>
        <w:tc>
          <w:tcPr>
            <w:tcW w:w="2217" w:type="dxa"/>
            <w:vAlign w:val="center"/>
          </w:tcPr>
          <w:p w14:paraId="28E5026A">
            <w:pPr>
              <w:pStyle w:val="51"/>
              <w:adjustRightInd/>
              <w:snapToGrid w:val="0"/>
              <w:jc w:val="center"/>
              <w:rPr>
                <w:rFonts w:hint="eastAsia" w:hAnsi="宋体"/>
                <w:color w:val="auto"/>
                <w:szCs w:val="24"/>
              </w:rPr>
            </w:pPr>
            <w:r>
              <w:rPr>
                <w:rFonts w:hint="eastAsia" w:hAnsi="宋体"/>
                <w:color w:val="auto"/>
                <w:szCs w:val="24"/>
              </w:rPr>
              <w:t>磋商报价</w:t>
            </w:r>
          </w:p>
        </w:tc>
        <w:tc>
          <w:tcPr>
            <w:tcW w:w="5736" w:type="dxa"/>
            <w:vAlign w:val="center"/>
          </w:tcPr>
          <w:p w14:paraId="749A6D6D">
            <w:pPr>
              <w:pStyle w:val="51"/>
              <w:adjustRightInd/>
              <w:snapToGrid w:val="0"/>
              <w:rPr>
                <w:rFonts w:hint="eastAsia" w:hAnsi="宋体"/>
                <w:color w:val="auto"/>
                <w:szCs w:val="24"/>
              </w:rPr>
            </w:pPr>
            <w:r>
              <w:rPr>
                <w:rFonts w:hint="eastAsia" w:hAnsi="宋体"/>
                <w:color w:val="auto"/>
                <w:szCs w:val="24"/>
              </w:rPr>
              <w:t>符合第二章“采购项目及技术服务要求”</w:t>
            </w:r>
            <w:r>
              <w:rPr>
                <w:rFonts w:hAnsi="宋体"/>
                <w:color w:val="auto"/>
                <w:szCs w:val="24"/>
              </w:rPr>
              <w:t>1.3</w:t>
            </w:r>
            <w:r>
              <w:rPr>
                <w:rFonts w:hint="eastAsia" w:hAnsi="宋体"/>
                <w:color w:val="auto"/>
                <w:szCs w:val="24"/>
              </w:rPr>
              <w:t>款规定</w:t>
            </w:r>
          </w:p>
        </w:tc>
      </w:tr>
      <w:tr w14:paraId="5504A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jc w:val="center"/>
        </w:trPr>
        <w:tc>
          <w:tcPr>
            <w:tcW w:w="564" w:type="dxa"/>
            <w:vMerge w:val="continue"/>
            <w:vAlign w:val="center"/>
          </w:tcPr>
          <w:p w14:paraId="3326F4D7">
            <w:pPr>
              <w:pStyle w:val="51"/>
              <w:spacing w:line="360" w:lineRule="auto"/>
              <w:jc w:val="center"/>
              <w:rPr>
                <w:rFonts w:hint="eastAsia" w:hAnsi="宋体"/>
                <w:color w:val="auto"/>
                <w:szCs w:val="24"/>
              </w:rPr>
            </w:pPr>
          </w:p>
        </w:tc>
        <w:tc>
          <w:tcPr>
            <w:tcW w:w="560" w:type="dxa"/>
            <w:vMerge w:val="continue"/>
            <w:vAlign w:val="center"/>
          </w:tcPr>
          <w:p w14:paraId="788BAB14">
            <w:pPr>
              <w:pStyle w:val="51"/>
              <w:spacing w:line="360" w:lineRule="auto"/>
              <w:jc w:val="center"/>
              <w:rPr>
                <w:rFonts w:hint="eastAsia" w:hAnsi="宋体"/>
                <w:color w:val="auto"/>
                <w:szCs w:val="24"/>
              </w:rPr>
            </w:pPr>
          </w:p>
        </w:tc>
        <w:tc>
          <w:tcPr>
            <w:tcW w:w="960" w:type="dxa"/>
            <w:vMerge w:val="continue"/>
            <w:vAlign w:val="center"/>
          </w:tcPr>
          <w:p w14:paraId="212F0957">
            <w:pPr>
              <w:pStyle w:val="51"/>
              <w:snapToGrid w:val="0"/>
              <w:jc w:val="center"/>
              <w:rPr>
                <w:rFonts w:hint="eastAsia" w:hAnsi="宋体"/>
                <w:color w:val="auto"/>
                <w:szCs w:val="24"/>
              </w:rPr>
            </w:pPr>
          </w:p>
        </w:tc>
        <w:tc>
          <w:tcPr>
            <w:tcW w:w="2217" w:type="dxa"/>
            <w:vAlign w:val="center"/>
          </w:tcPr>
          <w:p w14:paraId="248617D0">
            <w:pPr>
              <w:pStyle w:val="51"/>
              <w:adjustRightInd/>
              <w:snapToGrid w:val="0"/>
              <w:jc w:val="center"/>
              <w:rPr>
                <w:rFonts w:hint="eastAsia" w:hAnsi="宋体"/>
                <w:color w:val="auto"/>
                <w:szCs w:val="24"/>
              </w:rPr>
            </w:pPr>
            <w:r>
              <w:rPr>
                <w:rFonts w:hint="eastAsia" w:hAnsi="宋体"/>
                <w:color w:val="auto"/>
                <w:szCs w:val="24"/>
              </w:rPr>
              <w:t>响应内容（范围）</w:t>
            </w:r>
          </w:p>
        </w:tc>
        <w:tc>
          <w:tcPr>
            <w:tcW w:w="5736" w:type="dxa"/>
            <w:vAlign w:val="center"/>
          </w:tcPr>
          <w:p w14:paraId="474C4BCC">
            <w:pPr>
              <w:pStyle w:val="51"/>
              <w:adjustRightInd/>
              <w:snapToGrid w:val="0"/>
              <w:rPr>
                <w:rFonts w:hint="eastAsia" w:hAnsi="宋体"/>
                <w:color w:val="auto"/>
                <w:szCs w:val="24"/>
              </w:rPr>
            </w:pPr>
            <w:r>
              <w:rPr>
                <w:rFonts w:hint="eastAsia" w:hAnsi="宋体"/>
                <w:color w:val="auto"/>
                <w:szCs w:val="24"/>
              </w:rPr>
              <w:t>符合第二章“采购项目及技术服务要求”</w:t>
            </w:r>
            <w:r>
              <w:rPr>
                <w:rFonts w:hAnsi="宋体"/>
                <w:color w:val="auto"/>
                <w:szCs w:val="24"/>
              </w:rPr>
              <w:t>2</w:t>
            </w:r>
            <w:r>
              <w:rPr>
                <w:rFonts w:hint="eastAsia" w:hAnsi="宋体"/>
                <w:color w:val="auto"/>
                <w:szCs w:val="24"/>
              </w:rPr>
              <w:t>条规定</w:t>
            </w:r>
          </w:p>
        </w:tc>
      </w:tr>
      <w:tr w14:paraId="559D1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jc w:val="center"/>
        </w:trPr>
        <w:tc>
          <w:tcPr>
            <w:tcW w:w="564" w:type="dxa"/>
            <w:vMerge w:val="continue"/>
            <w:vAlign w:val="center"/>
          </w:tcPr>
          <w:p w14:paraId="2E2D88D0">
            <w:pPr>
              <w:pStyle w:val="51"/>
              <w:spacing w:line="360" w:lineRule="auto"/>
              <w:jc w:val="center"/>
              <w:rPr>
                <w:rFonts w:hint="eastAsia" w:hAnsi="宋体"/>
                <w:color w:val="auto"/>
                <w:szCs w:val="24"/>
              </w:rPr>
            </w:pPr>
          </w:p>
        </w:tc>
        <w:tc>
          <w:tcPr>
            <w:tcW w:w="560" w:type="dxa"/>
            <w:vMerge w:val="continue"/>
            <w:vAlign w:val="center"/>
          </w:tcPr>
          <w:p w14:paraId="23E66DDA">
            <w:pPr>
              <w:pStyle w:val="51"/>
              <w:spacing w:line="360" w:lineRule="auto"/>
              <w:jc w:val="center"/>
              <w:rPr>
                <w:rFonts w:hint="eastAsia" w:hAnsi="宋体"/>
                <w:color w:val="auto"/>
                <w:szCs w:val="24"/>
              </w:rPr>
            </w:pPr>
          </w:p>
        </w:tc>
        <w:tc>
          <w:tcPr>
            <w:tcW w:w="960" w:type="dxa"/>
            <w:vMerge w:val="continue"/>
            <w:vAlign w:val="center"/>
          </w:tcPr>
          <w:p w14:paraId="5A111950">
            <w:pPr>
              <w:pStyle w:val="51"/>
              <w:snapToGrid w:val="0"/>
              <w:jc w:val="center"/>
              <w:rPr>
                <w:rFonts w:hint="eastAsia" w:hAnsi="宋体"/>
                <w:color w:val="auto"/>
                <w:szCs w:val="24"/>
              </w:rPr>
            </w:pPr>
          </w:p>
        </w:tc>
        <w:tc>
          <w:tcPr>
            <w:tcW w:w="2217" w:type="dxa"/>
            <w:vAlign w:val="center"/>
          </w:tcPr>
          <w:p w14:paraId="5D04F916">
            <w:pPr>
              <w:pStyle w:val="51"/>
              <w:adjustRightInd/>
              <w:snapToGrid w:val="0"/>
              <w:jc w:val="center"/>
              <w:rPr>
                <w:rFonts w:hint="eastAsia" w:hAnsi="宋体"/>
                <w:color w:val="auto"/>
                <w:szCs w:val="24"/>
              </w:rPr>
            </w:pPr>
            <w:r>
              <w:rPr>
                <w:rFonts w:hint="eastAsia" w:hAnsi="宋体"/>
                <w:color w:val="auto"/>
                <w:szCs w:val="24"/>
              </w:rPr>
              <w:t>工期</w:t>
            </w:r>
          </w:p>
        </w:tc>
        <w:tc>
          <w:tcPr>
            <w:tcW w:w="5736" w:type="dxa"/>
            <w:vAlign w:val="center"/>
          </w:tcPr>
          <w:p w14:paraId="22D4B7D5">
            <w:pPr>
              <w:pStyle w:val="51"/>
              <w:adjustRightInd/>
              <w:snapToGrid w:val="0"/>
              <w:jc w:val="both"/>
              <w:rPr>
                <w:rFonts w:hint="eastAsia" w:hAnsi="宋体"/>
                <w:color w:val="auto"/>
                <w:szCs w:val="24"/>
              </w:rPr>
            </w:pPr>
            <w:r>
              <w:rPr>
                <w:rFonts w:hint="eastAsia" w:hAnsi="宋体"/>
                <w:color w:val="auto"/>
                <w:szCs w:val="24"/>
              </w:rPr>
              <w:t>符合第二章“采购项目及技术服务要求”</w:t>
            </w:r>
            <w:r>
              <w:rPr>
                <w:rFonts w:hAnsi="宋体"/>
                <w:color w:val="auto"/>
                <w:szCs w:val="24"/>
              </w:rPr>
              <w:t>1.2</w:t>
            </w:r>
            <w:r>
              <w:rPr>
                <w:rFonts w:hint="eastAsia" w:hAnsi="宋体"/>
                <w:color w:val="auto"/>
                <w:szCs w:val="24"/>
              </w:rPr>
              <w:t>款规定</w:t>
            </w:r>
          </w:p>
        </w:tc>
      </w:tr>
      <w:tr w14:paraId="515B0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jc w:val="center"/>
        </w:trPr>
        <w:tc>
          <w:tcPr>
            <w:tcW w:w="564" w:type="dxa"/>
            <w:vMerge w:val="continue"/>
            <w:vAlign w:val="center"/>
          </w:tcPr>
          <w:p w14:paraId="076E72CD">
            <w:pPr>
              <w:pStyle w:val="51"/>
              <w:spacing w:line="360" w:lineRule="auto"/>
              <w:jc w:val="center"/>
              <w:rPr>
                <w:rFonts w:hint="eastAsia" w:hAnsi="宋体"/>
                <w:color w:val="auto"/>
                <w:szCs w:val="24"/>
              </w:rPr>
            </w:pPr>
          </w:p>
        </w:tc>
        <w:tc>
          <w:tcPr>
            <w:tcW w:w="560" w:type="dxa"/>
            <w:vMerge w:val="continue"/>
            <w:vAlign w:val="center"/>
          </w:tcPr>
          <w:p w14:paraId="3336E83B">
            <w:pPr>
              <w:pStyle w:val="51"/>
              <w:spacing w:line="360" w:lineRule="auto"/>
              <w:jc w:val="center"/>
              <w:rPr>
                <w:rFonts w:hint="eastAsia" w:hAnsi="宋体"/>
                <w:color w:val="auto"/>
                <w:szCs w:val="24"/>
              </w:rPr>
            </w:pPr>
          </w:p>
        </w:tc>
        <w:tc>
          <w:tcPr>
            <w:tcW w:w="960" w:type="dxa"/>
            <w:vMerge w:val="continue"/>
            <w:vAlign w:val="center"/>
          </w:tcPr>
          <w:p w14:paraId="5C77FD64">
            <w:pPr>
              <w:pStyle w:val="51"/>
              <w:snapToGrid w:val="0"/>
              <w:jc w:val="center"/>
              <w:rPr>
                <w:rFonts w:hint="eastAsia" w:hAnsi="宋体"/>
                <w:color w:val="auto"/>
                <w:szCs w:val="24"/>
              </w:rPr>
            </w:pPr>
          </w:p>
        </w:tc>
        <w:tc>
          <w:tcPr>
            <w:tcW w:w="2217" w:type="dxa"/>
            <w:vAlign w:val="center"/>
          </w:tcPr>
          <w:p w14:paraId="0240DCFE">
            <w:pPr>
              <w:pStyle w:val="51"/>
              <w:adjustRightInd/>
              <w:snapToGrid w:val="0"/>
              <w:jc w:val="center"/>
              <w:rPr>
                <w:rFonts w:hint="eastAsia" w:hAnsi="宋体"/>
                <w:color w:val="auto"/>
                <w:szCs w:val="24"/>
              </w:rPr>
            </w:pPr>
            <w:r>
              <w:rPr>
                <w:rFonts w:hint="eastAsia" w:hAnsi="宋体"/>
                <w:color w:val="auto"/>
                <w:szCs w:val="24"/>
              </w:rPr>
              <w:t>技术要求</w:t>
            </w:r>
          </w:p>
        </w:tc>
        <w:tc>
          <w:tcPr>
            <w:tcW w:w="5736" w:type="dxa"/>
            <w:vAlign w:val="center"/>
          </w:tcPr>
          <w:p w14:paraId="0D6AB2D3">
            <w:pPr>
              <w:pStyle w:val="51"/>
              <w:adjustRightInd/>
              <w:snapToGrid w:val="0"/>
              <w:jc w:val="both"/>
              <w:rPr>
                <w:rFonts w:hint="eastAsia" w:hAnsi="宋体"/>
                <w:color w:val="auto"/>
                <w:szCs w:val="24"/>
              </w:rPr>
            </w:pPr>
            <w:r>
              <w:rPr>
                <w:rFonts w:hint="eastAsia" w:hAnsi="宋体"/>
                <w:color w:val="auto"/>
                <w:szCs w:val="24"/>
              </w:rPr>
              <w:t>符合第二章“采购项目及技术服务要求”第</w:t>
            </w:r>
            <w:r>
              <w:rPr>
                <w:rFonts w:hAnsi="宋体"/>
                <w:color w:val="auto"/>
                <w:szCs w:val="24"/>
              </w:rPr>
              <w:t>2</w:t>
            </w:r>
            <w:r>
              <w:rPr>
                <w:rFonts w:hint="eastAsia" w:hAnsi="宋体"/>
                <w:color w:val="auto"/>
                <w:szCs w:val="24"/>
              </w:rPr>
              <w:t>条规定。</w:t>
            </w:r>
          </w:p>
        </w:tc>
      </w:tr>
      <w:tr w14:paraId="5811C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6" w:hRule="atLeast"/>
          <w:jc w:val="center"/>
        </w:trPr>
        <w:tc>
          <w:tcPr>
            <w:tcW w:w="564" w:type="dxa"/>
            <w:vMerge w:val="continue"/>
            <w:vAlign w:val="center"/>
          </w:tcPr>
          <w:p w14:paraId="2BE05725">
            <w:pPr>
              <w:pStyle w:val="51"/>
              <w:spacing w:line="360" w:lineRule="auto"/>
              <w:jc w:val="center"/>
              <w:rPr>
                <w:rFonts w:hint="eastAsia" w:hAnsi="宋体"/>
                <w:color w:val="auto"/>
                <w:szCs w:val="24"/>
              </w:rPr>
            </w:pPr>
          </w:p>
        </w:tc>
        <w:tc>
          <w:tcPr>
            <w:tcW w:w="560" w:type="dxa"/>
            <w:vMerge w:val="continue"/>
            <w:vAlign w:val="center"/>
          </w:tcPr>
          <w:p w14:paraId="587BFAF6">
            <w:pPr>
              <w:pStyle w:val="51"/>
              <w:spacing w:line="360" w:lineRule="auto"/>
              <w:jc w:val="center"/>
              <w:rPr>
                <w:rFonts w:hint="eastAsia" w:hAnsi="宋体"/>
                <w:color w:val="auto"/>
                <w:szCs w:val="24"/>
              </w:rPr>
            </w:pPr>
          </w:p>
        </w:tc>
        <w:tc>
          <w:tcPr>
            <w:tcW w:w="960" w:type="dxa"/>
            <w:vMerge w:val="continue"/>
            <w:vAlign w:val="center"/>
          </w:tcPr>
          <w:p w14:paraId="27578503">
            <w:pPr>
              <w:pStyle w:val="51"/>
              <w:adjustRightInd/>
              <w:snapToGrid w:val="0"/>
              <w:jc w:val="center"/>
              <w:rPr>
                <w:rFonts w:hint="eastAsia" w:hAnsi="宋体"/>
                <w:color w:val="auto"/>
                <w:szCs w:val="24"/>
              </w:rPr>
            </w:pPr>
          </w:p>
        </w:tc>
        <w:tc>
          <w:tcPr>
            <w:tcW w:w="2217" w:type="dxa"/>
            <w:vAlign w:val="center"/>
          </w:tcPr>
          <w:p w14:paraId="63968F2B">
            <w:pPr>
              <w:pStyle w:val="51"/>
              <w:adjustRightInd/>
              <w:snapToGrid w:val="0"/>
              <w:jc w:val="center"/>
              <w:rPr>
                <w:rFonts w:hint="eastAsia" w:hAnsi="宋体"/>
                <w:color w:val="auto"/>
                <w:szCs w:val="24"/>
              </w:rPr>
            </w:pPr>
            <w:r>
              <w:rPr>
                <w:rFonts w:hint="eastAsia" w:hAnsi="宋体"/>
                <w:color w:val="auto"/>
                <w:szCs w:val="24"/>
              </w:rPr>
              <w:t>响应有效期</w:t>
            </w:r>
          </w:p>
        </w:tc>
        <w:tc>
          <w:tcPr>
            <w:tcW w:w="5736" w:type="dxa"/>
            <w:vAlign w:val="center"/>
          </w:tcPr>
          <w:p w14:paraId="21FF3E9D">
            <w:pPr>
              <w:snapToGrid w:val="0"/>
              <w:spacing w:line="240" w:lineRule="auto"/>
              <w:rPr>
                <w:rFonts w:ascii="宋体"/>
                <w:color w:val="auto"/>
                <w:sz w:val="24"/>
              </w:rPr>
            </w:pPr>
            <w:r>
              <w:rPr>
                <w:rFonts w:hint="eastAsia" w:ascii="宋体" w:hAnsi="宋体"/>
                <w:color w:val="auto"/>
                <w:sz w:val="24"/>
              </w:rPr>
              <w:t>符合第三章“供应商须知”</w:t>
            </w:r>
            <w:r>
              <w:rPr>
                <w:rFonts w:ascii="宋体" w:hAnsi="宋体"/>
                <w:color w:val="auto"/>
                <w:sz w:val="24"/>
              </w:rPr>
              <w:t>3.4</w:t>
            </w:r>
            <w:r>
              <w:rPr>
                <w:rFonts w:hint="eastAsia" w:ascii="宋体" w:hAnsi="宋体"/>
                <w:color w:val="auto"/>
                <w:sz w:val="24"/>
              </w:rPr>
              <w:t>款规定</w:t>
            </w:r>
          </w:p>
        </w:tc>
      </w:tr>
      <w:tr w14:paraId="0D8C7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564" w:type="dxa"/>
            <w:vMerge w:val="continue"/>
            <w:vAlign w:val="center"/>
          </w:tcPr>
          <w:p w14:paraId="3CF0894E">
            <w:pPr>
              <w:pStyle w:val="51"/>
              <w:spacing w:line="360" w:lineRule="auto"/>
              <w:jc w:val="center"/>
              <w:rPr>
                <w:rFonts w:hint="eastAsia" w:hAnsi="宋体"/>
                <w:color w:val="auto"/>
                <w:szCs w:val="24"/>
              </w:rPr>
            </w:pPr>
          </w:p>
        </w:tc>
        <w:tc>
          <w:tcPr>
            <w:tcW w:w="560" w:type="dxa"/>
            <w:vMerge w:val="continue"/>
            <w:vAlign w:val="center"/>
          </w:tcPr>
          <w:p w14:paraId="72D0444F">
            <w:pPr>
              <w:pStyle w:val="51"/>
              <w:spacing w:line="360" w:lineRule="auto"/>
              <w:jc w:val="center"/>
              <w:rPr>
                <w:rFonts w:hint="eastAsia" w:hAnsi="宋体"/>
                <w:color w:val="auto"/>
                <w:szCs w:val="24"/>
              </w:rPr>
            </w:pPr>
          </w:p>
        </w:tc>
        <w:tc>
          <w:tcPr>
            <w:tcW w:w="960" w:type="dxa"/>
            <w:vMerge w:val="continue"/>
            <w:vAlign w:val="center"/>
          </w:tcPr>
          <w:p w14:paraId="3AD975C6">
            <w:pPr>
              <w:pStyle w:val="51"/>
              <w:adjustRightInd/>
              <w:snapToGrid w:val="0"/>
              <w:jc w:val="center"/>
              <w:rPr>
                <w:rFonts w:hint="eastAsia" w:hAnsi="宋体"/>
                <w:color w:val="auto"/>
                <w:szCs w:val="24"/>
              </w:rPr>
            </w:pPr>
          </w:p>
        </w:tc>
        <w:tc>
          <w:tcPr>
            <w:tcW w:w="2217" w:type="dxa"/>
            <w:vAlign w:val="center"/>
          </w:tcPr>
          <w:p w14:paraId="4387F622">
            <w:pPr>
              <w:pStyle w:val="51"/>
              <w:adjustRightInd/>
              <w:snapToGrid w:val="0"/>
              <w:jc w:val="center"/>
              <w:rPr>
                <w:rFonts w:hint="eastAsia" w:hAnsi="宋体"/>
                <w:color w:val="auto"/>
                <w:szCs w:val="24"/>
              </w:rPr>
            </w:pPr>
            <w:r>
              <w:rPr>
                <w:rFonts w:hint="eastAsia" w:hAnsi="宋体"/>
                <w:color w:val="auto"/>
                <w:szCs w:val="24"/>
              </w:rPr>
              <w:t>《响应文件》格式</w:t>
            </w:r>
          </w:p>
        </w:tc>
        <w:tc>
          <w:tcPr>
            <w:tcW w:w="5736" w:type="dxa"/>
            <w:vAlign w:val="center"/>
          </w:tcPr>
          <w:p w14:paraId="51FA61F3">
            <w:pPr>
              <w:pStyle w:val="51"/>
              <w:adjustRightInd/>
              <w:snapToGrid w:val="0"/>
              <w:rPr>
                <w:rFonts w:hint="eastAsia" w:hAnsi="宋体"/>
                <w:color w:val="auto"/>
                <w:szCs w:val="24"/>
              </w:rPr>
            </w:pPr>
            <w:r>
              <w:rPr>
                <w:rFonts w:hint="eastAsia" w:hAnsi="宋体"/>
                <w:color w:val="auto"/>
                <w:szCs w:val="24"/>
              </w:rPr>
              <w:t>符合第六章“《响应文件》格式”规定</w:t>
            </w:r>
          </w:p>
        </w:tc>
      </w:tr>
      <w:tr w14:paraId="413AF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564" w:type="dxa"/>
            <w:vMerge w:val="continue"/>
            <w:vAlign w:val="center"/>
          </w:tcPr>
          <w:p w14:paraId="6150B86F">
            <w:pPr>
              <w:pStyle w:val="51"/>
              <w:spacing w:line="360" w:lineRule="auto"/>
              <w:jc w:val="center"/>
              <w:rPr>
                <w:rFonts w:hint="eastAsia" w:hAnsi="宋体"/>
                <w:color w:val="auto"/>
                <w:szCs w:val="24"/>
              </w:rPr>
            </w:pPr>
          </w:p>
        </w:tc>
        <w:tc>
          <w:tcPr>
            <w:tcW w:w="560" w:type="dxa"/>
            <w:vMerge w:val="continue"/>
            <w:vAlign w:val="center"/>
          </w:tcPr>
          <w:p w14:paraId="70C0549C">
            <w:pPr>
              <w:pStyle w:val="51"/>
              <w:spacing w:line="360" w:lineRule="auto"/>
              <w:jc w:val="center"/>
              <w:rPr>
                <w:rFonts w:hint="eastAsia" w:hAnsi="宋体"/>
                <w:color w:val="auto"/>
                <w:szCs w:val="24"/>
              </w:rPr>
            </w:pPr>
          </w:p>
        </w:tc>
        <w:tc>
          <w:tcPr>
            <w:tcW w:w="960" w:type="dxa"/>
            <w:vMerge w:val="continue"/>
            <w:vAlign w:val="center"/>
          </w:tcPr>
          <w:p w14:paraId="1D7AE028">
            <w:pPr>
              <w:pStyle w:val="51"/>
              <w:adjustRightInd/>
              <w:snapToGrid w:val="0"/>
              <w:jc w:val="center"/>
              <w:rPr>
                <w:rFonts w:hint="eastAsia" w:hAnsi="宋体"/>
                <w:color w:val="auto"/>
                <w:szCs w:val="24"/>
              </w:rPr>
            </w:pPr>
          </w:p>
        </w:tc>
        <w:tc>
          <w:tcPr>
            <w:tcW w:w="2217" w:type="dxa"/>
            <w:vAlign w:val="center"/>
          </w:tcPr>
          <w:p w14:paraId="0DF61F33">
            <w:pPr>
              <w:pStyle w:val="51"/>
              <w:adjustRightInd/>
              <w:snapToGrid w:val="0"/>
              <w:jc w:val="center"/>
              <w:rPr>
                <w:rFonts w:hint="eastAsia" w:hAnsi="宋体"/>
                <w:color w:val="auto"/>
                <w:szCs w:val="24"/>
              </w:rPr>
            </w:pPr>
            <w:r>
              <w:rPr>
                <w:rFonts w:hint="eastAsia" w:hAnsi="宋体"/>
                <w:color w:val="auto"/>
              </w:rPr>
              <w:t>付款</w:t>
            </w:r>
          </w:p>
        </w:tc>
        <w:tc>
          <w:tcPr>
            <w:tcW w:w="5736" w:type="dxa"/>
            <w:vAlign w:val="center"/>
          </w:tcPr>
          <w:p w14:paraId="361791A3">
            <w:pPr>
              <w:snapToGrid w:val="0"/>
              <w:spacing w:line="240" w:lineRule="auto"/>
              <w:rPr>
                <w:rFonts w:ascii="宋体"/>
                <w:color w:val="auto"/>
                <w:sz w:val="24"/>
              </w:rPr>
            </w:pPr>
            <w:r>
              <w:rPr>
                <w:rFonts w:hint="eastAsia" w:ascii="宋体" w:hAnsi="宋体"/>
                <w:color w:val="auto"/>
                <w:sz w:val="24"/>
              </w:rPr>
              <w:t>符合第三章“供应商须知”第9条规定</w:t>
            </w:r>
          </w:p>
        </w:tc>
      </w:tr>
      <w:tr w14:paraId="158DC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564" w:type="dxa"/>
            <w:vMerge w:val="continue"/>
            <w:vAlign w:val="center"/>
          </w:tcPr>
          <w:p w14:paraId="0E2A4954">
            <w:pPr>
              <w:pStyle w:val="51"/>
              <w:spacing w:line="360" w:lineRule="auto"/>
              <w:jc w:val="center"/>
              <w:rPr>
                <w:rFonts w:hint="eastAsia" w:hAnsi="宋体"/>
                <w:color w:val="auto"/>
                <w:szCs w:val="24"/>
              </w:rPr>
            </w:pPr>
          </w:p>
        </w:tc>
        <w:tc>
          <w:tcPr>
            <w:tcW w:w="560" w:type="dxa"/>
            <w:vMerge w:val="continue"/>
            <w:vAlign w:val="center"/>
          </w:tcPr>
          <w:p w14:paraId="074BE147">
            <w:pPr>
              <w:pStyle w:val="51"/>
              <w:spacing w:line="360" w:lineRule="auto"/>
              <w:jc w:val="center"/>
              <w:rPr>
                <w:rFonts w:hint="eastAsia" w:hAnsi="宋体"/>
                <w:color w:val="auto"/>
                <w:szCs w:val="24"/>
              </w:rPr>
            </w:pPr>
          </w:p>
        </w:tc>
        <w:tc>
          <w:tcPr>
            <w:tcW w:w="960" w:type="dxa"/>
            <w:vMerge w:val="continue"/>
            <w:vAlign w:val="center"/>
          </w:tcPr>
          <w:p w14:paraId="050E1865">
            <w:pPr>
              <w:pStyle w:val="51"/>
              <w:adjustRightInd/>
              <w:snapToGrid w:val="0"/>
              <w:jc w:val="center"/>
              <w:rPr>
                <w:rFonts w:hint="eastAsia" w:hAnsi="宋体"/>
                <w:color w:val="auto"/>
                <w:szCs w:val="24"/>
              </w:rPr>
            </w:pPr>
          </w:p>
        </w:tc>
        <w:tc>
          <w:tcPr>
            <w:tcW w:w="2217" w:type="dxa"/>
            <w:vAlign w:val="center"/>
          </w:tcPr>
          <w:p w14:paraId="08CA85A1">
            <w:pPr>
              <w:pStyle w:val="51"/>
              <w:adjustRightInd/>
              <w:snapToGrid w:val="0"/>
              <w:jc w:val="center"/>
              <w:rPr>
                <w:rFonts w:hint="eastAsia" w:hAnsi="宋体"/>
                <w:color w:val="auto"/>
              </w:rPr>
            </w:pPr>
            <w:r>
              <w:rPr>
                <w:rFonts w:hint="eastAsia" w:hAnsi="宋体"/>
                <w:color w:val="auto"/>
              </w:rPr>
              <w:t>偏差描述</w:t>
            </w:r>
          </w:p>
        </w:tc>
        <w:tc>
          <w:tcPr>
            <w:tcW w:w="5736" w:type="dxa"/>
            <w:vAlign w:val="center"/>
          </w:tcPr>
          <w:p w14:paraId="5C752809">
            <w:pPr>
              <w:snapToGrid w:val="0"/>
              <w:spacing w:line="240" w:lineRule="auto"/>
              <w:rPr>
                <w:rFonts w:ascii="宋体"/>
                <w:color w:val="auto"/>
                <w:sz w:val="24"/>
              </w:rPr>
            </w:pPr>
            <w:r>
              <w:rPr>
                <w:rFonts w:hint="eastAsia" w:ascii="宋体" w:hAnsi="宋体"/>
                <w:color w:val="auto"/>
                <w:sz w:val="24"/>
              </w:rPr>
              <w:t>符合第三章“供应商须知”</w:t>
            </w:r>
            <w:r>
              <w:rPr>
                <w:rFonts w:ascii="宋体" w:hAnsi="宋体"/>
                <w:color w:val="auto"/>
                <w:sz w:val="24"/>
              </w:rPr>
              <w:t>3.7.3</w:t>
            </w:r>
            <w:r>
              <w:rPr>
                <w:rFonts w:hint="eastAsia" w:ascii="宋体" w:hAnsi="宋体"/>
                <w:color w:val="auto"/>
                <w:sz w:val="24"/>
              </w:rPr>
              <w:t>项规定</w:t>
            </w:r>
          </w:p>
        </w:tc>
      </w:tr>
      <w:tr w14:paraId="29437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564" w:type="dxa"/>
            <w:vMerge w:val="continue"/>
            <w:vAlign w:val="center"/>
          </w:tcPr>
          <w:p w14:paraId="7AA8E352">
            <w:pPr>
              <w:pStyle w:val="51"/>
              <w:spacing w:line="360" w:lineRule="auto"/>
              <w:jc w:val="center"/>
              <w:rPr>
                <w:rFonts w:hint="eastAsia" w:hAnsi="宋体"/>
                <w:color w:val="auto"/>
                <w:szCs w:val="24"/>
              </w:rPr>
            </w:pPr>
          </w:p>
        </w:tc>
        <w:tc>
          <w:tcPr>
            <w:tcW w:w="560" w:type="dxa"/>
            <w:vMerge w:val="continue"/>
            <w:vAlign w:val="center"/>
          </w:tcPr>
          <w:p w14:paraId="3C25C4BD">
            <w:pPr>
              <w:pStyle w:val="51"/>
              <w:spacing w:line="360" w:lineRule="auto"/>
              <w:jc w:val="center"/>
              <w:rPr>
                <w:rFonts w:hint="eastAsia" w:hAnsi="宋体"/>
                <w:color w:val="auto"/>
                <w:szCs w:val="24"/>
              </w:rPr>
            </w:pPr>
          </w:p>
        </w:tc>
        <w:tc>
          <w:tcPr>
            <w:tcW w:w="960" w:type="dxa"/>
            <w:vMerge w:val="continue"/>
            <w:vAlign w:val="center"/>
          </w:tcPr>
          <w:p w14:paraId="0FF95B8F">
            <w:pPr>
              <w:pStyle w:val="51"/>
              <w:adjustRightInd/>
              <w:snapToGrid w:val="0"/>
              <w:jc w:val="center"/>
              <w:rPr>
                <w:rFonts w:hint="eastAsia" w:hAnsi="宋体"/>
                <w:color w:val="auto"/>
                <w:szCs w:val="24"/>
              </w:rPr>
            </w:pPr>
          </w:p>
        </w:tc>
        <w:tc>
          <w:tcPr>
            <w:tcW w:w="2217" w:type="dxa"/>
            <w:vAlign w:val="center"/>
          </w:tcPr>
          <w:p w14:paraId="6C3A28B4">
            <w:pPr>
              <w:snapToGrid w:val="0"/>
              <w:spacing w:line="240" w:lineRule="auto"/>
              <w:jc w:val="center"/>
              <w:rPr>
                <w:rFonts w:ascii="宋体"/>
                <w:color w:val="auto"/>
                <w:sz w:val="24"/>
              </w:rPr>
            </w:pPr>
            <w:r>
              <w:rPr>
                <w:rFonts w:hint="eastAsia" w:ascii="宋体" w:hAnsi="宋体"/>
                <w:color w:val="auto"/>
                <w:sz w:val="24"/>
              </w:rPr>
              <w:t>《磋商文件》总体响应</w:t>
            </w:r>
          </w:p>
        </w:tc>
        <w:tc>
          <w:tcPr>
            <w:tcW w:w="5736" w:type="dxa"/>
            <w:vAlign w:val="center"/>
          </w:tcPr>
          <w:p w14:paraId="0E388498">
            <w:pPr>
              <w:autoSpaceDE w:val="0"/>
              <w:autoSpaceDN w:val="0"/>
              <w:snapToGrid w:val="0"/>
              <w:spacing w:line="240" w:lineRule="auto"/>
              <w:rPr>
                <w:rFonts w:ascii="宋体"/>
                <w:color w:val="auto"/>
                <w:sz w:val="24"/>
              </w:rPr>
            </w:pPr>
            <w:r>
              <w:rPr>
                <w:rFonts w:hint="eastAsia" w:ascii="宋体" w:hAnsi="宋体"/>
                <w:color w:val="auto"/>
                <w:sz w:val="24"/>
              </w:rPr>
              <w:t>符合第三章“供应商须知”</w:t>
            </w:r>
            <w:r>
              <w:rPr>
                <w:rFonts w:ascii="宋体" w:hAnsi="宋体"/>
                <w:color w:val="auto"/>
                <w:sz w:val="24"/>
              </w:rPr>
              <w:t>1.3</w:t>
            </w:r>
            <w:r>
              <w:rPr>
                <w:rFonts w:hint="eastAsia" w:ascii="宋体" w:hAnsi="宋体"/>
                <w:color w:val="auto"/>
                <w:sz w:val="24"/>
              </w:rPr>
              <w:t>项规定</w:t>
            </w:r>
          </w:p>
        </w:tc>
      </w:tr>
      <w:tr w14:paraId="4E187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 w:hRule="atLeast"/>
          <w:jc w:val="center"/>
        </w:trPr>
        <w:tc>
          <w:tcPr>
            <w:tcW w:w="564" w:type="dxa"/>
            <w:vMerge w:val="continue"/>
            <w:vAlign w:val="center"/>
          </w:tcPr>
          <w:p w14:paraId="1B4AF0B8">
            <w:pPr>
              <w:pStyle w:val="51"/>
              <w:spacing w:line="360" w:lineRule="auto"/>
              <w:jc w:val="center"/>
              <w:rPr>
                <w:rFonts w:hint="eastAsia" w:hAnsi="宋体"/>
                <w:color w:val="auto"/>
                <w:szCs w:val="24"/>
              </w:rPr>
            </w:pPr>
          </w:p>
        </w:tc>
        <w:tc>
          <w:tcPr>
            <w:tcW w:w="560" w:type="dxa"/>
            <w:vMerge w:val="continue"/>
            <w:vAlign w:val="center"/>
          </w:tcPr>
          <w:p w14:paraId="25017592">
            <w:pPr>
              <w:pStyle w:val="51"/>
              <w:spacing w:line="360" w:lineRule="auto"/>
              <w:jc w:val="center"/>
              <w:rPr>
                <w:rFonts w:hint="eastAsia" w:hAnsi="宋体"/>
                <w:color w:val="auto"/>
                <w:szCs w:val="24"/>
              </w:rPr>
            </w:pPr>
          </w:p>
        </w:tc>
        <w:tc>
          <w:tcPr>
            <w:tcW w:w="960" w:type="dxa"/>
            <w:vMerge w:val="continue"/>
            <w:vAlign w:val="center"/>
          </w:tcPr>
          <w:p w14:paraId="44083AC1">
            <w:pPr>
              <w:snapToGrid w:val="0"/>
              <w:spacing w:line="240" w:lineRule="auto"/>
              <w:jc w:val="center"/>
              <w:rPr>
                <w:rFonts w:ascii="宋体"/>
                <w:color w:val="auto"/>
                <w:sz w:val="24"/>
              </w:rPr>
            </w:pPr>
          </w:p>
        </w:tc>
        <w:tc>
          <w:tcPr>
            <w:tcW w:w="2217" w:type="dxa"/>
            <w:vAlign w:val="center"/>
          </w:tcPr>
          <w:p w14:paraId="0AC2DA5B">
            <w:pPr>
              <w:snapToGrid w:val="0"/>
              <w:spacing w:line="240" w:lineRule="auto"/>
              <w:jc w:val="center"/>
              <w:rPr>
                <w:rFonts w:ascii="宋体"/>
                <w:color w:val="auto"/>
                <w:sz w:val="24"/>
              </w:rPr>
            </w:pPr>
            <w:r>
              <w:rPr>
                <w:rFonts w:hint="eastAsia" w:ascii="宋体" w:hAnsi="宋体"/>
                <w:color w:val="auto"/>
                <w:sz w:val="24"/>
                <w:szCs w:val="24"/>
              </w:rPr>
              <w:t>其他</w:t>
            </w:r>
          </w:p>
        </w:tc>
        <w:tc>
          <w:tcPr>
            <w:tcW w:w="5736" w:type="dxa"/>
            <w:vAlign w:val="center"/>
          </w:tcPr>
          <w:p w14:paraId="703F792C">
            <w:pPr>
              <w:autoSpaceDE w:val="0"/>
              <w:autoSpaceDN w:val="0"/>
              <w:snapToGrid w:val="0"/>
              <w:spacing w:line="240" w:lineRule="auto"/>
              <w:rPr>
                <w:rFonts w:ascii="宋体"/>
                <w:color w:val="auto"/>
                <w:sz w:val="24"/>
              </w:rPr>
            </w:pPr>
            <w:r>
              <w:rPr>
                <w:rFonts w:hint="eastAsia" w:ascii="宋体" w:hAnsi="宋体" w:cs="MingLiU"/>
                <w:color w:val="auto"/>
                <w:spacing w:val="30"/>
                <w:sz w:val="24"/>
                <w:szCs w:val="24"/>
              </w:rPr>
              <w:t>如涉及国家强制性产品认证</w:t>
            </w:r>
            <w:r>
              <w:rPr>
                <w:rFonts w:hint="eastAsia" w:ascii="宋体" w:hAnsi="宋体"/>
                <w:color w:val="auto"/>
                <w:sz w:val="24"/>
                <w:szCs w:val="24"/>
              </w:rPr>
              <w:t>，符合第六章14-1附件要求。</w:t>
            </w:r>
          </w:p>
        </w:tc>
      </w:tr>
    </w:tbl>
    <w:p w14:paraId="1C5819EF">
      <w:pPr>
        <w:autoSpaceDE w:val="0"/>
        <w:autoSpaceDN w:val="0"/>
        <w:adjustRightInd w:val="0"/>
        <w:snapToGrid w:val="0"/>
        <w:spacing w:before="120" w:beforeLines="50" w:line="300" w:lineRule="auto"/>
        <w:ind w:firstLine="539"/>
        <w:rPr>
          <w:rFonts w:ascii="宋体" w:cs="楷体_GB2312"/>
          <w:color w:val="auto"/>
          <w:sz w:val="24"/>
          <w:lang w:val="zh-CN"/>
        </w:rPr>
      </w:pPr>
      <w:r>
        <w:rPr>
          <w:rFonts w:hint="eastAsia" w:ascii="宋体" w:cs="楷体_GB2312"/>
          <w:color w:val="auto"/>
          <w:sz w:val="24"/>
          <w:lang w:val="zh-CN"/>
        </w:rPr>
        <w:t>注：磋商小组将依据第六章14-2附件“证明材料查询核验工作的清单及要求”对核验证明材料进行形式要件审核。</w:t>
      </w:r>
    </w:p>
    <w:p w14:paraId="7AE79494">
      <w:pPr>
        <w:autoSpaceDE w:val="0"/>
        <w:autoSpaceDN w:val="0"/>
        <w:adjustRightInd w:val="0"/>
        <w:spacing w:line="360" w:lineRule="auto"/>
        <w:jc w:val="left"/>
        <w:rPr>
          <w:rFonts w:hint="eastAsia" w:ascii="黑体" w:hAnsi="黑体" w:eastAsia="黑体" w:cs="楷体_GB2312"/>
          <w:b/>
          <w:bCs/>
          <w:color w:val="auto"/>
          <w:sz w:val="28"/>
          <w:szCs w:val="28"/>
          <w:lang w:val="zh-CN"/>
        </w:rPr>
      </w:pPr>
    </w:p>
    <w:p w14:paraId="213BD8CB">
      <w:pPr>
        <w:spacing w:line="500" w:lineRule="exact"/>
        <w:ind w:firstLine="419"/>
        <w:jc w:val="left"/>
        <w:rPr>
          <w:rFonts w:hint="eastAsia" w:ascii="黑体" w:hAnsi="黑体" w:eastAsia="黑体"/>
          <w:b/>
          <w:color w:val="auto"/>
          <w:sz w:val="28"/>
          <w:szCs w:val="28"/>
        </w:rPr>
      </w:pPr>
      <w:r>
        <w:rPr>
          <w:rFonts w:ascii="黑体" w:hAnsi="黑体" w:eastAsia="黑体" w:cs="楷体_GB2312"/>
          <w:b/>
          <w:bCs/>
          <w:color w:val="auto"/>
          <w:sz w:val="28"/>
          <w:szCs w:val="28"/>
          <w:lang w:val="zh-CN"/>
        </w:rPr>
        <w:br w:type="page"/>
      </w:r>
      <w:r>
        <w:rPr>
          <w:rFonts w:ascii="黑体" w:hAnsi="黑体" w:eastAsia="黑体" w:cs="楷体_GB2312"/>
          <w:b/>
          <w:bCs/>
          <w:color w:val="auto"/>
          <w:sz w:val="28"/>
          <w:szCs w:val="28"/>
        </w:rPr>
        <w:t xml:space="preserve"> </w:t>
      </w:r>
      <w:r>
        <w:rPr>
          <w:rFonts w:hint="eastAsia" w:ascii="黑体" w:hAnsi="黑体" w:eastAsia="黑体"/>
          <w:b/>
          <w:color w:val="auto"/>
          <w:sz w:val="28"/>
          <w:szCs w:val="28"/>
        </w:rPr>
        <w:t>评审办法前附表</w:t>
      </w:r>
      <w:r>
        <w:rPr>
          <w:rFonts w:ascii="黑体" w:hAnsi="黑体" w:eastAsia="黑体"/>
          <w:b/>
          <w:color w:val="auto"/>
          <w:sz w:val="28"/>
          <w:szCs w:val="28"/>
        </w:rPr>
        <w:t>-----</w:t>
      </w:r>
      <w:r>
        <w:rPr>
          <w:rFonts w:hint="eastAsia" w:ascii="黑体" w:hAnsi="黑体" w:eastAsia="黑体"/>
          <w:b/>
          <w:color w:val="auto"/>
          <w:sz w:val="28"/>
          <w:szCs w:val="28"/>
        </w:rPr>
        <w:t>分值构成与评分标准</w:t>
      </w:r>
      <w:r>
        <w:rPr>
          <w:rFonts w:ascii="黑体" w:hAnsi="黑体" w:eastAsia="黑体"/>
          <w:b/>
          <w:color w:val="auto"/>
          <w:sz w:val="28"/>
          <w:szCs w:val="28"/>
        </w:rPr>
        <w:t xml:space="preserve">  </w:t>
      </w:r>
    </w:p>
    <w:tbl>
      <w:tblPr>
        <w:tblStyle w:val="19"/>
        <w:tblW w:w="102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6"/>
        <w:gridCol w:w="1276"/>
        <w:gridCol w:w="1386"/>
        <w:gridCol w:w="6393"/>
      </w:tblGrid>
      <w:tr w14:paraId="2BD14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176" w:type="dxa"/>
            <w:vAlign w:val="center"/>
          </w:tcPr>
          <w:p w14:paraId="0FF8B44C">
            <w:pPr>
              <w:widowControl w:val="0"/>
              <w:autoSpaceDE w:val="0"/>
              <w:autoSpaceDN w:val="0"/>
              <w:adjustRightInd w:val="0"/>
              <w:spacing w:line="300" w:lineRule="auto"/>
              <w:jc w:val="center"/>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条款号</w:t>
            </w:r>
          </w:p>
        </w:tc>
        <w:tc>
          <w:tcPr>
            <w:tcW w:w="1276" w:type="dxa"/>
            <w:vAlign w:val="center"/>
          </w:tcPr>
          <w:p w14:paraId="53298533">
            <w:pPr>
              <w:spacing w:line="300" w:lineRule="auto"/>
              <w:jc w:val="center"/>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条款内容</w:t>
            </w:r>
          </w:p>
        </w:tc>
        <w:tc>
          <w:tcPr>
            <w:tcW w:w="7779" w:type="dxa"/>
            <w:gridSpan w:val="2"/>
            <w:vAlign w:val="center"/>
          </w:tcPr>
          <w:p w14:paraId="7AE7DB34">
            <w:pPr>
              <w:spacing w:line="300" w:lineRule="auto"/>
              <w:jc w:val="center"/>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编列内容</w:t>
            </w:r>
          </w:p>
        </w:tc>
      </w:tr>
      <w:tr w14:paraId="53CF5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5" w:hRule="atLeast"/>
          <w:jc w:val="center"/>
        </w:trPr>
        <w:tc>
          <w:tcPr>
            <w:tcW w:w="1176" w:type="dxa"/>
            <w:vAlign w:val="center"/>
          </w:tcPr>
          <w:p w14:paraId="16861E68">
            <w:pPr>
              <w:widowControl w:val="0"/>
              <w:autoSpaceDE w:val="0"/>
              <w:autoSpaceDN w:val="0"/>
              <w:adjustRightInd w:val="0"/>
              <w:spacing w:line="300" w:lineRule="auto"/>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2.2.1</w:t>
            </w:r>
          </w:p>
        </w:tc>
        <w:tc>
          <w:tcPr>
            <w:tcW w:w="1276" w:type="dxa"/>
            <w:vAlign w:val="center"/>
          </w:tcPr>
          <w:p w14:paraId="32493879">
            <w:pPr>
              <w:widowControl w:val="0"/>
              <w:autoSpaceDE w:val="0"/>
              <w:autoSpaceDN w:val="0"/>
              <w:adjustRightInd w:val="0"/>
              <w:spacing w:line="300" w:lineRule="auto"/>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分值构成</w:t>
            </w:r>
          </w:p>
          <w:p w14:paraId="3E0858BE">
            <w:pPr>
              <w:widowControl w:val="0"/>
              <w:snapToGrid w:val="0"/>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（总分100 分）</w:t>
            </w:r>
          </w:p>
        </w:tc>
        <w:tc>
          <w:tcPr>
            <w:tcW w:w="7779" w:type="dxa"/>
            <w:gridSpan w:val="2"/>
            <w:vAlign w:val="center"/>
          </w:tcPr>
          <w:p w14:paraId="6141423E">
            <w:pPr>
              <w:widowControl w:val="0"/>
              <w:snapToGrid w:val="0"/>
              <w:spacing w:line="300" w:lineRule="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价格：</w:t>
            </w:r>
            <w:r>
              <w:rPr>
                <w:rFonts w:hint="eastAsia" w:asciiTheme="minorEastAsia" w:hAnsiTheme="minorEastAsia" w:eastAsiaTheme="minorEastAsia" w:cstheme="minorEastAsia"/>
                <w:color w:val="auto"/>
                <w:sz w:val="24"/>
                <w:szCs w:val="24"/>
                <w:u w:val="single"/>
              </w:rPr>
              <w:t xml:space="preserve"> 30 </w:t>
            </w:r>
            <w:r>
              <w:rPr>
                <w:rFonts w:hint="eastAsia" w:asciiTheme="minorEastAsia" w:hAnsiTheme="minorEastAsia" w:eastAsiaTheme="minorEastAsia" w:cstheme="minorEastAsia"/>
                <w:color w:val="auto"/>
                <w:sz w:val="24"/>
                <w:szCs w:val="24"/>
              </w:rPr>
              <w:t>分</w:t>
            </w:r>
          </w:p>
          <w:p w14:paraId="1F9740D5">
            <w:pPr>
              <w:widowControl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技术：</w:t>
            </w:r>
            <w:r>
              <w:rPr>
                <w:rFonts w:hint="eastAsia" w:asciiTheme="minorEastAsia" w:hAnsiTheme="minorEastAsia" w:eastAsiaTheme="minorEastAsia" w:cstheme="minorEastAsia"/>
                <w:color w:val="auto"/>
                <w:sz w:val="24"/>
                <w:szCs w:val="24"/>
                <w:u w:val="single"/>
              </w:rPr>
              <w:t xml:space="preserve"> 59  </w:t>
            </w:r>
            <w:r>
              <w:rPr>
                <w:rFonts w:hint="eastAsia" w:asciiTheme="minorEastAsia" w:hAnsiTheme="minorEastAsia" w:eastAsiaTheme="minorEastAsia" w:cstheme="minorEastAsia"/>
                <w:color w:val="auto"/>
                <w:sz w:val="24"/>
                <w:szCs w:val="24"/>
              </w:rPr>
              <w:t>分</w:t>
            </w:r>
          </w:p>
          <w:p w14:paraId="089EEBF9">
            <w:pPr>
              <w:widowControl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履约能力：</w:t>
            </w:r>
            <w:r>
              <w:rPr>
                <w:rFonts w:hint="eastAsia" w:asciiTheme="minorEastAsia" w:hAnsiTheme="minorEastAsia" w:eastAsiaTheme="minorEastAsia" w:cstheme="minorEastAsia"/>
                <w:color w:val="auto"/>
                <w:sz w:val="24"/>
                <w:szCs w:val="24"/>
                <w:u w:val="single"/>
              </w:rPr>
              <w:t xml:space="preserve"> 11 </w:t>
            </w:r>
            <w:r>
              <w:rPr>
                <w:rFonts w:hint="eastAsia" w:asciiTheme="minorEastAsia" w:hAnsiTheme="minorEastAsia" w:eastAsiaTheme="minorEastAsia" w:cstheme="minorEastAsia"/>
                <w:color w:val="auto"/>
                <w:sz w:val="24"/>
                <w:szCs w:val="24"/>
              </w:rPr>
              <w:t>分</w:t>
            </w:r>
          </w:p>
        </w:tc>
      </w:tr>
      <w:tr w14:paraId="15DAD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176" w:type="dxa"/>
            <w:vAlign w:val="center"/>
          </w:tcPr>
          <w:p w14:paraId="53A098B0">
            <w:pPr>
              <w:widowControl w:val="0"/>
              <w:autoSpaceDE w:val="0"/>
              <w:autoSpaceDN w:val="0"/>
              <w:adjustRightInd w:val="0"/>
              <w:spacing w:line="300" w:lineRule="auto"/>
              <w:jc w:val="center"/>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条款号</w:t>
            </w:r>
          </w:p>
        </w:tc>
        <w:tc>
          <w:tcPr>
            <w:tcW w:w="1276" w:type="dxa"/>
            <w:vAlign w:val="center"/>
          </w:tcPr>
          <w:p w14:paraId="530E815C">
            <w:pPr>
              <w:widowControl w:val="0"/>
              <w:snapToGrid w:val="0"/>
              <w:spacing w:line="300" w:lineRule="auto"/>
              <w:ind w:hanging="13"/>
              <w:jc w:val="center"/>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评分因素</w:t>
            </w:r>
          </w:p>
        </w:tc>
        <w:tc>
          <w:tcPr>
            <w:tcW w:w="7779" w:type="dxa"/>
            <w:gridSpan w:val="2"/>
            <w:vAlign w:val="center"/>
          </w:tcPr>
          <w:p w14:paraId="6E859610">
            <w:pPr>
              <w:widowControl w:val="0"/>
              <w:snapToGrid w:val="0"/>
              <w:spacing w:line="300" w:lineRule="auto"/>
              <w:jc w:val="center"/>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评分标准</w:t>
            </w:r>
          </w:p>
        </w:tc>
      </w:tr>
      <w:tr w14:paraId="1E187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176" w:type="dxa"/>
            <w:vAlign w:val="center"/>
          </w:tcPr>
          <w:p w14:paraId="075F16BE">
            <w:pPr>
              <w:widowControl w:val="0"/>
              <w:autoSpaceDE w:val="0"/>
              <w:autoSpaceDN w:val="0"/>
              <w:adjustRightInd w:val="0"/>
              <w:spacing w:line="300" w:lineRule="auto"/>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2.2.2.1</w:t>
            </w:r>
          </w:p>
        </w:tc>
        <w:tc>
          <w:tcPr>
            <w:tcW w:w="1276" w:type="dxa"/>
            <w:vAlign w:val="center"/>
          </w:tcPr>
          <w:p w14:paraId="65F81FC8">
            <w:pPr>
              <w:widowControl w:val="0"/>
              <w:autoSpaceDE w:val="0"/>
              <w:autoSpaceDN w:val="0"/>
              <w:adjustRightInd w:val="0"/>
              <w:snapToGrid w:val="0"/>
              <w:spacing w:line="300" w:lineRule="auto"/>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价格</w:t>
            </w:r>
          </w:p>
          <w:p w14:paraId="7AE834AA">
            <w:pPr>
              <w:widowControl w:val="0"/>
              <w:autoSpaceDE w:val="0"/>
              <w:autoSpaceDN w:val="0"/>
              <w:adjustRightInd w:val="0"/>
              <w:snapToGrid w:val="0"/>
              <w:spacing w:line="300" w:lineRule="auto"/>
              <w:jc w:val="center"/>
              <w:textAlignment w:val="auto"/>
              <w:rPr>
                <w:rFonts w:hint="eastAsia" w:asciiTheme="minorEastAsia" w:hAnsiTheme="minorEastAsia" w:eastAsiaTheme="minorEastAsia" w:cstheme="minorEastAsia"/>
                <w:color w:val="auto"/>
                <w:sz w:val="24"/>
                <w:szCs w:val="24"/>
              </w:rPr>
            </w:pPr>
          </w:p>
        </w:tc>
        <w:tc>
          <w:tcPr>
            <w:tcW w:w="7779" w:type="dxa"/>
            <w:gridSpan w:val="2"/>
            <w:vAlign w:val="center"/>
          </w:tcPr>
          <w:p w14:paraId="39394502">
            <w:pPr>
              <w:widowControl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价格因素评分</w:t>
            </w:r>
          </w:p>
          <w:p w14:paraId="65194341">
            <w:pPr>
              <w:widowControl w:val="0"/>
              <w:snapToGrid w:val="0"/>
              <w:spacing w:line="300" w:lineRule="auto"/>
              <w:ind w:firstLine="555"/>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所有有效供应商的磋商报价中，价格最低的磋商报价为磋商基准价。</w:t>
            </w:r>
          </w:p>
          <w:p w14:paraId="1535F32D">
            <w:pPr>
              <w:widowControl w:val="0"/>
              <w:snapToGrid w:val="0"/>
              <w:spacing w:line="300" w:lineRule="auto"/>
              <w:ind w:firstLine="555"/>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有效磋商报价等于磋商基准价的得30分。</w:t>
            </w:r>
          </w:p>
          <w:p w14:paraId="51BEC1AA">
            <w:pPr>
              <w:widowControl w:val="0"/>
              <w:snapToGrid w:val="0"/>
              <w:spacing w:line="300" w:lineRule="auto"/>
              <w:ind w:firstLine="555"/>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其他供应商磋商报价得分=（磋商基准价/最后磋商报价）×0.3×100。</w:t>
            </w:r>
          </w:p>
        </w:tc>
      </w:tr>
      <w:tr w14:paraId="2D7DF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jc w:val="center"/>
        </w:trPr>
        <w:tc>
          <w:tcPr>
            <w:tcW w:w="1176" w:type="dxa"/>
            <w:vMerge w:val="restart"/>
            <w:vAlign w:val="center"/>
          </w:tcPr>
          <w:p w14:paraId="2BE940A4">
            <w:pPr>
              <w:widowControl w:val="0"/>
              <w:autoSpaceDE w:val="0"/>
              <w:autoSpaceDN w:val="0"/>
              <w:adjustRightInd w:val="0"/>
              <w:spacing w:line="300" w:lineRule="auto"/>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2.2.2.2</w:t>
            </w:r>
          </w:p>
        </w:tc>
        <w:tc>
          <w:tcPr>
            <w:tcW w:w="1276" w:type="dxa"/>
            <w:vMerge w:val="restart"/>
            <w:vAlign w:val="center"/>
          </w:tcPr>
          <w:p w14:paraId="2E61A7A6">
            <w:pPr>
              <w:widowControl w:val="0"/>
              <w:autoSpaceDE w:val="0"/>
              <w:autoSpaceDN w:val="0"/>
              <w:adjustRightInd w:val="0"/>
              <w:snapToGrid w:val="0"/>
              <w:spacing w:line="300" w:lineRule="auto"/>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技术</w:t>
            </w:r>
          </w:p>
        </w:tc>
        <w:tc>
          <w:tcPr>
            <w:tcW w:w="1386" w:type="dxa"/>
            <w:vMerge w:val="restart"/>
            <w:vAlign w:val="center"/>
          </w:tcPr>
          <w:p w14:paraId="73695D80">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一、技术、服务响应</w:t>
            </w:r>
          </w:p>
          <w:p w14:paraId="2C34DB4E">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（8分）</w:t>
            </w:r>
          </w:p>
        </w:tc>
        <w:tc>
          <w:tcPr>
            <w:tcW w:w="6393" w:type="dxa"/>
            <w:vAlign w:val="center"/>
          </w:tcPr>
          <w:p w14:paraId="02CE1715">
            <w:pPr>
              <w:widowControl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1.磋商小组根据供应商提供的施工方案综合评定：</w:t>
            </w:r>
          </w:p>
          <w:p w14:paraId="375828A4">
            <w:pPr>
              <w:widowControl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a.科学、详尽、全面的，得2分；</w:t>
            </w:r>
          </w:p>
          <w:p w14:paraId="4C1BF545">
            <w:pPr>
              <w:widowControl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b.合理、完整、可行的，得1分；</w:t>
            </w:r>
          </w:p>
          <w:p w14:paraId="679D32CD">
            <w:pPr>
              <w:widowControl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c.能满足项目基本要求的，得0.5分；</w:t>
            </w:r>
          </w:p>
          <w:p w14:paraId="14B2E167">
            <w:pPr>
              <w:widowControl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d.不满足或缺项的，得0分。</w:t>
            </w:r>
          </w:p>
        </w:tc>
      </w:tr>
      <w:tr w14:paraId="551C6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jc w:val="center"/>
        </w:trPr>
        <w:tc>
          <w:tcPr>
            <w:tcW w:w="1176" w:type="dxa"/>
            <w:vMerge w:val="continue"/>
            <w:vAlign w:val="center"/>
          </w:tcPr>
          <w:p w14:paraId="55083790">
            <w:pPr>
              <w:widowControl w:val="0"/>
              <w:snapToGrid w:val="0"/>
              <w:spacing w:line="300" w:lineRule="auto"/>
              <w:ind w:firstLine="480" w:firstLineChars="200"/>
              <w:rPr>
                <w:rFonts w:hint="eastAsia" w:asciiTheme="minorEastAsia" w:hAnsiTheme="minorEastAsia" w:eastAsiaTheme="minorEastAsia" w:cstheme="minorEastAsia"/>
                <w:color w:val="auto"/>
                <w:sz w:val="24"/>
                <w:szCs w:val="24"/>
              </w:rPr>
            </w:pPr>
          </w:p>
        </w:tc>
        <w:tc>
          <w:tcPr>
            <w:tcW w:w="1276" w:type="dxa"/>
            <w:vMerge w:val="continue"/>
            <w:vAlign w:val="center"/>
          </w:tcPr>
          <w:p w14:paraId="37487D88">
            <w:pPr>
              <w:widowControl w:val="0"/>
              <w:snapToGrid w:val="0"/>
              <w:spacing w:line="300" w:lineRule="auto"/>
              <w:ind w:firstLine="480" w:firstLineChars="200"/>
              <w:rPr>
                <w:rFonts w:hint="eastAsia" w:asciiTheme="minorEastAsia" w:hAnsiTheme="minorEastAsia" w:eastAsiaTheme="minorEastAsia" w:cstheme="minorEastAsia"/>
                <w:color w:val="auto"/>
                <w:sz w:val="24"/>
                <w:szCs w:val="24"/>
              </w:rPr>
            </w:pPr>
          </w:p>
        </w:tc>
        <w:tc>
          <w:tcPr>
            <w:tcW w:w="1386" w:type="dxa"/>
            <w:vMerge w:val="continue"/>
            <w:vAlign w:val="center"/>
          </w:tcPr>
          <w:p w14:paraId="7304ABA9">
            <w:pPr>
              <w:spacing w:line="300" w:lineRule="auto"/>
              <w:rPr>
                <w:rFonts w:hint="eastAsia" w:asciiTheme="minorEastAsia" w:hAnsiTheme="minorEastAsia" w:eastAsiaTheme="minorEastAsia" w:cstheme="minorEastAsia"/>
                <w:color w:val="auto"/>
                <w:sz w:val="24"/>
                <w:szCs w:val="24"/>
              </w:rPr>
            </w:pPr>
          </w:p>
        </w:tc>
        <w:tc>
          <w:tcPr>
            <w:tcW w:w="6393" w:type="dxa"/>
            <w:vAlign w:val="center"/>
          </w:tcPr>
          <w:p w14:paraId="153A69C2">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2.磋商小组根据供应商提供的应急事件处置方案综合评定：</w:t>
            </w:r>
          </w:p>
          <w:p w14:paraId="7CF7F896">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a.科学、高效、全面的，得2分；</w:t>
            </w:r>
          </w:p>
          <w:p w14:paraId="50088CC6">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b.合理、完整、可行的，得1分；</w:t>
            </w:r>
          </w:p>
          <w:p w14:paraId="730D728D">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c.能满足项目基本要求的，得0.5分；</w:t>
            </w:r>
          </w:p>
          <w:p w14:paraId="65F07744">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d.不满足或缺项的，得0分。</w:t>
            </w:r>
          </w:p>
        </w:tc>
      </w:tr>
      <w:tr w14:paraId="4B200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jc w:val="center"/>
        </w:trPr>
        <w:tc>
          <w:tcPr>
            <w:tcW w:w="1176" w:type="dxa"/>
            <w:vMerge w:val="continue"/>
            <w:vAlign w:val="center"/>
          </w:tcPr>
          <w:p w14:paraId="3DFCF99C">
            <w:pPr>
              <w:widowControl w:val="0"/>
              <w:snapToGrid w:val="0"/>
              <w:spacing w:line="300" w:lineRule="auto"/>
              <w:ind w:firstLine="480" w:firstLineChars="200"/>
              <w:rPr>
                <w:rFonts w:hint="eastAsia" w:asciiTheme="minorEastAsia" w:hAnsiTheme="minorEastAsia" w:eastAsiaTheme="minorEastAsia" w:cstheme="minorEastAsia"/>
                <w:color w:val="auto"/>
                <w:sz w:val="24"/>
                <w:szCs w:val="24"/>
              </w:rPr>
            </w:pPr>
          </w:p>
        </w:tc>
        <w:tc>
          <w:tcPr>
            <w:tcW w:w="1276" w:type="dxa"/>
            <w:vMerge w:val="continue"/>
            <w:vAlign w:val="center"/>
          </w:tcPr>
          <w:p w14:paraId="2D00A9F8">
            <w:pPr>
              <w:widowControl w:val="0"/>
              <w:snapToGrid w:val="0"/>
              <w:spacing w:line="300" w:lineRule="auto"/>
              <w:ind w:firstLine="480" w:firstLineChars="200"/>
              <w:rPr>
                <w:rFonts w:hint="eastAsia" w:asciiTheme="minorEastAsia" w:hAnsiTheme="minorEastAsia" w:eastAsiaTheme="minorEastAsia" w:cstheme="minorEastAsia"/>
                <w:color w:val="auto"/>
                <w:sz w:val="24"/>
                <w:szCs w:val="24"/>
              </w:rPr>
            </w:pPr>
          </w:p>
        </w:tc>
        <w:tc>
          <w:tcPr>
            <w:tcW w:w="1386" w:type="dxa"/>
            <w:vMerge w:val="continue"/>
            <w:vAlign w:val="center"/>
          </w:tcPr>
          <w:p w14:paraId="0D854FD6">
            <w:pPr>
              <w:spacing w:line="300" w:lineRule="auto"/>
              <w:rPr>
                <w:rFonts w:hint="eastAsia" w:asciiTheme="minorEastAsia" w:hAnsiTheme="minorEastAsia" w:eastAsiaTheme="minorEastAsia" w:cstheme="minorEastAsia"/>
                <w:color w:val="auto"/>
                <w:sz w:val="24"/>
                <w:szCs w:val="24"/>
              </w:rPr>
            </w:pPr>
          </w:p>
        </w:tc>
        <w:tc>
          <w:tcPr>
            <w:tcW w:w="6393" w:type="dxa"/>
            <w:vAlign w:val="center"/>
          </w:tcPr>
          <w:p w14:paraId="4E5475D2">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3.磋商小组根据供应商提供的工程质量保证措施综合评定：</w:t>
            </w:r>
          </w:p>
          <w:p w14:paraId="1938D228">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a.科学、详尽、全面的，得2分；</w:t>
            </w:r>
          </w:p>
          <w:p w14:paraId="33E30C58">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b.合理、完整、可行的，得1分；</w:t>
            </w:r>
          </w:p>
          <w:p w14:paraId="285D4E35">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c.能满足项目基本要求的，得0.5分；</w:t>
            </w:r>
          </w:p>
          <w:p w14:paraId="1E8E109C">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d.不满足或缺项的，得0分。</w:t>
            </w:r>
          </w:p>
        </w:tc>
      </w:tr>
      <w:tr w14:paraId="79B9D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jc w:val="center"/>
        </w:trPr>
        <w:tc>
          <w:tcPr>
            <w:tcW w:w="1176" w:type="dxa"/>
            <w:vMerge w:val="continue"/>
            <w:vAlign w:val="center"/>
          </w:tcPr>
          <w:p w14:paraId="264040C6">
            <w:pPr>
              <w:widowControl w:val="0"/>
              <w:snapToGrid w:val="0"/>
              <w:spacing w:line="300" w:lineRule="auto"/>
              <w:ind w:firstLine="480" w:firstLineChars="200"/>
              <w:rPr>
                <w:rFonts w:hint="eastAsia" w:asciiTheme="minorEastAsia" w:hAnsiTheme="minorEastAsia" w:eastAsiaTheme="minorEastAsia" w:cstheme="minorEastAsia"/>
                <w:color w:val="auto"/>
                <w:sz w:val="24"/>
                <w:szCs w:val="24"/>
              </w:rPr>
            </w:pPr>
          </w:p>
        </w:tc>
        <w:tc>
          <w:tcPr>
            <w:tcW w:w="1276" w:type="dxa"/>
            <w:vMerge w:val="continue"/>
            <w:vAlign w:val="center"/>
          </w:tcPr>
          <w:p w14:paraId="0A01B477">
            <w:pPr>
              <w:widowControl w:val="0"/>
              <w:snapToGrid w:val="0"/>
              <w:spacing w:line="300" w:lineRule="auto"/>
              <w:ind w:firstLine="480" w:firstLineChars="200"/>
              <w:rPr>
                <w:rFonts w:hint="eastAsia" w:asciiTheme="minorEastAsia" w:hAnsiTheme="minorEastAsia" w:eastAsiaTheme="minorEastAsia" w:cstheme="minorEastAsia"/>
                <w:color w:val="auto"/>
                <w:sz w:val="24"/>
                <w:szCs w:val="24"/>
              </w:rPr>
            </w:pPr>
          </w:p>
        </w:tc>
        <w:tc>
          <w:tcPr>
            <w:tcW w:w="1386" w:type="dxa"/>
            <w:vMerge w:val="continue"/>
            <w:vAlign w:val="center"/>
          </w:tcPr>
          <w:p w14:paraId="7E74E61C">
            <w:pPr>
              <w:spacing w:line="300" w:lineRule="auto"/>
              <w:rPr>
                <w:rFonts w:hint="eastAsia" w:asciiTheme="minorEastAsia" w:hAnsiTheme="minorEastAsia" w:eastAsiaTheme="minorEastAsia" w:cstheme="minorEastAsia"/>
                <w:color w:val="auto"/>
                <w:sz w:val="24"/>
                <w:szCs w:val="24"/>
              </w:rPr>
            </w:pPr>
          </w:p>
        </w:tc>
        <w:tc>
          <w:tcPr>
            <w:tcW w:w="6393" w:type="dxa"/>
            <w:vAlign w:val="center"/>
          </w:tcPr>
          <w:p w14:paraId="65ACB8CE">
            <w:pPr>
              <w:widowControl w:val="0"/>
              <w:snapToGrid w:val="0"/>
              <w:spacing w:line="300" w:lineRule="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sz w:val="24"/>
                <w:szCs w:val="24"/>
              </w:rPr>
              <w:t>4.</w:t>
            </w:r>
            <w:r>
              <w:rPr>
                <w:rFonts w:hint="eastAsia" w:asciiTheme="minorEastAsia" w:hAnsiTheme="minorEastAsia" w:eastAsiaTheme="minorEastAsia" w:cstheme="minorEastAsia"/>
                <w:color w:val="auto"/>
                <w:kern w:val="2"/>
                <w:sz w:val="24"/>
                <w:szCs w:val="24"/>
              </w:rPr>
              <w:t>磋商小组根据供应商针对本项目提供的售后服务方案及安全措施（提供良好完善的售后服务方案及安全相关措施，并承诺能够确保售后服务质量和安全〈包括但不限于为施工人员购买保险等措施〉）综合评定：</w:t>
            </w:r>
          </w:p>
          <w:p w14:paraId="2E3AA1C3">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a.科学、详尽、全面的，得2分；</w:t>
            </w:r>
          </w:p>
          <w:p w14:paraId="1A5C7109">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b.合理、完整、可行的，得1分；</w:t>
            </w:r>
          </w:p>
          <w:p w14:paraId="67692CC6">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c.能满足项目基本要求的，得0.5分；</w:t>
            </w:r>
          </w:p>
          <w:p w14:paraId="48E7A536">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d.不满足或缺项的，得0分。</w:t>
            </w:r>
          </w:p>
        </w:tc>
      </w:tr>
      <w:tr w14:paraId="2A0FB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1176" w:type="dxa"/>
            <w:vMerge w:val="continue"/>
            <w:vAlign w:val="center"/>
          </w:tcPr>
          <w:p w14:paraId="697C87D5">
            <w:pPr>
              <w:widowControl w:val="0"/>
              <w:snapToGrid w:val="0"/>
              <w:spacing w:line="300" w:lineRule="auto"/>
              <w:ind w:firstLine="480" w:firstLineChars="200"/>
              <w:rPr>
                <w:rFonts w:hint="eastAsia" w:asciiTheme="minorEastAsia" w:hAnsiTheme="minorEastAsia" w:eastAsiaTheme="minorEastAsia" w:cstheme="minorEastAsia"/>
                <w:color w:val="auto"/>
                <w:sz w:val="24"/>
                <w:szCs w:val="24"/>
              </w:rPr>
            </w:pPr>
          </w:p>
        </w:tc>
        <w:tc>
          <w:tcPr>
            <w:tcW w:w="1276" w:type="dxa"/>
            <w:vMerge w:val="continue"/>
            <w:vAlign w:val="center"/>
          </w:tcPr>
          <w:p w14:paraId="6973DC81">
            <w:pPr>
              <w:widowControl w:val="0"/>
              <w:snapToGrid w:val="0"/>
              <w:spacing w:line="300" w:lineRule="auto"/>
              <w:ind w:firstLine="480" w:firstLineChars="200"/>
              <w:rPr>
                <w:rFonts w:hint="eastAsia" w:asciiTheme="minorEastAsia" w:hAnsiTheme="minorEastAsia" w:eastAsiaTheme="minorEastAsia" w:cstheme="minorEastAsia"/>
                <w:color w:val="auto"/>
                <w:sz w:val="24"/>
                <w:szCs w:val="24"/>
              </w:rPr>
            </w:pPr>
          </w:p>
        </w:tc>
        <w:tc>
          <w:tcPr>
            <w:tcW w:w="1386" w:type="dxa"/>
            <w:vMerge w:val="restart"/>
            <w:vAlign w:val="center"/>
          </w:tcPr>
          <w:p w14:paraId="1CDF30CF">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二、拟投入设备情况（20分）（为保证工程质量及施工进度）</w:t>
            </w:r>
          </w:p>
        </w:tc>
        <w:tc>
          <w:tcPr>
            <w:tcW w:w="6393" w:type="dxa"/>
            <w:vAlign w:val="center"/>
          </w:tcPr>
          <w:p w14:paraId="396036E9">
            <w:pPr>
              <w:widowControl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1.拟投入仪器设备（5分）：</w:t>
            </w:r>
          </w:p>
          <w:p w14:paraId="3B276DF3">
            <w:pPr>
              <w:widowControl w:val="0"/>
              <w:snapToGrid w:val="0"/>
              <w:spacing w:line="300" w:lineRule="auto"/>
              <w:ind w:firstLine="240" w:firstLineChars="1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供应商具有本项目施工设备：发电机、液压钳、穿线器、电焊机、电缆故障测试仪，每有一种得1分，本项最多得5分。</w:t>
            </w:r>
          </w:p>
          <w:p w14:paraId="72B1CCEE">
            <w:pPr>
              <w:pStyle w:val="17"/>
              <w:spacing w:line="300" w:lineRule="auto"/>
              <w:ind w:firstLine="24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注：上述设备应为供应商自有，提供仪器设备购置发票，否则不得分。</w:t>
            </w:r>
          </w:p>
        </w:tc>
      </w:tr>
      <w:tr w14:paraId="0BADD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1176" w:type="dxa"/>
            <w:vMerge w:val="continue"/>
            <w:vAlign w:val="center"/>
          </w:tcPr>
          <w:p w14:paraId="37B2F732">
            <w:pPr>
              <w:widowControl w:val="0"/>
              <w:snapToGrid w:val="0"/>
              <w:spacing w:line="300" w:lineRule="auto"/>
              <w:ind w:firstLine="480" w:firstLineChars="200"/>
              <w:rPr>
                <w:rFonts w:hint="eastAsia" w:asciiTheme="minorEastAsia" w:hAnsiTheme="minorEastAsia" w:eastAsiaTheme="minorEastAsia" w:cstheme="minorEastAsia"/>
                <w:color w:val="auto"/>
                <w:sz w:val="24"/>
                <w:szCs w:val="24"/>
              </w:rPr>
            </w:pPr>
          </w:p>
        </w:tc>
        <w:tc>
          <w:tcPr>
            <w:tcW w:w="1276" w:type="dxa"/>
            <w:vMerge w:val="continue"/>
            <w:vAlign w:val="center"/>
          </w:tcPr>
          <w:p w14:paraId="67C21121">
            <w:pPr>
              <w:widowControl w:val="0"/>
              <w:snapToGrid w:val="0"/>
              <w:spacing w:line="300" w:lineRule="auto"/>
              <w:ind w:firstLine="480" w:firstLineChars="200"/>
              <w:rPr>
                <w:rFonts w:hint="eastAsia" w:asciiTheme="minorEastAsia" w:hAnsiTheme="minorEastAsia" w:eastAsiaTheme="minorEastAsia" w:cstheme="minorEastAsia"/>
                <w:color w:val="auto"/>
                <w:sz w:val="24"/>
                <w:szCs w:val="24"/>
              </w:rPr>
            </w:pPr>
          </w:p>
        </w:tc>
        <w:tc>
          <w:tcPr>
            <w:tcW w:w="1386" w:type="dxa"/>
            <w:vMerge w:val="continue"/>
            <w:vAlign w:val="center"/>
          </w:tcPr>
          <w:p w14:paraId="1B180245">
            <w:pPr>
              <w:spacing w:line="300" w:lineRule="auto"/>
              <w:rPr>
                <w:rFonts w:hint="eastAsia" w:asciiTheme="minorEastAsia" w:hAnsiTheme="minorEastAsia" w:eastAsiaTheme="minorEastAsia" w:cstheme="minorEastAsia"/>
                <w:color w:val="auto"/>
                <w:sz w:val="24"/>
                <w:szCs w:val="24"/>
              </w:rPr>
            </w:pPr>
          </w:p>
        </w:tc>
        <w:tc>
          <w:tcPr>
            <w:tcW w:w="6393" w:type="dxa"/>
            <w:vAlign w:val="center"/>
          </w:tcPr>
          <w:p w14:paraId="031BDE65">
            <w:pPr>
              <w:widowControl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2.拟投入车辆设备（15分）：</w:t>
            </w:r>
          </w:p>
          <w:p w14:paraId="5F2F8D8D">
            <w:pPr>
              <w:widowControl w:val="0"/>
              <w:snapToGrid w:val="0"/>
              <w:spacing w:line="300" w:lineRule="auto"/>
              <w:ind w:firstLine="240" w:firstLineChars="100"/>
              <w:rPr>
                <w:rFonts w:eastAsiaTheme="minorEastAsia"/>
                <w:color w:val="auto"/>
              </w:rPr>
            </w:pPr>
            <w:r>
              <w:rPr>
                <w:rFonts w:hint="eastAsia" w:asciiTheme="minorEastAsia" w:hAnsiTheme="minorEastAsia" w:eastAsiaTheme="minorEastAsia" w:cstheme="minorEastAsia"/>
                <w:color w:val="auto"/>
                <w:sz w:val="24"/>
                <w:szCs w:val="24"/>
              </w:rPr>
              <w:t>具有高空作业车得5分，具有施工车辆得5分，具有吊车得5分。本项最多得15分。</w:t>
            </w:r>
          </w:p>
          <w:p w14:paraId="3E56314B">
            <w:pPr>
              <w:widowControl w:val="0"/>
              <w:snapToGrid w:val="0"/>
              <w:spacing w:line="300" w:lineRule="auto"/>
              <w:ind w:firstLine="240" w:firstLineChars="1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注：上述车辆为供应商自有的，响应文件中提供有效的车辆购置发票、车辆保险单、车辆行驶证；如为供应商租赁的，响应文件中提供有效的、涵盖本次服务期限的租赁合同、车辆保险单、车辆行驶证。否则不得分。</w:t>
            </w:r>
          </w:p>
        </w:tc>
      </w:tr>
      <w:tr w14:paraId="4A7E6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176" w:type="dxa"/>
            <w:vMerge w:val="continue"/>
            <w:vAlign w:val="center"/>
          </w:tcPr>
          <w:p w14:paraId="272867C8">
            <w:pPr>
              <w:widowControl w:val="0"/>
              <w:snapToGrid w:val="0"/>
              <w:spacing w:line="300" w:lineRule="auto"/>
              <w:ind w:firstLine="480" w:firstLineChars="200"/>
              <w:rPr>
                <w:rFonts w:hint="eastAsia" w:asciiTheme="minorEastAsia" w:hAnsiTheme="minorEastAsia" w:eastAsiaTheme="minorEastAsia" w:cstheme="minorEastAsia"/>
                <w:color w:val="auto"/>
                <w:sz w:val="24"/>
                <w:szCs w:val="24"/>
              </w:rPr>
            </w:pPr>
          </w:p>
        </w:tc>
        <w:tc>
          <w:tcPr>
            <w:tcW w:w="1276" w:type="dxa"/>
            <w:vMerge w:val="continue"/>
            <w:vAlign w:val="center"/>
          </w:tcPr>
          <w:p w14:paraId="542224D8">
            <w:pPr>
              <w:widowControl w:val="0"/>
              <w:snapToGrid w:val="0"/>
              <w:spacing w:line="300" w:lineRule="auto"/>
              <w:ind w:firstLine="480" w:firstLineChars="200"/>
              <w:rPr>
                <w:rFonts w:hint="eastAsia" w:asciiTheme="minorEastAsia" w:hAnsiTheme="minorEastAsia" w:eastAsiaTheme="minorEastAsia" w:cstheme="minorEastAsia"/>
                <w:color w:val="auto"/>
                <w:sz w:val="24"/>
                <w:szCs w:val="24"/>
              </w:rPr>
            </w:pPr>
          </w:p>
        </w:tc>
        <w:tc>
          <w:tcPr>
            <w:tcW w:w="1386" w:type="dxa"/>
            <w:vAlign w:val="center"/>
          </w:tcPr>
          <w:p w14:paraId="3CEC4D5B">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三、拟投入人员（31分）（为保证施工安全及工程质量）</w:t>
            </w:r>
          </w:p>
        </w:tc>
        <w:tc>
          <w:tcPr>
            <w:tcW w:w="6393" w:type="dxa"/>
            <w:vAlign w:val="center"/>
          </w:tcPr>
          <w:p w14:paraId="5060828F">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1、供应商每有1名本单位低压电工，得2分，本项最多得8分。（以合法有效的低压电工证、身份证、劳动合同及供应商缴纳的社保证明资料为准)</w:t>
            </w:r>
          </w:p>
          <w:p w14:paraId="217D945F">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2、供应商每有1名本单位特种作业操作人员（焊接与热切割作业）的，得2分，本项最多得4分。（以合法有效的焊接与热切割作业证、身份证、劳动合同及供应商缴纳的社保证明资料为准)</w:t>
            </w:r>
          </w:p>
          <w:p w14:paraId="69B1D3FB">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3、拟投入的相关管理、技术人员，具有有效的高处作业证的，每有1人，得2分，本项最多得6分。(以合法有效的高处作业证、身份证、劳动合同及供应商缴纳的社保证明资料为准)</w:t>
            </w:r>
          </w:p>
          <w:p w14:paraId="661E2B5C">
            <w:pPr>
              <w:widowControl w:val="0"/>
              <w:snapToGrid w:val="0"/>
              <w:spacing w:after="3" w:line="300" w:lineRule="auto"/>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（注：特种作业低压电工证、焊接与热切割作业证及高处作业证合法有效，应由省级应急管理部门颁发。）</w:t>
            </w:r>
          </w:p>
          <w:p w14:paraId="2E7246D5">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拟投入的高空作业车操作人员，每提供一个有效的高空作业车操作证或建设机械施工作业操作证（操作项目必须为高空作业车操作）的，得2分，本项最多得2分。（以高空作业车操作证或建设机械施工作业操作证&lt;操作项目必须为高空作业车操作&gt;、身份证为准。）</w:t>
            </w:r>
          </w:p>
          <w:p w14:paraId="71142E1F">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拟投入人员中（项目经理除外）有相关专业（机电或市政）工程师中级及以上职称的，每有1人得2分，最多得8分。（以合法有效的中级及以上职称证、身份证、劳动合同及供应商缴纳的社保证明资料为准。提供职称证书查询截图)</w:t>
            </w:r>
          </w:p>
          <w:p w14:paraId="2E3A45D0">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6、供应商五大员（施工员、质量员、安全员、材料员、资料员）齐全的得3分，缺项的不得分。（提供有效期内五大员证书扫描件、身份证及供应商缴纳的社保证明资料为准。）</w:t>
            </w:r>
          </w:p>
          <w:p w14:paraId="0C94FB6E">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注：以上证件(低压电工证、焊接与热切割作业证、高处作业证、高空作业车操作证或建设机械施工作业操作证&lt;操作项目必须为高空作业车操作&gt;、中级及以上职称证、五大员证)均须提供证书附于响应文件中；以上需要提供社保证明资料的，应提供2026年1月1日以来任意1个月的社保证明资料附于响应文件中，否则不得分。</w:t>
            </w:r>
          </w:p>
        </w:tc>
      </w:tr>
      <w:tr w14:paraId="2AEAB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atLeast"/>
          <w:jc w:val="center"/>
        </w:trPr>
        <w:tc>
          <w:tcPr>
            <w:tcW w:w="1176" w:type="dxa"/>
            <w:vMerge w:val="restart"/>
            <w:vAlign w:val="center"/>
          </w:tcPr>
          <w:p w14:paraId="6F41461B">
            <w:pPr>
              <w:widowControl w:val="0"/>
              <w:autoSpaceDE w:val="0"/>
              <w:autoSpaceDN w:val="0"/>
              <w:adjustRightInd w:val="0"/>
              <w:spacing w:line="300" w:lineRule="auto"/>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2.2.2.3</w:t>
            </w:r>
          </w:p>
        </w:tc>
        <w:tc>
          <w:tcPr>
            <w:tcW w:w="1276" w:type="dxa"/>
            <w:vMerge w:val="restart"/>
            <w:vAlign w:val="center"/>
          </w:tcPr>
          <w:p w14:paraId="362B5A9E">
            <w:pPr>
              <w:widowControl w:val="0"/>
              <w:autoSpaceDE w:val="0"/>
              <w:autoSpaceDN w:val="0"/>
              <w:adjustRightInd w:val="0"/>
              <w:snapToGrid w:val="0"/>
              <w:spacing w:line="300" w:lineRule="auto"/>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履约能力</w:t>
            </w:r>
          </w:p>
        </w:tc>
        <w:tc>
          <w:tcPr>
            <w:tcW w:w="1386" w:type="dxa"/>
            <w:vAlign w:val="center"/>
          </w:tcPr>
          <w:p w14:paraId="38402CF3">
            <w:pPr>
              <w:widowControl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信誉（3分）</w:t>
            </w:r>
          </w:p>
        </w:tc>
        <w:tc>
          <w:tcPr>
            <w:tcW w:w="6393" w:type="dxa"/>
            <w:vAlign w:val="center"/>
          </w:tcPr>
          <w:p w14:paraId="1109400B">
            <w:pPr>
              <w:widowControl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1.供应商提供有效期内质量管理体系证书、环境管理体系证书、职业健康安全管理体系证书，每有1项得1分，本项最多得3分。（提供证书附于响应文件中）</w:t>
            </w:r>
          </w:p>
        </w:tc>
      </w:tr>
      <w:tr w14:paraId="2C6C0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176" w:type="dxa"/>
            <w:vMerge w:val="continue"/>
            <w:vAlign w:val="center"/>
          </w:tcPr>
          <w:p w14:paraId="0889A08B">
            <w:pPr>
              <w:widowControl w:val="0"/>
              <w:snapToGrid w:val="0"/>
              <w:spacing w:line="300" w:lineRule="auto"/>
              <w:jc w:val="left"/>
              <w:rPr>
                <w:rFonts w:hint="eastAsia" w:asciiTheme="minorEastAsia" w:hAnsiTheme="minorEastAsia" w:eastAsiaTheme="minorEastAsia" w:cstheme="minorEastAsia"/>
                <w:color w:val="auto"/>
                <w:sz w:val="24"/>
                <w:szCs w:val="24"/>
              </w:rPr>
            </w:pPr>
          </w:p>
        </w:tc>
        <w:tc>
          <w:tcPr>
            <w:tcW w:w="1276" w:type="dxa"/>
            <w:vMerge w:val="continue"/>
            <w:vAlign w:val="center"/>
          </w:tcPr>
          <w:p w14:paraId="22E09BFC">
            <w:pPr>
              <w:widowControl w:val="0"/>
              <w:snapToGrid w:val="0"/>
              <w:spacing w:line="300" w:lineRule="auto"/>
              <w:jc w:val="left"/>
              <w:rPr>
                <w:rFonts w:hint="eastAsia" w:asciiTheme="minorEastAsia" w:hAnsiTheme="minorEastAsia" w:eastAsiaTheme="minorEastAsia" w:cstheme="minorEastAsia"/>
                <w:color w:val="auto"/>
                <w:sz w:val="24"/>
                <w:szCs w:val="24"/>
              </w:rPr>
            </w:pPr>
          </w:p>
        </w:tc>
        <w:tc>
          <w:tcPr>
            <w:tcW w:w="1386" w:type="dxa"/>
            <w:vAlign w:val="center"/>
          </w:tcPr>
          <w:p w14:paraId="1DCCE1D3">
            <w:pPr>
              <w:widowControl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业绩（8分）</w:t>
            </w:r>
          </w:p>
        </w:tc>
        <w:tc>
          <w:tcPr>
            <w:tcW w:w="6393" w:type="dxa"/>
            <w:vAlign w:val="center"/>
          </w:tcPr>
          <w:p w14:paraId="580015DF">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2.供应商具有2023年1月1日以来类似业绩的，每有1份得2分，最多得8分。（以合同签订时间为准，提供合同、中标&lt;成交&gt;通知书及中标&lt;成交&gt;公示截图附于响应文件中，否则不得分）</w:t>
            </w:r>
          </w:p>
          <w:p w14:paraId="1653EB06">
            <w:pPr>
              <w:widowControl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注：类似业绩指路灯安装或路灯改造工程类业绩。供应商应保证所提供的业绩真实有效并自行承诺。</w:t>
            </w:r>
          </w:p>
        </w:tc>
      </w:tr>
    </w:tbl>
    <w:p w14:paraId="4706817E">
      <w:pPr>
        <w:autoSpaceDE w:val="0"/>
        <w:autoSpaceDN w:val="0"/>
        <w:adjustRightInd w:val="0"/>
        <w:snapToGrid w:val="0"/>
        <w:spacing w:before="120" w:beforeLines="50" w:line="300" w:lineRule="auto"/>
        <w:ind w:firstLine="619" w:firstLineChars="257"/>
        <w:jc w:val="left"/>
        <w:rPr>
          <w:b/>
          <w:color w:val="auto"/>
          <w:sz w:val="24"/>
          <w:szCs w:val="24"/>
        </w:rPr>
      </w:pPr>
    </w:p>
    <w:p w14:paraId="5FA2A6D9">
      <w:pPr>
        <w:autoSpaceDE w:val="0"/>
        <w:autoSpaceDN w:val="0"/>
        <w:adjustRightInd w:val="0"/>
        <w:snapToGrid w:val="0"/>
        <w:spacing w:before="120" w:beforeLines="50" w:line="300" w:lineRule="auto"/>
        <w:ind w:firstLine="619" w:firstLineChars="257"/>
        <w:jc w:val="left"/>
        <w:rPr>
          <w:b/>
          <w:color w:val="auto"/>
          <w:sz w:val="24"/>
          <w:szCs w:val="24"/>
        </w:rPr>
      </w:pPr>
      <w:r>
        <w:rPr>
          <w:rFonts w:hint="eastAsia"/>
          <w:b/>
          <w:color w:val="auto"/>
          <w:sz w:val="24"/>
          <w:szCs w:val="24"/>
        </w:rPr>
        <w:t>注：1、以上打分细则中所需要的证件、证书、合同等证明资料，需按上述要求提供并附于响应文件中。</w:t>
      </w:r>
    </w:p>
    <w:p w14:paraId="7DE7B822">
      <w:pPr>
        <w:autoSpaceDE w:val="0"/>
        <w:autoSpaceDN w:val="0"/>
        <w:adjustRightInd w:val="0"/>
        <w:snapToGrid w:val="0"/>
        <w:spacing w:before="120" w:beforeLines="50" w:line="300" w:lineRule="auto"/>
        <w:ind w:firstLine="781" w:firstLineChars="324"/>
        <w:rPr>
          <w:rFonts w:ascii="宋体" w:cs="楷体_GB2312"/>
          <w:b/>
          <w:bCs/>
          <w:color w:val="auto"/>
          <w:sz w:val="24"/>
          <w:lang w:val="zh-CN"/>
        </w:rPr>
      </w:pPr>
      <w:r>
        <w:rPr>
          <w:rFonts w:hint="eastAsia" w:ascii="宋体" w:cs="楷体_GB2312"/>
          <w:b/>
          <w:bCs/>
          <w:color w:val="auto"/>
          <w:sz w:val="24"/>
          <w:lang w:val="zh-CN"/>
        </w:rPr>
        <w:t>2、防范虚假证明材料的要求。</w:t>
      </w:r>
    </w:p>
    <w:p w14:paraId="3D8FE05F">
      <w:pPr>
        <w:autoSpaceDE w:val="0"/>
        <w:autoSpaceDN w:val="0"/>
        <w:adjustRightInd w:val="0"/>
        <w:snapToGrid w:val="0"/>
        <w:spacing w:before="120" w:beforeLines="50" w:line="300" w:lineRule="auto"/>
        <w:ind w:firstLine="781" w:firstLineChars="324"/>
        <w:rPr>
          <w:rFonts w:ascii="宋体" w:cs="楷体_GB2312"/>
          <w:b/>
          <w:bCs/>
          <w:color w:val="auto"/>
          <w:sz w:val="24"/>
          <w:lang w:val="zh-CN"/>
        </w:rPr>
      </w:pPr>
      <w:r>
        <w:rPr>
          <w:rFonts w:hint="eastAsia" w:ascii="宋体" w:cs="楷体_GB2312"/>
          <w:b/>
          <w:bCs/>
          <w:color w:val="auto"/>
          <w:sz w:val="24"/>
          <w:lang w:val="zh-CN"/>
        </w:rPr>
        <w:t>基于当前监督检查工作要求，为防范虚假材料，供应商（成交人）应按第六章14-2附件“证明材料查询核验工作的清单及要求”执行。</w:t>
      </w:r>
    </w:p>
    <w:p w14:paraId="539F6544">
      <w:pPr>
        <w:spacing w:line="240" w:lineRule="auto"/>
        <w:jc w:val="center"/>
        <w:textAlignment w:val="auto"/>
        <w:rPr>
          <w:rFonts w:hint="eastAsia" w:ascii="黑体" w:hAnsi="黑体" w:eastAsia="黑体" w:cs="楷体_GB2312"/>
          <w:b/>
          <w:bCs/>
          <w:color w:val="auto"/>
          <w:sz w:val="28"/>
          <w:szCs w:val="28"/>
          <w:lang w:val="zh-CN"/>
        </w:rPr>
      </w:pPr>
    </w:p>
    <w:p w14:paraId="24FCC9DB">
      <w:pPr>
        <w:spacing w:line="240" w:lineRule="auto"/>
        <w:jc w:val="left"/>
        <w:textAlignment w:val="auto"/>
        <w:rPr>
          <w:rFonts w:hint="eastAsia" w:ascii="黑体" w:hAnsi="黑体" w:eastAsia="黑体" w:cs="楷体_GB2312"/>
          <w:b/>
          <w:bCs/>
          <w:color w:val="auto"/>
          <w:sz w:val="28"/>
          <w:szCs w:val="28"/>
          <w:lang w:val="zh-CN"/>
        </w:rPr>
      </w:pPr>
    </w:p>
    <w:p w14:paraId="10D89C78">
      <w:pPr>
        <w:spacing w:line="240" w:lineRule="auto"/>
        <w:jc w:val="left"/>
        <w:textAlignment w:val="auto"/>
        <w:rPr>
          <w:rFonts w:hint="eastAsia" w:ascii="黑体" w:hAnsi="黑体" w:eastAsia="黑体" w:cs="楷体_GB2312"/>
          <w:b/>
          <w:bCs/>
          <w:color w:val="auto"/>
          <w:sz w:val="28"/>
          <w:szCs w:val="28"/>
          <w:lang w:val="zh-CN"/>
        </w:rPr>
      </w:pPr>
      <w:r>
        <w:rPr>
          <w:rFonts w:ascii="黑体" w:hAnsi="黑体" w:eastAsia="黑体"/>
          <w:b/>
          <w:color w:val="auto"/>
          <w:sz w:val="28"/>
          <w:szCs w:val="28"/>
        </w:rPr>
        <w:br w:type="page"/>
      </w:r>
    </w:p>
    <w:p w14:paraId="60F76D20">
      <w:pPr>
        <w:autoSpaceDE w:val="0"/>
        <w:autoSpaceDN w:val="0"/>
        <w:adjustRightInd w:val="0"/>
        <w:snapToGrid w:val="0"/>
        <w:spacing w:before="120" w:beforeLines="50" w:line="300" w:lineRule="auto"/>
        <w:ind w:firstLine="562" w:firstLineChars="200"/>
        <w:jc w:val="left"/>
        <w:outlineLvl w:val="1"/>
        <w:rPr>
          <w:rFonts w:hint="eastAsia" w:ascii="黑体" w:hAnsi="黑体" w:eastAsia="黑体" w:cs="楷体_GB2312"/>
          <w:b/>
          <w:bCs/>
          <w:color w:val="auto"/>
          <w:sz w:val="28"/>
          <w:szCs w:val="28"/>
          <w:lang w:val="zh-CN"/>
        </w:rPr>
      </w:pPr>
      <w:bookmarkStart w:id="39" w:name="_Toc11414"/>
      <w:r>
        <w:rPr>
          <w:rFonts w:ascii="黑体" w:hAnsi="黑体" w:eastAsia="黑体" w:cs="楷体_GB2312"/>
          <w:b/>
          <w:bCs/>
          <w:color w:val="auto"/>
          <w:sz w:val="28"/>
          <w:szCs w:val="28"/>
          <w:lang w:val="zh-CN"/>
        </w:rPr>
        <w:t xml:space="preserve">1. </w:t>
      </w:r>
      <w:r>
        <w:rPr>
          <w:rFonts w:hint="eastAsia" w:ascii="黑体" w:hAnsi="黑体" w:eastAsia="黑体" w:cs="楷体_GB2312"/>
          <w:b/>
          <w:bCs/>
          <w:color w:val="auto"/>
          <w:sz w:val="28"/>
          <w:szCs w:val="28"/>
          <w:lang w:val="zh-CN"/>
        </w:rPr>
        <w:t>评审方法（评定成交的标准）</w:t>
      </w:r>
      <w:bookmarkEnd w:id="39"/>
    </w:p>
    <w:p w14:paraId="0F22540C">
      <w:pPr>
        <w:autoSpaceDE w:val="0"/>
        <w:autoSpaceDN w:val="0"/>
        <w:adjustRightInd w:val="0"/>
        <w:snapToGrid w:val="0"/>
        <w:spacing w:before="120" w:beforeLines="50" w:line="300" w:lineRule="auto"/>
        <w:ind w:firstLine="619" w:firstLineChars="257"/>
        <w:jc w:val="left"/>
        <w:rPr>
          <w:rFonts w:ascii="宋体"/>
          <w:b/>
          <w:color w:val="auto"/>
          <w:sz w:val="24"/>
        </w:rPr>
      </w:pPr>
      <w:r>
        <w:rPr>
          <w:rFonts w:hint="eastAsia"/>
          <w:b/>
          <w:color w:val="auto"/>
          <w:sz w:val="24"/>
          <w:szCs w:val="24"/>
        </w:rPr>
        <w:t>本次政府采购项目（标段&lt;包&gt;）的评审方法采用《政府采购竞争性磋商采购方式管理暂行办法》中的“综合评分法”，由磋商小组采用综合评分法对提交最后报价的供应商的《响应文件》和最后报价进行综合评分，《响应文件》满足磋商文件全部实质性要求且按评审因素的量化指标评审得分最高的供应商为该项目（标段&lt;包&gt;）成交候选供应商。</w:t>
      </w:r>
    </w:p>
    <w:p w14:paraId="32FF07A8">
      <w:pPr>
        <w:pStyle w:val="51"/>
        <w:snapToGrid w:val="0"/>
        <w:spacing w:before="120" w:beforeLines="50" w:line="300" w:lineRule="auto"/>
        <w:ind w:firstLine="422" w:firstLineChars="150"/>
        <w:jc w:val="both"/>
        <w:outlineLvl w:val="1"/>
        <w:rPr>
          <w:rFonts w:hint="eastAsia" w:ascii="黑体" w:hAnsi="黑体" w:eastAsia="黑体" w:cs="楷体_GB2312"/>
          <w:b/>
          <w:bCs/>
          <w:color w:val="auto"/>
          <w:sz w:val="28"/>
          <w:szCs w:val="28"/>
          <w:u w:color="000000"/>
          <w:lang w:val="zh-CN"/>
        </w:rPr>
      </w:pPr>
      <w:bookmarkStart w:id="40" w:name="_Toc423723403"/>
    </w:p>
    <w:p w14:paraId="7CD593D1">
      <w:pPr>
        <w:pStyle w:val="51"/>
        <w:snapToGrid w:val="0"/>
        <w:spacing w:before="120" w:beforeLines="50" w:line="300" w:lineRule="auto"/>
        <w:ind w:firstLine="422" w:firstLineChars="150"/>
        <w:jc w:val="both"/>
        <w:outlineLvl w:val="1"/>
        <w:rPr>
          <w:rFonts w:hint="eastAsia" w:ascii="黑体" w:hAnsi="黑体" w:eastAsia="黑体" w:cs="楷体_GB2312"/>
          <w:b/>
          <w:bCs/>
          <w:color w:val="auto"/>
          <w:sz w:val="28"/>
          <w:szCs w:val="28"/>
          <w:u w:color="000000"/>
          <w:lang w:val="zh-CN"/>
        </w:rPr>
      </w:pPr>
      <w:bookmarkStart w:id="41" w:name="_Toc1976"/>
      <w:r>
        <w:rPr>
          <w:rFonts w:ascii="黑体" w:hAnsi="黑体" w:eastAsia="黑体" w:cs="楷体_GB2312"/>
          <w:b/>
          <w:bCs/>
          <w:color w:val="auto"/>
          <w:sz w:val="28"/>
          <w:szCs w:val="28"/>
          <w:u w:color="000000"/>
          <w:lang w:val="zh-CN"/>
        </w:rPr>
        <w:t xml:space="preserve">2. </w:t>
      </w:r>
      <w:r>
        <w:rPr>
          <w:rFonts w:hint="eastAsia" w:ascii="黑体" w:hAnsi="黑体" w:eastAsia="黑体" w:cs="楷体_GB2312"/>
          <w:b/>
          <w:bCs/>
          <w:color w:val="auto"/>
          <w:sz w:val="28"/>
          <w:szCs w:val="28"/>
          <w:u w:color="000000"/>
          <w:lang w:val="zh-CN"/>
        </w:rPr>
        <w:t>评审标准</w:t>
      </w:r>
      <w:bookmarkEnd w:id="40"/>
      <w:bookmarkEnd w:id="41"/>
    </w:p>
    <w:p w14:paraId="2894A653">
      <w:pPr>
        <w:autoSpaceDE w:val="0"/>
        <w:autoSpaceDN w:val="0"/>
        <w:adjustRightInd w:val="0"/>
        <w:snapToGrid w:val="0"/>
        <w:spacing w:before="50" w:line="300" w:lineRule="auto"/>
        <w:ind w:firstLine="482" w:firstLineChars="200"/>
        <w:jc w:val="left"/>
        <w:rPr>
          <w:rFonts w:hint="eastAsia" w:ascii="黑体" w:hAnsi="黑体" w:eastAsia="黑体"/>
          <w:b/>
          <w:color w:val="auto"/>
          <w:sz w:val="24"/>
        </w:rPr>
      </w:pPr>
      <w:r>
        <w:rPr>
          <w:rFonts w:ascii="黑体" w:hAnsi="黑体" w:eastAsia="黑体"/>
          <w:b/>
          <w:color w:val="auto"/>
          <w:sz w:val="24"/>
        </w:rPr>
        <w:t xml:space="preserve">2.1 </w:t>
      </w:r>
      <w:r>
        <w:rPr>
          <w:rFonts w:hint="eastAsia" w:ascii="黑体" w:hAnsi="黑体" w:eastAsia="黑体"/>
          <w:b/>
          <w:color w:val="auto"/>
          <w:sz w:val="24"/>
        </w:rPr>
        <w:t>初步评审标准</w:t>
      </w:r>
    </w:p>
    <w:p w14:paraId="69BD791E">
      <w:pPr>
        <w:autoSpaceDE w:val="0"/>
        <w:autoSpaceDN w:val="0"/>
        <w:adjustRightInd w:val="0"/>
        <w:snapToGrid w:val="0"/>
        <w:spacing w:before="50" w:line="300" w:lineRule="auto"/>
        <w:ind w:firstLine="480" w:firstLineChars="200"/>
        <w:jc w:val="left"/>
        <w:rPr>
          <w:rFonts w:ascii="宋体"/>
          <w:color w:val="auto"/>
          <w:sz w:val="24"/>
        </w:rPr>
      </w:pPr>
      <w:r>
        <w:rPr>
          <w:rFonts w:ascii="宋体" w:hAnsi="宋体"/>
          <w:color w:val="auto"/>
          <w:sz w:val="24"/>
        </w:rPr>
        <w:t xml:space="preserve">2.1.1 </w:t>
      </w:r>
      <w:r>
        <w:rPr>
          <w:rFonts w:hint="eastAsia" w:ascii="宋体" w:hAnsi="宋体"/>
          <w:color w:val="auto"/>
          <w:sz w:val="24"/>
        </w:rPr>
        <w:t>资格性审查标准：见评审办法前附表。</w:t>
      </w:r>
    </w:p>
    <w:p w14:paraId="24DC723B">
      <w:pPr>
        <w:autoSpaceDE w:val="0"/>
        <w:autoSpaceDN w:val="0"/>
        <w:adjustRightInd w:val="0"/>
        <w:snapToGrid w:val="0"/>
        <w:spacing w:before="50" w:line="300" w:lineRule="auto"/>
        <w:ind w:firstLine="480" w:firstLineChars="200"/>
        <w:jc w:val="left"/>
        <w:rPr>
          <w:rFonts w:ascii="宋体"/>
          <w:color w:val="auto"/>
          <w:sz w:val="24"/>
        </w:rPr>
      </w:pPr>
      <w:r>
        <w:rPr>
          <w:rFonts w:ascii="宋体" w:hAnsi="宋体"/>
          <w:color w:val="auto"/>
          <w:sz w:val="24"/>
        </w:rPr>
        <w:t xml:space="preserve">2.1.2 </w:t>
      </w:r>
      <w:r>
        <w:rPr>
          <w:rFonts w:hint="eastAsia" w:ascii="宋体" w:hAnsi="宋体"/>
          <w:color w:val="auto"/>
          <w:sz w:val="24"/>
        </w:rPr>
        <w:t>符合性审查标准：见评审办法前附表。</w:t>
      </w:r>
    </w:p>
    <w:p w14:paraId="3816FE5A">
      <w:pPr>
        <w:autoSpaceDE w:val="0"/>
        <w:autoSpaceDN w:val="0"/>
        <w:adjustRightInd w:val="0"/>
        <w:snapToGrid w:val="0"/>
        <w:spacing w:before="50" w:line="300" w:lineRule="auto"/>
        <w:ind w:firstLine="482" w:firstLineChars="200"/>
        <w:jc w:val="left"/>
        <w:rPr>
          <w:rFonts w:hint="eastAsia" w:ascii="黑体" w:hAnsi="黑体" w:eastAsia="黑体"/>
          <w:b/>
          <w:color w:val="auto"/>
          <w:sz w:val="24"/>
        </w:rPr>
      </w:pPr>
      <w:r>
        <w:rPr>
          <w:rFonts w:ascii="黑体" w:hAnsi="黑体" w:eastAsia="黑体"/>
          <w:b/>
          <w:color w:val="auto"/>
          <w:sz w:val="24"/>
        </w:rPr>
        <w:t xml:space="preserve">2.2 </w:t>
      </w:r>
      <w:r>
        <w:rPr>
          <w:rFonts w:hint="eastAsia" w:ascii="黑体" w:hAnsi="黑体" w:eastAsia="黑体"/>
          <w:b/>
          <w:color w:val="auto"/>
          <w:sz w:val="24"/>
        </w:rPr>
        <w:t>详细评审标准</w:t>
      </w:r>
    </w:p>
    <w:p w14:paraId="65289005">
      <w:pPr>
        <w:autoSpaceDE w:val="0"/>
        <w:autoSpaceDN w:val="0"/>
        <w:adjustRightInd w:val="0"/>
        <w:snapToGrid w:val="0"/>
        <w:spacing w:before="50" w:line="300" w:lineRule="auto"/>
        <w:ind w:firstLine="480" w:firstLineChars="200"/>
        <w:jc w:val="left"/>
        <w:rPr>
          <w:rFonts w:ascii="宋体"/>
          <w:color w:val="auto"/>
          <w:sz w:val="24"/>
        </w:rPr>
      </w:pPr>
      <w:r>
        <w:rPr>
          <w:rFonts w:ascii="宋体" w:hAnsi="宋体"/>
          <w:color w:val="auto"/>
          <w:sz w:val="24"/>
        </w:rPr>
        <w:t xml:space="preserve">2.2.1 </w:t>
      </w:r>
      <w:r>
        <w:rPr>
          <w:rFonts w:hint="eastAsia" w:ascii="宋体" w:hAnsi="宋体"/>
          <w:color w:val="auto"/>
          <w:sz w:val="24"/>
        </w:rPr>
        <w:t>分值构成：见评审办法前附表</w:t>
      </w:r>
    </w:p>
    <w:p w14:paraId="6029FB0A">
      <w:pPr>
        <w:autoSpaceDE w:val="0"/>
        <w:autoSpaceDN w:val="0"/>
        <w:adjustRightInd w:val="0"/>
        <w:snapToGrid w:val="0"/>
        <w:spacing w:before="50" w:line="300" w:lineRule="auto"/>
        <w:ind w:firstLine="480" w:firstLineChars="200"/>
        <w:jc w:val="left"/>
        <w:rPr>
          <w:rFonts w:ascii="宋体"/>
          <w:color w:val="auto"/>
          <w:sz w:val="24"/>
        </w:rPr>
      </w:pPr>
      <w:r>
        <w:rPr>
          <w:rFonts w:ascii="宋体" w:hAnsi="宋体"/>
          <w:color w:val="auto"/>
          <w:sz w:val="24"/>
        </w:rPr>
        <w:t xml:space="preserve">2.2.2 </w:t>
      </w:r>
      <w:r>
        <w:rPr>
          <w:rFonts w:hint="eastAsia" w:ascii="宋体" w:hAnsi="宋体"/>
          <w:color w:val="auto"/>
          <w:sz w:val="24"/>
        </w:rPr>
        <w:t>评分标准：见评审办法前附表</w:t>
      </w:r>
    </w:p>
    <w:p w14:paraId="459085B3">
      <w:pPr>
        <w:autoSpaceDE w:val="0"/>
        <w:autoSpaceDN w:val="0"/>
        <w:adjustRightInd w:val="0"/>
        <w:snapToGrid w:val="0"/>
        <w:spacing w:before="120" w:beforeLines="50" w:line="300" w:lineRule="auto"/>
        <w:ind w:left="540" w:leftChars="257"/>
        <w:jc w:val="left"/>
        <w:rPr>
          <w:rFonts w:ascii="宋体"/>
          <w:color w:val="auto"/>
          <w:sz w:val="24"/>
        </w:rPr>
      </w:pPr>
    </w:p>
    <w:p w14:paraId="5466006A">
      <w:pPr>
        <w:pStyle w:val="51"/>
        <w:snapToGrid w:val="0"/>
        <w:spacing w:before="120" w:beforeLines="50" w:line="300" w:lineRule="auto"/>
        <w:ind w:firstLine="562" w:firstLineChars="200"/>
        <w:jc w:val="both"/>
        <w:outlineLvl w:val="1"/>
        <w:rPr>
          <w:rFonts w:hint="eastAsia" w:ascii="黑体" w:hAnsi="黑体" w:eastAsia="黑体" w:cs="楷体_GB2312"/>
          <w:b/>
          <w:bCs/>
          <w:color w:val="auto"/>
          <w:sz w:val="28"/>
          <w:szCs w:val="28"/>
          <w:u w:color="000000"/>
          <w:lang w:val="zh-CN"/>
        </w:rPr>
      </w:pPr>
      <w:bookmarkStart w:id="42" w:name="_Toc423723405"/>
      <w:bookmarkStart w:id="43" w:name="_Toc32226"/>
      <w:r>
        <w:rPr>
          <w:rFonts w:ascii="黑体" w:hAnsi="黑体" w:eastAsia="黑体" w:cs="楷体_GB2312"/>
          <w:b/>
          <w:bCs/>
          <w:color w:val="auto"/>
          <w:sz w:val="28"/>
          <w:szCs w:val="28"/>
          <w:u w:color="000000"/>
          <w:lang w:val="zh-CN"/>
        </w:rPr>
        <w:t xml:space="preserve">3. </w:t>
      </w:r>
      <w:r>
        <w:rPr>
          <w:rFonts w:hint="eastAsia" w:ascii="黑体" w:hAnsi="黑体" w:eastAsia="黑体" w:cs="楷体_GB2312"/>
          <w:b/>
          <w:bCs/>
          <w:color w:val="auto"/>
          <w:sz w:val="28"/>
          <w:szCs w:val="28"/>
          <w:u w:color="000000"/>
          <w:lang w:val="zh-CN"/>
        </w:rPr>
        <w:t>评审程序</w:t>
      </w:r>
      <w:bookmarkEnd w:id="42"/>
      <w:bookmarkEnd w:id="43"/>
    </w:p>
    <w:p w14:paraId="682ABAEC">
      <w:pPr>
        <w:autoSpaceDE w:val="0"/>
        <w:autoSpaceDN w:val="0"/>
        <w:adjustRightInd w:val="0"/>
        <w:snapToGrid w:val="0"/>
        <w:spacing w:before="120" w:beforeLines="50" w:line="300" w:lineRule="auto"/>
        <w:ind w:firstLine="482" w:firstLineChars="200"/>
        <w:jc w:val="left"/>
        <w:rPr>
          <w:rFonts w:hint="eastAsia" w:ascii="黑体" w:hAnsi="黑体" w:eastAsia="黑体"/>
          <w:b/>
          <w:color w:val="auto"/>
          <w:sz w:val="24"/>
          <w:szCs w:val="24"/>
        </w:rPr>
      </w:pPr>
      <w:r>
        <w:rPr>
          <w:rFonts w:hint="eastAsia" w:ascii="黑体" w:hAnsi="黑体" w:eastAsia="黑体"/>
          <w:b/>
          <w:color w:val="auto"/>
          <w:sz w:val="24"/>
          <w:szCs w:val="24"/>
        </w:rPr>
        <w:t>磋商小组按标段（包）进行评审</w:t>
      </w:r>
    </w:p>
    <w:p w14:paraId="4A51D676">
      <w:pPr>
        <w:autoSpaceDE w:val="0"/>
        <w:autoSpaceDN w:val="0"/>
        <w:adjustRightInd w:val="0"/>
        <w:snapToGrid w:val="0"/>
        <w:spacing w:before="120" w:beforeLines="50" w:line="300" w:lineRule="auto"/>
        <w:ind w:firstLine="482" w:firstLineChars="200"/>
        <w:jc w:val="left"/>
        <w:rPr>
          <w:rFonts w:hint="eastAsia" w:ascii="黑体" w:hAnsi="黑体" w:eastAsia="黑体"/>
          <w:b/>
          <w:color w:val="auto"/>
          <w:sz w:val="24"/>
        </w:rPr>
      </w:pPr>
      <w:r>
        <w:rPr>
          <w:rFonts w:ascii="黑体" w:hAnsi="黑体" w:eastAsia="黑体"/>
          <w:b/>
          <w:color w:val="auto"/>
          <w:sz w:val="24"/>
        </w:rPr>
        <w:t xml:space="preserve">3.1 </w:t>
      </w:r>
      <w:r>
        <w:rPr>
          <w:rFonts w:hint="eastAsia" w:ascii="黑体" w:hAnsi="黑体" w:eastAsia="黑体"/>
          <w:b/>
          <w:color w:val="auto"/>
          <w:sz w:val="24"/>
        </w:rPr>
        <w:t>确认《磋商文件》</w:t>
      </w:r>
    </w:p>
    <w:p w14:paraId="409D47D5">
      <w:pPr>
        <w:pStyle w:val="51"/>
        <w:snapToGrid w:val="0"/>
        <w:spacing w:before="120" w:beforeLines="50" w:line="300" w:lineRule="auto"/>
        <w:ind w:firstLine="480" w:firstLineChars="200"/>
        <w:jc w:val="both"/>
        <w:rPr>
          <w:rFonts w:hint="eastAsia" w:hAnsi="宋体"/>
          <w:color w:val="auto"/>
        </w:rPr>
      </w:pPr>
      <w:r>
        <w:rPr>
          <w:rFonts w:hAnsi="宋体"/>
          <w:color w:val="auto"/>
        </w:rPr>
        <w:t xml:space="preserve">3.1.1 </w:t>
      </w:r>
      <w:r>
        <w:rPr>
          <w:rFonts w:hint="eastAsia" w:hAnsi="宋体"/>
          <w:color w:val="auto"/>
        </w:rPr>
        <w:t>磋商小组确认《磋商文件》，《磋商文件》内容违反国家有关强制性规定的，磋商小组应当停止评审并向采购人或者采购代理机构书面说明情况。</w:t>
      </w:r>
    </w:p>
    <w:p w14:paraId="6CD97D7C">
      <w:pPr>
        <w:pStyle w:val="51"/>
        <w:snapToGrid w:val="0"/>
        <w:spacing w:before="120" w:beforeLines="50" w:line="300" w:lineRule="auto"/>
        <w:ind w:firstLine="480" w:firstLineChars="200"/>
        <w:jc w:val="both"/>
        <w:rPr>
          <w:rFonts w:hint="eastAsia" w:hAnsi="宋体"/>
          <w:color w:val="auto"/>
        </w:rPr>
      </w:pPr>
      <w:r>
        <w:rPr>
          <w:rFonts w:hAnsi="宋体"/>
          <w:color w:val="auto"/>
        </w:rPr>
        <w:t xml:space="preserve">3.1.2  </w:t>
      </w:r>
      <w:r>
        <w:rPr>
          <w:rFonts w:hint="eastAsia" w:hAnsi="宋体"/>
          <w:color w:val="auto"/>
        </w:rPr>
        <w:t>磋商小组</w:t>
      </w:r>
      <w:r>
        <w:rPr>
          <w:rFonts w:hint="eastAsia" w:ascii="??" w:hAnsi="??" w:cs="宋体"/>
          <w:color w:val="auto"/>
          <w:szCs w:val="21"/>
        </w:rPr>
        <w:t>要求解释</w:t>
      </w:r>
      <w:r>
        <w:rPr>
          <w:rFonts w:hint="eastAsia" w:hAnsi="宋体"/>
          <w:color w:val="auto"/>
        </w:rPr>
        <w:t>《磋商文件》的，书面提出需解释的相关《磋商文件》的具体内容后、由采购代理机构或者采购人进行书面解释。</w:t>
      </w:r>
    </w:p>
    <w:p w14:paraId="6EAFE658">
      <w:pPr>
        <w:autoSpaceDE w:val="0"/>
        <w:autoSpaceDN w:val="0"/>
        <w:adjustRightInd w:val="0"/>
        <w:snapToGrid w:val="0"/>
        <w:spacing w:before="120" w:beforeLines="50" w:line="300" w:lineRule="auto"/>
        <w:ind w:firstLine="482" w:firstLineChars="200"/>
        <w:jc w:val="left"/>
        <w:rPr>
          <w:rFonts w:hint="eastAsia" w:ascii="黑体" w:hAnsi="黑体" w:eastAsia="黑体"/>
          <w:b/>
          <w:color w:val="auto"/>
          <w:sz w:val="24"/>
        </w:rPr>
      </w:pPr>
      <w:bookmarkStart w:id="44" w:name="_Toc423723406"/>
      <w:r>
        <w:rPr>
          <w:rFonts w:ascii="黑体" w:hAnsi="黑体" w:eastAsia="黑体"/>
          <w:b/>
          <w:color w:val="auto"/>
          <w:sz w:val="24"/>
        </w:rPr>
        <w:t>3.2</w:t>
      </w:r>
      <w:bookmarkEnd w:id="44"/>
      <w:r>
        <w:rPr>
          <w:rFonts w:hint="eastAsia" w:ascii="黑体" w:hAnsi="黑体" w:eastAsia="黑体"/>
          <w:b/>
          <w:color w:val="auto"/>
          <w:sz w:val="24"/>
        </w:rPr>
        <w:t>初步评审</w:t>
      </w:r>
    </w:p>
    <w:p w14:paraId="6D24B82D">
      <w:pPr>
        <w:autoSpaceDE w:val="0"/>
        <w:autoSpaceDN w:val="0"/>
        <w:adjustRightInd w:val="0"/>
        <w:snapToGrid w:val="0"/>
        <w:spacing w:before="120" w:beforeLines="50" w:line="300" w:lineRule="auto"/>
        <w:ind w:firstLine="616" w:firstLineChars="257"/>
        <w:jc w:val="left"/>
        <w:rPr>
          <w:rFonts w:ascii="宋体"/>
          <w:color w:val="auto"/>
          <w:sz w:val="24"/>
        </w:rPr>
      </w:pPr>
      <w:r>
        <w:rPr>
          <w:rFonts w:ascii="宋体" w:hAnsi="宋体"/>
          <w:color w:val="auto"/>
          <w:sz w:val="24"/>
        </w:rPr>
        <w:t>3.2.1</w:t>
      </w:r>
      <w:r>
        <w:rPr>
          <w:rFonts w:hint="eastAsia" w:ascii="宋体" w:hAnsi="宋体"/>
          <w:color w:val="auto"/>
          <w:sz w:val="24"/>
        </w:rPr>
        <w:t>磋商小组依据本章第2.</w:t>
      </w:r>
      <w:r>
        <w:rPr>
          <w:rFonts w:ascii="宋体" w:hAnsi="宋体"/>
          <w:color w:val="auto"/>
          <w:sz w:val="24"/>
        </w:rPr>
        <w:t>1.1</w:t>
      </w:r>
      <w:r>
        <w:rPr>
          <w:rFonts w:hint="eastAsia" w:ascii="宋体" w:hAnsi="宋体"/>
          <w:color w:val="auto"/>
          <w:sz w:val="24"/>
        </w:rPr>
        <w:t>、2.</w:t>
      </w:r>
      <w:r>
        <w:rPr>
          <w:rFonts w:ascii="宋体" w:hAnsi="宋体"/>
          <w:color w:val="auto"/>
          <w:sz w:val="24"/>
        </w:rPr>
        <w:t xml:space="preserve">1.2 </w:t>
      </w:r>
      <w:r>
        <w:rPr>
          <w:rFonts w:hint="eastAsia" w:ascii="宋体" w:hAnsi="宋体"/>
          <w:color w:val="auto"/>
          <w:sz w:val="24"/>
        </w:rPr>
        <w:t>款规定的标准对《响应文件》进行资格性、符合性评审。有一项不符合评审标准的，作无效响应处理。</w:t>
      </w:r>
    </w:p>
    <w:p w14:paraId="34BA7A14">
      <w:pPr>
        <w:autoSpaceDE w:val="0"/>
        <w:autoSpaceDN w:val="0"/>
        <w:adjustRightInd w:val="0"/>
        <w:snapToGrid w:val="0"/>
        <w:spacing w:before="120" w:beforeLines="50" w:line="300" w:lineRule="auto"/>
        <w:ind w:firstLine="616" w:firstLineChars="257"/>
        <w:jc w:val="left"/>
        <w:rPr>
          <w:rFonts w:ascii="宋体"/>
          <w:color w:val="auto"/>
          <w:sz w:val="24"/>
        </w:rPr>
      </w:pPr>
      <w:r>
        <w:rPr>
          <w:rFonts w:ascii="宋体" w:hAnsi="宋体"/>
          <w:color w:val="auto"/>
          <w:sz w:val="24"/>
        </w:rPr>
        <w:t xml:space="preserve">3.2.2 </w:t>
      </w:r>
      <w:r>
        <w:rPr>
          <w:rFonts w:hint="eastAsia" w:ascii="宋体" w:hAnsi="宋体"/>
          <w:color w:val="auto"/>
          <w:sz w:val="24"/>
        </w:rPr>
        <w:t>供应商有以下情形之一的，其投标作无效响应处理：</w:t>
      </w:r>
    </w:p>
    <w:p w14:paraId="70EA221C">
      <w:pPr>
        <w:autoSpaceDE w:val="0"/>
        <w:autoSpaceDN w:val="0"/>
        <w:adjustRightInd w:val="0"/>
        <w:snapToGrid w:val="0"/>
        <w:spacing w:line="300" w:lineRule="auto"/>
        <w:ind w:firstLine="616" w:firstLineChars="257"/>
        <w:jc w:val="left"/>
        <w:rPr>
          <w:rFonts w:ascii="宋体"/>
          <w:color w:val="auto"/>
          <w:sz w:val="24"/>
        </w:rPr>
      </w:pPr>
      <w:r>
        <w:rPr>
          <w:rFonts w:hint="eastAsia" w:ascii="宋体" w:hAnsi="宋体"/>
          <w:color w:val="auto"/>
          <w:sz w:val="24"/>
        </w:rPr>
        <w:t>（</w:t>
      </w:r>
      <w:r>
        <w:rPr>
          <w:rFonts w:ascii="宋体" w:hAnsi="宋体"/>
          <w:color w:val="auto"/>
          <w:sz w:val="24"/>
        </w:rPr>
        <w:t>1</w:t>
      </w:r>
      <w:r>
        <w:rPr>
          <w:rFonts w:hint="eastAsia" w:ascii="宋体" w:hAnsi="宋体"/>
          <w:color w:val="auto"/>
          <w:sz w:val="24"/>
        </w:rPr>
        <w:t>）供应商不符合国家或者《磋商文件》规定的资格条件；</w:t>
      </w:r>
    </w:p>
    <w:p w14:paraId="612B8BFF">
      <w:pPr>
        <w:autoSpaceDE w:val="0"/>
        <w:autoSpaceDN w:val="0"/>
        <w:adjustRightInd w:val="0"/>
        <w:snapToGrid w:val="0"/>
        <w:spacing w:line="300" w:lineRule="auto"/>
        <w:ind w:firstLine="616" w:firstLineChars="257"/>
        <w:jc w:val="left"/>
        <w:rPr>
          <w:rFonts w:ascii="宋体"/>
          <w:color w:val="auto"/>
          <w:sz w:val="24"/>
        </w:rPr>
      </w:pPr>
      <w:r>
        <w:rPr>
          <w:rFonts w:hint="eastAsia" w:ascii="宋体" w:hAnsi="宋体"/>
          <w:color w:val="auto"/>
          <w:sz w:val="24"/>
        </w:rPr>
        <w:t>（</w:t>
      </w:r>
      <w:r>
        <w:rPr>
          <w:rFonts w:ascii="宋体" w:hAnsi="宋体"/>
          <w:color w:val="auto"/>
          <w:sz w:val="24"/>
        </w:rPr>
        <w:t>2</w:t>
      </w:r>
      <w:r>
        <w:rPr>
          <w:rFonts w:hint="eastAsia" w:ascii="宋体" w:hAnsi="宋体"/>
          <w:color w:val="auto"/>
          <w:sz w:val="24"/>
        </w:rPr>
        <w:t>）供应商没有按照《磋商文件》要求提供投标承诺函；</w:t>
      </w:r>
    </w:p>
    <w:p w14:paraId="5EA6B157">
      <w:pPr>
        <w:autoSpaceDE w:val="0"/>
        <w:autoSpaceDN w:val="0"/>
        <w:adjustRightInd w:val="0"/>
        <w:snapToGrid w:val="0"/>
        <w:spacing w:line="300" w:lineRule="auto"/>
        <w:ind w:firstLine="616" w:firstLineChars="257"/>
        <w:jc w:val="left"/>
        <w:rPr>
          <w:rFonts w:ascii="宋体"/>
          <w:color w:val="auto"/>
          <w:sz w:val="24"/>
        </w:rPr>
      </w:pPr>
      <w:r>
        <w:rPr>
          <w:rFonts w:hint="eastAsia" w:ascii="宋体" w:hAnsi="宋体"/>
          <w:color w:val="auto"/>
          <w:sz w:val="24"/>
        </w:rPr>
        <w:t>（</w:t>
      </w:r>
      <w:r>
        <w:rPr>
          <w:rFonts w:ascii="宋体" w:hAnsi="宋体"/>
          <w:color w:val="auto"/>
          <w:sz w:val="24"/>
        </w:rPr>
        <w:t>3</w:t>
      </w:r>
      <w:r>
        <w:rPr>
          <w:rFonts w:hint="eastAsia" w:ascii="宋体" w:hAnsi="宋体"/>
          <w:color w:val="auto"/>
          <w:sz w:val="24"/>
        </w:rPr>
        <w:t>）投标联合体不符合《磋商文件》规定；</w:t>
      </w:r>
    </w:p>
    <w:p w14:paraId="3BEE528A">
      <w:pPr>
        <w:autoSpaceDE w:val="0"/>
        <w:autoSpaceDN w:val="0"/>
        <w:adjustRightInd w:val="0"/>
        <w:snapToGrid w:val="0"/>
        <w:spacing w:line="300" w:lineRule="auto"/>
        <w:ind w:firstLine="616" w:firstLineChars="257"/>
        <w:jc w:val="left"/>
        <w:rPr>
          <w:rFonts w:ascii="宋体"/>
          <w:color w:val="auto"/>
          <w:sz w:val="24"/>
        </w:rPr>
      </w:pPr>
      <w:r>
        <w:rPr>
          <w:rFonts w:hint="eastAsia" w:ascii="宋体" w:hAnsi="宋体"/>
          <w:color w:val="auto"/>
          <w:sz w:val="24"/>
        </w:rPr>
        <w:t>（</w:t>
      </w:r>
      <w:r>
        <w:rPr>
          <w:rFonts w:ascii="宋体" w:hAnsi="宋体"/>
          <w:color w:val="auto"/>
          <w:sz w:val="24"/>
        </w:rPr>
        <w:t>4</w:t>
      </w:r>
      <w:r>
        <w:rPr>
          <w:rFonts w:hint="eastAsia" w:ascii="宋体" w:hAnsi="宋体"/>
          <w:color w:val="auto"/>
          <w:sz w:val="24"/>
        </w:rPr>
        <w:t>）《响应文件》的签字盖章不符合《磋商文件》规定；</w:t>
      </w:r>
    </w:p>
    <w:p w14:paraId="40E13C3E">
      <w:pPr>
        <w:autoSpaceDE w:val="0"/>
        <w:autoSpaceDN w:val="0"/>
        <w:adjustRightInd w:val="0"/>
        <w:snapToGrid w:val="0"/>
        <w:spacing w:line="300" w:lineRule="auto"/>
        <w:ind w:firstLine="616" w:firstLineChars="257"/>
        <w:jc w:val="left"/>
        <w:rPr>
          <w:rFonts w:ascii="宋体"/>
          <w:color w:val="auto"/>
          <w:sz w:val="24"/>
        </w:rPr>
      </w:pPr>
      <w:r>
        <w:rPr>
          <w:rFonts w:hint="eastAsia" w:ascii="宋体" w:hAnsi="宋体"/>
          <w:color w:val="auto"/>
          <w:sz w:val="24"/>
        </w:rPr>
        <w:t>（</w:t>
      </w:r>
      <w:r>
        <w:rPr>
          <w:rFonts w:ascii="宋体" w:hAnsi="宋体"/>
          <w:color w:val="auto"/>
          <w:sz w:val="24"/>
        </w:rPr>
        <w:t>5</w:t>
      </w:r>
      <w:r>
        <w:rPr>
          <w:rFonts w:hint="eastAsia" w:ascii="宋体" w:hAnsi="宋体"/>
          <w:color w:val="auto"/>
          <w:sz w:val="24"/>
        </w:rPr>
        <w:t>）磋商报价高于竞争性磋商公告公布的预算金额；</w:t>
      </w:r>
    </w:p>
    <w:p w14:paraId="1BD0F4A3">
      <w:pPr>
        <w:autoSpaceDE w:val="0"/>
        <w:autoSpaceDN w:val="0"/>
        <w:adjustRightInd w:val="0"/>
        <w:snapToGrid w:val="0"/>
        <w:spacing w:line="300" w:lineRule="auto"/>
        <w:ind w:firstLine="616" w:firstLineChars="257"/>
        <w:jc w:val="left"/>
        <w:rPr>
          <w:rFonts w:ascii="宋体"/>
          <w:color w:val="auto"/>
          <w:sz w:val="24"/>
        </w:rPr>
      </w:pPr>
      <w:r>
        <w:rPr>
          <w:rFonts w:hint="eastAsia" w:ascii="宋体" w:hAnsi="宋体"/>
          <w:color w:val="auto"/>
          <w:sz w:val="24"/>
        </w:rPr>
        <w:t>（</w:t>
      </w:r>
      <w:r>
        <w:rPr>
          <w:rFonts w:ascii="宋体" w:hAnsi="宋体"/>
          <w:color w:val="auto"/>
          <w:sz w:val="24"/>
        </w:rPr>
        <w:t>6</w:t>
      </w:r>
      <w:r>
        <w:rPr>
          <w:rFonts w:hint="eastAsia" w:ascii="宋体" w:hAnsi="宋体"/>
          <w:color w:val="auto"/>
          <w:sz w:val="24"/>
        </w:rPr>
        <w:t>）同一供应商提交两个以上不同的《响应文件》或者磋商报价，《响应文件》的每种报价有两个报价或其他选择性报价的。</w:t>
      </w:r>
    </w:p>
    <w:p w14:paraId="3A45CA16">
      <w:pPr>
        <w:autoSpaceDE w:val="0"/>
        <w:autoSpaceDN w:val="0"/>
        <w:adjustRightInd w:val="0"/>
        <w:snapToGrid w:val="0"/>
        <w:spacing w:line="300" w:lineRule="auto"/>
        <w:ind w:firstLine="616" w:firstLineChars="257"/>
        <w:jc w:val="left"/>
        <w:rPr>
          <w:rFonts w:ascii="宋体"/>
          <w:color w:val="auto"/>
          <w:sz w:val="24"/>
        </w:rPr>
      </w:pPr>
      <w:r>
        <w:rPr>
          <w:rFonts w:hint="eastAsia" w:ascii="宋体" w:hAnsi="宋体"/>
          <w:color w:val="auto"/>
          <w:sz w:val="24"/>
        </w:rPr>
        <w:t>（</w:t>
      </w:r>
      <w:r>
        <w:rPr>
          <w:rFonts w:ascii="宋体" w:hAnsi="宋体"/>
          <w:color w:val="auto"/>
          <w:sz w:val="24"/>
        </w:rPr>
        <w:t>7</w:t>
      </w:r>
      <w:r>
        <w:rPr>
          <w:rFonts w:hint="eastAsia" w:ascii="宋体" w:hAnsi="宋体"/>
          <w:color w:val="auto"/>
          <w:sz w:val="24"/>
        </w:rPr>
        <w:t>）《响应文件》没有对《磋商文件》的实质性要求和条件作出实质性响应，或不符合《磋商文件》的实质性要求和条件；</w:t>
      </w:r>
    </w:p>
    <w:p w14:paraId="226682AA">
      <w:pPr>
        <w:autoSpaceDE w:val="0"/>
        <w:autoSpaceDN w:val="0"/>
        <w:adjustRightInd w:val="0"/>
        <w:snapToGrid w:val="0"/>
        <w:spacing w:line="300" w:lineRule="auto"/>
        <w:ind w:firstLine="616" w:firstLineChars="257"/>
        <w:jc w:val="left"/>
        <w:rPr>
          <w:rFonts w:ascii="宋体"/>
          <w:color w:val="auto"/>
          <w:sz w:val="24"/>
        </w:rPr>
      </w:pPr>
      <w:r>
        <w:rPr>
          <w:rFonts w:hint="eastAsia" w:ascii="宋体" w:hAnsi="宋体"/>
          <w:color w:val="auto"/>
          <w:sz w:val="24"/>
        </w:rPr>
        <w:t>（</w:t>
      </w:r>
      <w:r>
        <w:rPr>
          <w:rFonts w:ascii="宋体" w:hAnsi="宋体"/>
          <w:color w:val="auto"/>
          <w:sz w:val="24"/>
        </w:rPr>
        <w:t>8</w:t>
      </w:r>
      <w:r>
        <w:rPr>
          <w:rFonts w:hint="eastAsia" w:ascii="宋体" w:hAnsi="宋体"/>
          <w:color w:val="auto"/>
          <w:sz w:val="24"/>
        </w:rPr>
        <w:t>）《响应文件》附有采购项目不能接受的条件或不符合国家强制性规定的；</w:t>
      </w:r>
    </w:p>
    <w:p w14:paraId="51AF70F9">
      <w:pPr>
        <w:autoSpaceDE w:val="0"/>
        <w:autoSpaceDN w:val="0"/>
        <w:adjustRightInd w:val="0"/>
        <w:snapToGrid w:val="0"/>
        <w:spacing w:line="300" w:lineRule="auto"/>
        <w:ind w:firstLine="616" w:firstLineChars="257"/>
        <w:jc w:val="left"/>
        <w:rPr>
          <w:rFonts w:ascii="宋体"/>
          <w:color w:val="auto"/>
          <w:sz w:val="24"/>
        </w:rPr>
      </w:pPr>
      <w:r>
        <w:rPr>
          <w:rFonts w:hint="eastAsia" w:ascii="宋体" w:hAnsi="宋体"/>
          <w:color w:val="auto"/>
          <w:sz w:val="24"/>
        </w:rPr>
        <w:t>（</w:t>
      </w:r>
      <w:r>
        <w:rPr>
          <w:rFonts w:ascii="宋体" w:hAnsi="宋体"/>
          <w:color w:val="auto"/>
          <w:sz w:val="24"/>
        </w:rPr>
        <w:t>9</w:t>
      </w:r>
      <w:r>
        <w:rPr>
          <w:rFonts w:hint="eastAsia" w:ascii="宋体" w:hAnsi="宋体"/>
          <w:color w:val="auto"/>
          <w:sz w:val="24"/>
        </w:rPr>
        <w:t>）单位负责人为同一人或者存在控股、管理关系的不同单位，参加同一项目（标段</w:t>
      </w:r>
      <w:r>
        <w:rPr>
          <w:rFonts w:hint="eastAsia" w:ascii="宋体" w:hAnsi="宋体" w:cs="楷体_GB2312"/>
          <w:color w:val="auto"/>
          <w:sz w:val="24"/>
          <w:lang w:val="zh-CN"/>
        </w:rPr>
        <w:t>&lt;包&gt;</w:t>
      </w:r>
      <w:r>
        <w:rPr>
          <w:rFonts w:hint="eastAsia" w:ascii="宋体" w:hAnsi="宋体"/>
          <w:color w:val="auto"/>
          <w:sz w:val="24"/>
        </w:rPr>
        <w:t>）投标的；</w:t>
      </w:r>
    </w:p>
    <w:p w14:paraId="528DE9A8">
      <w:pPr>
        <w:autoSpaceDE w:val="0"/>
        <w:autoSpaceDN w:val="0"/>
        <w:adjustRightInd w:val="0"/>
        <w:snapToGrid w:val="0"/>
        <w:spacing w:line="300" w:lineRule="auto"/>
        <w:ind w:firstLine="616" w:firstLineChars="257"/>
        <w:jc w:val="left"/>
        <w:rPr>
          <w:rFonts w:hint="eastAsia" w:ascii="宋体" w:hAnsi="宋体"/>
          <w:color w:val="auto"/>
          <w:sz w:val="24"/>
        </w:rPr>
      </w:pPr>
      <w:r>
        <w:rPr>
          <w:rFonts w:hint="eastAsia" w:ascii="宋体" w:hAnsi="宋体"/>
          <w:color w:val="auto"/>
          <w:sz w:val="24"/>
        </w:rPr>
        <w:t>（</w:t>
      </w:r>
      <w:r>
        <w:rPr>
          <w:rFonts w:ascii="宋体" w:hAnsi="宋体"/>
          <w:color w:val="auto"/>
          <w:sz w:val="24"/>
        </w:rPr>
        <w:t>10</w:t>
      </w:r>
      <w:r>
        <w:rPr>
          <w:rFonts w:hint="eastAsia" w:ascii="宋体" w:hAnsi="宋体"/>
          <w:color w:val="auto"/>
          <w:sz w:val="24"/>
        </w:rPr>
        <w:t>）为采购项目提供整体设计、规范编制或者项目管理、监理、检测等服务的供应商，不得再参加该采购项目的其他采购活动。</w:t>
      </w:r>
    </w:p>
    <w:p w14:paraId="2949ACC5">
      <w:pPr>
        <w:autoSpaceDE w:val="0"/>
        <w:autoSpaceDN w:val="0"/>
        <w:adjustRightInd w:val="0"/>
        <w:snapToGrid w:val="0"/>
        <w:spacing w:before="120" w:beforeLines="50" w:line="300" w:lineRule="auto"/>
        <w:ind w:firstLine="566" w:firstLineChars="236"/>
        <w:jc w:val="left"/>
        <w:rPr>
          <w:rFonts w:hint="eastAsia" w:ascii="宋体" w:hAnsi="宋体"/>
          <w:color w:val="auto"/>
          <w:sz w:val="24"/>
        </w:rPr>
      </w:pPr>
      <w:r>
        <w:rPr>
          <w:rFonts w:hint="eastAsia" w:ascii="宋体" w:hAnsi="宋体"/>
          <w:color w:val="auto"/>
          <w:sz w:val="24"/>
        </w:rPr>
        <w:t>（11）组成联合体或者接受分包的小微企业与联合体内其他企业、分包企业之间存在直接控股、管理关系的。</w:t>
      </w:r>
    </w:p>
    <w:p w14:paraId="0A75DA23">
      <w:pPr>
        <w:autoSpaceDE w:val="0"/>
        <w:autoSpaceDN w:val="0"/>
        <w:adjustRightInd w:val="0"/>
        <w:snapToGrid w:val="0"/>
        <w:spacing w:line="300" w:lineRule="auto"/>
        <w:ind w:firstLine="616" w:firstLineChars="257"/>
        <w:jc w:val="left"/>
        <w:rPr>
          <w:rFonts w:ascii="宋体"/>
          <w:color w:val="auto"/>
          <w:sz w:val="24"/>
        </w:rPr>
      </w:pPr>
      <w:r>
        <w:rPr>
          <w:rFonts w:hint="eastAsia" w:ascii="宋体" w:hAnsi="宋体"/>
          <w:color w:val="auto"/>
          <w:sz w:val="24"/>
        </w:rPr>
        <w:t>（</w:t>
      </w:r>
      <w:r>
        <w:rPr>
          <w:rFonts w:ascii="宋体" w:hAnsi="宋体"/>
          <w:color w:val="auto"/>
          <w:sz w:val="24"/>
        </w:rPr>
        <w:t>1</w:t>
      </w:r>
      <w:r>
        <w:rPr>
          <w:rFonts w:hint="eastAsia" w:ascii="宋体" w:hAnsi="宋体"/>
          <w:color w:val="auto"/>
          <w:sz w:val="24"/>
        </w:rPr>
        <w:t>2）提供虚假材料谋取成交的；</w:t>
      </w:r>
    </w:p>
    <w:p w14:paraId="663E18A6">
      <w:pPr>
        <w:autoSpaceDE w:val="0"/>
        <w:autoSpaceDN w:val="0"/>
        <w:adjustRightInd w:val="0"/>
        <w:snapToGrid w:val="0"/>
        <w:spacing w:line="300" w:lineRule="auto"/>
        <w:ind w:firstLine="616" w:firstLineChars="257"/>
        <w:jc w:val="left"/>
        <w:rPr>
          <w:rFonts w:ascii="宋体"/>
          <w:color w:val="auto"/>
          <w:sz w:val="24"/>
        </w:rPr>
      </w:pPr>
      <w:r>
        <w:rPr>
          <w:rFonts w:hint="eastAsia" w:ascii="宋体" w:hAnsi="宋体"/>
          <w:color w:val="auto"/>
          <w:sz w:val="24"/>
        </w:rPr>
        <w:t>（</w:t>
      </w:r>
      <w:r>
        <w:rPr>
          <w:rFonts w:ascii="宋体" w:hAnsi="宋体"/>
          <w:color w:val="auto"/>
          <w:sz w:val="24"/>
        </w:rPr>
        <w:t>1</w:t>
      </w:r>
      <w:r>
        <w:rPr>
          <w:rFonts w:hint="eastAsia" w:ascii="宋体" w:hAnsi="宋体"/>
          <w:color w:val="auto"/>
          <w:sz w:val="24"/>
        </w:rPr>
        <w:t>3）供应商有串通投标、行贿等违法行为。其中，有下列情形之一的，视为供应商相互串通投标：</w:t>
      </w:r>
    </w:p>
    <w:p w14:paraId="77449163">
      <w:pPr>
        <w:autoSpaceDE w:val="0"/>
        <w:autoSpaceDN w:val="0"/>
        <w:adjustRightInd w:val="0"/>
        <w:snapToGrid w:val="0"/>
        <w:spacing w:line="300" w:lineRule="auto"/>
        <w:ind w:firstLine="616" w:firstLineChars="257"/>
        <w:jc w:val="left"/>
        <w:rPr>
          <w:rFonts w:ascii="宋体"/>
          <w:color w:val="auto"/>
          <w:sz w:val="24"/>
        </w:rPr>
      </w:pPr>
      <w:r>
        <w:rPr>
          <w:rFonts w:ascii="宋体"/>
          <w:color w:val="auto"/>
          <w:sz w:val="24"/>
        </w:rPr>
        <w:t>    </w:t>
      </w:r>
      <w:r>
        <w:rPr>
          <w:rFonts w:hint="eastAsia" w:ascii="宋体" w:hAnsi="宋体"/>
          <w:color w:val="auto"/>
          <w:sz w:val="24"/>
        </w:rPr>
        <w:t>◆不同供应商的《响应文件》由同一单位或者个人编制；</w:t>
      </w:r>
    </w:p>
    <w:p w14:paraId="1C8A7130">
      <w:pPr>
        <w:autoSpaceDE w:val="0"/>
        <w:autoSpaceDN w:val="0"/>
        <w:adjustRightInd w:val="0"/>
        <w:snapToGrid w:val="0"/>
        <w:spacing w:line="300" w:lineRule="auto"/>
        <w:ind w:firstLine="616" w:firstLineChars="257"/>
        <w:jc w:val="left"/>
        <w:rPr>
          <w:rFonts w:ascii="宋体"/>
          <w:color w:val="auto"/>
          <w:sz w:val="24"/>
        </w:rPr>
      </w:pPr>
      <w:r>
        <w:rPr>
          <w:rFonts w:ascii="宋体"/>
          <w:color w:val="auto"/>
          <w:sz w:val="24"/>
        </w:rPr>
        <w:t>    </w:t>
      </w:r>
      <w:r>
        <w:rPr>
          <w:rFonts w:hint="eastAsia" w:ascii="宋体" w:hAnsi="宋体"/>
          <w:color w:val="auto"/>
          <w:sz w:val="24"/>
        </w:rPr>
        <w:t>◆不同供应商委托同一单位或者个人办理投标事宜；</w:t>
      </w:r>
    </w:p>
    <w:p w14:paraId="0624F969">
      <w:pPr>
        <w:autoSpaceDE w:val="0"/>
        <w:autoSpaceDN w:val="0"/>
        <w:adjustRightInd w:val="0"/>
        <w:snapToGrid w:val="0"/>
        <w:spacing w:line="300" w:lineRule="auto"/>
        <w:ind w:firstLine="616" w:firstLineChars="257"/>
        <w:jc w:val="left"/>
        <w:rPr>
          <w:rFonts w:ascii="宋体"/>
          <w:color w:val="auto"/>
          <w:sz w:val="24"/>
        </w:rPr>
      </w:pPr>
      <w:r>
        <w:rPr>
          <w:rFonts w:ascii="宋体"/>
          <w:color w:val="auto"/>
          <w:sz w:val="24"/>
        </w:rPr>
        <w:t>    </w:t>
      </w:r>
      <w:r>
        <w:rPr>
          <w:rFonts w:hint="eastAsia" w:ascii="宋体" w:hAnsi="宋体"/>
          <w:color w:val="auto"/>
          <w:sz w:val="24"/>
        </w:rPr>
        <w:t>◆不同供应商的《响应文件》载明的项目管理成员为同一人；</w:t>
      </w:r>
    </w:p>
    <w:p w14:paraId="5380E2BF">
      <w:pPr>
        <w:autoSpaceDE w:val="0"/>
        <w:autoSpaceDN w:val="0"/>
        <w:adjustRightInd w:val="0"/>
        <w:snapToGrid w:val="0"/>
        <w:spacing w:line="300" w:lineRule="auto"/>
        <w:ind w:firstLine="616" w:firstLineChars="257"/>
        <w:jc w:val="left"/>
        <w:rPr>
          <w:rFonts w:ascii="宋体"/>
          <w:color w:val="auto"/>
          <w:sz w:val="24"/>
        </w:rPr>
      </w:pPr>
      <w:r>
        <w:rPr>
          <w:rFonts w:ascii="宋体"/>
          <w:color w:val="auto"/>
          <w:sz w:val="24"/>
        </w:rPr>
        <w:t>    </w:t>
      </w:r>
      <w:r>
        <w:rPr>
          <w:rFonts w:hint="eastAsia" w:ascii="宋体" w:hAnsi="宋体"/>
          <w:color w:val="auto"/>
          <w:sz w:val="24"/>
        </w:rPr>
        <w:t>◆不同供应商的《响应文件》异常一致或者磋商报价呈规律性差异；</w:t>
      </w:r>
    </w:p>
    <w:p w14:paraId="12879CAB">
      <w:pPr>
        <w:autoSpaceDE w:val="0"/>
        <w:autoSpaceDN w:val="0"/>
        <w:adjustRightInd w:val="0"/>
        <w:snapToGrid w:val="0"/>
        <w:spacing w:line="300" w:lineRule="auto"/>
        <w:ind w:firstLine="616" w:firstLineChars="257"/>
        <w:jc w:val="left"/>
        <w:rPr>
          <w:rFonts w:hint="eastAsia" w:ascii="宋体" w:hAnsi="宋体"/>
          <w:color w:val="auto"/>
          <w:sz w:val="24"/>
        </w:rPr>
      </w:pPr>
      <w:r>
        <w:rPr>
          <w:rFonts w:ascii="宋体"/>
          <w:color w:val="auto"/>
          <w:sz w:val="24"/>
        </w:rPr>
        <w:t>    </w:t>
      </w:r>
      <w:r>
        <w:rPr>
          <w:rFonts w:hint="eastAsia" w:ascii="宋体" w:hAnsi="宋体"/>
          <w:color w:val="auto"/>
          <w:sz w:val="24"/>
        </w:rPr>
        <w:t>◆不同供应商的《响应文件》相互混装。</w:t>
      </w:r>
    </w:p>
    <w:p w14:paraId="77921972">
      <w:pPr>
        <w:autoSpaceDE w:val="0"/>
        <w:autoSpaceDN w:val="0"/>
        <w:adjustRightInd w:val="0"/>
        <w:snapToGrid w:val="0"/>
        <w:spacing w:line="300" w:lineRule="auto"/>
        <w:ind w:firstLine="616" w:firstLineChars="257"/>
        <w:jc w:val="left"/>
        <w:rPr>
          <w:rFonts w:hint="eastAsia" w:ascii="宋体" w:hAnsi="宋体"/>
          <w:color w:val="auto"/>
          <w:sz w:val="24"/>
        </w:rPr>
      </w:pPr>
      <w:r>
        <w:rPr>
          <w:rFonts w:hint="eastAsia" w:ascii="宋体" w:hAnsi="宋体"/>
          <w:color w:val="auto"/>
          <w:sz w:val="24"/>
        </w:rPr>
        <w:t>（14）根据豫财购〔2021〕6号文件，参与同一个标段(包)的供应商存在下列情形之一的，其投标(响应)文件无效:</w:t>
      </w:r>
    </w:p>
    <w:p w14:paraId="3AE715A3">
      <w:pPr>
        <w:autoSpaceDE w:val="0"/>
        <w:autoSpaceDN w:val="0"/>
        <w:adjustRightInd w:val="0"/>
        <w:snapToGrid w:val="0"/>
        <w:spacing w:line="300" w:lineRule="auto"/>
        <w:ind w:firstLine="616" w:firstLineChars="257"/>
        <w:jc w:val="left"/>
        <w:rPr>
          <w:rFonts w:hint="eastAsia" w:ascii="宋体" w:hAnsi="宋体"/>
          <w:color w:val="auto"/>
          <w:sz w:val="24"/>
        </w:rPr>
      </w:pPr>
      <w:r>
        <w:rPr>
          <w:rFonts w:hint="eastAsia" w:ascii="宋体" w:hAnsi="宋体"/>
          <w:color w:val="auto"/>
          <w:sz w:val="24"/>
        </w:rPr>
        <w:t>◆不同供应商的电子投标(响应)文件上传计算机的网卡MAC地址、CPU序列号和硬盘序列号等硬件信息相同的；</w:t>
      </w:r>
    </w:p>
    <w:p w14:paraId="4E35E55B">
      <w:pPr>
        <w:autoSpaceDE w:val="0"/>
        <w:autoSpaceDN w:val="0"/>
        <w:adjustRightInd w:val="0"/>
        <w:snapToGrid w:val="0"/>
        <w:spacing w:line="300" w:lineRule="auto"/>
        <w:ind w:firstLine="616" w:firstLineChars="257"/>
        <w:jc w:val="left"/>
        <w:rPr>
          <w:rFonts w:hint="eastAsia" w:ascii="宋体" w:hAnsi="宋体"/>
          <w:color w:val="auto"/>
          <w:sz w:val="24"/>
        </w:rPr>
      </w:pPr>
      <w:r>
        <w:rPr>
          <w:rFonts w:hint="eastAsia" w:ascii="宋体" w:hAnsi="宋体"/>
          <w:color w:val="auto"/>
          <w:sz w:val="24"/>
        </w:rPr>
        <w:t>◆不同供应商的投标(响应)文件由同一电子设备编制、打印加密或者上传；</w:t>
      </w:r>
    </w:p>
    <w:p w14:paraId="04ACB76B">
      <w:pPr>
        <w:autoSpaceDE w:val="0"/>
        <w:autoSpaceDN w:val="0"/>
        <w:adjustRightInd w:val="0"/>
        <w:snapToGrid w:val="0"/>
        <w:spacing w:line="300" w:lineRule="auto"/>
        <w:ind w:firstLine="616" w:firstLineChars="257"/>
        <w:jc w:val="left"/>
        <w:rPr>
          <w:rFonts w:hint="eastAsia" w:ascii="宋体" w:hAnsi="宋体"/>
          <w:color w:val="auto"/>
          <w:sz w:val="24"/>
        </w:rPr>
      </w:pPr>
      <w:r>
        <w:rPr>
          <w:rFonts w:hint="eastAsia" w:ascii="宋体" w:hAnsi="宋体"/>
          <w:color w:val="auto"/>
          <w:sz w:val="24"/>
        </w:rPr>
        <w:t>◆不同供应商的投标(响应)文件由同一电子设备打印、复印；</w:t>
      </w:r>
    </w:p>
    <w:p w14:paraId="710531CD">
      <w:pPr>
        <w:autoSpaceDE w:val="0"/>
        <w:autoSpaceDN w:val="0"/>
        <w:adjustRightInd w:val="0"/>
        <w:snapToGrid w:val="0"/>
        <w:spacing w:line="300" w:lineRule="auto"/>
        <w:ind w:firstLine="616" w:firstLineChars="257"/>
        <w:jc w:val="left"/>
        <w:rPr>
          <w:rFonts w:hint="eastAsia" w:ascii="宋体" w:hAnsi="宋体"/>
          <w:color w:val="auto"/>
          <w:sz w:val="24"/>
        </w:rPr>
      </w:pPr>
      <w:r>
        <w:rPr>
          <w:rFonts w:hint="eastAsia" w:ascii="宋体" w:hAnsi="宋体"/>
          <w:color w:val="auto"/>
          <w:sz w:val="24"/>
        </w:rPr>
        <w:t>◆不同供应商的投标(响应)文件由同一人送达或者分发，或者不同供应商联系人为同一人或不同联系人的联系电话一致的；</w:t>
      </w:r>
    </w:p>
    <w:p w14:paraId="6F546C92">
      <w:pPr>
        <w:autoSpaceDE w:val="0"/>
        <w:autoSpaceDN w:val="0"/>
        <w:adjustRightInd w:val="0"/>
        <w:snapToGrid w:val="0"/>
        <w:spacing w:line="300" w:lineRule="auto"/>
        <w:ind w:firstLine="616" w:firstLineChars="257"/>
        <w:jc w:val="left"/>
        <w:rPr>
          <w:rFonts w:hint="eastAsia" w:ascii="宋体" w:hAnsi="宋体"/>
          <w:color w:val="auto"/>
          <w:sz w:val="24"/>
        </w:rPr>
      </w:pPr>
      <w:r>
        <w:rPr>
          <w:rFonts w:hint="eastAsia" w:ascii="宋体" w:hAnsi="宋体"/>
          <w:color w:val="auto"/>
          <w:sz w:val="24"/>
        </w:rPr>
        <w:t>◆不同供应商的投标(响应)文件的内容存在两处以上细节错误一致；</w:t>
      </w:r>
    </w:p>
    <w:p w14:paraId="14D61AD9">
      <w:pPr>
        <w:autoSpaceDE w:val="0"/>
        <w:autoSpaceDN w:val="0"/>
        <w:adjustRightInd w:val="0"/>
        <w:snapToGrid w:val="0"/>
        <w:spacing w:line="300" w:lineRule="auto"/>
        <w:ind w:firstLine="616" w:firstLineChars="257"/>
        <w:jc w:val="left"/>
        <w:rPr>
          <w:rFonts w:hint="eastAsia" w:ascii="宋体" w:hAnsi="宋体"/>
          <w:color w:val="auto"/>
          <w:sz w:val="24"/>
        </w:rPr>
      </w:pPr>
      <w:r>
        <w:rPr>
          <w:rFonts w:hint="eastAsia" w:ascii="宋体" w:hAnsi="宋体"/>
          <w:color w:val="auto"/>
          <w:sz w:val="24"/>
        </w:rPr>
        <w:t>◆不同供应商的法定代表人、委托代理人、项目经理、项目负责人等由同一个单位缴纳社会保险或者领取报酬的；</w:t>
      </w:r>
    </w:p>
    <w:p w14:paraId="74D0A968">
      <w:pPr>
        <w:autoSpaceDE w:val="0"/>
        <w:autoSpaceDN w:val="0"/>
        <w:adjustRightInd w:val="0"/>
        <w:snapToGrid w:val="0"/>
        <w:spacing w:line="300" w:lineRule="auto"/>
        <w:ind w:firstLine="616" w:firstLineChars="257"/>
        <w:jc w:val="left"/>
        <w:rPr>
          <w:rFonts w:hint="eastAsia" w:ascii="宋体" w:hAnsi="宋体"/>
          <w:color w:val="auto"/>
          <w:sz w:val="24"/>
        </w:rPr>
      </w:pPr>
      <w:r>
        <w:rPr>
          <w:rFonts w:hint="eastAsia" w:ascii="宋体" w:hAnsi="宋体"/>
          <w:color w:val="auto"/>
          <w:sz w:val="24"/>
        </w:rPr>
        <w:t>◆不同供应商投标(响应)文件中法定代表人或者负责人签字出自同一人之手；</w:t>
      </w:r>
    </w:p>
    <w:p w14:paraId="03FFEBED">
      <w:pPr>
        <w:autoSpaceDE w:val="0"/>
        <w:autoSpaceDN w:val="0"/>
        <w:adjustRightInd w:val="0"/>
        <w:snapToGrid w:val="0"/>
        <w:spacing w:line="300" w:lineRule="auto"/>
        <w:ind w:firstLine="616" w:firstLineChars="257"/>
        <w:jc w:val="left"/>
        <w:rPr>
          <w:rFonts w:hint="eastAsia" w:ascii="宋体" w:hAnsi="宋体"/>
          <w:color w:val="auto"/>
          <w:sz w:val="24"/>
        </w:rPr>
      </w:pPr>
      <w:r>
        <w:rPr>
          <w:rFonts w:hint="eastAsia" w:ascii="宋体" w:hAnsi="宋体"/>
          <w:color w:val="auto"/>
          <w:sz w:val="24"/>
        </w:rPr>
        <w:t>◆其它涉嫌串通的情形。</w:t>
      </w:r>
    </w:p>
    <w:p w14:paraId="0C0AA15E">
      <w:pPr>
        <w:autoSpaceDE w:val="0"/>
        <w:autoSpaceDN w:val="0"/>
        <w:adjustRightInd w:val="0"/>
        <w:snapToGrid w:val="0"/>
        <w:spacing w:line="300" w:lineRule="auto"/>
        <w:ind w:firstLine="616" w:firstLineChars="257"/>
        <w:jc w:val="left"/>
        <w:rPr>
          <w:rFonts w:hint="eastAsia" w:ascii="宋体" w:hAnsi="宋体"/>
          <w:color w:val="auto"/>
          <w:sz w:val="24"/>
        </w:rPr>
      </w:pPr>
      <w:r>
        <w:rPr>
          <w:rFonts w:hint="eastAsia" w:ascii="宋体" w:hAnsi="宋体"/>
          <w:color w:val="auto"/>
          <w:sz w:val="24"/>
        </w:rPr>
        <w:t>(15)不同投标人上传电子投标(响应)文件的IP地址相同，该供应商投标(响应)文件无效。</w:t>
      </w:r>
    </w:p>
    <w:p w14:paraId="0EDD4474">
      <w:pPr>
        <w:autoSpaceDE w:val="0"/>
        <w:autoSpaceDN w:val="0"/>
        <w:adjustRightInd w:val="0"/>
        <w:snapToGrid w:val="0"/>
        <w:spacing w:before="120" w:beforeLines="50" w:line="300" w:lineRule="auto"/>
        <w:ind w:firstLine="539"/>
        <w:rPr>
          <w:rFonts w:hint="eastAsia" w:ascii="宋体" w:hAnsi="宋体"/>
          <w:color w:val="auto"/>
          <w:sz w:val="24"/>
        </w:rPr>
      </w:pPr>
      <w:r>
        <w:rPr>
          <w:rFonts w:hint="eastAsia" w:ascii="宋体" w:hAnsi="宋体"/>
          <w:color w:val="auto"/>
          <w:sz w:val="24"/>
        </w:rPr>
        <w:t>(16)据豫财购〔2021〕6号文件精神，工程领域招标投标行政主管部门对供应商串通投标等予以市场禁入的，在本次政府采购活动中，该供应商投标(响应)文件无效。</w:t>
      </w:r>
    </w:p>
    <w:p w14:paraId="5997DD8C">
      <w:pPr>
        <w:autoSpaceDE w:val="0"/>
        <w:autoSpaceDN w:val="0"/>
        <w:adjustRightInd w:val="0"/>
        <w:snapToGrid w:val="0"/>
        <w:spacing w:before="120" w:beforeLines="50" w:line="300" w:lineRule="auto"/>
        <w:ind w:firstLine="539"/>
        <w:rPr>
          <w:rFonts w:hint="eastAsia" w:ascii="宋体" w:hAnsi="宋体"/>
          <w:color w:val="auto"/>
          <w:sz w:val="24"/>
        </w:rPr>
      </w:pPr>
      <w:r>
        <w:rPr>
          <w:rFonts w:hint="eastAsia" w:ascii="宋体" w:hAnsi="宋体"/>
          <w:color w:val="auto"/>
          <w:sz w:val="24"/>
        </w:rPr>
        <w:t>（17）如涉及国家强制性产品认证，不符合第六章14-1附件要求。</w:t>
      </w:r>
    </w:p>
    <w:p w14:paraId="321B21AC">
      <w:pPr>
        <w:autoSpaceDE w:val="0"/>
        <w:autoSpaceDN w:val="0"/>
        <w:adjustRightInd w:val="0"/>
        <w:snapToGrid w:val="0"/>
        <w:spacing w:before="120" w:beforeLines="50" w:line="300" w:lineRule="auto"/>
        <w:ind w:firstLine="566" w:firstLineChars="236"/>
        <w:jc w:val="left"/>
        <w:rPr>
          <w:rFonts w:ascii="宋体"/>
          <w:color w:val="auto"/>
          <w:sz w:val="24"/>
        </w:rPr>
      </w:pPr>
      <w:r>
        <w:rPr>
          <w:rFonts w:ascii="宋体" w:hAnsi="宋体"/>
          <w:color w:val="auto"/>
          <w:sz w:val="24"/>
        </w:rPr>
        <w:t>3.2.3</w:t>
      </w:r>
      <w:r>
        <w:rPr>
          <w:rFonts w:hint="eastAsia" w:ascii="宋体" w:hAnsi="宋体"/>
          <w:b/>
          <w:color w:val="auto"/>
          <w:sz w:val="24"/>
        </w:rPr>
        <w:t>未实质性响应《磋商文件》的《响应文件》按无效处理，磋商小组应当通过评审界面的对话框告知有关供应商。</w:t>
      </w:r>
    </w:p>
    <w:p w14:paraId="55E786D8">
      <w:pPr>
        <w:autoSpaceDE w:val="0"/>
        <w:autoSpaceDN w:val="0"/>
        <w:adjustRightInd w:val="0"/>
        <w:snapToGrid w:val="0"/>
        <w:spacing w:before="120" w:beforeLines="50" w:line="300" w:lineRule="auto"/>
        <w:ind w:firstLine="566" w:firstLineChars="236"/>
        <w:jc w:val="left"/>
        <w:rPr>
          <w:rFonts w:ascii="宋体"/>
          <w:color w:val="auto"/>
          <w:sz w:val="24"/>
        </w:rPr>
      </w:pPr>
      <w:r>
        <w:rPr>
          <w:rFonts w:ascii="宋体" w:hAnsi="宋体"/>
          <w:color w:val="auto"/>
          <w:sz w:val="24"/>
        </w:rPr>
        <w:t>3.2</w:t>
      </w:r>
      <w:r>
        <w:rPr>
          <w:rFonts w:ascii="宋体"/>
          <w:color w:val="auto"/>
          <w:sz w:val="24"/>
        </w:rPr>
        <w:t>.</w:t>
      </w:r>
      <w:r>
        <w:rPr>
          <w:rFonts w:ascii="宋体" w:hAnsi="宋体"/>
          <w:color w:val="auto"/>
          <w:sz w:val="24"/>
        </w:rPr>
        <w:t>4</w:t>
      </w:r>
      <w:r>
        <w:rPr>
          <w:rFonts w:hint="eastAsia" w:ascii="宋体" w:hAnsi="宋体"/>
          <w:color w:val="auto"/>
          <w:sz w:val="24"/>
        </w:rPr>
        <w:t>开标一览表（报价一览表）与报价明细表有差别时，以开标一览表（报价一览表）为准；大写文字表示的数据与小写数字表示的有差别时，以大写文字表示的数据为准；单价与开标一览表（报价一览表）总价不符时，以开标一览表（报价一览表）总价为准。如供应商拒绝接受上述意见，其</w:t>
      </w:r>
      <w:r>
        <w:rPr>
          <w:rFonts w:hint="eastAsia" w:ascii="宋体" w:hAnsi="宋体"/>
          <w:b/>
          <w:color w:val="auto"/>
          <w:sz w:val="24"/>
        </w:rPr>
        <w:t>投标将被拒绝。</w:t>
      </w:r>
    </w:p>
    <w:p w14:paraId="2E2CF1A0">
      <w:pPr>
        <w:autoSpaceDE w:val="0"/>
        <w:autoSpaceDN w:val="0"/>
        <w:adjustRightInd w:val="0"/>
        <w:snapToGrid w:val="0"/>
        <w:spacing w:before="120" w:beforeLines="50" w:line="300" w:lineRule="auto"/>
        <w:ind w:firstLine="566" w:firstLineChars="236"/>
        <w:jc w:val="left"/>
        <w:rPr>
          <w:rFonts w:ascii="宋体"/>
          <w:color w:val="auto"/>
          <w:sz w:val="24"/>
        </w:rPr>
      </w:pPr>
      <w:r>
        <w:rPr>
          <w:rFonts w:ascii="宋体" w:hAnsi="宋体"/>
          <w:color w:val="auto"/>
          <w:sz w:val="24"/>
        </w:rPr>
        <w:t xml:space="preserve">3.2.5 </w:t>
      </w:r>
      <w:r>
        <w:rPr>
          <w:rFonts w:hint="eastAsia" w:ascii="宋体" w:hAnsi="宋体"/>
          <w:color w:val="auto"/>
          <w:sz w:val="24"/>
        </w:rPr>
        <w:t>磋商小组负责审查确定每一响应项目（标段</w:t>
      </w:r>
      <w:r>
        <w:rPr>
          <w:rFonts w:hint="eastAsia" w:ascii="宋体" w:hAnsi="宋体" w:cs="楷体_GB2312"/>
          <w:color w:val="auto"/>
          <w:sz w:val="24"/>
          <w:lang w:val="zh-CN"/>
        </w:rPr>
        <w:t>&lt;包&gt;</w:t>
      </w:r>
      <w:r>
        <w:rPr>
          <w:rFonts w:hint="eastAsia" w:ascii="宋体" w:hAnsi="宋体"/>
          <w:color w:val="auto"/>
          <w:sz w:val="24"/>
        </w:rPr>
        <w:t>）是否对《磋商文件》的实质性要求作出了实质性的响应，而没有重大偏离和保留。实质性响应的《响应文件》是指《响应文件》符合《磋商文件》的所有条款、条件和规定且没有重大偏离和保留（重大偏离和保留是指影响到《磋商文件》和供应商的义务的规定，而纠正这些偏离将影响到其他提交实质性响应供应商的公平竞争地位）。</w:t>
      </w:r>
    </w:p>
    <w:p w14:paraId="0D3E42D9">
      <w:pPr>
        <w:autoSpaceDE w:val="0"/>
        <w:autoSpaceDN w:val="0"/>
        <w:adjustRightInd w:val="0"/>
        <w:snapToGrid w:val="0"/>
        <w:spacing w:before="120" w:beforeLines="50" w:line="300" w:lineRule="auto"/>
        <w:ind w:firstLine="566" w:firstLineChars="236"/>
        <w:jc w:val="left"/>
        <w:rPr>
          <w:rFonts w:ascii="宋体"/>
          <w:color w:val="auto"/>
          <w:sz w:val="24"/>
        </w:rPr>
      </w:pPr>
      <w:r>
        <w:rPr>
          <w:rFonts w:ascii="宋体" w:hAnsi="宋体"/>
          <w:color w:val="auto"/>
          <w:sz w:val="24"/>
        </w:rPr>
        <w:t xml:space="preserve">3.2.6 </w:t>
      </w:r>
      <w:r>
        <w:rPr>
          <w:rFonts w:hint="eastAsia" w:ascii="宋体" w:hAnsi="宋体"/>
          <w:color w:val="auto"/>
          <w:sz w:val="24"/>
        </w:rPr>
        <w:t>磋商小组判断《响应文件》的响应性仅基于《响应文件》本身而不靠外部证据。</w:t>
      </w:r>
    </w:p>
    <w:p w14:paraId="28972965">
      <w:pPr>
        <w:autoSpaceDE w:val="0"/>
        <w:autoSpaceDN w:val="0"/>
        <w:adjustRightInd w:val="0"/>
        <w:snapToGrid w:val="0"/>
        <w:spacing w:before="120" w:beforeLines="50" w:line="300" w:lineRule="auto"/>
        <w:ind w:firstLine="566" w:firstLineChars="236"/>
        <w:jc w:val="left"/>
        <w:rPr>
          <w:rFonts w:ascii="宋体"/>
          <w:color w:val="auto"/>
          <w:sz w:val="24"/>
        </w:rPr>
      </w:pPr>
      <w:r>
        <w:rPr>
          <w:rFonts w:ascii="宋体" w:hAnsi="宋体"/>
          <w:color w:val="auto"/>
          <w:sz w:val="24"/>
        </w:rPr>
        <w:t xml:space="preserve">3.2.7 </w:t>
      </w:r>
      <w:r>
        <w:rPr>
          <w:rFonts w:hint="eastAsia" w:ascii="宋体" w:hAnsi="宋体"/>
          <w:color w:val="auto"/>
          <w:sz w:val="24"/>
        </w:rPr>
        <w:t>磋商小组拒绝被确定为非实质性响应的供应商，供应商不得通过修正或撤销不符之处而使其《响应文件》成为实质性响应的《响应文件》。</w:t>
      </w:r>
    </w:p>
    <w:p w14:paraId="4A1BC1C3">
      <w:pPr>
        <w:autoSpaceDE w:val="0"/>
        <w:autoSpaceDN w:val="0"/>
        <w:adjustRightInd w:val="0"/>
        <w:snapToGrid w:val="0"/>
        <w:spacing w:before="120" w:beforeLines="50" w:line="300" w:lineRule="auto"/>
        <w:ind w:firstLine="566" w:firstLineChars="236"/>
        <w:jc w:val="left"/>
        <w:rPr>
          <w:rFonts w:ascii="宋体"/>
          <w:color w:val="auto"/>
          <w:sz w:val="24"/>
        </w:rPr>
      </w:pPr>
      <w:r>
        <w:rPr>
          <w:rFonts w:ascii="宋体" w:hAnsi="宋体"/>
          <w:color w:val="auto"/>
          <w:sz w:val="24"/>
        </w:rPr>
        <w:t xml:space="preserve">3.2.8 </w:t>
      </w:r>
      <w:r>
        <w:rPr>
          <w:rFonts w:hint="eastAsia" w:ascii="宋体" w:hAnsi="宋体"/>
          <w:color w:val="auto"/>
          <w:sz w:val="24"/>
        </w:rPr>
        <w:t>允许供应商修改《响应文件》中不构成重大偏离的、微小的、非正规、不一致或不规则的地方。</w:t>
      </w:r>
    </w:p>
    <w:p w14:paraId="25E526EA">
      <w:pPr>
        <w:autoSpaceDE w:val="0"/>
        <w:autoSpaceDN w:val="0"/>
        <w:adjustRightInd w:val="0"/>
        <w:snapToGrid w:val="0"/>
        <w:spacing w:before="120" w:beforeLines="50" w:line="300" w:lineRule="auto"/>
        <w:ind w:firstLine="569" w:firstLineChars="236"/>
        <w:jc w:val="left"/>
        <w:rPr>
          <w:rFonts w:hint="eastAsia" w:ascii="黑体" w:hAnsi="黑体" w:eastAsia="黑体"/>
          <w:b/>
          <w:color w:val="auto"/>
          <w:sz w:val="24"/>
        </w:rPr>
      </w:pPr>
      <w:r>
        <w:rPr>
          <w:rFonts w:ascii="黑体" w:hAnsi="黑体" w:eastAsia="黑体"/>
          <w:b/>
          <w:color w:val="auto"/>
          <w:sz w:val="24"/>
        </w:rPr>
        <w:t xml:space="preserve">3.3 </w:t>
      </w:r>
      <w:r>
        <w:rPr>
          <w:rFonts w:hint="eastAsia" w:ascii="黑体" w:hAnsi="黑体" w:eastAsia="黑体"/>
          <w:b/>
          <w:color w:val="auto"/>
          <w:sz w:val="24"/>
        </w:rPr>
        <w:t>《响应文件》的澄清</w:t>
      </w:r>
    </w:p>
    <w:p w14:paraId="6312A703">
      <w:pPr>
        <w:autoSpaceDE w:val="0"/>
        <w:autoSpaceDN w:val="0"/>
        <w:adjustRightInd w:val="0"/>
        <w:snapToGrid w:val="0"/>
        <w:spacing w:before="120" w:beforeLines="50" w:line="300" w:lineRule="auto"/>
        <w:ind w:firstLine="569" w:firstLineChars="236"/>
        <w:jc w:val="left"/>
        <w:rPr>
          <w:rFonts w:hint="eastAsia" w:ascii="宋体" w:hAnsi="宋体"/>
          <w:b/>
          <w:color w:val="auto"/>
          <w:sz w:val="24"/>
        </w:rPr>
      </w:pPr>
      <w:r>
        <w:rPr>
          <w:rFonts w:hint="eastAsia" w:ascii="宋体" w:hAnsi="宋体"/>
          <w:b/>
          <w:color w:val="auto"/>
          <w:sz w:val="24"/>
        </w:rPr>
        <w:t>《响应文件》的澄清在“竞争性磋商公告”</w:t>
      </w:r>
      <w:r>
        <w:rPr>
          <w:rFonts w:ascii="宋体" w:hAnsi="宋体"/>
          <w:b/>
          <w:color w:val="auto"/>
          <w:sz w:val="24"/>
        </w:rPr>
        <w:t>所述</w:t>
      </w:r>
      <w:r>
        <w:rPr>
          <w:rFonts w:hint="eastAsia" w:ascii="宋体" w:hAnsi="宋体"/>
          <w:b/>
          <w:color w:val="auto"/>
          <w:sz w:val="24"/>
        </w:rPr>
        <w:t>网</w:t>
      </w:r>
      <w:r>
        <w:rPr>
          <w:rFonts w:ascii="宋体" w:hAnsi="宋体"/>
          <w:b/>
          <w:color w:val="auto"/>
          <w:sz w:val="24"/>
        </w:rPr>
        <w:t>上</w:t>
      </w:r>
      <w:r>
        <w:rPr>
          <w:rFonts w:hint="eastAsia" w:ascii="宋体" w:hAnsi="宋体"/>
          <w:b/>
          <w:color w:val="auto"/>
          <w:sz w:val="24"/>
        </w:rPr>
        <w:t>电子交易系统</w:t>
      </w:r>
      <w:r>
        <w:rPr>
          <w:rFonts w:ascii="宋体" w:hAnsi="宋体"/>
          <w:b/>
          <w:color w:val="auto"/>
          <w:sz w:val="24"/>
        </w:rPr>
        <w:t>进行。</w:t>
      </w:r>
    </w:p>
    <w:p w14:paraId="5D9E0D48">
      <w:pPr>
        <w:autoSpaceDE w:val="0"/>
        <w:autoSpaceDN w:val="0"/>
        <w:adjustRightInd w:val="0"/>
        <w:snapToGrid w:val="0"/>
        <w:spacing w:before="120" w:beforeLines="50" w:line="300" w:lineRule="auto"/>
        <w:ind w:firstLine="569" w:firstLineChars="236"/>
        <w:jc w:val="left"/>
        <w:rPr>
          <w:rFonts w:hint="eastAsia" w:ascii="宋体" w:hAnsi="宋体"/>
          <w:b/>
          <w:color w:val="auto"/>
          <w:sz w:val="24"/>
        </w:rPr>
      </w:pPr>
      <w:r>
        <w:rPr>
          <w:rFonts w:ascii="宋体" w:hAnsi="宋体"/>
          <w:b/>
          <w:color w:val="auto"/>
          <w:sz w:val="24"/>
        </w:rPr>
        <w:t>3.</w:t>
      </w:r>
      <w:r>
        <w:rPr>
          <w:rFonts w:hint="eastAsia" w:ascii="宋体" w:hAnsi="宋体"/>
          <w:b/>
          <w:color w:val="auto"/>
          <w:sz w:val="24"/>
        </w:rPr>
        <w:t>3</w:t>
      </w:r>
      <w:r>
        <w:rPr>
          <w:rFonts w:ascii="宋体" w:hAnsi="宋体"/>
          <w:b/>
          <w:color w:val="auto"/>
          <w:sz w:val="24"/>
        </w:rPr>
        <w:t>.1</w:t>
      </w:r>
      <w:r>
        <w:rPr>
          <w:rFonts w:hint="eastAsia" w:ascii="宋体" w:hAnsi="宋体"/>
          <w:b/>
          <w:color w:val="auto"/>
          <w:sz w:val="24"/>
        </w:rPr>
        <w:t xml:space="preserve"> 评审期间，供应商法定代表人须时刻关注电子开标室并保持通讯畅通。如因通讯不畅导致供应商无法及时澄清而被认定为无效响应等后果的</w:t>
      </w:r>
      <w:r>
        <w:rPr>
          <w:rFonts w:ascii="宋体" w:hAnsi="宋体"/>
          <w:b/>
          <w:color w:val="auto"/>
          <w:sz w:val="24"/>
        </w:rPr>
        <w:t>，</w:t>
      </w:r>
      <w:r>
        <w:rPr>
          <w:rFonts w:hint="eastAsia" w:ascii="宋体" w:hAnsi="宋体"/>
          <w:b/>
          <w:color w:val="auto"/>
          <w:sz w:val="24"/>
        </w:rPr>
        <w:t>由供应商自行承担。</w:t>
      </w:r>
    </w:p>
    <w:p w14:paraId="13707247">
      <w:pPr>
        <w:autoSpaceDE w:val="0"/>
        <w:autoSpaceDN w:val="0"/>
        <w:adjustRightInd w:val="0"/>
        <w:snapToGrid w:val="0"/>
        <w:spacing w:before="120" w:beforeLines="50" w:line="300" w:lineRule="auto"/>
        <w:ind w:firstLine="566" w:firstLineChars="236"/>
        <w:jc w:val="left"/>
        <w:rPr>
          <w:rFonts w:ascii="宋体"/>
          <w:color w:val="auto"/>
          <w:sz w:val="24"/>
        </w:rPr>
      </w:pPr>
      <w:r>
        <w:rPr>
          <w:rFonts w:ascii="宋体" w:hAnsi="宋体"/>
          <w:color w:val="auto"/>
          <w:sz w:val="24"/>
        </w:rPr>
        <w:t>3.3.2</w:t>
      </w:r>
      <w:r>
        <w:rPr>
          <w:rFonts w:hint="eastAsia" w:ascii="宋体" w:hAnsi="宋体"/>
          <w:color w:val="auto"/>
          <w:sz w:val="24"/>
        </w:rPr>
        <w:t>　为有助于对《响应文件》进行审查、评估和比较，磋商小组有权个别的向供应商提出质疑，请供应商澄清其投标内容。</w:t>
      </w:r>
    </w:p>
    <w:p w14:paraId="5BDCCF94">
      <w:pPr>
        <w:autoSpaceDE w:val="0"/>
        <w:autoSpaceDN w:val="0"/>
        <w:adjustRightInd w:val="0"/>
        <w:snapToGrid w:val="0"/>
        <w:spacing w:before="120" w:beforeLines="50" w:line="300" w:lineRule="auto"/>
        <w:ind w:firstLine="566" w:firstLineChars="236"/>
        <w:jc w:val="left"/>
        <w:rPr>
          <w:rFonts w:ascii="宋体"/>
          <w:color w:val="auto"/>
          <w:sz w:val="24"/>
        </w:rPr>
      </w:pPr>
      <w:r>
        <w:rPr>
          <w:rFonts w:ascii="宋体" w:hAnsi="宋体"/>
          <w:color w:val="auto"/>
          <w:sz w:val="24"/>
        </w:rPr>
        <w:t>3.3.3</w:t>
      </w:r>
      <w:r>
        <w:rPr>
          <w:rFonts w:hint="eastAsia" w:ascii="宋体" w:hAnsi="宋体"/>
          <w:color w:val="auto"/>
          <w:sz w:val="24"/>
        </w:rPr>
        <w:t>　磋商小组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41144D0A">
      <w:pPr>
        <w:autoSpaceDE w:val="0"/>
        <w:autoSpaceDN w:val="0"/>
        <w:adjustRightInd w:val="0"/>
        <w:snapToGrid w:val="0"/>
        <w:spacing w:before="120" w:beforeLines="50" w:line="300" w:lineRule="auto"/>
        <w:ind w:firstLine="566" w:firstLineChars="236"/>
        <w:jc w:val="left"/>
        <w:rPr>
          <w:rFonts w:hint="eastAsia" w:ascii="宋体" w:hAnsi="宋体"/>
          <w:b/>
          <w:color w:val="auto"/>
          <w:sz w:val="24"/>
        </w:rPr>
      </w:pPr>
      <w:r>
        <w:rPr>
          <w:rFonts w:ascii="宋体" w:hAnsi="宋体"/>
          <w:color w:val="auto"/>
          <w:sz w:val="24"/>
        </w:rPr>
        <w:t>3.3.4</w:t>
      </w:r>
      <w:r>
        <w:rPr>
          <w:rFonts w:hint="eastAsia" w:ascii="宋体" w:hAnsi="宋体"/>
          <w:color w:val="auto"/>
          <w:sz w:val="24"/>
        </w:rPr>
        <w:t>　供应商的澄清、说明或者更正</w:t>
      </w:r>
      <w:r>
        <w:rPr>
          <w:rFonts w:hint="eastAsia" w:ascii="宋体" w:hAnsi="宋体"/>
          <w:b/>
          <w:color w:val="auto"/>
          <w:sz w:val="24"/>
        </w:rPr>
        <w:t>应当采用书面形式，应加</w:t>
      </w:r>
      <w:r>
        <w:rPr>
          <w:rFonts w:ascii="宋体" w:hAnsi="宋体"/>
          <w:b/>
          <w:color w:val="auto"/>
          <w:sz w:val="24"/>
        </w:rPr>
        <w:t>盖</w:t>
      </w:r>
      <w:r>
        <w:rPr>
          <w:rFonts w:hint="eastAsia" w:ascii="宋体" w:hAnsi="宋体"/>
          <w:b/>
          <w:color w:val="auto"/>
          <w:sz w:val="24"/>
        </w:rPr>
        <w:t>供应商电子签章或其法定代表人电子签名</w:t>
      </w:r>
      <w:r>
        <w:rPr>
          <w:rFonts w:hint="eastAsia" w:ascii="宋体" w:hAnsi="宋体" w:cs="楷体_GB2312"/>
          <w:b/>
          <w:color w:val="auto"/>
          <w:sz w:val="24"/>
        </w:rPr>
        <w:t>（签章）</w:t>
      </w:r>
      <w:r>
        <w:rPr>
          <w:rFonts w:hint="eastAsia" w:ascii="宋体" w:hAnsi="宋体"/>
          <w:b/>
          <w:color w:val="auto"/>
          <w:sz w:val="24"/>
        </w:rPr>
        <w:t>。并将澄清等内容作为附件上传至系统中。</w:t>
      </w:r>
    </w:p>
    <w:p w14:paraId="42DC3E2B">
      <w:pPr>
        <w:autoSpaceDE w:val="0"/>
        <w:autoSpaceDN w:val="0"/>
        <w:adjustRightInd w:val="0"/>
        <w:snapToGrid w:val="0"/>
        <w:spacing w:before="120" w:beforeLines="50" w:line="300" w:lineRule="auto"/>
        <w:ind w:firstLine="566" w:firstLineChars="236"/>
        <w:jc w:val="left"/>
        <w:rPr>
          <w:rFonts w:ascii="宋体"/>
          <w:color w:val="auto"/>
          <w:sz w:val="24"/>
        </w:rPr>
      </w:pPr>
      <w:r>
        <w:rPr>
          <w:rFonts w:ascii="宋体" w:hAnsi="宋体"/>
          <w:color w:val="auto"/>
          <w:sz w:val="24"/>
        </w:rPr>
        <w:t>3.3.5</w:t>
      </w:r>
      <w:r>
        <w:rPr>
          <w:rFonts w:hint="eastAsia" w:ascii="宋体" w:hAnsi="宋体"/>
          <w:color w:val="auto"/>
          <w:sz w:val="24"/>
        </w:rPr>
        <w:t>　供应商的澄清文件是《响应文件》的组成部分，并取代《响应文件》中被澄清的部分。</w:t>
      </w:r>
    </w:p>
    <w:p w14:paraId="1649C0AE">
      <w:pPr>
        <w:autoSpaceDE w:val="0"/>
        <w:autoSpaceDN w:val="0"/>
        <w:adjustRightInd w:val="0"/>
        <w:snapToGrid w:val="0"/>
        <w:spacing w:before="120" w:beforeLines="50" w:line="300" w:lineRule="auto"/>
        <w:ind w:firstLine="566" w:firstLineChars="236"/>
        <w:jc w:val="left"/>
        <w:rPr>
          <w:rFonts w:ascii="宋体"/>
          <w:color w:val="auto"/>
          <w:sz w:val="24"/>
        </w:rPr>
      </w:pPr>
      <w:r>
        <w:rPr>
          <w:rFonts w:ascii="宋体" w:hAnsi="宋体"/>
          <w:color w:val="auto"/>
          <w:sz w:val="24"/>
        </w:rPr>
        <w:t>3.3.6</w:t>
      </w:r>
      <w:r>
        <w:rPr>
          <w:rFonts w:hint="eastAsia" w:ascii="宋体" w:hAnsi="宋体"/>
          <w:color w:val="auto"/>
          <w:sz w:val="24"/>
        </w:rPr>
        <w:t>　澄清文件应按磋商小组规定的时间提交。</w:t>
      </w:r>
    </w:p>
    <w:p w14:paraId="26718A83">
      <w:pPr>
        <w:autoSpaceDE w:val="0"/>
        <w:autoSpaceDN w:val="0"/>
        <w:adjustRightInd w:val="0"/>
        <w:snapToGrid w:val="0"/>
        <w:spacing w:before="120" w:beforeLines="50" w:line="300" w:lineRule="auto"/>
        <w:ind w:firstLine="569" w:firstLineChars="236"/>
        <w:jc w:val="left"/>
        <w:rPr>
          <w:rFonts w:hint="eastAsia" w:ascii="黑体" w:hAnsi="黑体" w:eastAsia="黑体"/>
          <w:b/>
          <w:color w:val="auto"/>
          <w:sz w:val="24"/>
        </w:rPr>
      </w:pPr>
      <w:r>
        <w:rPr>
          <w:rFonts w:ascii="黑体" w:hAnsi="黑体" w:eastAsia="黑体"/>
          <w:b/>
          <w:color w:val="auto"/>
          <w:sz w:val="24"/>
        </w:rPr>
        <w:t xml:space="preserve">3.4 </w:t>
      </w:r>
      <w:r>
        <w:rPr>
          <w:rFonts w:hint="eastAsia" w:ascii="黑体" w:hAnsi="黑体" w:eastAsia="黑体"/>
          <w:b/>
          <w:color w:val="auto"/>
          <w:sz w:val="24"/>
        </w:rPr>
        <w:t>磋商规则</w:t>
      </w:r>
    </w:p>
    <w:p w14:paraId="6CDB7903">
      <w:pPr>
        <w:autoSpaceDE w:val="0"/>
        <w:autoSpaceDN w:val="0"/>
        <w:adjustRightInd w:val="0"/>
        <w:snapToGrid w:val="0"/>
        <w:spacing w:before="120" w:beforeLines="50" w:line="300" w:lineRule="auto"/>
        <w:ind w:firstLine="569" w:firstLineChars="236"/>
        <w:jc w:val="left"/>
        <w:rPr>
          <w:rFonts w:hint="eastAsia" w:ascii="黑体" w:hAnsi="黑体" w:eastAsia="黑体"/>
          <w:b/>
          <w:color w:val="auto"/>
          <w:sz w:val="24"/>
        </w:rPr>
      </w:pPr>
      <w:r>
        <w:rPr>
          <w:rFonts w:hint="eastAsia" w:ascii="宋体" w:hAnsi="宋体"/>
          <w:b/>
          <w:color w:val="auto"/>
          <w:sz w:val="24"/>
        </w:rPr>
        <w:t>评</w:t>
      </w:r>
      <w:r>
        <w:rPr>
          <w:rFonts w:ascii="宋体" w:hAnsi="宋体"/>
          <w:b/>
          <w:color w:val="auto"/>
          <w:sz w:val="24"/>
        </w:rPr>
        <w:t>审</w:t>
      </w:r>
      <w:r>
        <w:rPr>
          <w:rFonts w:hint="eastAsia" w:ascii="宋体" w:hAnsi="宋体"/>
          <w:b/>
          <w:color w:val="auto"/>
          <w:sz w:val="24"/>
        </w:rPr>
        <w:t>磋商在“竞争性磋商公告”</w:t>
      </w:r>
      <w:r>
        <w:rPr>
          <w:rFonts w:ascii="宋体" w:hAnsi="宋体"/>
          <w:b/>
          <w:color w:val="auto"/>
          <w:sz w:val="24"/>
        </w:rPr>
        <w:t>所述</w:t>
      </w:r>
      <w:r>
        <w:rPr>
          <w:rFonts w:hint="eastAsia" w:ascii="宋体" w:hAnsi="宋体"/>
          <w:b/>
          <w:color w:val="auto"/>
          <w:sz w:val="24"/>
        </w:rPr>
        <w:t>网</w:t>
      </w:r>
      <w:r>
        <w:rPr>
          <w:rFonts w:ascii="宋体" w:hAnsi="宋体"/>
          <w:b/>
          <w:color w:val="auto"/>
          <w:sz w:val="24"/>
        </w:rPr>
        <w:t>上</w:t>
      </w:r>
      <w:r>
        <w:rPr>
          <w:rFonts w:hint="eastAsia" w:ascii="宋体" w:hAnsi="宋体"/>
          <w:b/>
          <w:color w:val="auto"/>
          <w:sz w:val="24"/>
        </w:rPr>
        <w:t>电子交易系统</w:t>
      </w:r>
      <w:r>
        <w:rPr>
          <w:rFonts w:ascii="宋体" w:hAnsi="宋体"/>
          <w:b/>
          <w:color w:val="auto"/>
          <w:sz w:val="24"/>
        </w:rPr>
        <w:t>进行。</w:t>
      </w:r>
    </w:p>
    <w:p w14:paraId="3ABE557C">
      <w:pPr>
        <w:autoSpaceDE w:val="0"/>
        <w:autoSpaceDN w:val="0"/>
        <w:adjustRightInd w:val="0"/>
        <w:snapToGrid w:val="0"/>
        <w:spacing w:before="120" w:beforeLines="50" w:line="300" w:lineRule="auto"/>
        <w:ind w:firstLine="566" w:firstLineChars="236"/>
        <w:jc w:val="left"/>
        <w:rPr>
          <w:rFonts w:ascii="宋体"/>
          <w:color w:val="auto"/>
          <w:sz w:val="24"/>
        </w:rPr>
      </w:pPr>
      <w:r>
        <w:rPr>
          <w:rFonts w:ascii="宋体" w:hAnsi="宋体"/>
          <w:color w:val="auto"/>
          <w:sz w:val="24"/>
        </w:rPr>
        <w:t xml:space="preserve">3.4.1 </w:t>
      </w:r>
      <w:r>
        <w:rPr>
          <w:rFonts w:hint="eastAsia" w:ascii="宋体" w:hAnsi="宋体"/>
          <w:color w:val="auto"/>
          <w:sz w:val="24"/>
        </w:rPr>
        <w:t>本次政府采购采取竞争性磋商方式。磋商小组将据评审情况就所报项目的技术、服务、价格等事项与有关供应商分别进行磋商。磋商的任何一方不得将与磋商有关的技术资料、价格和其他信息透露给其他供应商。</w:t>
      </w:r>
    </w:p>
    <w:p w14:paraId="32E25761">
      <w:pPr>
        <w:autoSpaceDE w:val="0"/>
        <w:autoSpaceDN w:val="0"/>
        <w:adjustRightInd w:val="0"/>
        <w:snapToGrid w:val="0"/>
        <w:spacing w:before="120" w:beforeLines="50" w:line="300" w:lineRule="auto"/>
        <w:ind w:firstLine="566" w:firstLineChars="236"/>
        <w:jc w:val="left"/>
        <w:rPr>
          <w:rFonts w:ascii="宋体"/>
          <w:color w:val="auto"/>
          <w:sz w:val="24"/>
        </w:rPr>
      </w:pPr>
      <w:r>
        <w:rPr>
          <w:rFonts w:ascii="宋体" w:hAnsi="宋体"/>
          <w:color w:val="auto"/>
          <w:sz w:val="24"/>
        </w:rPr>
        <w:t>3.4</w:t>
      </w:r>
      <w:r>
        <w:rPr>
          <w:rFonts w:ascii="宋体"/>
          <w:color w:val="auto"/>
          <w:sz w:val="24"/>
        </w:rPr>
        <w:t>.</w:t>
      </w:r>
      <w:r>
        <w:rPr>
          <w:rFonts w:ascii="宋体" w:hAnsi="宋体"/>
          <w:color w:val="auto"/>
          <w:sz w:val="24"/>
        </w:rPr>
        <w:t>2</w:t>
      </w:r>
      <w:r>
        <w:rPr>
          <w:rFonts w:hint="eastAsia" w:ascii="宋体" w:hAnsi="宋体"/>
          <w:color w:val="auto"/>
          <w:sz w:val="24"/>
        </w:rPr>
        <w:t>磋商小组根据《磋商文件》规定的程序、评定成交的标准等事项与实质性响应《磋商文件》实质性要求的供应商进行磋商。</w:t>
      </w:r>
    </w:p>
    <w:p w14:paraId="303EFC35">
      <w:pPr>
        <w:autoSpaceDE w:val="0"/>
        <w:autoSpaceDN w:val="0"/>
        <w:adjustRightInd w:val="0"/>
        <w:snapToGrid w:val="0"/>
        <w:spacing w:before="120" w:beforeLines="50" w:line="300" w:lineRule="auto"/>
        <w:ind w:firstLine="566" w:firstLineChars="236"/>
        <w:jc w:val="left"/>
        <w:rPr>
          <w:rFonts w:ascii="宋体"/>
          <w:color w:val="auto"/>
          <w:sz w:val="24"/>
        </w:rPr>
      </w:pPr>
      <w:r>
        <w:rPr>
          <w:rFonts w:ascii="宋体" w:hAnsi="宋体"/>
          <w:color w:val="auto"/>
          <w:sz w:val="24"/>
        </w:rPr>
        <w:t>3.4</w:t>
      </w:r>
      <w:r>
        <w:rPr>
          <w:rFonts w:ascii="宋体"/>
          <w:color w:val="auto"/>
          <w:sz w:val="24"/>
        </w:rPr>
        <w:t>.</w:t>
      </w:r>
      <w:r>
        <w:rPr>
          <w:rFonts w:ascii="宋体" w:hAnsi="宋体"/>
          <w:color w:val="auto"/>
          <w:sz w:val="24"/>
        </w:rPr>
        <w:t xml:space="preserve">3 </w:t>
      </w:r>
      <w:r>
        <w:rPr>
          <w:rFonts w:hint="eastAsia" w:ascii="宋体" w:hAnsi="宋体"/>
          <w:color w:val="auto"/>
          <w:sz w:val="24"/>
        </w:rPr>
        <w:t>磋商小组所有成员集中与单一供应商分别进行磋商，并给予所有参加磋商的供应商平等的磋商机会。</w:t>
      </w:r>
    </w:p>
    <w:p w14:paraId="7B5E3A2B">
      <w:pPr>
        <w:autoSpaceDE w:val="0"/>
        <w:autoSpaceDN w:val="0"/>
        <w:adjustRightInd w:val="0"/>
        <w:snapToGrid w:val="0"/>
        <w:spacing w:before="120" w:beforeLines="50" w:line="300" w:lineRule="auto"/>
        <w:ind w:firstLine="566" w:firstLineChars="236"/>
        <w:jc w:val="left"/>
        <w:rPr>
          <w:rFonts w:ascii="宋体"/>
          <w:color w:val="auto"/>
          <w:sz w:val="24"/>
        </w:rPr>
      </w:pPr>
      <w:r>
        <w:rPr>
          <w:rFonts w:ascii="宋体" w:hAnsi="宋体"/>
          <w:color w:val="auto"/>
          <w:sz w:val="24"/>
        </w:rPr>
        <w:t>3.4</w:t>
      </w:r>
      <w:r>
        <w:rPr>
          <w:rFonts w:ascii="宋体"/>
          <w:color w:val="auto"/>
          <w:sz w:val="24"/>
        </w:rPr>
        <w:t>.</w:t>
      </w:r>
      <w:r>
        <w:rPr>
          <w:rFonts w:ascii="宋体" w:hAnsi="宋体"/>
          <w:color w:val="auto"/>
          <w:sz w:val="24"/>
        </w:rPr>
        <w:t xml:space="preserve">4 </w:t>
      </w:r>
      <w:r>
        <w:rPr>
          <w:rFonts w:hint="eastAsia" w:ascii="宋体" w:hAnsi="宋体"/>
          <w:color w:val="auto"/>
          <w:sz w:val="24"/>
        </w:rPr>
        <w:t>在磋商过程中，磋商小组可以根据《磋商文件》和磋商情况实质性变动采购需求中的技术、服务要求以及合同草案条款，《磋商文件》中的其他内容将不再变动。实质性变动的内容，经采购人代表确认后，</w:t>
      </w:r>
      <w:r>
        <w:rPr>
          <w:rFonts w:hint="eastAsia" w:ascii="宋体" w:hAnsi="宋体"/>
          <w:b/>
          <w:color w:val="auto"/>
          <w:sz w:val="24"/>
        </w:rPr>
        <w:t>磋商小组将在评审界面的对话框及时通知所有参加磋商的供应商。评审期间，供应商可通过评审界面的对话框接受询问。磋商结束后，未实质性响应《磋商文件》的《响应文件》按无效处理，磋商小组应当通过评审界面的对话框告知有关供应商。</w:t>
      </w:r>
    </w:p>
    <w:p w14:paraId="68EA774F">
      <w:pPr>
        <w:autoSpaceDE w:val="0"/>
        <w:autoSpaceDN w:val="0"/>
        <w:adjustRightInd w:val="0"/>
        <w:snapToGrid w:val="0"/>
        <w:spacing w:before="120" w:beforeLines="50" w:line="300" w:lineRule="auto"/>
        <w:ind w:firstLine="566" w:firstLineChars="236"/>
        <w:jc w:val="left"/>
        <w:rPr>
          <w:rFonts w:ascii="宋体"/>
          <w:color w:val="auto"/>
          <w:sz w:val="24"/>
        </w:rPr>
      </w:pPr>
      <w:r>
        <w:rPr>
          <w:rFonts w:ascii="宋体" w:hAnsi="宋体"/>
          <w:color w:val="auto"/>
          <w:sz w:val="24"/>
        </w:rPr>
        <w:t>3.4</w:t>
      </w:r>
      <w:r>
        <w:rPr>
          <w:rFonts w:ascii="宋体"/>
          <w:color w:val="auto"/>
          <w:sz w:val="24"/>
        </w:rPr>
        <w:t>.</w:t>
      </w:r>
      <w:r>
        <w:rPr>
          <w:rFonts w:ascii="宋体" w:hAnsi="宋体"/>
          <w:color w:val="auto"/>
          <w:sz w:val="24"/>
        </w:rPr>
        <w:t>5</w:t>
      </w:r>
      <w:r>
        <w:rPr>
          <w:rFonts w:hint="eastAsia" w:ascii="宋体" w:hAnsi="宋体"/>
          <w:color w:val="auto"/>
          <w:sz w:val="24"/>
        </w:rPr>
        <w:t>对《磋商文件》作出的实质性变动是《磋商文件》的有效组成部分。</w:t>
      </w:r>
    </w:p>
    <w:p w14:paraId="05EFFCED">
      <w:pPr>
        <w:autoSpaceDE w:val="0"/>
        <w:autoSpaceDN w:val="0"/>
        <w:adjustRightInd w:val="0"/>
        <w:snapToGrid w:val="0"/>
        <w:spacing w:before="120" w:beforeLines="50" w:line="300" w:lineRule="auto"/>
        <w:ind w:firstLine="566" w:firstLineChars="236"/>
        <w:jc w:val="left"/>
        <w:rPr>
          <w:rFonts w:ascii="宋体"/>
          <w:color w:val="auto"/>
          <w:sz w:val="24"/>
        </w:rPr>
      </w:pPr>
      <w:r>
        <w:rPr>
          <w:rFonts w:ascii="宋体" w:hAnsi="宋体"/>
          <w:color w:val="auto"/>
          <w:sz w:val="24"/>
        </w:rPr>
        <w:t>3.4</w:t>
      </w:r>
      <w:r>
        <w:rPr>
          <w:rFonts w:ascii="宋体"/>
          <w:color w:val="auto"/>
          <w:sz w:val="24"/>
        </w:rPr>
        <w:t>.</w:t>
      </w:r>
      <w:r>
        <w:rPr>
          <w:rFonts w:ascii="宋体" w:hAnsi="宋体"/>
          <w:color w:val="auto"/>
          <w:sz w:val="24"/>
        </w:rPr>
        <w:t xml:space="preserve">6 </w:t>
      </w:r>
      <w:r>
        <w:rPr>
          <w:rFonts w:hint="eastAsia" w:ascii="宋体" w:hAnsi="宋体"/>
          <w:color w:val="auto"/>
          <w:sz w:val="24"/>
        </w:rPr>
        <w:t>供应商应当按照《磋商文件》的变动情况和磋商小组的要求重新提交《响应文件》或修订《响应文件》相应条款，</w:t>
      </w:r>
      <w:r>
        <w:rPr>
          <w:rFonts w:hint="eastAsia" w:ascii="宋体" w:hAnsi="宋体"/>
          <w:b/>
          <w:color w:val="auto"/>
          <w:sz w:val="24"/>
        </w:rPr>
        <w:t>并应加</w:t>
      </w:r>
      <w:r>
        <w:rPr>
          <w:rFonts w:ascii="宋体" w:hAnsi="宋体"/>
          <w:b/>
          <w:color w:val="auto"/>
          <w:sz w:val="24"/>
        </w:rPr>
        <w:t>盖</w:t>
      </w:r>
      <w:r>
        <w:rPr>
          <w:rFonts w:hint="eastAsia" w:ascii="宋体" w:hAnsi="宋体"/>
          <w:b/>
          <w:color w:val="auto"/>
          <w:sz w:val="24"/>
        </w:rPr>
        <w:t>供应商或其法定代表人的电子签名</w:t>
      </w:r>
      <w:r>
        <w:rPr>
          <w:rFonts w:hint="eastAsia" w:ascii="宋体" w:hAnsi="宋体" w:cs="楷体_GB2312"/>
          <w:b/>
          <w:color w:val="auto"/>
          <w:sz w:val="24"/>
        </w:rPr>
        <w:t>（签章）</w:t>
      </w:r>
      <w:r>
        <w:rPr>
          <w:rFonts w:hint="eastAsia" w:ascii="宋体" w:hAnsi="宋体"/>
          <w:b/>
          <w:color w:val="auto"/>
          <w:sz w:val="24"/>
        </w:rPr>
        <w:t>。</w:t>
      </w:r>
    </w:p>
    <w:p w14:paraId="62C6C0CD">
      <w:pPr>
        <w:autoSpaceDE w:val="0"/>
        <w:autoSpaceDN w:val="0"/>
        <w:adjustRightInd w:val="0"/>
        <w:snapToGrid w:val="0"/>
        <w:spacing w:before="120" w:beforeLines="50" w:line="300" w:lineRule="auto"/>
        <w:ind w:firstLine="566" w:firstLineChars="236"/>
        <w:jc w:val="left"/>
        <w:rPr>
          <w:rFonts w:ascii="宋体"/>
          <w:color w:val="auto"/>
          <w:sz w:val="24"/>
        </w:rPr>
      </w:pPr>
      <w:r>
        <w:rPr>
          <w:rFonts w:ascii="宋体" w:hAnsi="宋体"/>
          <w:color w:val="auto"/>
          <w:sz w:val="24"/>
        </w:rPr>
        <w:t>3.4</w:t>
      </w:r>
      <w:r>
        <w:rPr>
          <w:rFonts w:ascii="宋体"/>
          <w:color w:val="auto"/>
          <w:sz w:val="24"/>
        </w:rPr>
        <w:t>.</w:t>
      </w:r>
      <w:r>
        <w:rPr>
          <w:rFonts w:ascii="宋体" w:hAnsi="宋体"/>
          <w:color w:val="auto"/>
          <w:sz w:val="24"/>
        </w:rPr>
        <w:t xml:space="preserve">7 </w:t>
      </w:r>
      <w:r>
        <w:rPr>
          <w:rFonts w:hint="eastAsia" w:ascii="宋体" w:hAnsi="宋体"/>
          <w:color w:val="auto"/>
          <w:sz w:val="24"/>
        </w:rPr>
        <w:t>价格磋商</w:t>
      </w:r>
    </w:p>
    <w:p w14:paraId="7DDF54DB">
      <w:pPr>
        <w:autoSpaceDE w:val="0"/>
        <w:autoSpaceDN w:val="0"/>
        <w:adjustRightInd w:val="0"/>
        <w:snapToGrid w:val="0"/>
        <w:spacing w:before="120" w:beforeLines="50" w:line="300" w:lineRule="auto"/>
        <w:ind w:firstLine="566" w:firstLineChars="236"/>
        <w:jc w:val="left"/>
        <w:rPr>
          <w:rFonts w:ascii="宋体"/>
          <w:color w:val="auto"/>
          <w:sz w:val="24"/>
        </w:rPr>
      </w:pPr>
      <w:r>
        <w:rPr>
          <w:rFonts w:ascii="宋体" w:hAnsi="宋体"/>
          <w:color w:val="auto"/>
          <w:sz w:val="24"/>
        </w:rPr>
        <w:t>3.4</w:t>
      </w:r>
      <w:r>
        <w:rPr>
          <w:rFonts w:ascii="宋体"/>
          <w:color w:val="auto"/>
          <w:sz w:val="24"/>
        </w:rPr>
        <w:t>.</w:t>
      </w:r>
      <w:r>
        <w:rPr>
          <w:rFonts w:ascii="宋体" w:hAnsi="宋体"/>
          <w:color w:val="auto"/>
          <w:sz w:val="24"/>
        </w:rPr>
        <w:t xml:space="preserve">7.1 </w:t>
      </w:r>
      <w:r>
        <w:rPr>
          <w:rFonts w:hint="eastAsia" w:ascii="宋体" w:hAnsi="宋体"/>
          <w:color w:val="auto"/>
          <w:sz w:val="24"/>
        </w:rPr>
        <w:t>见第二章“采购项目及技术服务要求”</w:t>
      </w:r>
      <w:r>
        <w:rPr>
          <w:rFonts w:ascii="宋体" w:hAnsi="宋体"/>
          <w:color w:val="auto"/>
          <w:sz w:val="24"/>
        </w:rPr>
        <w:t>1.3.2</w:t>
      </w:r>
      <w:r>
        <w:rPr>
          <w:rFonts w:hint="eastAsia" w:ascii="宋体" w:hAnsi="宋体"/>
          <w:color w:val="auto"/>
          <w:sz w:val="24"/>
        </w:rPr>
        <w:t>项规定</w:t>
      </w:r>
    </w:p>
    <w:p w14:paraId="7BC75455">
      <w:pPr>
        <w:autoSpaceDE w:val="0"/>
        <w:autoSpaceDN w:val="0"/>
        <w:adjustRightInd w:val="0"/>
        <w:snapToGrid w:val="0"/>
        <w:spacing w:before="120" w:beforeLines="50" w:line="300" w:lineRule="auto"/>
        <w:ind w:firstLine="566" w:firstLineChars="236"/>
        <w:jc w:val="left"/>
        <w:rPr>
          <w:rFonts w:ascii="宋体"/>
          <w:color w:val="auto"/>
          <w:sz w:val="24"/>
        </w:rPr>
      </w:pPr>
      <w:r>
        <w:rPr>
          <w:rFonts w:ascii="宋体" w:hAnsi="宋体"/>
          <w:color w:val="auto"/>
          <w:sz w:val="24"/>
        </w:rPr>
        <w:t>3.4</w:t>
      </w:r>
      <w:r>
        <w:rPr>
          <w:rFonts w:ascii="宋体"/>
          <w:color w:val="auto"/>
          <w:sz w:val="24"/>
        </w:rPr>
        <w:t>.</w:t>
      </w:r>
      <w:r>
        <w:rPr>
          <w:rFonts w:ascii="宋体" w:hAnsi="宋体"/>
          <w:color w:val="auto"/>
          <w:sz w:val="24"/>
        </w:rPr>
        <w:t xml:space="preserve">7.2 </w:t>
      </w:r>
      <w:r>
        <w:rPr>
          <w:rFonts w:hint="eastAsia" w:ascii="宋体" w:hAnsi="宋体"/>
          <w:color w:val="auto"/>
          <w:sz w:val="24"/>
        </w:rPr>
        <w:t>磋商小组应当要求所有继续参加磋商的供应商在规定时间内提交最后报价，提交最后报价的供应商不得少于</w:t>
      </w:r>
      <w:r>
        <w:rPr>
          <w:rFonts w:ascii="宋体" w:hAnsi="宋体"/>
          <w:color w:val="auto"/>
          <w:sz w:val="24"/>
        </w:rPr>
        <w:t>3</w:t>
      </w:r>
      <w:r>
        <w:rPr>
          <w:rFonts w:hint="eastAsia" w:ascii="宋体" w:hAnsi="宋体"/>
          <w:color w:val="auto"/>
          <w:sz w:val="24"/>
        </w:rPr>
        <w:t>家。最后报价是《响应文件》的有效组成部分。</w:t>
      </w:r>
    </w:p>
    <w:p w14:paraId="28FB4DF8">
      <w:pPr>
        <w:autoSpaceDE w:val="0"/>
        <w:autoSpaceDN w:val="0"/>
        <w:adjustRightInd w:val="0"/>
        <w:snapToGrid w:val="0"/>
        <w:spacing w:before="120" w:beforeLines="50" w:line="300" w:lineRule="auto"/>
        <w:ind w:firstLine="566" w:firstLineChars="236"/>
        <w:jc w:val="left"/>
        <w:rPr>
          <w:rFonts w:hint="eastAsia" w:ascii="宋体" w:hAnsi="宋体"/>
          <w:color w:val="auto"/>
          <w:sz w:val="24"/>
        </w:rPr>
      </w:pPr>
      <w:r>
        <w:rPr>
          <w:rFonts w:ascii="宋体" w:hAnsi="宋体"/>
          <w:color w:val="auto"/>
          <w:sz w:val="24"/>
        </w:rPr>
        <w:t>3.4</w:t>
      </w:r>
      <w:r>
        <w:rPr>
          <w:rFonts w:ascii="宋体"/>
          <w:color w:val="auto"/>
          <w:sz w:val="24"/>
        </w:rPr>
        <w:t>.</w:t>
      </w:r>
      <w:r>
        <w:rPr>
          <w:rFonts w:ascii="宋体" w:hAnsi="宋体"/>
          <w:color w:val="auto"/>
          <w:sz w:val="24"/>
        </w:rPr>
        <w:t>8</w:t>
      </w:r>
      <w:r>
        <w:rPr>
          <w:rFonts w:hint="eastAsia" w:ascii="宋体" w:hAnsi="宋体"/>
          <w:color w:val="auto"/>
          <w:sz w:val="24"/>
        </w:rPr>
        <w:t>《磋商文件》的实质性变动影响到供应商因此无法继续参加磋商的，供应商可以在提交最后报价之前退出磋商。其《响应文件》按无效处理的供应商，所提交的最后报价也按无效处理。</w:t>
      </w:r>
    </w:p>
    <w:p w14:paraId="4BEAFE22">
      <w:pPr>
        <w:autoSpaceDE w:val="0"/>
        <w:autoSpaceDN w:val="0"/>
        <w:adjustRightInd w:val="0"/>
        <w:snapToGrid w:val="0"/>
        <w:spacing w:before="120" w:beforeLines="50" w:line="300" w:lineRule="auto"/>
        <w:ind w:firstLine="569" w:firstLineChars="236"/>
        <w:jc w:val="left"/>
        <w:rPr>
          <w:rFonts w:hint="eastAsia" w:ascii="宋体" w:hAnsi="宋体"/>
          <w:b/>
          <w:color w:val="auto"/>
          <w:sz w:val="24"/>
        </w:rPr>
      </w:pPr>
      <w:r>
        <w:rPr>
          <w:rFonts w:ascii="宋体" w:hAnsi="宋体"/>
          <w:b/>
          <w:color w:val="auto"/>
          <w:sz w:val="24"/>
        </w:rPr>
        <w:t>3.</w:t>
      </w:r>
      <w:r>
        <w:rPr>
          <w:rFonts w:hint="eastAsia" w:ascii="宋体" w:hAnsi="宋体"/>
          <w:b/>
          <w:color w:val="auto"/>
          <w:sz w:val="24"/>
        </w:rPr>
        <w:t>4</w:t>
      </w:r>
      <w:r>
        <w:rPr>
          <w:rFonts w:ascii="宋体" w:hAnsi="宋体"/>
          <w:b/>
          <w:color w:val="auto"/>
          <w:sz w:val="24"/>
        </w:rPr>
        <w:t>.9</w:t>
      </w:r>
      <w:r>
        <w:rPr>
          <w:rFonts w:hint="eastAsia" w:ascii="宋体" w:hAnsi="宋体"/>
          <w:b/>
          <w:color w:val="auto"/>
          <w:sz w:val="24"/>
        </w:rPr>
        <w:t xml:space="preserve"> 供应商提交最后报价应在系统中填列。</w:t>
      </w:r>
    </w:p>
    <w:p w14:paraId="11242C6E">
      <w:pPr>
        <w:autoSpaceDE w:val="0"/>
        <w:autoSpaceDN w:val="0"/>
        <w:adjustRightInd w:val="0"/>
        <w:snapToGrid w:val="0"/>
        <w:spacing w:before="120" w:beforeLines="50" w:line="300" w:lineRule="auto"/>
        <w:ind w:firstLine="569" w:firstLineChars="236"/>
        <w:jc w:val="left"/>
        <w:rPr>
          <w:rFonts w:hint="eastAsia" w:ascii="宋体" w:hAnsi="宋体"/>
          <w:b/>
          <w:color w:val="auto"/>
          <w:sz w:val="24"/>
        </w:rPr>
      </w:pPr>
      <w:r>
        <w:rPr>
          <w:rFonts w:ascii="宋体" w:hAnsi="宋体"/>
          <w:b/>
          <w:color w:val="auto"/>
          <w:sz w:val="24"/>
        </w:rPr>
        <w:t>3.</w:t>
      </w:r>
      <w:r>
        <w:rPr>
          <w:rFonts w:hint="eastAsia" w:ascii="宋体" w:hAnsi="宋体"/>
          <w:b/>
          <w:color w:val="auto"/>
          <w:sz w:val="24"/>
        </w:rPr>
        <w:t>4</w:t>
      </w:r>
      <w:r>
        <w:rPr>
          <w:rFonts w:ascii="宋体" w:hAnsi="宋体"/>
          <w:b/>
          <w:color w:val="auto"/>
          <w:sz w:val="24"/>
        </w:rPr>
        <w:t xml:space="preserve">.10 </w:t>
      </w:r>
      <w:r>
        <w:rPr>
          <w:rFonts w:hint="eastAsia"/>
          <w:b/>
          <w:color w:val="auto"/>
          <w:sz w:val="24"/>
          <w:szCs w:val="24"/>
        </w:rPr>
        <w:t>本项目在开标后只进行一轮报价，即最后报价。网</w:t>
      </w:r>
      <w:r>
        <w:rPr>
          <w:b/>
          <w:color w:val="auto"/>
          <w:sz w:val="24"/>
          <w:szCs w:val="24"/>
        </w:rPr>
        <w:t>上交易系统中</w:t>
      </w:r>
      <w:r>
        <w:rPr>
          <w:rFonts w:hint="eastAsia"/>
          <w:b/>
          <w:color w:val="auto"/>
          <w:sz w:val="24"/>
          <w:szCs w:val="24"/>
        </w:rPr>
        <w:t>管理员发起最后报价后，</w:t>
      </w:r>
      <w:r>
        <w:rPr>
          <w:rFonts w:hint="eastAsia" w:ascii="宋体" w:hAnsi="宋体"/>
          <w:b/>
          <w:color w:val="auto"/>
          <w:sz w:val="24"/>
        </w:rPr>
        <w:t>如供应商未在指定时限内提交最后报价，视为该供应商根据磋商情况退出磋商。</w:t>
      </w:r>
    </w:p>
    <w:p w14:paraId="33C935C7">
      <w:pPr>
        <w:autoSpaceDE w:val="0"/>
        <w:autoSpaceDN w:val="0"/>
        <w:adjustRightInd w:val="0"/>
        <w:snapToGrid w:val="0"/>
        <w:spacing w:before="120" w:beforeLines="50" w:line="300" w:lineRule="auto"/>
        <w:ind w:firstLine="569" w:firstLineChars="236"/>
        <w:jc w:val="left"/>
        <w:rPr>
          <w:rFonts w:hint="eastAsia" w:ascii="宋体" w:hAnsi="宋体"/>
          <w:b/>
          <w:color w:val="auto"/>
          <w:sz w:val="24"/>
        </w:rPr>
      </w:pPr>
      <w:r>
        <w:rPr>
          <w:rFonts w:ascii="宋体" w:hAnsi="宋体"/>
          <w:b/>
          <w:color w:val="auto"/>
          <w:sz w:val="24"/>
        </w:rPr>
        <w:t>3.</w:t>
      </w:r>
      <w:r>
        <w:rPr>
          <w:rFonts w:hint="eastAsia" w:ascii="宋体" w:hAnsi="宋体"/>
          <w:b/>
          <w:color w:val="auto"/>
          <w:sz w:val="24"/>
        </w:rPr>
        <w:t>4</w:t>
      </w:r>
      <w:r>
        <w:rPr>
          <w:rFonts w:ascii="宋体" w:hAnsi="宋体"/>
          <w:b/>
          <w:color w:val="auto"/>
          <w:sz w:val="24"/>
        </w:rPr>
        <w:t xml:space="preserve">.11 </w:t>
      </w:r>
      <w:r>
        <w:rPr>
          <w:rFonts w:hint="eastAsia" w:ascii="宋体" w:hAnsi="宋体"/>
          <w:b/>
          <w:color w:val="auto"/>
          <w:sz w:val="24"/>
        </w:rPr>
        <w:t>供应商在网上报价过程中，如遇到网上投标系统的操作问题，可通过网上预留的咨询电话进行咨询。供应商因未按照要求进行操作、供应商办理的数字证书失效等其他自身原因导致响应文件错误或无效的，磋商小组将认定其为无效投</w:t>
      </w:r>
      <w:r>
        <w:rPr>
          <w:rFonts w:ascii="宋体" w:hAnsi="宋体"/>
          <w:b/>
          <w:color w:val="auto"/>
          <w:sz w:val="24"/>
        </w:rPr>
        <w:t>标</w:t>
      </w:r>
      <w:r>
        <w:rPr>
          <w:rFonts w:hint="eastAsia" w:ascii="宋体" w:hAnsi="宋体"/>
          <w:b/>
          <w:color w:val="auto"/>
          <w:sz w:val="24"/>
        </w:rPr>
        <w:t>。</w:t>
      </w:r>
    </w:p>
    <w:p w14:paraId="4920E783">
      <w:pPr>
        <w:autoSpaceDE w:val="0"/>
        <w:autoSpaceDN w:val="0"/>
        <w:adjustRightInd w:val="0"/>
        <w:snapToGrid w:val="0"/>
        <w:spacing w:before="120" w:beforeLines="50" w:line="300" w:lineRule="auto"/>
        <w:ind w:firstLine="569" w:firstLineChars="236"/>
        <w:jc w:val="left"/>
        <w:rPr>
          <w:rFonts w:hint="eastAsia" w:ascii="黑体" w:hAnsi="黑体" w:eastAsia="黑体"/>
          <w:b/>
          <w:color w:val="auto"/>
          <w:sz w:val="24"/>
        </w:rPr>
      </w:pPr>
      <w:r>
        <w:rPr>
          <w:rFonts w:ascii="黑体" w:hAnsi="黑体" w:eastAsia="黑体"/>
          <w:b/>
          <w:color w:val="auto"/>
          <w:sz w:val="24"/>
        </w:rPr>
        <w:t xml:space="preserve">3.5 </w:t>
      </w:r>
      <w:r>
        <w:rPr>
          <w:rFonts w:hint="eastAsia" w:ascii="黑体" w:hAnsi="黑体" w:eastAsia="黑体"/>
          <w:b/>
          <w:color w:val="auto"/>
          <w:sz w:val="24"/>
        </w:rPr>
        <w:t>详细评审</w:t>
      </w:r>
    </w:p>
    <w:p w14:paraId="0E5E6CBA">
      <w:pPr>
        <w:autoSpaceDE w:val="0"/>
        <w:autoSpaceDN w:val="0"/>
        <w:adjustRightInd w:val="0"/>
        <w:snapToGrid w:val="0"/>
        <w:spacing w:before="120" w:beforeLines="50" w:line="300" w:lineRule="auto"/>
        <w:ind w:firstLine="566" w:firstLineChars="236"/>
        <w:jc w:val="left"/>
        <w:rPr>
          <w:rFonts w:ascii="宋体"/>
          <w:color w:val="auto"/>
          <w:sz w:val="24"/>
        </w:rPr>
      </w:pPr>
      <w:r>
        <w:rPr>
          <w:rFonts w:ascii="宋体"/>
          <w:color w:val="auto"/>
          <w:sz w:val="24"/>
        </w:rPr>
        <w:t xml:space="preserve">3.5.1 </w:t>
      </w:r>
      <w:r>
        <w:rPr>
          <w:rFonts w:hint="eastAsia" w:ascii="宋体"/>
          <w:color w:val="auto"/>
          <w:sz w:val="24"/>
        </w:rPr>
        <w:t>经磋商确定最终采购需求和提交最后报价的供应商后，由磋商小组采用综合评分法对提交最后报价的供应商的《响应文件》和最后报价进行综合评分。</w:t>
      </w:r>
    </w:p>
    <w:p w14:paraId="577DD0C5">
      <w:pPr>
        <w:autoSpaceDE w:val="0"/>
        <w:autoSpaceDN w:val="0"/>
        <w:adjustRightInd w:val="0"/>
        <w:snapToGrid w:val="0"/>
        <w:spacing w:before="120" w:beforeLines="50" w:line="300" w:lineRule="auto"/>
        <w:ind w:firstLine="566" w:firstLineChars="236"/>
        <w:jc w:val="left"/>
        <w:rPr>
          <w:rFonts w:ascii="宋体"/>
          <w:color w:val="auto"/>
          <w:sz w:val="24"/>
        </w:rPr>
      </w:pPr>
      <w:r>
        <w:rPr>
          <w:rFonts w:ascii="宋体"/>
          <w:color w:val="auto"/>
          <w:sz w:val="24"/>
        </w:rPr>
        <w:t xml:space="preserve">3.5.2 </w:t>
      </w:r>
      <w:r>
        <w:rPr>
          <w:rFonts w:hint="eastAsia" w:ascii="宋体"/>
          <w:color w:val="auto"/>
          <w:sz w:val="24"/>
        </w:rPr>
        <w:t>按本章第</w:t>
      </w:r>
      <w:r>
        <w:rPr>
          <w:rFonts w:ascii="宋体"/>
          <w:color w:val="auto"/>
          <w:sz w:val="24"/>
        </w:rPr>
        <w:t>4</w:t>
      </w:r>
      <w:r>
        <w:rPr>
          <w:rFonts w:hint="eastAsia" w:ascii="宋体"/>
          <w:color w:val="auto"/>
          <w:sz w:val="24"/>
        </w:rPr>
        <w:t>条规定执行促进中小企业发展扶持政策。</w:t>
      </w:r>
    </w:p>
    <w:p w14:paraId="10BEEE0F">
      <w:pPr>
        <w:autoSpaceDE w:val="0"/>
        <w:autoSpaceDN w:val="0"/>
        <w:adjustRightInd w:val="0"/>
        <w:snapToGrid w:val="0"/>
        <w:spacing w:before="120" w:beforeLines="50" w:line="300" w:lineRule="auto"/>
        <w:ind w:firstLine="569" w:firstLineChars="236"/>
        <w:jc w:val="left"/>
        <w:rPr>
          <w:rFonts w:hint="eastAsia" w:ascii="黑体" w:hAnsi="黑体" w:eastAsia="黑体"/>
          <w:b/>
          <w:color w:val="auto"/>
          <w:sz w:val="24"/>
        </w:rPr>
      </w:pPr>
      <w:r>
        <w:rPr>
          <w:rFonts w:ascii="黑体" w:hAnsi="黑体" w:eastAsia="黑体"/>
          <w:b/>
          <w:color w:val="auto"/>
          <w:sz w:val="24"/>
        </w:rPr>
        <w:t>3.</w:t>
      </w:r>
      <w:r>
        <w:rPr>
          <w:rFonts w:hint="eastAsia" w:ascii="黑体" w:hAnsi="黑体" w:eastAsia="黑体"/>
          <w:b/>
          <w:color w:val="auto"/>
          <w:sz w:val="24"/>
        </w:rPr>
        <w:t>5</w:t>
      </w:r>
      <w:r>
        <w:rPr>
          <w:rFonts w:ascii="黑体" w:hAnsi="黑体" w:eastAsia="黑体"/>
          <w:b/>
          <w:color w:val="auto"/>
          <w:sz w:val="24"/>
        </w:rPr>
        <w:t>.</w:t>
      </w:r>
      <w:r>
        <w:rPr>
          <w:rFonts w:hint="eastAsia" w:ascii="黑体" w:hAnsi="黑体" w:eastAsia="黑体"/>
          <w:b/>
          <w:color w:val="auto"/>
          <w:sz w:val="24"/>
        </w:rPr>
        <w:t>3异常低价审查</w:t>
      </w:r>
    </w:p>
    <w:p w14:paraId="07BF7CC9">
      <w:pPr>
        <w:autoSpaceDE w:val="0"/>
        <w:autoSpaceDN w:val="0"/>
        <w:adjustRightInd w:val="0"/>
        <w:snapToGrid w:val="0"/>
        <w:spacing w:before="120" w:beforeLines="50" w:line="300" w:lineRule="auto"/>
        <w:ind w:firstLine="569" w:firstLineChars="236"/>
        <w:jc w:val="left"/>
        <w:rPr>
          <w:rFonts w:hint="eastAsia" w:ascii="黑体" w:hAnsi="黑体" w:eastAsia="黑体"/>
          <w:b/>
          <w:color w:val="auto"/>
          <w:sz w:val="24"/>
        </w:rPr>
      </w:pPr>
      <w:r>
        <w:rPr>
          <w:rFonts w:hint="eastAsia" w:ascii="黑体" w:hAnsi="黑体" w:eastAsia="黑体"/>
          <w:b/>
          <w:color w:val="auto"/>
          <w:sz w:val="24"/>
        </w:rPr>
        <w:t>按国家“防内卷”精神，据《关于推动解决政府采购异常低价问题的通知》财库〔2026〕2号要求，对政府采购异常低价、按本章第5条规定执行政府采购异常低价审查。</w:t>
      </w:r>
    </w:p>
    <w:p w14:paraId="5822DB7F">
      <w:pPr>
        <w:autoSpaceDE w:val="0"/>
        <w:autoSpaceDN w:val="0"/>
        <w:adjustRightInd w:val="0"/>
        <w:snapToGrid w:val="0"/>
        <w:spacing w:before="120" w:beforeLines="50" w:line="300" w:lineRule="auto"/>
        <w:ind w:firstLine="569" w:firstLineChars="236"/>
        <w:jc w:val="left"/>
        <w:rPr>
          <w:rFonts w:ascii="宋体"/>
          <w:color w:val="auto"/>
          <w:sz w:val="24"/>
        </w:rPr>
      </w:pPr>
      <w:r>
        <w:rPr>
          <w:rFonts w:hint="eastAsia" w:ascii="黑体" w:hAnsi="黑体" w:eastAsia="黑体"/>
          <w:b/>
          <w:color w:val="auto"/>
          <w:sz w:val="24"/>
        </w:rPr>
        <w:t>其中：投标（响应）报价低于采购项目最高限价45%的，即投标（响应）报价&lt;采购项目最高限价×45%的；应按《关于推动解决政府采购异常低价问题的通知》要求在《响应文件》中提供相应书面说明及相应证明材料，接受磋商小组审查。</w:t>
      </w:r>
    </w:p>
    <w:p w14:paraId="4C4B84FB">
      <w:pPr>
        <w:autoSpaceDE w:val="0"/>
        <w:autoSpaceDN w:val="0"/>
        <w:adjustRightInd w:val="0"/>
        <w:snapToGrid w:val="0"/>
        <w:spacing w:before="120" w:beforeLines="50" w:line="300" w:lineRule="auto"/>
        <w:ind w:firstLine="566" w:firstLineChars="236"/>
        <w:jc w:val="left"/>
        <w:rPr>
          <w:rFonts w:ascii="宋体"/>
          <w:color w:val="auto"/>
          <w:sz w:val="24"/>
        </w:rPr>
      </w:pPr>
      <w:r>
        <w:rPr>
          <w:rFonts w:ascii="宋体"/>
          <w:color w:val="auto"/>
          <w:sz w:val="24"/>
        </w:rPr>
        <w:t>3.5.</w:t>
      </w:r>
      <w:r>
        <w:rPr>
          <w:rFonts w:hint="eastAsia" w:ascii="宋体"/>
          <w:color w:val="auto"/>
          <w:sz w:val="24"/>
        </w:rPr>
        <w:t>4</w:t>
      </w:r>
      <w:r>
        <w:rPr>
          <w:rFonts w:ascii="宋体"/>
          <w:color w:val="auto"/>
          <w:sz w:val="24"/>
        </w:rPr>
        <w:t xml:space="preserve"> </w:t>
      </w:r>
      <w:r>
        <w:rPr>
          <w:rFonts w:hint="eastAsia" w:ascii="宋体"/>
          <w:color w:val="auto"/>
          <w:sz w:val="24"/>
        </w:rPr>
        <w:t>磋商小组按本章第</w:t>
      </w:r>
      <w:r>
        <w:rPr>
          <w:rFonts w:ascii="宋体"/>
          <w:color w:val="auto"/>
          <w:sz w:val="24"/>
        </w:rPr>
        <w:t xml:space="preserve">2.2 </w:t>
      </w:r>
      <w:r>
        <w:rPr>
          <w:rFonts w:hint="eastAsia" w:ascii="宋体"/>
          <w:color w:val="auto"/>
          <w:sz w:val="24"/>
        </w:rPr>
        <w:t>款规定的量化因素和分值进行打分，并计算出综合评标得分。</w:t>
      </w:r>
    </w:p>
    <w:p w14:paraId="083975F7">
      <w:pPr>
        <w:autoSpaceDE w:val="0"/>
        <w:autoSpaceDN w:val="0"/>
        <w:adjustRightInd w:val="0"/>
        <w:snapToGrid w:val="0"/>
        <w:spacing w:before="120" w:beforeLines="50" w:line="300" w:lineRule="auto"/>
        <w:ind w:firstLine="566" w:firstLineChars="236"/>
        <w:jc w:val="left"/>
        <w:rPr>
          <w:rFonts w:ascii="宋体"/>
          <w:color w:val="auto"/>
          <w:sz w:val="24"/>
        </w:rPr>
      </w:pPr>
      <w:r>
        <w:rPr>
          <w:rFonts w:ascii="宋体"/>
          <w:color w:val="auto"/>
          <w:sz w:val="24"/>
        </w:rPr>
        <w:t>3.5.</w:t>
      </w:r>
      <w:r>
        <w:rPr>
          <w:rFonts w:hint="eastAsia" w:ascii="宋体"/>
          <w:color w:val="auto"/>
          <w:sz w:val="24"/>
        </w:rPr>
        <w:t>5 评分计算保留</w:t>
      </w:r>
      <w:r>
        <w:rPr>
          <w:rFonts w:ascii="宋体"/>
          <w:color w:val="auto"/>
          <w:sz w:val="24"/>
        </w:rPr>
        <w:t>2</w:t>
      </w:r>
      <w:r>
        <w:rPr>
          <w:rFonts w:hint="eastAsia" w:ascii="宋体"/>
          <w:color w:val="auto"/>
          <w:sz w:val="24"/>
        </w:rPr>
        <w:t>位小数，第三位小数四舍五入。评分计算中出现中间值时按插入法计算得分。</w:t>
      </w:r>
    </w:p>
    <w:p w14:paraId="1F6F43F9">
      <w:pPr>
        <w:autoSpaceDE w:val="0"/>
        <w:autoSpaceDN w:val="0"/>
        <w:adjustRightInd w:val="0"/>
        <w:snapToGrid w:val="0"/>
        <w:spacing w:before="120" w:beforeLines="50" w:line="300" w:lineRule="auto"/>
        <w:ind w:firstLine="566" w:firstLineChars="236"/>
        <w:jc w:val="left"/>
        <w:rPr>
          <w:rFonts w:ascii="宋体"/>
          <w:color w:val="auto"/>
          <w:sz w:val="24"/>
        </w:rPr>
      </w:pPr>
      <w:r>
        <w:rPr>
          <w:rFonts w:ascii="宋体"/>
          <w:color w:val="auto"/>
          <w:sz w:val="24"/>
        </w:rPr>
        <w:t>3.5.</w:t>
      </w:r>
      <w:r>
        <w:rPr>
          <w:rFonts w:hint="eastAsia" w:ascii="宋体"/>
          <w:color w:val="auto"/>
          <w:sz w:val="24"/>
        </w:rPr>
        <w:t>6 磋商小组认为供应商的报价明显低于其他通过符合性审查投标人的报价，有可能影响产品质量或者不能诚信履约的，应当要求其在合理的时间内提供书面说明，必要时提交相关证明材料；供应商不能证明其报价合理性的，磋商小组应当将其作为无效投标处理。</w:t>
      </w:r>
    </w:p>
    <w:p w14:paraId="0A8F66A0">
      <w:pPr>
        <w:autoSpaceDE w:val="0"/>
        <w:autoSpaceDN w:val="0"/>
        <w:adjustRightInd w:val="0"/>
        <w:snapToGrid w:val="0"/>
        <w:spacing w:before="120" w:beforeLines="50" w:line="300" w:lineRule="auto"/>
        <w:ind w:firstLine="566" w:firstLineChars="236"/>
        <w:jc w:val="left"/>
        <w:rPr>
          <w:rFonts w:ascii="宋体"/>
          <w:color w:val="auto"/>
          <w:sz w:val="24"/>
        </w:rPr>
      </w:pPr>
      <w:r>
        <w:rPr>
          <w:rFonts w:ascii="宋体"/>
          <w:color w:val="auto"/>
          <w:sz w:val="24"/>
        </w:rPr>
        <w:t>3.5.</w:t>
      </w:r>
      <w:r>
        <w:rPr>
          <w:rFonts w:hint="eastAsia" w:ascii="宋体"/>
          <w:color w:val="auto"/>
          <w:sz w:val="24"/>
        </w:rPr>
        <w:t>7　在评审过程中，凡遇到《磋商文件》中无界定或界定不清，前后不一致，使磋商小组成员意见有分歧且又难于协商一致的问题，均由磋商小组予以表决。</w:t>
      </w:r>
    </w:p>
    <w:p w14:paraId="3A60C052">
      <w:pPr>
        <w:autoSpaceDE w:val="0"/>
        <w:autoSpaceDN w:val="0"/>
        <w:adjustRightInd w:val="0"/>
        <w:snapToGrid w:val="0"/>
        <w:spacing w:before="120" w:beforeLines="50" w:line="300" w:lineRule="auto"/>
        <w:ind w:firstLine="569" w:firstLineChars="236"/>
        <w:jc w:val="left"/>
        <w:rPr>
          <w:rFonts w:ascii="宋体"/>
          <w:color w:val="auto"/>
          <w:sz w:val="24"/>
        </w:rPr>
      </w:pPr>
      <w:r>
        <w:rPr>
          <w:rFonts w:ascii="黑体" w:hAnsi="黑体" w:eastAsia="黑体"/>
          <w:b/>
          <w:color w:val="auto"/>
          <w:sz w:val="24"/>
        </w:rPr>
        <w:t xml:space="preserve">3.6 </w:t>
      </w:r>
      <w:r>
        <w:rPr>
          <w:rFonts w:hint="eastAsia" w:ascii="黑体" w:hAnsi="黑体" w:eastAsia="黑体"/>
          <w:b/>
          <w:color w:val="auto"/>
          <w:sz w:val="24"/>
        </w:rPr>
        <w:t>复核</w:t>
      </w:r>
      <w:r>
        <w:rPr>
          <w:rFonts w:hint="eastAsia" w:ascii="宋体"/>
          <w:color w:val="auto"/>
          <w:sz w:val="24"/>
        </w:rPr>
        <w:t>：</w:t>
      </w:r>
    </w:p>
    <w:p w14:paraId="2CBEEC79">
      <w:pPr>
        <w:autoSpaceDE w:val="0"/>
        <w:autoSpaceDN w:val="0"/>
        <w:adjustRightInd w:val="0"/>
        <w:snapToGrid w:val="0"/>
        <w:spacing w:before="120" w:beforeLines="50" w:line="300" w:lineRule="auto"/>
        <w:ind w:firstLine="566" w:firstLineChars="236"/>
        <w:jc w:val="left"/>
        <w:rPr>
          <w:rFonts w:ascii="宋体"/>
          <w:color w:val="auto"/>
          <w:sz w:val="24"/>
        </w:rPr>
      </w:pPr>
      <w:r>
        <w:rPr>
          <w:rFonts w:ascii="宋体"/>
          <w:color w:val="auto"/>
          <w:sz w:val="24"/>
        </w:rPr>
        <w:t xml:space="preserve">3.6.1 </w:t>
      </w:r>
      <w:r>
        <w:rPr>
          <w:rFonts w:hint="eastAsia" w:ascii="宋体"/>
          <w:color w:val="auto"/>
          <w:sz w:val="24"/>
        </w:rPr>
        <w:t>磋商小组要对评分汇总情况进行复核，对评审数据进行校对、核对，特别是对排名第一的、报价最低的、被认定为无效的情形进行重点复核。</w:t>
      </w:r>
    </w:p>
    <w:p w14:paraId="338299E7">
      <w:pPr>
        <w:autoSpaceDE w:val="0"/>
        <w:autoSpaceDN w:val="0"/>
        <w:adjustRightInd w:val="0"/>
        <w:snapToGrid w:val="0"/>
        <w:spacing w:before="120" w:beforeLines="50" w:line="300" w:lineRule="auto"/>
        <w:ind w:firstLine="566" w:firstLineChars="236"/>
        <w:jc w:val="left"/>
        <w:rPr>
          <w:rFonts w:ascii="宋体"/>
          <w:color w:val="auto"/>
          <w:sz w:val="24"/>
        </w:rPr>
      </w:pPr>
      <w:r>
        <w:rPr>
          <w:rFonts w:ascii="宋体"/>
          <w:color w:val="auto"/>
          <w:sz w:val="24"/>
        </w:rPr>
        <w:t xml:space="preserve">3.6.2 </w:t>
      </w:r>
      <w:r>
        <w:rPr>
          <w:rFonts w:hint="eastAsia" w:ascii="宋体"/>
          <w:color w:val="auto"/>
          <w:sz w:val="24"/>
        </w:rPr>
        <w:t>磋商小组对供应商的价格分等客观评分项的评分应当一致，对其他需要借助专业知识评判的主观评分项，应当严格按照评分细则公正评分，不得超出评分标准范围，对畸高、畸低的重大差异评分书面说明理由。</w:t>
      </w:r>
    </w:p>
    <w:p w14:paraId="3456F262">
      <w:pPr>
        <w:autoSpaceDE w:val="0"/>
        <w:autoSpaceDN w:val="0"/>
        <w:adjustRightInd w:val="0"/>
        <w:snapToGrid w:val="0"/>
        <w:spacing w:before="120" w:beforeLines="50" w:line="300" w:lineRule="auto"/>
        <w:ind w:firstLine="569" w:firstLineChars="236"/>
        <w:jc w:val="left"/>
        <w:rPr>
          <w:rFonts w:hint="eastAsia" w:ascii="黑体" w:hAnsi="黑体" w:eastAsia="黑体"/>
          <w:b/>
          <w:color w:val="auto"/>
          <w:sz w:val="24"/>
        </w:rPr>
      </w:pPr>
      <w:r>
        <w:rPr>
          <w:rFonts w:ascii="黑体" w:hAnsi="黑体" w:eastAsia="黑体"/>
          <w:b/>
          <w:color w:val="auto"/>
          <w:sz w:val="24"/>
        </w:rPr>
        <w:t xml:space="preserve">3.7 </w:t>
      </w:r>
      <w:r>
        <w:rPr>
          <w:rFonts w:hint="eastAsia" w:ascii="黑体" w:hAnsi="黑体" w:eastAsia="黑体"/>
          <w:b/>
          <w:color w:val="auto"/>
          <w:sz w:val="24"/>
        </w:rPr>
        <w:t>评审结果</w:t>
      </w:r>
    </w:p>
    <w:p w14:paraId="069D6DAD">
      <w:pPr>
        <w:autoSpaceDE w:val="0"/>
        <w:autoSpaceDN w:val="0"/>
        <w:adjustRightInd w:val="0"/>
        <w:snapToGrid w:val="0"/>
        <w:spacing w:before="120" w:beforeLines="50" w:line="300" w:lineRule="auto"/>
        <w:ind w:firstLine="616" w:firstLineChars="257"/>
        <w:jc w:val="left"/>
        <w:rPr>
          <w:rFonts w:ascii="宋体"/>
          <w:color w:val="auto"/>
          <w:sz w:val="24"/>
        </w:rPr>
      </w:pPr>
      <w:r>
        <w:rPr>
          <w:rFonts w:ascii="宋体"/>
          <w:color w:val="auto"/>
          <w:sz w:val="24"/>
        </w:rPr>
        <w:t>3.7.1</w:t>
      </w:r>
      <w:r>
        <w:rPr>
          <w:rFonts w:hint="eastAsia" w:ascii="宋体"/>
          <w:color w:val="auto"/>
          <w:sz w:val="24"/>
        </w:rPr>
        <w:t>磋商小组应当根据综合评分情况，按照评审得分由高到低顺序推荐</w:t>
      </w:r>
      <w:r>
        <w:rPr>
          <w:rFonts w:ascii="宋体"/>
          <w:color w:val="auto"/>
          <w:sz w:val="24"/>
        </w:rPr>
        <w:t>3</w:t>
      </w:r>
      <w:r>
        <w:rPr>
          <w:rFonts w:hint="eastAsia" w:ascii="宋体"/>
          <w:color w:val="auto"/>
          <w:sz w:val="24"/>
        </w:rPr>
        <w:t>名以上成交候选供应商，并编写评审报告。符合本《政府采购竞争性磋商采购方式管理暂行办法》第二十一条第三款情形的，可以推荐</w:t>
      </w:r>
      <w:r>
        <w:rPr>
          <w:rFonts w:ascii="宋体"/>
          <w:color w:val="auto"/>
          <w:sz w:val="24"/>
        </w:rPr>
        <w:t>2</w:t>
      </w:r>
      <w:r>
        <w:rPr>
          <w:rFonts w:hint="eastAsia" w:ascii="宋体"/>
          <w:color w:val="auto"/>
          <w:sz w:val="24"/>
        </w:rPr>
        <w:t>家成交候选供应商。评审得分相同的，按照最后报价由低到高的顺序推荐。评审得分且最后报价相同的，按照技术指标优劣顺序推荐。</w:t>
      </w:r>
    </w:p>
    <w:p w14:paraId="608531AE">
      <w:pPr>
        <w:autoSpaceDE w:val="0"/>
        <w:autoSpaceDN w:val="0"/>
        <w:adjustRightInd w:val="0"/>
        <w:snapToGrid w:val="0"/>
        <w:spacing w:before="120" w:beforeLines="50" w:line="300" w:lineRule="auto"/>
        <w:ind w:firstLine="566" w:firstLineChars="236"/>
        <w:jc w:val="left"/>
        <w:rPr>
          <w:rFonts w:ascii="宋体"/>
          <w:color w:val="auto"/>
          <w:sz w:val="24"/>
        </w:rPr>
      </w:pPr>
      <w:r>
        <w:rPr>
          <w:rFonts w:ascii="宋体"/>
          <w:color w:val="auto"/>
          <w:sz w:val="24"/>
        </w:rPr>
        <w:t xml:space="preserve">3.7.2 </w:t>
      </w:r>
      <w:r>
        <w:rPr>
          <w:rFonts w:hint="eastAsia" w:ascii="宋体"/>
          <w:color w:val="auto"/>
          <w:sz w:val="24"/>
        </w:rPr>
        <w:t>确定中标单位：按第三章“供应商须知前附表”</w:t>
      </w:r>
      <w:r>
        <w:rPr>
          <w:rFonts w:ascii="宋体"/>
          <w:color w:val="auto"/>
          <w:sz w:val="24"/>
        </w:rPr>
        <w:t>7.1</w:t>
      </w:r>
      <w:r>
        <w:rPr>
          <w:rFonts w:hint="eastAsia" w:ascii="宋体"/>
          <w:color w:val="auto"/>
          <w:sz w:val="24"/>
        </w:rPr>
        <w:t>款规定及本章第</w:t>
      </w:r>
      <w:r>
        <w:rPr>
          <w:rFonts w:ascii="宋体"/>
          <w:color w:val="auto"/>
          <w:sz w:val="24"/>
        </w:rPr>
        <w:t>1</w:t>
      </w:r>
      <w:r>
        <w:rPr>
          <w:rFonts w:hint="eastAsia" w:ascii="宋体"/>
          <w:color w:val="auto"/>
          <w:sz w:val="24"/>
        </w:rPr>
        <w:t>条规定。</w:t>
      </w:r>
    </w:p>
    <w:p w14:paraId="70CFC403">
      <w:pPr>
        <w:autoSpaceDE w:val="0"/>
        <w:autoSpaceDN w:val="0"/>
        <w:adjustRightInd w:val="0"/>
        <w:snapToGrid w:val="0"/>
        <w:spacing w:before="120" w:beforeLines="50" w:line="300" w:lineRule="auto"/>
        <w:ind w:firstLine="569" w:firstLineChars="236"/>
        <w:jc w:val="left"/>
        <w:rPr>
          <w:rFonts w:hint="eastAsia" w:ascii="黑体" w:hAnsi="黑体" w:eastAsia="黑体"/>
          <w:b/>
          <w:color w:val="auto"/>
          <w:sz w:val="24"/>
        </w:rPr>
      </w:pPr>
      <w:r>
        <w:rPr>
          <w:rFonts w:ascii="黑体" w:hAnsi="黑体" w:eastAsia="黑体"/>
          <w:b/>
          <w:color w:val="auto"/>
          <w:sz w:val="24"/>
        </w:rPr>
        <w:t xml:space="preserve">3.8 </w:t>
      </w:r>
      <w:r>
        <w:rPr>
          <w:rFonts w:hint="eastAsia" w:ascii="黑体" w:hAnsi="黑体" w:eastAsia="黑体"/>
          <w:b/>
          <w:color w:val="auto"/>
          <w:sz w:val="24"/>
        </w:rPr>
        <w:t>磋商终止</w:t>
      </w:r>
    </w:p>
    <w:p w14:paraId="6D9FA531">
      <w:pPr>
        <w:autoSpaceDE w:val="0"/>
        <w:autoSpaceDN w:val="0"/>
        <w:adjustRightInd w:val="0"/>
        <w:snapToGrid w:val="0"/>
        <w:spacing w:before="120" w:beforeLines="50" w:line="300" w:lineRule="auto"/>
        <w:ind w:firstLine="566" w:firstLineChars="236"/>
        <w:jc w:val="left"/>
        <w:rPr>
          <w:rFonts w:ascii="宋体"/>
          <w:color w:val="auto"/>
          <w:sz w:val="24"/>
        </w:rPr>
      </w:pPr>
      <w:r>
        <w:rPr>
          <w:rFonts w:ascii="宋体" w:hAnsi="宋体"/>
          <w:color w:val="auto"/>
          <w:sz w:val="24"/>
        </w:rPr>
        <w:t>3.</w:t>
      </w:r>
      <w:r>
        <w:rPr>
          <w:rFonts w:hint="eastAsia" w:ascii="宋体" w:hAnsi="宋体"/>
          <w:color w:val="auto"/>
          <w:sz w:val="24"/>
        </w:rPr>
        <w:t>8</w:t>
      </w:r>
      <w:r>
        <w:rPr>
          <w:rFonts w:ascii="宋体" w:hAnsi="宋体"/>
          <w:color w:val="auto"/>
          <w:sz w:val="24"/>
        </w:rPr>
        <w:t xml:space="preserve">.1 </w:t>
      </w:r>
      <w:r>
        <w:rPr>
          <w:rFonts w:hint="eastAsia" w:ascii="宋体" w:hAnsi="宋体"/>
          <w:color w:val="auto"/>
          <w:sz w:val="24"/>
        </w:rPr>
        <w:t>出现下列情形之一的，终止竞争性磋商活动：</w:t>
      </w:r>
    </w:p>
    <w:p w14:paraId="20913D9E">
      <w:pPr>
        <w:autoSpaceDE w:val="0"/>
        <w:autoSpaceDN w:val="0"/>
        <w:adjustRightInd w:val="0"/>
        <w:snapToGrid w:val="0"/>
        <w:spacing w:line="300" w:lineRule="auto"/>
        <w:ind w:firstLine="566" w:firstLineChars="236"/>
        <w:jc w:val="left"/>
        <w:rPr>
          <w:rFonts w:ascii="宋体"/>
          <w:color w:val="auto"/>
          <w:sz w:val="24"/>
        </w:rPr>
      </w:pPr>
      <w:r>
        <w:rPr>
          <w:rFonts w:hint="eastAsia" w:ascii="宋体" w:hAnsi="宋体"/>
          <w:color w:val="auto"/>
          <w:sz w:val="24"/>
        </w:rPr>
        <w:t>（</w:t>
      </w:r>
      <w:r>
        <w:rPr>
          <w:rFonts w:ascii="宋体" w:hAnsi="宋体"/>
          <w:color w:val="auto"/>
          <w:sz w:val="24"/>
        </w:rPr>
        <w:t>1</w:t>
      </w:r>
      <w:r>
        <w:rPr>
          <w:rFonts w:hint="eastAsia" w:ascii="宋体" w:hAnsi="宋体"/>
          <w:color w:val="auto"/>
          <w:sz w:val="24"/>
        </w:rPr>
        <w:t>）因情况变化，不再符合规定的竞争性磋商采购方式适用情形的；</w:t>
      </w:r>
    </w:p>
    <w:p w14:paraId="7EF590C4">
      <w:pPr>
        <w:autoSpaceDE w:val="0"/>
        <w:autoSpaceDN w:val="0"/>
        <w:adjustRightInd w:val="0"/>
        <w:snapToGrid w:val="0"/>
        <w:spacing w:line="300" w:lineRule="auto"/>
        <w:ind w:firstLine="566" w:firstLineChars="236"/>
        <w:jc w:val="left"/>
        <w:rPr>
          <w:rFonts w:ascii="宋体"/>
          <w:color w:val="auto"/>
          <w:sz w:val="24"/>
        </w:rPr>
      </w:pPr>
      <w:r>
        <w:rPr>
          <w:rFonts w:hint="eastAsia" w:ascii="宋体" w:hAnsi="宋体"/>
          <w:color w:val="auto"/>
          <w:sz w:val="24"/>
        </w:rPr>
        <w:t>（</w:t>
      </w:r>
      <w:r>
        <w:rPr>
          <w:rFonts w:ascii="宋体" w:hAnsi="宋体"/>
          <w:color w:val="auto"/>
          <w:sz w:val="24"/>
        </w:rPr>
        <w:t>2</w:t>
      </w:r>
      <w:r>
        <w:rPr>
          <w:rFonts w:hint="eastAsia" w:ascii="宋体" w:hAnsi="宋体"/>
          <w:color w:val="auto"/>
          <w:sz w:val="24"/>
        </w:rPr>
        <w:t>）出现影响采购公正的违法、违规行为的；</w:t>
      </w:r>
    </w:p>
    <w:p w14:paraId="2DBF9C26">
      <w:pPr>
        <w:autoSpaceDE w:val="0"/>
        <w:autoSpaceDN w:val="0"/>
        <w:adjustRightInd w:val="0"/>
        <w:snapToGrid w:val="0"/>
        <w:spacing w:line="300" w:lineRule="auto"/>
        <w:ind w:firstLine="566" w:firstLineChars="236"/>
        <w:jc w:val="left"/>
        <w:rPr>
          <w:rFonts w:ascii="宋体"/>
          <w:color w:val="auto"/>
          <w:sz w:val="24"/>
        </w:rPr>
      </w:pPr>
      <w:r>
        <w:rPr>
          <w:rFonts w:hint="eastAsia" w:ascii="宋体" w:hAnsi="宋体"/>
          <w:color w:val="auto"/>
          <w:sz w:val="24"/>
        </w:rPr>
        <w:t>（</w:t>
      </w:r>
      <w:r>
        <w:rPr>
          <w:rFonts w:ascii="宋体" w:hAnsi="宋体"/>
          <w:color w:val="auto"/>
          <w:sz w:val="24"/>
        </w:rPr>
        <w:t>3</w:t>
      </w:r>
      <w:r>
        <w:rPr>
          <w:rFonts w:hint="eastAsia" w:ascii="宋体" w:hAnsi="宋体"/>
          <w:color w:val="auto"/>
          <w:sz w:val="24"/>
        </w:rPr>
        <w:t>）除《政府采购竞争性磋商采购方式管理暂行办法》第二十一条第三款规定的情形外，在采购过程中符合竞争要求的供应商或者报价未超过预算金额的供应商不足</w:t>
      </w:r>
      <w:r>
        <w:rPr>
          <w:rFonts w:ascii="宋体" w:hAnsi="宋体"/>
          <w:color w:val="auto"/>
          <w:sz w:val="24"/>
        </w:rPr>
        <w:t>3</w:t>
      </w:r>
      <w:r>
        <w:rPr>
          <w:rFonts w:hint="eastAsia" w:ascii="宋体" w:hAnsi="宋体"/>
          <w:color w:val="auto"/>
          <w:sz w:val="24"/>
        </w:rPr>
        <w:t>家的。</w:t>
      </w:r>
    </w:p>
    <w:p w14:paraId="2AD63BD7">
      <w:pPr>
        <w:autoSpaceDE w:val="0"/>
        <w:autoSpaceDN w:val="0"/>
        <w:adjustRightInd w:val="0"/>
        <w:snapToGrid w:val="0"/>
        <w:spacing w:line="300" w:lineRule="auto"/>
        <w:ind w:firstLine="566" w:firstLineChars="236"/>
        <w:jc w:val="left"/>
        <w:rPr>
          <w:rFonts w:ascii="宋体"/>
          <w:color w:val="auto"/>
          <w:sz w:val="24"/>
        </w:rPr>
      </w:pPr>
      <w:r>
        <w:rPr>
          <w:rFonts w:hint="eastAsia" w:ascii="宋体" w:hAnsi="宋体"/>
          <w:color w:val="auto"/>
          <w:sz w:val="24"/>
        </w:rPr>
        <w:t>（</w:t>
      </w:r>
      <w:r>
        <w:rPr>
          <w:rFonts w:ascii="宋体" w:hAnsi="宋体"/>
          <w:color w:val="auto"/>
          <w:sz w:val="24"/>
        </w:rPr>
        <w:t>4</w:t>
      </w:r>
      <w:r>
        <w:rPr>
          <w:rFonts w:hint="eastAsia" w:ascii="宋体" w:hAnsi="宋体"/>
          <w:color w:val="auto"/>
          <w:sz w:val="24"/>
        </w:rPr>
        <w:t>）在采购活动中因重大变故，采购任务取消的。</w:t>
      </w:r>
    </w:p>
    <w:p w14:paraId="77C27F5E">
      <w:pPr>
        <w:autoSpaceDE w:val="0"/>
        <w:autoSpaceDN w:val="0"/>
        <w:adjustRightInd w:val="0"/>
        <w:snapToGrid w:val="0"/>
        <w:spacing w:before="120" w:beforeLines="50" w:line="300" w:lineRule="auto"/>
        <w:ind w:firstLine="566" w:firstLineChars="236"/>
        <w:jc w:val="left"/>
        <w:rPr>
          <w:rFonts w:ascii="宋体"/>
          <w:color w:val="auto"/>
          <w:sz w:val="24"/>
        </w:rPr>
      </w:pPr>
      <w:r>
        <w:rPr>
          <w:rFonts w:ascii="宋体" w:hAnsi="宋体"/>
          <w:color w:val="auto"/>
          <w:sz w:val="24"/>
        </w:rPr>
        <w:t>3.</w:t>
      </w:r>
      <w:r>
        <w:rPr>
          <w:rFonts w:hint="eastAsia" w:ascii="宋体" w:hAnsi="宋体"/>
          <w:color w:val="auto"/>
          <w:sz w:val="24"/>
        </w:rPr>
        <w:t>8</w:t>
      </w:r>
      <w:r>
        <w:rPr>
          <w:rFonts w:ascii="宋体" w:hAnsi="宋体"/>
          <w:color w:val="auto"/>
          <w:sz w:val="24"/>
        </w:rPr>
        <w:t xml:space="preserve">.2 </w:t>
      </w:r>
      <w:r>
        <w:rPr>
          <w:rFonts w:hint="eastAsia" w:ascii="宋体" w:hAnsi="宋体"/>
          <w:color w:val="auto"/>
          <w:sz w:val="24"/>
        </w:rPr>
        <w:t>磋商小组要在采购项目（标段</w:t>
      </w:r>
      <w:r>
        <w:rPr>
          <w:rFonts w:hint="eastAsia" w:ascii="宋体" w:hAnsi="宋体" w:cs="楷体_GB2312"/>
          <w:color w:val="auto"/>
          <w:sz w:val="24"/>
          <w:lang w:val="zh-CN"/>
        </w:rPr>
        <w:t>&lt;包&gt;</w:t>
      </w:r>
      <w:r>
        <w:rPr>
          <w:rFonts w:hint="eastAsia" w:ascii="宋体" w:hAnsi="宋体"/>
          <w:color w:val="auto"/>
          <w:sz w:val="24"/>
        </w:rPr>
        <w:t>）磋商失败时，出具《磋商文件》是否存在不合理条款的论证意见，要协助采购人、采购代理机构、财政部门答复质疑或处理投诉事项。　</w:t>
      </w:r>
    </w:p>
    <w:p w14:paraId="7B9D384C">
      <w:pPr>
        <w:autoSpaceDE w:val="0"/>
        <w:autoSpaceDN w:val="0"/>
        <w:adjustRightInd w:val="0"/>
        <w:snapToGrid w:val="0"/>
        <w:spacing w:before="120" w:beforeLines="50" w:line="300" w:lineRule="auto"/>
        <w:ind w:firstLine="566" w:firstLineChars="236"/>
        <w:jc w:val="left"/>
        <w:rPr>
          <w:rFonts w:ascii="宋体"/>
          <w:color w:val="auto"/>
          <w:sz w:val="24"/>
        </w:rPr>
      </w:pPr>
    </w:p>
    <w:p w14:paraId="5985C540">
      <w:pPr>
        <w:widowControl w:val="0"/>
        <w:adjustRightInd w:val="0"/>
        <w:snapToGrid w:val="0"/>
        <w:spacing w:before="120" w:beforeLines="50" w:line="300" w:lineRule="auto"/>
        <w:ind w:left="23" w:firstLine="556"/>
        <w:jc w:val="left"/>
        <w:outlineLvl w:val="1"/>
        <w:rPr>
          <w:rFonts w:hint="eastAsia" w:ascii="黑体" w:hAnsi="黑体" w:eastAsia="黑体" w:cs="楷体_GB2312"/>
          <w:b/>
          <w:bCs/>
          <w:color w:val="auto"/>
          <w:sz w:val="28"/>
          <w:szCs w:val="28"/>
          <w:lang w:val="zh-CN"/>
        </w:rPr>
      </w:pPr>
      <w:bookmarkStart w:id="45" w:name="_Toc13601"/>
      <w:bookmarkStart w:id="46" w:name="_Toc60749927"/>
      <w:r>
        <w:rPr>
          <w:rFonts w:ascii="黑体" w:hAnsi="黑体" w:eastAsia="黑体" w:cs="楷体_GB2312"/>
          <w:b/>
          <w:bCs/>
          <w:color w:val="auto"/>
          <w:sz w:val="28"/>
          <w:szCs w:val="28"/>
          <w:lang w:val="zh-CN"/>
        </w:rPr>
        <w:t xml:space="preserve">4. </w:t>
      </w:r>
      <w:r>
        <w:rPr>
          <w:rFonts w:hint="eastAsia" w:ascii="黑体" w:hAnsi="黑体" w:eastAsia="黑体" w:cs="楷体_GB2312"/>
          <w:b/>
          <w:bCs/>
          <w:color w:val="auto"/>
          <w:sz w:val="28"/>
          <w:szCs w:val="28"/>
          <w:lang w:val="zh-CN"/>
        </w:rPr>
        <w:t>政府采购促进中小企业发展扶持政策</w:t>
      </w:r>
      <w:bookmarkEnd w:id="45"/>
      <w:bookmarkEnd w:id="46"/>
    </w:p>
    <w:p w14:paraId="7BED1C03">
      <w:pPr>
        <w:autoSpaceDE w:val="0"/>
        <w:autoSpaceDN w:val="0"/>
        <w:adjustRightInd w:val="0"/>
        <w:snapToGrid w:val="0"/>
        <w:spacing w:before="120" w:beforeLines="50" w:line="300" w:lineRule="auto"/>
        <w:ind w:firstLine="566" w:firstLineChars="236"/>
        <w:jc w:val="left"/>
        <w:rPr>
          <w:rFonts w:hint="eastAsia" w:ascii="宋体" w:hAnsi="宋体"/>
          <w:color w:val="auto"/>
          <w:sz w:val="24"/>
        </w:rPr>
      </w:pPr>
      <w:r>
        <w:rPr>
          <w:rFonts w:hint="eastAsia" w:ascii="宋体" w:hAnsi="宋体"/>
          <w:color w:val="auto"/>
          <w:sz w:val="24"/>
        </w:rPr>
        <w:t>4.1</w:t>
      </w:r>
      <w:r>
        <w:rPr>
          <w:rFonts w:ascii="宋体" w:hAnsi="宋体"/>
          <w:color w:val="auto"/>
          <w:sz w:val="24"/>
        </w:rPr>
        <w:t>在政府采购活动中，供应商提供的货物、工程或者服务符合下列情形的， 享受</w:t>
      </w:r>
      <w:r>
        <w:rPr>
          <w:rFonts w:hint="eastAsia" w:ascii="宋体" w:hAnsi="宋体"/>
          <w:color w:val="auto"/>
          <w:sz w:val="24"/>
        </w:rPr>
        <w:t>《政府采购促进中小企业发展管理办法》</w:t>
      </w:r>
      <w:r>
        <w:rPr>
          <w:rFonts w:ascii="宋体" w:hAnsi="宋体"/>
          <w:color w:val="auto"/>
          <w:sz w:val="24"/>
        </w:rPr>
        <w:t>规定的中小企业扶持政策：</w:t>
      </w:r>
      <w:r>
        <w:rPr>
          <w:rFonts w:ascii="宋体" w:hAnsi="宋体"/>
          <w:color w:val="auto"/>
          <w:sz w:val="24"/>
        </w:rPr>
        <w:br w:type="textWrapping"/>
      </w:r>
      <w:r>
        <w:rPr>
          <w:rFonts w:hint="eastAsia" w:ascii="宋体" w:hAnsi="宋体"/>
          <w:color w:val="auto"/>
          <w:sz w:val="24"/>
        </w:rPr>
        <w:t xml:space="preserve">   </w:t>
      </w:r>
      <w:r>
        <w:rPr>
          <w:rFonts w:ascii="宋体" w:hAnsi="宋体"/>
          <w:color w:val="auto"/>
          <w:sz w:val="24"/>
        </w:rPr>
        <w:t>（一） 在货物采购项目中，货物由中小企业制造，即货物由中小企业生产且使用该中小企业商号或者注册商标；</w:t>
      </w:r>
      <w:r>
        <w:rPr>
          <w:rFonts w:ascii="宋体" w:hAnsi="宋体"/>
          <w:color w:val="auto"/>
          <w:sz w:val="24"/>
        </w:rPr>
        <w:br w:type="textWrapping"/>
      </w:r>
      <w:r>
        <w:rPr>
          <w:rFonts w:hint="eastAsia" w:ascii="宋体" w:hAnsi="宋体"/>
          <w:color w:val="auto"/>
          <w:sz w:val="24"/>
        </w:rPr>
        <w:t xml:space="preserve">   </w:t>
      </w:r>
      <w:r>
        <w:rPr>
          <w:rFonts w:ascii="宋体" w:hAnsi="宋体"/>
          <w:color w:val="auto"/>
          <w:sz w:val="24"/>
        </w:rPr>
        <w:t>（二） 在工程采购项目中，工程由中小企业承建，即工程施工单位为中小企业；</w:t>
      </w:r>
      <w:r>
        <w:rPr>
          <w:rFonts w:ascii="宋体" w:hAnsi="宋体"/>
          <w:color w:val="auto"/>
          <w:sz w:val="24"/>
        </w:rPr>
        <w:br w:type="textWrapping"/>
      </w:r>
      <w:r>
        <w:rPr>
          <w:rFonts w:hint="eastAsia" w:ascii="宋体" w:hAnsi="宋体"/>
          <w:color w:val="auto"/>
          <w:sz w:val="24"/>
        </w:rPr>
        <w:t xml:space="preserve">   </w:t>
      </w:r>
      <w:r>
        <w:rPr>
          <w:rFonts w:ascii="宋体" w:hAnsi="宋体"/>
          <w:color w:val="auto"/>
          <w:sz w:val="24"/>
        </w:rPr>
        <w:t>（三）</w:t>
      </w:r>
      <w:r>
        <w:rPr>
          <w:rFonts w:hint="eastAsia" w:ascii="宋体" w:hAnsi="宋体"/>
          <w:color w:val="auto"/>
          <w:sz w:val="24"/>
        </w:rPr>
        <w:t xml:space="preserve"> </w:t>
      </w:r>
      <w:r>
        <w:rPr>
          <w:rFonts w:ascii="宋体" w:hAnsi="宋体"/>
          <w:color w:val="auto"/>
          <w:sz w:val="24"/>
        </w:rPr>
        <w:t>在服务采购项目中，服务由中小企业承接，即提供服务的人员为中小企业依照《中华人民共和国劳动合同法》订立劳动合同的从业人员</w:t>
      </w:r>
      <w:r>
        <w:rPr>
          <w:rFonts w:hint="eastAsia" w:ascii="宋体" w:hAnsi="宋体"/>
          <w:color w:val="auto"/>
          <w:sz w:val="24"/>
        </w:rPr>
        <w:t>。</w:t>
      </w:r>
    </w:p>
    <w:p w14:paraId="52589148">
      <w:pPr>
        <w:autoSpaceDE w:val="0"/>
        <w:autoSpaceDN w:val="0"/>
        <w:adjustRightInd w:val="0"/>
        <w:snapToGrid w:val="0"/>
        <w:spacing w:before="120" w:beforeLines="50" w:line="300" w:lineRule="auto"/>
        <w:ind w:firstLine="566" w:firstLineChars="236"/>
        <w:jc w:val="left"/>
        <w:rPr>
          <w:rFonts w:hint="eastAsia" w:ascii="宋体" w:hAnsi="宋体"/>
          <w:color w:val="auto"/>
          <w:sz w:val="24"/>
        </w:rPr>
      </w:pPr>
      <w:r>
        <w:rPr>
          <w:rFonts w:ascii="宋体" w:hAnsi="宋体"/>
          <w:color w:val="auto"/>
          <w:sz w:val="24"/>
        </w:rPr>
        <w:t>在货物采购项目中，供应商提供的货物既有中小企业制造货物，也有大型企业制造货物的，不享受中小企业扶持政策。</w:t>
      </w:r>
      <w:r>
        <w:rPr>
          <w:rFonts w:ascii="宋体" w:hAnsi="宋体"/>
          <w:color w:val="auto"/>
          <w:sz w:val="24"/>
        </w:rPr>
        <w:br w:type="textWrapping"/>
      </w:r>
      <w:r>
        <w:rPr>
          <w:rFonts w:hint="eastAsia" w:ascii="宋体" w:hAnsi="宋体"/>
          <w:color w:val="auto"/>
          <w:sz w:val="24"/>
        </w:rPr>
        <w:t xml:space="preserve">    </w:t>
      </w:r>
      <w:r>
        <w:rPr>
          <w:rFonts w:ascii="宋体" w:hAnsi="宋体"/>
          <w:color w:val="auto"/>
          <w:sz w:val="24"/>
        </w:rPr>
        <w:t>以联合体形式参加政府采购活动，联合体各方均为中小企业的，联合体视同中小企业。其中，联合体各方均为小微企业的，联合体视同小微企业。</w:t>
      </w:r>
    </w:p>
    <w:p w14:paraId="2ACA4A1A">
      <w:pPr>
        <w:autoSpaceDE w:val="0"/>
        <w:autoSpaceDN w:val="0"/>
        <w:adjustRightInd w:val="0"/>
        <w:snapToGrid w:val="0"/>
        <w:spacing w:before="120" w:beforeLines="50" w:line="300" w:lineRule="auto"/>
        <w:ind w:firstLine="566" w:firstLineChars="236"/>
        <w:jc w:val="left"/>
        <w:rPr>
          <w:rFonts w:hint="eastAsia" w:ascii="宋体" w:hAnsi="宋体"/>
          <w:color w:val="auto"/>
          <w:sz w:val="24"/>
        </w:rPr>
      </w:pPr>
      <w:r>
        <w:rPr>
          <w:rFonts w:hint="eastAsia" w:ascii="宋体" w:hAnsi="宋体"/>
          <w:color w:val="auto"/>
          <w:sz w:val="24"/>
        </w:rPr>
        <w:t>4.2 符合中小企业划分标准的个体工商户，在政府采购活动中视同中小企业。</w:t>
      </w:r>
    </w:p>
    <w:p w14:paraId="2D89A435">
      <w:pPr>
        <w:adjustRightInd w:val="0"/>
        <w:snapToGrid w:val="0"/>
        <w:spacing w:before="120" w:beforeLines="50" w:line="300" w:lineRule="auto"/>
        <w:ind w:firstLine="555"/>
        <w:rPr>
          <w:rFonts w:hint="eastAsia" w:ascii="宋体" w:hAnsi="宋体"/>
          <w:color w:val="auto"/>
          <w:sz w:val="24"/>
        </w:rPr>
      </w:pPr>
      <w:r>
        <w:rPr>
          <w:rFonts w:ascii="宋体" w:hAnsi="宋体"/>
          <w:color w:val="auto"/>
          <w:sz w:val="24"/>
        </w:rPr>
        <w:t>4.</w:t>
      </w:r>
      <w:r>
        <w:rPr>
          <w:rFonts w:hint="eastAsia" w:ascii="宋体" w:hAnsi="宋体"/>
          <w:color w:val="auto"/>
          <w:sz w:val="24"/>
        </w:rPr>
        <w:t>3监狱企业、符合法</w:t>
      </w:r>
      <w:r>
        <w:rPr>
          <w:rFonts w:ascii="宋体" w:hAnsi="宋体"/>
          <w:color w:val="auto"/>
          <w:sz w:val="24"/>
        </w:rPr>
        <w:t>定</w:t>
      </w:r>
      <w:r>
        <w:rPr>
          <w:rFonts w:hint="eastAsia" w:ascii="宋体" w:hAnsi="宋体"/>
          <w:color w:val="auto"/>
          <w:sz w:val="24"/>
        </w:rPr>
        <w:t>条件的残疾人福利性单位视同小型、微型企业，享受预留份额、评审中价格扣除等政府采购促进中小企业发展的政府采购政策。监狱企业参加政府采购活动时，应当提供由省级以上监狱管理局、戒毒管理局（含新疆生产建设兵团）出具的属于监狱企业的证明文件。符合法定条件的残疾人福利性单位提供财库〔2017〕141号规定的《残疾人福利性单位声明函》，残疾人福利性单位属于小型、微型企业的，不重复享受政策。</w:t>
      </w:r>
    </w:p>
    <w:p w14:paraId="146D5A27">
      <w:pPr>
        <w:adjustRightInd w:val="0"/>
        <w:snapToGrid w:val="0"/>
        <w:spacing w:before="120" w:beforeLines="50" w:line="300" w:lineRule="auto"/>
        <w:ind w:firstLine="555"/>
        <w:rPr>
          <w:rFonts w:hint="eastAsia" w:ascii="宋体" w:hAnsi="宋体"/>
          <w:color w:val="auto"/>
          <w:sz w:val="24"/>
        </w:rPr>
      </w:pPr>
      <w:r>
        <w:rPr>
          <w:rFonts w:ascii="宋体" w:hAnsi="宋体"/>
          <w:color w:val="auto"/>
          <w:sz w:val="24"/>
        </w:rPr>
        <w:t>4.</w:t>
      </w:r>
      <w:r>
        <w:rPr>
          <w:rFonts w:hint="eastAsia" w:ascii="宋体" w:hAnsi="宋体"/>
          <w:color w:val="auto"/>
          <w:sz w:val="24"/>
        </w:rPr>
        <w:t>3</w:t>
      </w:r>
      <w:r>
        <w:rPr>
          <w:rFonts w:ascii="宋体" w:hAnsi="宋体"/>
          <w:color w:val="auto"/>
          <w:sz w:val="24"/>
        </w:rPr>
        <w:t>.1</w:t>
      </w:r>
      <w:r>
        <w:rPr>
          <w:rFonts w:hint="eastAsia" w:ascii="宋体" w:hAnsi="宋体"/>
          <w:color w:val="auto"/>
          <w:sz w:val="24"/>
        </w:rPr>
        <w:t xml:space="preserve"> 享受政府采购支持政策的残疾人福利性单位应当同时满足以下条件：</w:t>
      </w:r>
    </w:p>
    <w:p w14:paraId="422835ED">
      <w:pPr>
        <w:adjustRightInd w:val="0"/>
        <w:snapToGrid w:val="0"/>
        <w:spacing w:before="120" w:beforeLines="50" w:line="300" w:lineRule="auto"/>
        <w:ind w:firstLine="555"/>
        <w:rPr>
          <w:rFonts w:hint="eastAsia" w:ascii="宋体" w:hAnsi="宋体"/>
          <w:color w:val="auto"/>
          <w:sz w:val="24"/>
        </w:rPr>
      </w:pPr>
      <w:r>
        <w:rPr>
          <w:rFonts w:hint="eastAsia" w:ascii="宋体" w:hAnsi="宋体"/>
          <w:color w:val="auto"/>
          <w:sz w:val="24"/>
        </w:rPr>
        <w:t>（1）安置的残疾人占本单位在职职工人数的比例不低于25%（含25%），并且安置的残疾人人数不少于10人（含10人）；</w:t>
      </w:r>
    </w:p>
    <w:p w14:paraId="1BA9A1F0">
      <w:pPr>
        <w:adjustRightInd w:val="0"/>
        <w:snapToGrid w:val="0"/>
        <w:spacing w:before="120" w:beforeLines="50" w:line="300" w:lineRule="auto"/>
        <w:ind w:firstLine="555"/>
        <w:rPr>
          <w:rFonts w:hint="eastAsia" w:ascii="宋体" w:hAnsi="宋体" w:cs="宋体"/>
          <w:color w:val="auto"/>
          <w:sz w:val="24"/>
          <w:szCs w:val="24"/>
        </w:rPr>
      </w:pPr>
      <w:r>
        <w:rPr>
          <w:rFonts w:hint="eastAsia" w:ascii="宋体" w:hAnsi="宋体" w:cs="宋体"/>
          <w:color w:val="auto"/>
          <w:sz w:val="24"/>
          <w:szCs w:val="24"/>
        </w:rPr>
        <w:t>（2）依法与安置的每位残疾人签订了一年以上（含一年）的劳动合同或服务协议；</w:t>
      </w:r>
    </w:p>
    <w:p w14:paraId="55B629AF">
      <w:pPr>
        <w:adjustRightInd w:val="0"/>
        <w:snapToGrid w:val="0"/>
        <w:spacing w:before="120" w:beforeLines="50" w:line="300" w:lineRule="auto"/>
        <w:ind w:firstLine="555"/>
        <w:rPr>
          <w:rFonts w:hint="eastAsia" w:ascii="宋体" w:hAnsi="宋体" w:cs="宋体"/>
          <w:color w:val="auto"/>
          <w:sz w:val="24"/>
          <w:szCs w:val="24"/>
        </w:rPr>
      </w:pPr>
      <w:r>
        <w:rPr>
          <w:rFonts w:hint="eastAsia" w:ascii="宋体" w:hAnsi="宋体" w:cs="宋体"/>
          <w:color w:val="auto"/>
          <w:sz w:val="24"/>
          <w:szCs w:val="24"/>
        </w:rPr>
        <w:t>（3）为安置的每位残疾人按月足额缴纳了基本养老保险、基本医疗保险、失业保险、工伤保险和生育保险等社会保险费；</w:t>
      </w:r>
    </w:p>
    <w:p w14:paraId="486A12F0">
      <w:pPr>
        <w:adjustRightInd w:val="0"/>
        <w:snapToGrid w:val="0"/>
        <w:spacing w:before="120" w:beforeLines="50" w:line="300" w:lineRule="auto"/>
        <w:ind w:firstLine="555"/>
        <w:rPr>
          <w:rFonts w:hint="eastAsia" w:ascii="宋体" w:hAnsi="宋体" w:cs="宋体"/>
          <w:color w:val="auto"/>
          <w:sz w:val="24"/>
          <w:szCs w:val="24"/>
        </w:rPr>
      </w:pPr>
      <w:r>
        <w:rPr>
          <w:rFonts w:hint="eastAsia" w:ascii="宋体" w:hAnsi="宋体" w:cs="宋体"/>
          <w:color w:val="auto"/>
          <w:sz w:val="24"/>
          <w:szCs w:val="24"/>
        </w:rPr>
        <w:t>（4）通过银行等金融机构向安置的每位残疾人，按月支付了不低于单位所在区县适用的经省级人民政府批准的月最低工资标准的工资；</w:t>
      </w:r>
    </w:p>
    <w:p w14:paraId="28655E66">
      <w:pPr>
        <w:adjustRightInd w:val="0"/>
        <w:snapToGrid w:val="0"/>
        <w:spacing w:before="120" w:beforeLines="50" w:line="300" w:lineRule="auto"/>
        <w:ind w:firstLine="555"/>
        <w:rPr>
          <w:rFonts w:hint="eastAsia" w:ascii="宋体" w:hAnsi="宋体" w:cs="宋体"/>
          <w:color w:val="auto"/>
          <w:sz w:val="24"/>
          <w:szCs w:val="24"/>
        </w:rPr>
      </w:pPr>
      <w:r>
        <w:rPr>
          <w:rFonts w:hint="eastAsia" w:ascii="宋体" w:hAnsi="宋体" w:cs="宋体"/>
          <w:color w:val="auto"/>
          <w:sz w:val="24"/>
          <w:szCs w:val="24"/>
        </w:rPr>
        <w:t>（5）提供本单位制造的货物、承担的工程或者服务（以下简称产品），或者提供其他残疾人福利性单位制造的货物（不包括使用非残疾人福利性单位注册商标的货物）。</w:t>
      </w:r>
    </w:p>
    <w:p w14:paraId="53E34765">
      <w:pPr>
        <w:adjustRightInd w:val="0"/>
        <w:snapToGrid w:val="0"/>
        <w:spacing w:before="120" w:beforeLines="50" w:line="300" w:lineRule="auto"/>
        <w:ind w:firstLine="555"/>
        <w:rPr>
          <w:rFonts w:hint="eastAsia" w:ascii="宋体" w:hAnsi="宋体" w:cs="宋体"/>
          <w:color w:val="auto"/>
          <w:sz w:val="24"/>
          <w:szCs w:val="24"/>
        </w:rPr>
      </w:pPr>
      <w:r>
        <w:rPr>
          <w:rFonts w:hint="eastAsia" w:ascii="宋体" w:hAnsi="宋体" w:cs="宋体"/>
          <w:color w:val="auto"/>
          <w:sz w:val="24"/>
          <w:szCs w:val="24"/>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5136CD73">
      <w:pPr>
        <w:adjustRightInd w:val="0"/>
        <w:snapToGrid w:val="0"/>
        <w:spacing w:before="120" w:beforeLines="50" w:line="300" w:lineRule="auto"/>
        <w:ind w:firstLine="555"/>
        <w:rPr>
          <w:rFonts w:hint="eastAsia" w:ascii="宋体" w:hAnsi="宋体" w:cs="宋体"/>
          <w:color w:val="auto"/>
          <w:sz w:val="24"/>
          <w:szCs w:val="24"/>
        </w:rPr>
      </w:pPr>
      <w:r>
        <w:rPr>
          <w:rFonts w:hint="eastAsia" w:ascii="宋体" w:hAnsi="宋体" w:cs="宋体"/>
          <w:color w:val="auto"/>
          <w:sz w:val="24"/>
          <w:szCs w:val="24"/>
        </w:rPr>
        <w:t>4.4 参加本次政府采购项目的中小企业应按附件格式提供《中小企业声明函》。如磋商文件接受以联合体形式参加投标的，联合体各方均应按附件格式提供《中小企业声明函》。</w:t>
      </w:r>
    </w:p>
    <w:p w14:paraId="3E7493DD">
      <w:pPr>
        <w:adjustRightInd w:val="0"/>
        <w:snapToGrid w:val="0"/>
        <w:spacing w:before="120" w:beforeLines="50" w:line="300" w:lineRule="auto"/>
        <w:ind w:firstLine="555"/>
        <w:rPr>
          <w:rFonts w:hint="eastAsia" w:ascii="宋体" w:hAnsi="宋体" w:cs="宋体"/>
          <w:color w:val="auto"/>
          <w:sz w:val="24"/>
          <w:szCs w:val="24"/>
        </w:rPr>
      </w:pPr>
      <w:r>
        <w:rPr>
          <w:rFonts w:hint="eastAsia" w:ascii="宋体" w:hAnsi="宋体" w:cs="宋体"/>
          <w:color w:val="auto"/>
          <w:sz w:val="24"/>
          <w:szCs w:val="24"/>
        </w:rPr>
        <w:t>供应商按照财库〔2020〕46号规定及磋商文件要求提供声明函内容不实的，属于提供虚假材料谋取中标、成交，依照《中华人民共和国政府采购法》等国家有关规定追究相应责任。</w:t>
      </w:r>
    </w:p>
    <w:p w14:paraId="19594C05">
      <w:pPr>
        <w:adjustRightInd w:val="0"/>
        <w:snapToGrid w:val="0"/>
        <w:spacing w:before="120" w:beforeLines="50" w:line="300" w:lineRule="auto"/>
        <w:ind w:firstLine="555"/>
        <w:rPr>
          <w:rFonts w:hint="eastAsia" w:ascii="宋体" w:hAnsi="宋体"/>
          <w:color w:val="auto"/>
          <w:sz w:val="24"/>
        </w:rPr>
      </w:pPr>
      <w:r>
        <w:rPr>
          <w:rFonts w:ascii="宋体" w:hAnsi="宋体"/>
          <w:color w:val="auto"/>
          <w:sz w:val="24"/>
        </w:rPr>
        <w:t>4.</w:t>
      </w:r>
      <w:r>
        <w:rPr>
          <w:rFonts w:hint="eastAsia" w:ascii="宋体" w:hAnsi="宋体"/>
          <w:color w:val="auto"/>
          <w:sz w:val="24"/>
        </w:rPr>
        <w:t>5本次政府采购项目专门面向中小企业，专门面向中小企业的采购项目无价格扣除。</w:t>
      </w:r>
    </w:p>
    <w:p w14:paraId="11C62147">
      <w:pPr>
        <w:adjustRightInd w:val="0"/>
        <w:snapToGrid w:val="0"/>
        <w:spacing w:before="120" w:beforeLines="50" w:line="300" w:lineRule="auto"/>
        <w:ind w:firstLine="555"/>
        <w:rPr>
          <w:rFonts w:hint="eastAsia" w:ascii="宋体" w:hAnsi="宋体"/>
          <w:color w:val="auto"/>
          <w:sz w:val="24"/>
        </w:rPr>
      </w:pPr>
      <w:r>
        <w:rPr>
          <w:rFonts w:hint="eastAsia" w:ascii="宋体" w:hAnsi="宋体"/>
          <w:color w:val="auto"/>
          <w:sz w:val="24"/>
        </w:rPr>
        <w:t>4.6根据财政部、工业和信息化部有关负责人就印发《政府采购促进中小企业发展管理办法》答记者问，为方便广大中小企业、政府部门和社会公众识别企业规模类型，工业和信息化部组织开发了中小企业规模类型自测小程序，并于2020年2月27日上线运行，在国务院客户端和工业和信息化部网站上均有链接，广大中小企业和各类社会机构填写企业所属的行业和指标数据自动生成企业规模类型测试结果。</w:t>
      </w:r>
    </w:p>
    <w:p w14:paraId="78F762E0">
      <w:pPr>
        <w:adjustRightInd w:val="0"/>
        <w:snapToGrid w:val="0"/>
        <w:spacing w:before="120" w:beforeLines="50" w:line="300" w:lineRule="auto"/>
        <w:ind w:firstLine="555"/>
        <w:rPr>
          <w:rFonts w:hint="eastAsia" w:ascii="宋体" w:hAnsi="宋体"/>
          <w:color w:val="auto"/>
          <w:sz w:val="24"/>
        </w:rPr>
      </w:pPr>
      <w:r>
        <w:rPr>
          <w:rFonts w:hint="eastAsia" w:ascii="宋体" w:hAnsi="宋体"/>
          <w:color w:val="auto"/>
          <w:sz w:val="24"/>
        </w:rPr>
        <w:t>4.7中标、成交供应商享受中小企业扶持政策的，中标、成交供应商的《中小企业声明函》将随中标、成交结果公开。</w:t>
      </w:r>
    </w:p>
    <w:p w14:paraId="45993385">
      <w:pPr>
        <w:adjustRightInd w:val="0"/>
        <w:snapToGrid w:val="0"/>
        <w:spacing w:before="120" w:beforeLines="50" w:line="300" w:lineRule="auto"/>
        <w:ind w:firstLine="555"/>
        <w:rPr>
          <w:rFonts w:hint="eastAsia" w:ascii="宋体" w:hAnsi="宋体"/>
          <w:color w:val="auto"/>
          <w:sz w:val="24"/>
        </w:rPr>
      </w:pPr>
      <w:r>
        <w:rPr>
          <w:rFonts w:hint="eastAsia" w:ascii="宋体" w:hAnsi="宋体"/>
          <w:color w:val="auto"/>
          <w:sz w:val="24"/>
        </w:rPr>
        <w:t>4.8依法享受扶持政策获得政府采购合同的，小微企业不得将合同分包给大中型企业，中型企业不得将合同分包给大型企业。</w:t>
      </w:r>
    </w:p>
    <w:p w14:paraId="215A50CE">
      <w:pPr>
        <w:adjustRightInd w:val="0"/>
        <w:snapToGrid w:val="0"/>
        <w:spacing w:before="120" w:beforeLines="50" w:line="300" w:lineRule="auto"/>
        <w:ind w:firstLine="555"/>
        <w:rPr>
          <w:rFonts w:hint="eastAsia" w:ascii="宋体" w:hAnsi="宋体"/>
          <w:color w:val="auto"/>
          <w:sz w:val="24"/>
        </w:rPr>
      </w:pPr>
      <w:r>
        <w:rPr>
          <w:rFonts w:hint="eastAsia" w:ascii="宋体" w:hAnsi="宋体"/>
          <w:color w:val="auto"/>
          <w:sz w:val="24"/>
        </w:rPr>
        <w:t>4.9政府采购监督检查、投诉处理及政府采购行政处罚中对中小企业的认定，由货物制造商或者工程、服务供应商注册登记所在地的县级以上人民政府中小企业主管部门负责。</w:t>
      </w:r>
    </w:p>
    <w:p w14:paraId="20DAC05C">
      <w:pPr>
        <w:widowControl w:val="0"/>
        <w:adjustRightInd w:val="0"/>
        <w:snapToGrid w:val="0"/>
        <w:spacing w:before="120" w:beforeLines="50" w:line="300" w:lineRule="auto"/>
        <w:ind w:firstLine="555"/>
        <w:jc w:val="left"/>
        <w:rPr>
          <w:color w:val="auto"/>
          <w:sz w:val="24"/>
          <w:szCs w:val="24"/>
        </w:rPr>
      </w:pPr>
    </w:p>
    <w:p w14:paraId="031254E1">
      <w:pPr>
        <w:widowControl w:val="0"/>
        <w:adjustRightInd w:val="0"/>
        <w:snapToGrid w:val="0"/>
        <w:spacing w:before="120" w:beforeLines="50" w:line="300" w:lineRule="auto"/>
        <w:ind w:firstLine="551" w:firstLineChars="196"/>
        <w:jc w:val="left"/>
        <w:outlineLvl w:val="1"/>
        <w:rPr>
          <w:rFonts w:hint="eastAsia" w:ascii="黑体" w:hAnsi="黑体" w:eastAsia="黑体" w:cs="楷体_GB2312"/>
          <w:b/>
          <w:bCs/>
          <w:color w:val="auto"/>
          <w:sz w:val="28"/>
          <w:szCs w:val="28"/>
          <w:lang w:val="zh-CN"/>
        </w:rPr>
      </w:pPr>
      <w:bookmarkStart w:id="47" w:name="_Toc28895"/>
      <w:r>
        <w:rPr>
          <w:rFonts w:hint="eastAsia" w:ascii="黑体" w:hAnsi="黑体" w:eastAsia="黑体" w:cs="楷体_GB2312"/>
          <w:b/>
          <w:bCs/>
          <w:color w:val="auto"/>
          <w:sz w:val="28"/>
          <w:szCs w:val="28"/>
        </w:rPr>
        <w:t>5.</w:t>
      </w:r>
      <w:r>
        <w:rPr>
          <w:rFonts w:hint="eastAsia" w:ascii="黑体" w:hAnsi="黑体" w:eastAsia="黑体" w:cs="楷体_GB2312"/>
          <w:b/>
          <w:bCs/>
          <w:color w:val="auto"/>
          <w:sz w:val="28"/>
          <w:szCs w:val="28"/>
          <w:lang w:val="zh-CN"/>
        </w:rPr>
        <w:t>异常低价审查</w:t>
      </w:r>
      <w:bookmarkEnd w:id="47"/>
    </w:p>
    <w:p w14:paraId="714EEBD7">
      <w:pPr>
        <w:autoSpaceDE w:val="0"/>
        <w:autoSpaceDN w:val="0"/>
        <w:adjustRightInd w:val="0"/>
        <w:snapToGrid w:val="0"/>
        <w:spacing w:before="120" w:beforeLines="50" w:line="300" w:lineRule="auto"/>
        <w:ind w:firstLine="566" w:firstLineChars="236"/>
        <w:jc w:val="left"/>
        <w:rPr>
          <w:rFonts w:hint="eastAsia" w:ascii="宋体" w:hAnsi="宋体"/>
          <w:color w:val="auto"/>
          <w:sz w:val="24"/>
        </w:rPr>
      </w:pPr>
      <w:r>
        <w:rPr>
          <w:rFonts w:hint="eastAsia" w:ascii="宋体" w:hAnsi="宋体"/>
          <w:color w:val="auto"/>
          <w:sz w:val="24"/>
        </w:rPr>
        <w:t>据《关于推动解决政府采购异常低价问题的通知》财库〔2026〕2号要求，强化政府采购异常低价审查。</w:t>
      </w:r>
    </w:p>
    <w:p w14:paraId="7BBA8879">
      <w:pPr>
        <w:autoSpaceDE w:val="0"/>
        <w:autoSpaceDN w:val="0"/>
        <w:adjustRightInd w:val="0"/>
        <w:snapToGrid w:val="0"/>
        <w:spacing w:before="120" w:beforeLines="50" w:line="300" w:lineRule="auto"/>
        <w:ind w:firstLine="566" w:firstLineChars="236"/>
        <w:jc w:val="left"/>
        <w:rPr>
          <w:rFonts w:hint="eastAsia" w:ascii="宋体" w:hAnsi="宋体"/>
          <w:color w:val="auto"/>
          <w:sz w:val="24"/>
        </w:rPr>
      </w:pPr>
      <w:r>
        <w:rPr>
          <w:rFonts w:hint="eastAsia" w:ascii="宋体" w:hAnsi="宋体"/>
          <w:color w:val="auto"/>
          <w:sz w:val="24"/>
        </w:rPr>
        <w:t>5</w:t>
      </w:r>
      <w:r>
        <w:rPr>
          <w:rFonts w:ascii="宋体" w:hAnsi="宋体"/>
          <w:color w:val="auto"/>
          <w:sz w:val="24"/>
        </w:rPr>
        <w:t xml:space="preserve">.1 </w:t>
      </w:r>
      <w:r>
        <w:rPr>
          <w:rFonts w:hint="eastAsia" w:ascii="宋体" w:hAnsi="宋体"/>
          <w:color w:val="auto"/>
          <w:sz w:val="24"/>
        </w:rPr>
        <w:t>政府采购评审中出现下列情形之一的，磋商小组应当启动异常低价投标（响应）审查程序：</w:t>
      </w:r>
    </w:p>
    <w:p w14:paraId="3E1273FB">
      <w:pPr>
        <w:autoSpaceDE w:val="0"/>
        <w:autoSpaceDN w:val="0"/>
        <w:adjustRightInd w:val="0"/>
        <w:snapToGrid w:val="0"/>
        <w:spacing w:before="120" w:beforeLines="50" w:line="300" w:lineRule="auto"/>
        <w:ind w:firstLine="566" w:firstLineChars="236"/>
        <w:jc w:val="left"/>
        <w:rPr>
          <w:rFonts w:hint="eastAsia" w:ascii="宋体" w:hAnsi="宋体"/>
          <w:color w:val="auto"/>
          <w:sz w:val="24"/>
        </w:rPr>
      </w:pPr>
      <w:r>
        <w:rPr>
          <w:rFonts w:hint="eastAsia" w:ascii="宋体" w:hAnsi="宋体"/>
          <w:color w:val="auto"/>
          <w:sz w:val="24"/>
        </w:rPr>
        <w:t>（1）投标（响应）报价低于全部通过符合性审查供应商投标（响应）报价平均值50%的，即投标（响应）报价&lt;全部通过符合性审查供应商投标（响应）报价平均值×50%；</w:t>
      </w:r>
    </w:p>
    <w:p w14:paraId="64F83EEB">
      <w:pPr>
        <w:autoSpaceDE w:val="0"/>
        <w:autoSpaceDN w:val="0"/>
        <w:adjustRightInd w:val="0"/>
        <w:snapToGrid w:val="0"/>
        <w:spacing w:before="120" w:beforeLines="50" w:line="300" w:lineRule="auto"/>
        <w:ind w:firstLine="566" w:firstLineChars="236"/>
        <w:jc w:val="left"/>
        <w:rPr>
          <w:rFonts w:hint="eastAsia" w:ascii="宋体" w:hAnsi="宋体"/>
          <w:color w:val="auto"/>
          <w:sz w:val="24"/>
        </w:rPr>
      </w:pPr>
      <w:r>
        <w:rPr>
          <w:rFonts w:hint="eastAsia" w:ascii="宋体" w:hAnsi="宋体"/>
          <w:color w:val="auto"/>
          <w:sz w:val="24"/>
        </w:rPr>
        <w:t>（2）投标（响应）报价低于通过符合性审查的次低报价供应商投标（响应）报价50%的，即投标（响应）报价&lt;通过符合性审查的次低报价供应商投标（响应）报价×50%；</w:t>
      </w:r>
    </w:p>
    <w:p w14:paraId="2292BC4D">
      <w:pPr>
        <w:autoSpaceDE w:val="0"/>
        <w:autoSpaceDN w:val="0"/>
        <w:adjustRightInd w:val="0"/>
        <w:snapToGrid w:val="0"/>
        <w:spacing w:before="120" w:beforeLines="50" w:line="300" w:lineRule="auto"/>
        <w:ind w:firstLine="566" w:firstLineChars="236"/>
        <w:jc w:val="left"/>
        <w:rPr>
          <w:rFonts w:hint="eastAsia" w:ascii="宋体" w:hAnsi="宋体"/>
          <w:color w:val="auto"/>
          <w:sz w:val="24"/>
        </w:rPr>
      </w:pPr>
      <w:r>
        <w:rPr>
          <w:rFonts w:hint="eastAsia" w:ascii="宋体" w:hAnsi="宋体"/>
          <w:color w:val="auto"/>
          <w:sz w:val="24"/>
        </w:rPr>
        <w:t>（3）投标（响应）报价低于采购项目最高限价45%的，即投标（响应）报价&lt;采购项目最高限价×45%；</w:t>
      </w:r>
    </w:p>
    <w:p w14:paraId="724EA445">
      <w:pPr>
        <w:autoSpaceDE w:val="0"/>
        <w:autoSpaceDN w:val="0"/>
        <w:adjustRightInd w:val="0"/>
        <w:snapToGrid w:val="0"/>
        <w:spacing w:before="120" w:beforeLines="50" w:line="300" w:lineRule="auto"/>
        <w:ind w:firstLine="566" w:firstLineChars="236"/>
        <w:jc w:val="left"/>
        <w:rPr>
          <w:rFonts w:hint="eastAsia" w:ascii="宋体" w:hAnsi="宋体"/>
          <w:color w:val="auto"/>
          <w:sz w:val="24"/>
        </w:rPr>
      </w:pPr>
      <w:r>
        <w:rPr>
          <w:rFonts w:hint="eastAsia" w:ascii="宋体" w:hAnsi="宋体"/>
          <w:color w:val="auto"/>
          <w:sz w:val="24"/>
        </w:rPr>
        <w:t>（4）磋商小组基于专业判断，认为供应商报价过低，有可能影响产品质量或者不能诚信履约的其他情形。</w:t>
      </w:r>
    </w:p>
    <w:p w14:paraId="4E00E426">
      <w:pPr>
        <w:autoSpaceDE w:val="0"/>
        <w:autoSpaceDN w:val="0"/>
        <w:adjustRightInd w:val="0"/>
        <w:snapToGrid w:val="0"/>
        <w:spacing w:before="120" w:beforeLines="50" w:line="300" w:lineRule="auto"/>
        <w:ind w:firstLine="566" w:firstLineChars="236"/>
        <w:jc w:val="left"/>
        <w:rPr>
          <w:rFonts w:hint="eastAsia" w:ascii="宋体" w:hAnsi="宋体"/>
          <w:color w:val="auto"/>
          <w:sz w:val="24"/>
        </w:rPr>
      </w:pPr>
      <w:r>
        <w:rPr>
          <w:rFonts w:hint="eastAsia" w:ascii="宋体" w:hAnsi="宋体"/>
          <w:color w:val="auto"/>
          <w:sz w:val="24"/>
        </w:rPr>
        <w:t>5.2 磋商小组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133D7407">
      <w:pPr>
        <w:autoSpaceDE w:val="0"/>
        <w:autoSpaceDN w:val="0"/>
        <w:adjustRightInd w:val="0"/>
        <w:snapToGrid w:val="0"/>
        <w:spacing w:before="120" w:beforeLines="50" w:line="300" w:lineRule="auto"/>
        <w:ind w:firstLine="566" w:firstLineChars="236"/>
        <w:jc w:val="left"/>
        <w:rPr>
          <w:rFonts w:hint="eastAsia" w:ascii="宋体" w:hAnsi="宋体"/>
          <w:color w:val="auto"/>
          <w:sz w:val="24"/>
        </w:rPr>
      </w:pPr>
      <w:r>
        <w:rPr>
          <w:rFonts w:hint="eastAsia" w:ascii="宋体" w:hAnsi="宋体"/>
          <w:color w:val="auto"/>
          <w:sz w:val="24"/>
        </w:rPr>
        <w:t>磋商小组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磋商小组应当将其作为无效投标（响应）处理。</w:t>
      </w:r>
    </w:p>
    <w:p w14:paraId="3798EB70">
      <w:pPr>
        <w:autoSpaceDE w:val="0"/>
        <w:autoSpaceDN w:val="0"/>
        <w:adjustRightInd w:val="0"/>
        <w:snapToGrid w:val="0"/>
        <w:spacing w:before="120" w:beforeLines="50" w:line="300" w:lineRule="auto"/>
        <w:ind w:firstLine="566" w:firstLineChars="236"/>
        <w:jc w:val="left"/>
        <w:rPr>
          <w:rFonts w:hint="eastAsia" w:ascii="宋体" w:hAnsi="宋体"/>
          <w:color w:val="auto"/>
          <w:sz w:val="24"/>
        </w:rPr>
      </w:pPr>
      <w:r>
        <w:rPr>
          <w:rFonts w:hint="eastAsia" w:ascii="宋体" w:hAnsi="宋体"/>
          <w:color w:val="auto"/>
          <w:sz w:val="24"/>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008CF8B0">
      <w:pPr>
        <w:autoSpaceDE w:val="0"/>
        <w:autoSpaceDN w:val="0"/>
        <w:adjustRightInd w:val="0"/>
        <w:snapToGrid w:val="0"/>
        <w:spacing w:before="120" w:beforeLines="50" w:line="300" w:lineRule="auto"/>
        <w:ind w:firstLine="566" w:firstLineChars="236"/>
        <w:jc w:val="left"/>
        <w:rPr>
          <w:rFonts w:hint="eastAsia" w:ascii="宋体" w:hAnsi="宋体"/>
          <w:color w:val="auto"/>
          <w:sz w:val="24"/>
        </w:rPr>
      </w:pPr>
      <w:r>
        <w:rPr>
          <w:rFonts w:hint="eastAsia" w:ascii="宋体" w:hAnsi="宋体"/>
          <w:color w:val="auto"/>
          <w:sz w:val="24"/>
        </w:rPr>
        <w:t>异常低价投标（响应）审查的启动原因、审查意见和审查结果应当在评审报告中记录，并随供应商提供的相关书面说明及证明材料，以及磋商小组有关互联网浏览、查询历史一并归档。</w:t>
      </w:r>
    </w:p>
    <w:p w14:paraId="3B2D38FA">
      <w:pPr>
        <w:widowControl w:val="0"/>
        <w:adjustRightInd w:val="0"/>
        <w:snapToGrid w:val="0"/>
        <w:spacing w:before="120" w:beforeLines="50" w:line="300" w:lineRule="auto"/>
        <w:rPr>
          <w:color w:val="auto"/>
          <w:sz w:val="24"/>
          <w:szCs w:val="24"/>
        </w:rPr>
      </w:pPr>
      <w:r>
        <w:rPr>
          <w:color w:val="auto"/>
          <w:sz w:val="24"/>
          <w:szCs w:val="24"/>
        </w:rPr>
        <w:br w:type="page"/>
      </w:r>
    </w:p>
    <w:p w14:paraId="50EF9BC6">
      <w:pPr>
        <w:widowControl w:val="0"/>
        <w:snapToGrid w:val="0"/>
        <w:spacing w:line="657" w:lineRule="atLeast"/>
        <w:jc w:val="center"/>
        <w:outlineLvl w:val="0"/>
        <w:rPr>
          <w:rFonts w:ascii="黑体" w:eastAsia="黑体"/>
          <w:b/>
          <w:color w:val="auto"/>
          <w:sz w:val="36"/>
          <w:szCs w:val="36"/>
        </w:rPr>
      </w:pPr>
      <w:bookmarkStart w:id="48" w:name="_Toc19744"/>
      <w:r>
        <w:rPr>
          <w:rFonts w:hint="eastAsia" w:ascii="黑体" w:eastAsia="黑体"/>
          <w:b/>
          <w:color w:val="auto"/>
          <w:sz w:val="36"/>
          <w:szCs w:val="36"/>
        </w:rPr>
        <w:t>第五章</w:t>
      </w:r>
      <w:r>
        <w:rPr>
          <w:rFonts w:ascii="黑体" w:eastAsia="黑体"/>
          <w:b/>
          <w:color w:val="auto"/>
          <w:sz w:val="36"/>
          <w:szCs w:val="36"/>
        </w:rPr>
        <w:t xml:space="preserve">  </w:t>
      </w:r>
      <w:r>
        <w:rPr>
          <w:rFonts w:hint="eastAsia" w:ascii="黑体" w:eastAsia="黑体"/>
          <w:b/>
          <w:color w:val="auto"/>
          <w:sz w:val="36"/>
          <w:szCs w:val="36"/>
        </w:rPr>
        <w:t>合同主要条款</w:t>
      </w:r>
      <w:bookmarkEnd w:id="48"/>
    </w:p>
    <w:p w14:paraId="1337CEC7">
      <w:pPr>
        <w:widowControl w:val="0"/>
        <w:snapToGrid w:val="0"/>
        <w:spacing w:line="657" w:lineRule="atLeast"/>
        <w:jc w:val="center"/>
        <w:rPr>
          <w:rFonts w:ascii="黑体" w:eastAsia="黑体"/>
          <w:b/>
          <w:color w:val="auto"/>
          <w:spacing w:val="20"/>
          <w:sz w:val="36"/>
          <w:szCs w:val="36"/>
        </w:rPr>
      </w:pPr>
    </w:p>
    <w:p w14:paraId="5F046595">
      <w:pPr>
        <w:widowControl w:val="0"/>
        <w:tabs>
          <w:tab w:val="left" w:pos="4678"/>
        </w:tabs>
        <w:snapToGrid w:val="0"/>
        <w:spacing w:before="56" w:after="56" w:line="360" w:lineRule="auto"/>
        <w:ind w:right="85" w:firstLine="555"/>
        <w:jc w:val="center"/>
        <w:rPr>
          <w:rFonts w:ascii="宋体"/>
          <w:color w:val="auto"/>
          <w:sz w:val="24"/>
          <w:szCs w:val="24"/>
        </w:rPr>
      </w:pPr>
      <w:r>
        <w:rPr>
          <w:rFonts w:hint="eastAsia" w:ascii="宋体" w:hAnsi="宋体"/>
          <w:color w:val="auto"/>
          <w:sz w:val="24"/>
          <w:szCs w:val="24"/>
        </w:rPr>
        <w:t>一、通用条款</w:t>
      </w:r>
    </w:p>
    <w:p w14:paraId="46B9F54C">
      <w:pPr>
        <w:widowControl w:val="0"/>
        <w:tabs>
          <w:tab w:val="left" w:pos="4678"/>
        </w:tabs>
        <w:snapToGrid w:val="0"/>
        <w:spacing w:before="56" w:after="56" w:line="360" w:lineRule="auto"/>
        <w:ind w:right="85" w:firstLine="555"/>
        <w:rPr>
          <w:rFonts w:ascii="宋体"/>
          <w:color w:val="auto"/>
          <w:sz w:val="24"/>
          <w:szCs w:val="24"/>
        </w:rPr>
      </w:pPr>
      <w:r>
        <w:rPr>
          <w:rFonts w:hint="eastAsia" w:ascii="宋体" w:hAnsi="宋体"/>
          <w:color w:val="auto"/>
          <w:sz w:val="24"/>
          <w:szCs w:val="24"/>
        </w:rPr>
        <w:t>通用条款采用国家工商行政管理局和建设部颁发的《建设工程施工合同》（按最新版执行）的通用条款。</w:t>
      </w:r>
    </w:p>
    <w:p w14:paraId="67043B39">
      <w:pPr>
        <w:widowControl w:val="0"/>
        <w:tabs>
          <w:tab w:val="left" w:pos="4678"/>
        </w:tabs>
        <w:snapToGrid w:val="0"/>
        <w:spacing w:before="56" w:after="56" w:line="360" w:lineRule="auto"/>
        <w:ind w:right="85" w:firstLine="555"/>
        <w:rPr>
          <w:rFonts w:ascii="宋体"/>
          <w:color w:val="auto"/>
          <w:sz w:val="24"/>
          <w:szCs w:val="24"/>
        </w:rPr>
      </w:pPr>
    </w:p>
    <w:p w14:paraId="2860F903">
      <w:pPr>
        <w:widowControl w:val="0"/>
        <w:tabs>
          <w:tab w:val="left" w:pos="4678"/>
        </w:tabs>
        <w:snapToGrid w:val="0"/>
        <w:spacing w:before="56" w:after="56" w:line="360" w:lineRule="auto"/>
        <w:ind w:right="85" w:firstLine="555"/>
        <w:jc w:val="center"/>
        <w:rPr>
          <w:rFonts w:ascii="宋体"/>
          <w:color w:val="auto"/>
          <w:sz w:val="24"/>
          <w:szCs w:val="24"/>
        </w:rPr>
      </w:pPr>
      <w:r>
        <w:rPr>
          <w:rFonts w:hint="eastAsia" w:ascii="宋体" w:hAnsi="宋体"/>
          <w:color w:val="auto"/>
          <w:sz w:val="24"/>
          <w:szCs w:val="24"/>
        </w:rPr>
        <w:t>二、专用条款</w:t>
      </w:r>
    </w:p>
    <w:p w14:paraId="2B3DB2DF">
      <w:pPr>
        <w:widowControl w:val="0"/>
        <w:tabs>
          <w:tab w:val="left" w:pos="4678"/>
        </w:tabs>
        <w:snapToGrid w:val="0"/>
        <w:spacing w:before="56" w:after="56" w:line="360" w:lineRule="auto"/>
        <w:ind w:right="85" w:firstLine="555"/>
        <w:rPr>
          <w:rFonts w:ascii="宋体"/>
          <w:color w:val="auto"/>
          <w:sz w:val="24"/>
          <w:szCs w:val="24"/>
        </w:rPr>
      </w:pPr>
      <w:r>
        <w:rPr>
          <w:rFonts w:hint="eastAsia" w:ascii="宋体" w:hAnsi="宋体"/>
          <w:color w:val="auto"/>
          <w:sz w:val="24"/>
          <w:szCs w:val="24"/>
        </w:rPr>
        <w:t>合同专用条款是合同通用条款的补充和修改。如果两者之间有抵触，应以专用条款为准。按合同通用条款号有下列各项调整：</w:t>
      </w:r>
    </w:p>
    <w:p w14:paraId="7903D320">
      <w:pPr>
        <w:widowControl w:val="0"/>
        <w:tabs>
          <w:tab w:val="left" w:pos="4678"/>
        </w:tabs>
        <w:snapToGrid w:val="0"/>
        <w:spacing w:before="56" w:after="56" w:line="360" w:lineRule="auto"/>
        <w:ind w:right="85" w:firstLine="555"/>
        <w:rPr>
          <w:rFonts w:ascii="宋体"/>
          <w:color w:val="auto"/>
          <w:sz w:val="24"/>
          <w:szCs w:val="24"/>
        </w:rPr>
      </w:pPr>
      <w:r>
        <w:rPr>
          <w:rFonts w:ascii="宋体" w:hAnsi="宋体"/>
          <w:color w:val="auto"/>
          <w:sz w:val="24"/>
          <w:szCs w:val="24"/>
        </w:rPr>
        <w:t>26.</w:t>
      </w:r>
      <w:r>
        <w:rPr>
          <w:rFonts w:hint="eastAsia" w:ascii="宋体" w:hAnsi="宋体"/>
          <w:color w:val="auto"/>
          <w:sz w:val="24"/>
          <w:szCs w:val="24"/>
        </w:rPr>
        <w:t>资金支付</w:t>
      </w:r>
    </w:p>
    <w:p w14:paraId="22C762B8">
      <w:pPr>
        <w:widowControl w:val="0"/>
        <w:tabs>
          <w:tab w:val="left" w:pos="4678"/>
        </w:tabs>
        <w:snapToGrid w:val="0"/>
        <w:spacing w:before="56" w:after="56" w:line="360" w:lineRule="auto"/>
        <w:ind w:right="85" w:firstLine="555"/>
        <w:rPr>
          <w:rFonts w:ascii="宋体"/>
          <w:color w:val="auto"/>
          <w:sz w:val="24"/>
          <w:szCs w:val="24"/>
        </w:rPr>
      </w:pPr>
      <w:r>
        <w:rPr>
          <w:rFonts w:ascii="宋体" w:hAnsi="宋体"/>
          <w:color w:val="auto"/>
          <w:sz w:val="24"/>
          <w:szCs w:val="24"/>
        </w:rPr>
        <w:t>26.1</w:t>
      </w:r>
      <w:r>
        <w:rPr>
          <w:rFonts w:hint="eastAsia" w:ascii="宋体" w:hAnsi="宋体"/>
          <w:color w:val="auto"/>
          <w:sz w:val="24"/>
          <w:szCs w:val="24"/>
        </w:rPr>
        <w:t>验收程序和要求</w:t>
      </w:r>
    </w:p>
    <w:p w14:paraId="5622FC7E">
      <w:pPr>
        <w:widowControl w:val="0"/>
        <w:adjustRightInd w:val="0"/>
        <w:snapToGrid w:val="0"/>
        <w:spacing w:before="120" w:beforeLines="50" w:line="300" w:lineRule="auto"/>
        <w:ind w:firstLine="561"/>
        <w:rPr>
          <w:rFonts w:ascii="宋体" w:cs="楷体_GB2312"/>
          <w:color w:val="auto"/>
          <w:sz w:val="24"/>
          <w:lang w:val="zh-CN"/>
        </w:rPr>
      </w:pPr>
      <w:r>
        <w:rPr>
          <w:rFonts w:ascii="宋体" w:hAnsi="宋体" w:cs="楷体_GB2312"/>
          <w:color w:val="auto"/>
          <w:sz w:val="24"/>
          <w:lang w:val="zh-CN"/>
        </w:rPr>
        <w:t>1</w:t>
      </w:r>
      <w:r>
        <w:rPr>
          <w:rFonts w:hint="eastAsia" w:ascii="宋体" w:hAnsi="宋体" w:cs="楷体_GB2312"/>
          <w:color w:val="auto"/>
          <w:sz w:val="24"/>
          <w:lang w:val="zh-CN"/>
        </w:rPr>
        <w:t>、验收时间：项目完工达到验收条件时，由采购</w:t>
      </w:r>
      <w:r>
        <w:rPr>
          <w:rFonts w:hint="eastAsia" w:ascii="宋体" w:hAnsi="宋体" w:cs="楷体_GB2312"/>
          <w:color w:val="auto"/>
          <w:sz w:val="24"/>
        </w:rPr>
        <w:t>人</w:t>
      </w:r>
      <w:r>
        <w:rPr>
          <w:rFonts w:hint="eastAsia" w:ascii="宋体" w:hAnsi="宋体" w:cs="楷体_GB2312"/>
          <w:color w:val="auto"/>
          <w:sz w:val="24"/>
          <w:lang w:val="zh-CN"/>
        </w:rPr>
        <w:t>成立验收工作组负责验收。</w:t>
      </w:r>
      <w:r>
        <w:rPr>
          <w:rFonts w:hint="eastAsia" w:ascii="宋体" w:hAnsi="宋体" w:cs="楷体_GB2312"/>
          <w:color w:val="auto"/>
          <w:sz w:val="24"/>
        </w:rPr>
        <w:t>技术复杂、社会影响较大的货物类项目，可以根据需要设置出厂检验、到货检验、安装调试检验、配套服务检验等多重验收环节；服务类项目，可根据项目特点对服务期内的服务实施情况进行分期考核，结合考核情况和服务效果进行验收。</w:t>
      </w:r>
    </w:p>
    <w:p w14:paraId="173D4AD6">
      <w:pPr>
        <w:widowControl w:val="0"/>
        <w:adjustRightInd w:val="0"/>
        <w:snapToGrid w:val="0"/>
        <w:spacing w:before="120" w:beforeLines="50" w:line="300" w:lineRule="auto"/>
        <w:ind w:firstLine="561"/>
        <w:rPr>
          <w:rFonts w:hint="eastAsia" w:ascii="宋体" w:hAnsi="宋体" w:cs="楷体_GB2312"/>
          <w:color w:val="auto"/>
          <w:sz w:val="24"/>
          <w:lang w:val="zh-CN"/>
        </w:rPr>
      </w:pPr>
      <w:r>
        <w:rPr>
          <w:rFonts w:ascii="宋体" w:hAnsi="宋体" w:cs="楷体_GB2312"/>
          <w:color w:val="auto"/>
          <w:sz w:val="24"/>
          <w:lang w:val="zh-CN"/>
        </w:rPr>
        <w:t>2</w:t>
      </w:r>
      <w:r>
        <w:rPr>
          <w:rFonts w:hint="eastAsia" w:ascii="宋体" w:hAnsi="宋体" w:cs="楷体_GB2312"/>
          <w:color w:val="auto"/>
          <w:sz w:val="24"/>
          <w:lang w:val="zh-CN"/>
        </w:rPr>
        <w:t>、验收工作组：合同履约验收工作应成立验收工作组专门负责。</w:t>
      </w:r>
    </w:p>
    <w:p w14:paraId="256CBE26">
      <w:pPr>
        <w:widowControl w:val="0"/>
        <w:adjustRightInd w:val="0"/>
        <w:snapToGrid w:val="0"/>
        <w:spacing w:before="120" w:beforeLines="50" w:line="300" w:lineRule="auto"/>
        <w:ind w:firstLine="561"/>
        <w:rPr>
          <w:rFonts w:hint="eastAsia" w:ascii="宋体" w:hAnsi="宋体" w:cs="楷体_GB2312"/>
          <w:color w:val="auto"/>
          <w:sz w:val="24"/>
          <w:lang w:val="zh-CN"/>
        </w:rPr>
      </w:pPr>
      <w:r>
        <w:rPr>
          <w:rFonts w:hint="eastAsia" w:ascii="宋体" w:hAnsi="宋体" w:cs="楷体_GB2312"/>
          <w:color w:val="auto"/>
          <w:sz w:val="24"/>
          <w:lang w:val="zh-CN"/>
        </w:rPr>
        <w:t>直接参与该项目政府采购活动的主要负责人不得作为验收工作的主要负责人。</w:t>
      </w:r>
      <w:r>
        <w:rPr>
          <w:rFonts w:hint="eastAsia" w:ascii="宋体" w:hAnsi="宋体" w:cs="楷体_GB2312"/>
          <w:color w:val="auto"/>
          <w:sz w:val="24"/>
        </w:rPr>
        <w:t>对于采购人和使用人分离的采购项目，应当邀请实际使用人参与验收；政府向社会公众提供的公共服务项目，验收时应当邀请服务对象参与并出具意见，验收结果应当向社会公告。</w:t>
      </w:r>
    </w:p>
    <w:p w14:paraId="57C77971">
      <w:pPr>
        <w:widowControl w:val="0"/>
        <w:adjustRightInd w:val="0"/>
        <w:snapToGrid w:val="0"/>
        <w:spacing w:before="120" w:beforeLines="50" w:line="300" w:lineRule="auto"/>
        <w:ind w:firstLine="561"/>
        <w:rPr>
          <w:rFonts w:hint="eastAsia" w:ascii="宋体" w:hAnsi="宋体" w:cs="楷体_GB2312"/>
          <w:color w:val="auto"/>
          <w:sz w:val="24"/>
        </w:rPr>
      </w:pPr>
      <w:r>
        <w:rPr>
          <w:rFonts w:hint="eastAsia" w:ascii="宋体" w:hAnsi="宋体" w:cs="楷体_GB2312"/>
          <w:color w:val="auto"/>
          <w:sz w:val="24"/>
        </w:rPr>
        <w:t>2.1、</w:t>
      </w:r>
      <w:r>
        <w:rPr>
          <w:rFonts w:hint="eastAsia" w:ascii="宋体" w:hAnsi="宋体" w:cs="楷体_GB2312"/>
          <w:color w:val="auto"/>
          <w:sz w:val="24"/>
          <w:lang w:val="zh-CN"/>
        </w:rPr>
        <w:t>政府采购合同金额</w:t>
      </w:r>
      <w:r>
        <w:rPr>
          <w:rFonts w:hint="eastAsia" w:ascii="宋体" w:hAnsi="宋体" w:cs="楷体_GB2312"/>
          <w:color w:val="auto"/>
          <w:sz w:val="24"/>
        </w:rPr>
        <w:t>在</w:t>
      </w:r>
      <w:r>
        <w:rPr>
          <w:rFonts w:hint="eastAsia" w:ascii="宋体" w:hAnsi="宋体" w:cs="楷体_GB2312"/>
          <w:color w:val="auto"/>
          <w:sz w:val="24"/>
          <w:lang w:val="zh-CN"/>
        </w:rPr>
        <w:t>10万元以下（</w:t>
      </w:r>
      <w:r>
        <w:rPr>
          <w:rFonts w:hint="eastAsia" w:ascii="宋体" w:hAnsi="宋体" w:cs="楷体_GB2312"/>
          <w:color w:val="auto"/>
          <w:sz w:val="24"/>
        </w:rPr>
        <w:t>含10万元</w:t>
      </w:r>
      <w:r>
        <w:rPr>
          <w:rFonts w:hint="eastAsia" w:ascii="宋体" w:hAnsi="宋体" w:cs="楷体_GB2312"/>
          <w:color w:val="auto"/>
          <w:sz w:val="24"/>
          <w:lang w:val="zh-CN"/>
        </w:rPr>
        <w:t>）的项目，原则上可以不邀请评审专家参加，组织方成立验收小组自行验收。</w:t>
      </w:r>
      <w:r>
        <w:rPr>
          <w:rFonts w:hint="eastAsia" w:ascii="宋体" w:hAnsi="宋体" w:cs="楷体_GB2312"/>
          <w:color w:val="auto"/>
          <w:sz w:val="24"/>
        </w:rPr>
        <w:t>自行验收时，验收小组应仔细对照采购文件及合同，对标的物的数量、质量、规格、型号等参数逐一核对，并编制验收报告。组织方认为不能独立完成验收任务的，可以邀请评审专家参与验收。</w:t>
      </w:r>
    </w:p>
    <w:p w14:paraId="1A8AC263">
      <w:pPr>
        <w:widowControl w:val="0"/>
        <w:adjustRightInd w:val="0"/>
        <w:snapToGrid w:val="0"/>
        <w:spacing w:before="120" w:beforeLines="50" w:line="300" w:lineRule="auto"/>
        <w:ind w:firstLine="561"/>
        <w:rPr>
          <w:rFonts w:hint="eastAsia" w:ascii="宋体" w:hAnsi="宋体" w:cs="楷体_GB2312"/>
          <w:color w:val="auto"/>
          <w:sz w:val="24"/>
        </w:rPr>
      </w:pPr>
      <w:r>
        <w:rPr>
          <w:rFonts w:hint="eastAsia" w:ascii="宋体" w:hAnsi="宋体" w:cs="楷体_GB2312"/>
          <w:color w:val="auto"/>
          <w:sz w:val="24"/>
        </w:rPr>
        <w:t>2.2、</w:t>
      </w:r>
      <w:r>
        <w:rPr>
          <w:rFonts w:hint="eastAsia" w:ascii="宋体" w:hAnsi="宋体" w:cs="楷体_GB2312"/>
          <w:color w:val="auto"/>
          <w:sz w:val="24"/>
          <w:lang w:val="zh-CN"/>
        </w:rPr>
        <w:t>政府采购合同金额50万元以下的（含50万元）的项目，验收工作组应不少于三人；政府采购合同金额50万元以上的项目，验收工作组应由</w:t>
      </w:r>
      <w:r>
        <w:rPr>
          <w:rFonts w:hint="eastAsia" w:ascii="宋体" w:hAnsi="宋体" w:cs="楷体_GB2312"/>
          <w:color w:val="auto"/>
          <w:sz w:val="24"/>
        </w:rPr>
        <w:t>采购人</w:t>
      </w:r>
      <w:r>
        <w:rPr>
          <w:rFonts w:hint="eastAsia" w:ascii="宋体" w:hAnsi="宋体" w:cs="楷体_GB2312"/>
          <w:color w:val="auto"/>
          <w:sz w:val="24"/>
          <w:lang w:val="zh-CN"/>
        </w:rPr>
        <w:t>领导牵头，财务、审计、监察、资产管理、技术等部门人员参与，成员不少于五人。验收工作</w:t>
      </w:r>
      <w:r>
        <w:rPr>
          <w:rFonts w:hint="eastAsia" w:ascii="宋体" w:hAnsi="宋体" w:cs="楷体_GB2312"/>
          <w:color w:val="auto"/>
          <w:sz w:val="24"/>
        </w:rPr>
        <w:t>原则上</w:t>
      </w:r>
      <w:r>
        <w:rPr>
          <w:rFonts w:hint="eastAsia" w:ascii="宋体" w:hAnsi="宋体" w:cs="楷体_GB2312"/>
          <w:color w:val="auto"/>
          <w:sz w:val="24"/>
          <w:lang w:val="zh-CN"/>
        </w:rPr>
        <w:t>应当邀请采购评审专家参加验收；大型、复杂或者技术性很强的政府采购项目，应当邀请国家认可的质量检测机构参加验收工作；国家规定强制性检测的采购项目，</w:t>
      </w:r>
      <w:r>
        <w:rPr>
          <w:rFonts w:hint="eastAsia" w:ascii="宋体" w:hAnsi="宋体" w:cs="楷体_GB2312"/>
          <w:color w:val="auto"/>
          <w:sz w:val="24"/>
        </w:rPr>
        <w:t>采购人</w:t>
      </w:r>
      <w:r>
        <w:rPr>
          <w:rFonts w:hint="eastAsia" w:ascii="宋体" w:hAnsi="宋体" w:cs="楷体_GB2312"/>
          <w:color w:val="auto"/>
          <w:sz w:val="24"/>
          <w:lang w:val="zh-CN"/>
        </w:rPr>
        <w:t>必须委托国家认可专业检测机构进行验收。</w:t>
      </w:r>
    </w:p>
    <w:p w14:paraId="58501DBD">
      <w:pPr>
        <w:widowControl w:val="0"/>
        <w:adjustRightInd w:val="0"/>
        <w:snapToGrid w:val="0"/>
        <w:spacing w:before="120" w:beforeLines="50" w:line="300" w:lineRule="auto"/>
        <w:ind w:firstLine="561"/>
        <w:rPr>
          <w:rFonts w:hint="eastAsia" w:ascii="宋体" w:hAnsi="宋体" w:cs="楷体_GB2312"/>
          <w:color w:val="auto"/>
          <w:sz w:val="24"/>
          <w:lang w:val="zh-CN"/>
        </w:rPr>
      </w:pPr>
      <w:r>
        <w:rPr>
          <w:rFonts w:hint="eastAsia" w:ascii="宋体" w:hAnsi="宋体" w:cs="楷体_GB2312"/>
          <w:color w:val="auto"/>
          <w:sz w:val="24"/>
        </w:rPr>
        <w:t>3、验收时，验收小组按照采购合同的约定对每一项技术、服务、安全标准的履约情况进行确认。</w:t>
      </w:r>
      <w:r>
        <w:rPr>
          <w:rFonts w:hint="eastAsia" w:ascii="宋体" w:hAnsi="宋体" w:cs="楷体_GB2312"/>
          <w:color w:val="auto"/>
          <w:sz w:val="24"/>
          <w:lang w:val="zh-CN"/>
        </w:rPr>
        <w:t>验收时需要进行破坏性试验的，供应商应进行充分的配合并提供备品备件。</w:t>
      </w:r>
    </w:p>
    <w:p w14:paraId="1491CA55">
      <w:pPr>
        <w:widowControl w:val="0"/>
        <w:adjustRightInd w:val="0"/>
        <w:snapToGrid w:val="0"/>
        <w:spacing w:before="120" w:beforeLines="50" w:line="300" w:lineRule="auto"/>
        <w:ind w:firstLine="561"/>
        <w:rPr>
          <w:rFonts w:hint="eastAsia" w:ascii="宋体" w:hAnsi="宋体" w:cs="楷体_GB2312"/>
          <w:color w:val="auto"/>
          <w:sz w:val="24"/>
        </w:rPr>
      </w:pPr>
      <w:r>
        <w:rPr>
          <w:rFonts w:hint="eastAsia" w:ascii="宋体" w:hAnsi="宋体" w:cs="楷体_GB2312"/>
          <w:color w:val="auto"/>
          <w:sz w:val="24"/>
        </w:rPr>
        <w:t>工程质量必须达到对应专业现行的国家（行业）的技术标准、规范且符合相关环保要求。</w:t>
      </w:r>
    </w:p>
    <w:p w14:paraId="380BDD38">
      <w:pPr>
        <w:widowControl w:val="0"/>
        <w:adjustRightInd w:val="0"/>
        <w:snapToGrid w:val="0"/>
        <w:spacing w:before="120" w:beforeLines="50" w:line="300" w:lineRule="auto"/>
        <w:ind w:firstLine="561"/>
        <w:rPr>
          <w:rFonts w:hint="eastAsia" w:ascii="宋体" w:hAnsi="宋体" w:cs="楷体_GB2312"/>
          <w:color w:val="auto"/>
          <w:sz w:val="24"/>
        </w:rPr>
      </w:pPr>
      <w:r>
        <w:rPr>
          <w:rFonts w:hint="eastAsia" w:ascii="宋体" w:hAnsi="宋体" w:cs="楷体_GB2312"/>
          <w:color w:val="auto"/>
          <w:sz w:val="24"/>
        </w:rPr>
        <w:t>4</w:t>
      </w:r>
      <w:r>
        <w:rPr>
          <w:rFonts w:hint="eastAsia" w:ascii="宋体" w:hAnsi="宋体" w:cs="楷体_GB2312"/>
          <w:color w:val="auto"/>
          <w:sz w:val="24"/>
          <w:lang w:val="zh-CN"/>
        </w:rPr>
        <w:t>、验收报告：验收后，由采购</w:t>
      </w:r>
      <w:r>
        <w:rPr>
          <w:rFonts w:hint="eastAsia" w:ascii="宋体" w:hAnsi="宋体" w:cs="楷体_GB2312"/>
          <w:color w:val="auto"/>
          <w:sz w:val="24"/>
        </w:rPr>
        <w:t>人</w:t>
      </w:r>
      <w:r>
        <w:rPr>
          <w:rFonts w:hint="eastAsia" w:ascii="宋体" w:hAnsi="宋体" w:cs="楷体_GB2312"/>
          <w:color w:val="auto"/>
          <w:sz w:val="24"/>
          <w:lang w:val="zh-CN"/>
        </w:rPr>
        <w:t>及专家等出具验收报告（</w:t>
      </w:r>
      <w:r>
        <w:rPr>
          <w:rFonts w:hint="eastAsia" w:ascii="宋体" w:hAnsi="宋体" w:cs="楷体_GB2312"/>
          <w:color w:val="auto"/>
          <w:sz w:val="24"/>
        </w:rPr>
        <w:t>自行验收的，由采购人出具</w:t>
      </w:r>
      <w:r>
        <w:rPr>
          <w:rFonts w:hint="eastAsia" w:ascii="宋体" w:hAnsi="宋体" w:cs="楷体_GB2312"/>
          <w:color w:val="auto"/>
          <w:sz w:val="24"/>
          <w:lang w:val="zh-CN"/>
        </w:rPr>
        <w:t>），国家规定强制性检测的采购项目应附国家认可的专业检测机构出具的验收报告。</w:t>
      </w:r>
    </w:p>
    <w:p w14:paraId="3A328BFB">
      <w:pPr>
        <w:widowControl w:val="0"/>
        <w:tabs>
          <w:tab w:val="left" w:pos="4678"/>
        </w:tabs>
        <w:snapToGrid w:val="0"/>
        <w:spacing w:before="56" w:after="56" w:line="360" w:lineRule="auto"/>
        <w:ind w:right="85" w:firstLine="555"/>
        <w:rPr>
          <w:rFonts w:ascii="宋体"/>
          <w:color w:val="auto"/>
          <w:sz w:val="24"/>
          <w:szCs w:val="24"/>
        </w:rPr>
      </w:pPr>
      <w:r>
        <w:rPr>
          <w:rFonts w:hint="eastAsia" w:ascii="宋体" w:hAnsi="宋体" w:cs="楷体_GB2312"/>
          <w:color w:val="auto"/>
          <w:sz w:val="24"/>
        </w:rPr>
        <w:t>5、</w:t>
      </w:r>
      <w:r>
        <w:rPr>
          <w:rFonts w:hint="eastAsia" w:ascii="宋体" w:hAnsi="宋体" w:cs="楷体_GB2312"/>
          <w:color w:val="auto"/>
          <w:sz w:val="24"/>
          <w:lang w:val="zh-CN"/>
        </w:rPr>
        <w:t>验收中发现成交供应商未按合同约定的时间、地点或方式履约，提供的货物或服务的数量、质量、性能、功能达不到合同约定的，或者提供假冒伪劣产品等违反合同约定的，验收人员应在验收报告中注明违约情形和事项，并应及时通知财政部门。属假冒伪劣产品的，同时向工商管理、质量监督等行政执法部门举报。</w:t>
      </w:r>
    </w:p>
    <w:p w14:paraId="4030DF78">
      <w:pPr>
        <w:widowControl w:val="0"/>
        <w:tabs>
          <w:tab w:val="left" w:pos="4678"/>
        </w:tabs>
        <w:snapToGrid w:val="0"/>
        <w:spacing w:before="56" w:after="56" w:line="360" w:lineRule="auto"/>
        <w:ind w:right="85" w:firstLine="555"/>
        <w:rPr>
          <w:rFonts w:ascii="宋体"/>
          <w:color w:val="auto"/>
          <w:sz w:val="24"/>
          <w:szCs w:val="24"/>
        </w:rPr>
      </w:pPr>
      <w:r>
        <w:rPr>
          <w:rFonts w:ascii="宋体" w:hAnsi="宋体"/>
          <w:color w:val="auto"/>
          <w:sz w:val="24"/>
          <w:szCs w:val="24"/>
        </w:rPr>
        <w:t>26.2</w:t>
      </w:r>
      <w:r>
        <w:rPr>
          <w:rFonts w:hint="eastAsia" w:ascii="宋体" w:hAnsi="宋体"/>
          <w:color w:val="auto"/>
          <w:sz w:val="24"/>
          <w:szCs w:val="24"/>
        </w:rPr>
        <w:t>付款程序：按供应商须知相关条款编列。</w:t>
      </w:r>
    </w:p>
    <w:p w14:paraId="2DF9DCC8">
      <w:pPr>
        <w:widowControl w:val="0"/>
        <w:snapToGrid w:val="0"/>
        <w:spacing w:before="56" w:after="56" w:line="360" w:lineRule="auto"/>
        <w:ind w:right="85" w:firstLine="555"/>
        <w:rPr>
          <w:color w:val="auto"/>
          <w:sz w:val="24"/>
          <w:szCs w:val="24"/>
        </w:rPr>
      </w:pPr>
      <w:r>
        <w:rPr>
          <w:rFonts w:hint="eastAsia" w:ascii="宋体" w:hAnsi="宋体"/>
          <w:color w:val="auto"/>
          <w:sz w:val="24"/>
          <w:szCs w:val="24"/>
        </w:rPr>
        <w:t>26.3合同遵行《保障中小企业款项支付条例》。</w:t>
      </w:r>
    </w:p>
    <w:p w14:paraId="6597A47E">
      <w:pPr>
        <w:widowControl w:val="0"/>
        <w:adjustRightInd w:val="0"/>
        <w:snapToGrid w:val="0"/>
        <w:spacing w:before="120" w:beforeLines="50" w:line="300" w:lineRule="auto"/>
        <w:ind w:firstLine="566"/>
        <w:rPr>
          <w:rFonts w:hint="eastAsia" w:ascii="宋体" w:hAnsi="宋体"/>
          <w:color w:val="auto"/>
          <w:sz w:val="24"/>
          <w:szCs w:val="24"/>
        </w:rPr>
      </w:pPr>
      <w:r>
        <w:rPr>
          <w:rFonts w:hint="eastAsia" w:ascii="宋体"/>
          <w:color w:val="auto"/>
          <w:sz w:val="24"/>
          <w:szCs w:val="24"/>
        </w:rPr>
        <w:t>26.4</w:t>
      </w:r>
      <w:r>
        <w:rPr>
          <w:rFonts w:hint="eastAsia" w:ascii="宋体" w:hAnsi="宋体"/>
          <w:color w:val="auto"/>
          <w:sz w:val="24"/>
          <w:szCs w:val="24"/>
        </w:rPr>
        <w:t>甲方要在合同签订后1个工作日内登录安阳市政府采购网进行备案并公告。</w:t>
      </w:r>
    </w:p>
    <w:p w14:paraId="058E6CB0">
      <w:pPr>
        <w:widowControl w:val="0"/>
        <w:adjustRightInd w:val="0"/>
        <w:snapToGrid w:val="0"/>
        <w:spacing w:before="120" w:beforeLines="50" w:line="300" w:lineRule="auto"/>
        <w:ind w:firstLine="566"/>
        <w:rPr>
          <w:rFonts w:ascii="宋体"/>
          <w:color w:val="auto"/>
          <w:sz w:val="24"/>
          <w:szCs w:val="24"/>
        </w:rPr>
      </w:pPr>
    </w:p>
    <w:p w14:paraId="43EC5987">
      <w:pPr>
        <w:widowControl w:val="0"/>
        <w:tabs>
          <w:tab w:val="left" w:pos="4678"/>
        </w:tabs>
        <w:snapToGrid w:val="0"/>
        <w:spacing w:before="56" w:after="56" w:line="360" w:lineRule="auto"/>
        <w:ind w:right="85" w:firstLine="555"/>
        <w:rPr>
          <w:color w:val="auto"/>
          <w:sz w:val="24"/>
          <w:szCs w:val="24"/>
        </w:rPr>
      </w:pPr>
      <w:r>
        <w:rPr>
          <w:rFonts w:hint="eastAsia" w:ascii="宋体" w:hAnsi="宋体"/>
          <w:color w:val="auto"/>
          <w:sz w:val="24"/>
          <w:szCs w:val="24"/>
        </w:rPr>
        <w:t>注：本合同仅供参考，以双方实际签订合同为准。</w:t>
      </w:r>
    </w:p>
    <w:p w14:paraId="5D3375B8">
      <w:pPr>
        <w:widowControl w:val="0"/>
        <w:snapToGrid w:val="0"/>
        <w:spacing w:line="360" w:lineRule="auto"/>
        <w:ind w:firstLine="480" w:firstLineChars="200"/>
        <w:rPr>
          <w:color w:val="auto"/>
          <w:sz w:val="24"/>
          <w:szCs w:val="24"/>
          <w:u w:val="single"/>
        </w:rPr>
      </w:pPr>
    </w:p>
    <w:p w14:paraId="1A380058">
      <w:pPr>
        <w:spacing w:line="240" w:lineRule="auto"/>
        <w:jc w:val="left"/>
        <w:textAlignment w:val="auto"/>
        <w:rPr>
          <w:rFonts w:ascii="宋体"/>
          <w:b/>
          <w:color w:val="auto"/>
          <w:sz w:val="36"/>
          <w:szCs w:val="36"/>
          <w:lang w:val="zh-CN"/>
        </w:rPr>
      </w:pPr>
      <w:r>
        <w:rPr>
          <w:rFonts w:ascii="宋体"/>
          <w:b/>
          <w:color w:val="auto"/>
          <w:sz w:val="36"/>
          <w:szCs w:val="36"/>
          <w:lang w:val="zh-CN"/>
        </w:rPr>
        <w:br w:type="page"/>
      </w:r>
    </w:p>
    <w:p w14:paraId="7171E40B">
      <w:pPr>
        <w:autoSpaceDE w:val="0"/>
        <w:autoSpaceDN w:val="0"/>
        <w:adjustRightInd w:val="0"/>
        <w:spacing w:line="360" w:lineRule="auto"/>
        <w:jc w:val="center"/>
        <w:outlineLvl w:val="0"/>
        <w:rPr>
          <w:rFonts w:hint="eastAsia" w:ascii="黑体" w:hAnsi="黑体" w:eastAsia="黑体"/>
          <w:b/>
          <w:color w:val="auto"/>
          <w:sz w:val="36"/>
          <w:szCs w:val="36"/>
          <w:lang w:val="zh-CN"/>
        </w:rPr>
      </w:pPr>
      <w:bookmarkStart w:id="49" w:name="_Toc11804"/>
      <w:r>
        <w:rPr>
          <w:rFonts w:hint="eastAsia" w:ascii="黑体" w:hAnsi="黑体" w:eastAsia="黑体"/>
          <w:b/>
          <w:color w:val="auto"/>
          <w:sz w:val="36"/>
          <w:szCs w:val="36"/>
          <w:lang w:val="zh-CN"/>
        </w:rPr>
        <w:t>第六章</w:t>
      </w:r>
      <w:r>
        <w:rPr>
          <w:rFonts w:ascii="黑体" w:hAnsi="黑体" w:eastAsia="黑体"/>
          <w:b/>
          <w:color w:val="auto"/>
          <w:sz w:val="36"/>
          <w:szCs w:val="36"/>
          <w:lang w:val="zh-CN"/>
        </w:rPr>
        <w:t xml:space="preserve">  </w:t>
      </w:r>
      <w:r>
        <w:rPr>
          <w:rFonts w:hint="eastAsia" w:ascii="黑体" w:hAnsi="黑体" w:eastAsia="黑体"/>
          <w:b/>
          <w:color w:val="auto"/>
          <w:sz w:val="36"/>
          <w:szCs w:val="36"/>
          <w:lang w:val="zh-CN"/>
        </w:rPr>
        <w:t>《响应文件》格式</w:t>
      </w:r>
      <w:bookmarkEnd w:id="49"/>
    </w:p>
    <w:p w14:paraId="39465D0D">
      <w:pPr>
        <w:autoSpaceDE w:val="0"/>
        <w:autoSpaceDN w:val="0"/>
        <w:adjustRightInd w:val="0"/>
        <w:spacing w:line="276" w:lineRule="auto"/>
        <w:ind w:firstLine="514" w:firstLineChars="245"/>
        <w:jc w:val="left"/>
        <w:rPr>
          <w:rFonts w:ascii="宋体"/>
          <w:color w:val="auto"/>
          <w:sz w:val="36"/>
          <w:szCs w:val="36"/>
          <w:lang w:val="zh-CN"/>
        </w:rPr>
      </w:pPr>
      <w:r>
        <w:rPr>
          <w:rFonts w:hint="eastAsia" w:ascii="宋体" w:hAnsi="宋体"/>
          <w:color w:val="auto"/>
          <w:szCs w:val="21"/>
          <w:lang w:val="zh-CN"/>
        </w:rPr>
        <w:t>供应商应按“供应商须知</w:t>
      </w:r>
      <w:r>
        <w:rPr>
          <w:rFonts w:ascii="宋体"/>
          <w:color w:val="auto"/>
          <w:szCs w:val="21"/>
          <w:lang w:val="zh-CN"/>
        </w:rPr>
        <w:t>--</w:t>
      </w:r>
      <w:r>
        <w:rPr>
          <w:rFonts w:hint="eastAsia" w:ascii="宋体" w:hAnsi="宋体"/>
          <w:color w:val="auto"/>
          <w:szCs w:val="21"/>
          <w:lang w:val="zh-CN"/>
        </w:rPr>
        <w:t>《响应文件》的组成”列示内容编制《响应文件》，本章“《响应文件》格式”仅为对《响应文件》部分内容的格式化规范，并非《响应文件》所应具备的全部内容</w:t>
      </w:r>
      <w:r>
        <w:rPr>
          <w:rFonts w:hint="eastAsia" w:ascii="宋体" w:hAnsi="宋体"/>
          <w:color w:val="auto"/>
          <w:sz w:val="36"/>
          <w:szCs w:val="36"/>
          <w:lang w:val="zh-CN"/>
        </w:rPr>
        <w:t>。</w:t>
      </w:r>
    </w:p>
    <w:p w14:paraId="5B6C9AA8">
      <w:pPr>
        <w:autoSpaceDE w:val="0"/>
        <w:autoSpaceDN w:val="0"/>
        <w:adjustRightInd w:val="0"/>
        <w:spacing w:line="276" w:lineRule="auto"/>
        <w:ind w:firstLine="882" w:firstLineChars="245"/>
        <w:jc w:val="left"/>
        <w:rPr>
          <w:rFonts w:ascii="宋体"/>
          <w:color w:val="auto"/>
          <w:sz w:val="36"/>
          <w:szCs w:val="36"/>
          <w:lang w:val="zh-CN"/>
        </w:rPr>
      </w:pPr>
    </w:p>
    <w:p w14:paraId="7075FE30">
      <w:pPr>
        <w:autoSpaceDE w:val="0"/>
        <w:autoSpaceDN w:val="0"/>
        <w:adjustRightInd w:val="0"/>
        <w:spacing w:line="360" w:lineRule="auto"/>
        <w:ind w:right="-817"/>
        <w:rPr>
          <w:rFonts w:ascii="宋体"/>
          <w:color w:val="auto"/>
          <w:sz w:val="24"/>
          <w:u w:val="single"/>
        </w:rPr>
      </w:pPr>
    </w:p>
    <w:p w14:paraId="79A56B80">
      <w:pPr>
        <w:autoSpaceDE w:val="0"/>
        <w:autoSpaceDN w:val="0"/>
        <w:adjustRightInd w:val="0"/>
        <w:spacing w:line="360" w:lineRule="auto"/>
        <w:ind w:firstLine="480" w:firstLineChars="200"/>
        <w:jc w:val="left"/>
        <w:rPr>
          <w:rFonts w:ascii="宋体"/>
          <w:color w:val="auto"/>
          <w:sz w:val="24"/>
          <w:u w:val="single"/>
        </w:rPr>
      </w:pPr>
    </w:p>
    <w:p w14:paraId="5A19F546">
      <w:pPr>
        <w:autoSpaceDE w:val="0"/>
        <w:autoSpaceDN w:val="0"/>
        <w:adjustRightInd w:val="0"/>
        <w:spacing w:line="360" w:lineRule="auto"/>
        <w:jc w:val="left"/>
        <w:rPr>
          <w:rFonts w:ascii="宋体"/>
          <w:color w:val="auto"/>
          <w:sz w:val="44"/>
          <w:szCs w:val="44"/>
          <w:u w:val="single"/>
        </w:rPr>
      </w:pPr>
      <w:r>
        <w:rPr>
          <w:rFonts w:hint="eastAsia" w:ascii="宋体" w:hAnsi="宋体"/>
          <w:color w:val="auto"/>
          <w:sz w:val="44"/>
          <w:szCs w:val="44"/>
        </w:rPr>
        <w:t>项目名称：</w:t>
      </w:r>
      <w:r>
        <w:rPr>
          <w:rFonts w:ascii="宋体" w:hAnsi="宋体"/>
          <w:color w:val="auto"/>
          <w:sz w:val="44"/>
          <w:szCs w:val="44"/>
          <w:u w:val="single"/>
        </w:rPr>
        <w:t xml:space="preserve">                                </w:t>
      </w:r>
    </w:p>
    <w:p w14:paraId="30E36E4D">
      <w:pPr>
        <w:autoSpaceDE w:val="0"/>
        <w:autoSpaceDN w:val="0"/>
        <w:adjustRightInd w:val="0"/>
        <w:spacing w:line="360" w:lineRule="auto"/>
        <w:rPr>
          <w:rFonts w:ascii="宋体"/>
          <w:color w:val="auto"/>
          <w:sz w:val="24"/>
          <w:u w:val="single"/>
        </w:rPr>
      </w:pPr>
      <w:r>
        <w:rPr>
          <w:rFonts w:hint="eastAsia" w:ascii="宋体" w:hAnsi="宋体"/>
          <w:color w:val="auto"/>
          <w:sz w:val="44"/>
          <w:szCs w:val="44"/>
        </w:rPr>
        <w:t>项目编号：</w:t>
      </w:r>
      <w:r>
        <w:rPr>
          <w:rFonts w:ascii="宋体" w:hAnsi="宋体"/>
          <w:color w:val="auto"/>
          <w:sz w:val="44"/>
          <w:szCs w:val="44"/>
          <w:u w:val="single"/>
        </w:rPr>
        <w:t xml:space="preserve">                                </w:t>
      </w:r>
    </w:p>
    <w:p w14:paraId="200B3AB8">
      <w:pPr>
        <w:autoSpaceDE w:val="0"/>
        <w:autoSpaceDN w:val="0"/>
        <w:adjustRightInd w:val="0"/>
        <w:spacing w:line="360" w:lineRule="auto"/>
        <w:jc w:val="left"/>
        <w:rPr>
          <w:rFonts w:ascii="宋体"/>
          <w:color w:val="auto"/>
          <w:sz w:val="84"/>
          <w:szCs w:val="84"/>
        </w:rPr>
      </w:pPr>
    </w:p>
    <w:p w14:paraId="69D867E7">
      <w:pPr>
        <w:autoSpaceDE w:val="0"/>
        <w:autoSpaceDN w:val="0"/>
        <w:adjustRightInd w:val="0"/>
        <w:spacing w:line="360" w:lineRule="auto"/>
        <w:jc w:val="center"/>
        <w:rPr>
          <w:rFonts w:hint="eastAsia" w:ascii="黑体" w:hAnsi="黑体" w:eastAsia="黑体"/>
          <w:b/>
          <w:color w:val="auto"/>
          <w:spacing w:val="60"/>
          <w:sz w:val="84"/>
          <w:szCs w:val="84"/>
        </w:rPr>
      </w:pPr>
      <w:r>
        <w:rPr>
          <w:rFonts w:hint="eastAsia" w:ascii="黑体" w:hAnsi="黑体" w:eastAsia="黑体"/>
          <w:b/>
          <w:color w:val="auto"/>
          <w:spacing w:val="60"/>
          <w:sz w:val="84"/>
          <w:szCs w:val="84"/>
        </w:rPr>
        <w:t>响</w:t>
      </w:r>
      <w:r>
        <w:rPr>
          <w:rFonts w:ascii="黑体" w:hAnsi="黑体" w:eastAsia="黑体"/>
          <w:b/>
          <w:color w:val="auto"/>
          <w:spacing w:val="60"/>
          <w:sz w:val="84"/>
          <w:szCs w:val="84"/>
        </w:rPr>
        <w:t xml:space="preserve"> </w:t>
      </w:r>
      <w:r>
        <w:rPr>
          <w:rFonts w:hint="eastAsia" w:ascii="黑体" w:hAnsi="黑体" w:eastAsia="黑体"/>
          <w:b/>
          <w:color w:val="auto"/>
          <w:spacing w:val="60"/>
          <w:sz w:val="84"/>
          <w:szCs w:val="84"/>
        </w:rPr>
        <w:t>应</w:t>
      </w:r>
      <w:r>
        <w:rPr>
          <w:rFonts w:ascii="黑体" w:hAnsi="黑体" w:eastAsia="黑体"/>
          <w:b/>
          <w:color w:val="auto"/>
          <w:spacing w:val="60"/>
          <w:sz w:val="84"/>
          <w:szCs w:val="84"/>
        </w:rPr>
        <w:t xml:space="preserve"> </w:t>
      </w:r>
      <w:r>
        <w:rPr>
          <w:rFonts w:hint="eastAsia" w:ascii="黑体" w:hAnsi="黑体" w:eastAsia="黑体"/>
          <w:b/>
          <w:color w:val="auto"/>
          <w:spacing w:val="60"/>
          <w:sz w:val="84"/>
          <w:szCs w:val="84"/>
        </w:rPr>
        <w:t>文</w:t>
      </w:r>
      <w:r>
        <w:rPr>
          <w:rFonts w:ascii="黑体" w:hAnsi="黑体" w:eastAsia="黑体"/>
          <w:b/>
          <w:color w:val="auto"/>
          <w:spacing w:val="60"/>
          <w:sz w:val="84"/>
          <w:szCs w:val="84"/>
        </w:rPr>
        <w:t xml:space="preserve"> </w:t>
      </w:r>
      <w:r>
        <w:rPr>
          <w:rFonts w:hint="eastAsia" w:ascii="黑体" w:hAnsi="黑体" w:eastAsia="黑体"/>
          <w:b/>
          <w:color w:val="auto"/>
          <w:spacing w:val="60"/>
          <w:sz w:val="84"/>
          <w:szCs w:val="84"/>
        </w:rPr>
        <w:t>件</w:t>
      </w:r>
    </w:p>
    <w:p w14:paraId="2E16F890">
      <w:pPr>
        <w:autoSpaceDE w:val="0"/>
        <w:autoSpaceDN w:val="0"/>
        <w:adjustRightInd w:val="0"/>
        <w:spacing w:line="360" w:lineRule="auto"/>
        <w:jc w:val="center"/>
        <w:rPr>
          <w:rFonts w:ascii="宋体"/>
          <w:color w:val="auto"/>
          <w:sz w:val="24"/>
        </w:rPr>
      </w:pPr>
    </w:p>
    <w:p w14:paraId="424A7884">
      <w:pPr>
        <w:autoSpaceDE w:val="0"/>
        <w:autoSpaceDN w:val="0"/>
        <w:adjustRightInd w:val="0"/>
        <w:spacing w:line="360" w:lineRule="auto"/>
        <w:jc w:val="center"/>
        <w:rPr>
          <w:rFonts w:ascii="宋体"/>
          <w:color w:val="auto"/>
          <w:sz w:val="24"/>
        </w:rPr>
      </w:pPr>
    </w:p>
    <w:p w14:paraId="3DFE2F61">
      <w:pPr>
        <w:autoSpaceDE w:val="0"/>
        <w:autoSpaceDN w:val="0"/>
        <w:adjustRightInd w:val="0"/>
        <w:spacing w:line="360" w:lineRule="auto"/>
        <w:jc w:val="center"/>
        <w:rPr>
          <w:rFonts w:ascii="宋体"/>
          <w:color w:val="auto"/>
          <w:sz w:val="24"/>
        </w:rPr>
      </w:pPr>
    </w:p>
    <w:p w14:paraId="5B6C6465">
      <w:pPr>
        <w:autoSpaceDE w:val="0"/>
        <w:autoSpaceDN w:val="0"/>
        <w:adjustRightInd w:val="0"/>
        <w:spacing w:line="360" w:lineRule="auto"/>
        <w:jc w:val="center"/>
        <w:rPr>
          <w:rFonts w:ascii="宋体"/>
          <w:color w:val="auto"/>
          <w:sz w:val="24"/>
        </w:rPr>
      </w:pPr>
    </w:p>
    <w:p w14:paraId="68544D75">
      <w:pPr>
        <w:pStyle w:val="51"/>
        <w:spacing w:line="360" w:lineRule="auto"/>
        <w:rPr>
          <w:rFonts w:hint="eastAsia" w:hAnsi="宋体"/>
          <w:color w:val="auto"/>
          <w:szCs w:val="24"/>
          <w:u w:val="single"/>
        </w:rPr>
      </w:pPr>
    </w:p>
    <w:p w14:paraId="052C6862">
      <w:pPr>
        <w:pStyle w:val="51"/>
        <w:spacing w:line="360" w:lineRule="auto"/>
        <w:jc w:val="both"/>
        <w:rPr>
          <w:rFonts w:hint="eastAsia" w:hAnsi="宋体"/>
          <w:color w:val="auto"/>
          <w:sz w:val="28"/>
          <w:szCs w:val="28"/>
          <w:u w:val="single"/>
        </w:rPr>
      </w:pPr>
      <w:r>
        <w:rPr>
          <w:rFonts w:hAnsi="宋体"/>
          <w:color w:val="auto"/>
          <w:sz w:val="28"/>
          <w:szCs w:val="28"/>
        </w:rPr>
        <w:t xml:space="preserve">  </w:t>
      </w:r>
      <w:r>
        <w:rPr>
          <w:rFonts w:hint="eastAsia" w:hAnsi="宋体"/>
          <w:color w:val="auto"/>
          <w:sz w:val="28"/>
          <w:szCs w:val="28"/>
        </w:rPr>
        <w:t>供应商（电子签章）：</w:t>
      </w:r>
      <w:r>
        <w:rPr>
          <w:rFonts w:hAnsi="宋体"/>
          <w:color w:val="auto"/>
          <w:sz w:val="28"/>
          <w:szCs w:val="28"/>
          <w:u w:val="single"/>
        </w:rPr>
        <w:t xml:space="preserve">                                    </w:t>
      </w:r>
    </w:p>
    <w:p w14:paraId="13AD3A24">
      <w:pPr>
        <w:pStyle w:val="51"/>
        <w:spacing w:line="360" w:lineRule="auto"/>
        <w:ind w:firstLine="280" w:firstLineChars="100"/>
        <w:rPr>
          <w:rFonts w:hint="eastAsia" w:hAnsi="宋体"/>
          <w:color w:val="auto"/>
          <w:sz w:val="28"/>
          <w:szCs w:val="28"/>
        </w:rPr>
      </w:pPr>
    </w:p>
    <w:p w14:paraId="779C35F1">
      <w:pPr>
        <w:pStyle w:val="51"/>
        <w:spacing w:line="360" w:lineRule="auto"/>
        <w:ind w:firstLine="280" w:firstLineChars="100"/>
        <w:rPr>
          <w:rFonts w:hint="eastAsia" w:hAnsi="宋体"/>
          <w:color w:val="auto"/>
          <w:sz w:val="28"/>
          <w:szCs w:val="28"/>
          <w:u w:val="single"/>
        </w:rPr>
      </w:pPr>
      <w:r>
        <w:rPr>
          <w:rFonts w:hint="eastAsia" w:hAnsi="宋体"/>
          <w:color w:val="auto"/>
          <w:sz w:val="28"/>
          <w:szCs w:val="28"/>
        </w:rPr>
        <w:t>法定代表人（电子签名或签章）：</w:t>
      </w:r>
      <w:r>
        <w:rPr>
          <w:rFonts w:hAnsi="宋体"/>
          <w:color w:val="auto"/>
          <w:sz w:val="28"/>
          <w:szCs w:val="28"/>
          <w:u w:val="single"/>
        </w:rPr>
        <w:t xml:space="preserve">                              </w:t>
      </w:r>
    </w:p>
    <w:p w14:paraId="3ECE479A">
      <w:pPr>
        <w:pStyle w:val="51"/>
        <w:spacing w:line="360" w:lineRule="auto"/>
        <w:jc w:val="center"/>
        <w:rPr>
          <w:rFonts w:hint="eastAsia" w:hAnsi="宋体"/>
          <w:color w:val="auto"/>
          <w:sz w:val="28"/>
          <w:szCs w:val="28"/>
        </w:rPr>
      </w:pPr>
    </w:p>
    <w:p w14:paraId="0A9DABE6">
      <w:pPr>
        <w:pStyle w:val="51"/>
        <w:spacing w:line="360" w:lineRule="auto"/>
        <w:jc w:val="both"/>
        <w:rPr>
          <w:rFonts w:hint="eastAsia" w:hAnsi="宋体"/>
          <w:color w:val="auto"/>
          <w:sz w:val="28"/>
          <w:szCs w:val="28"/>
        </w:rPr>
      </w:pPr>
    </w:p>
    <w:p w14:paraId="5DD85EEF">
      <w:pPr>
        <w:widowControl w:val="0"/>
        <w:tabs>
          <w:tab w:val="left" w:pos="9365"/>
        </w:tabs>
        <w:snapToGrid w:val="0"/>
        <w:spacing w:before="56" w:after="56" w:line="560" w:lineRule="atLeast"/>
        <w:jc w:val="left"/>
        <w:textAlignment w:val="top"/>
        <w:rPr>
          <w:color w:val="auto"/>
          <w:sz w:val="28"/>
        </w:rPr>
      </w:pPr>
      <w:r>
        <w:rPr>
          <w:rFonts w:ascii="宋体" w:cs="楷体_GB2312"/>
          <w:b/>
          <w:bCs/>
          <w:color w:val="auto"/>
          <w:sz w:val="44"/>
          <w:szCs w:val="44"/>
          <w:lang w:val="zh-CN"/>
        </w:rPr>
        <w:br w:type="page"/>
      </w:r>
      <w:bookmarkStart w:id="50" w:name="OLE_LINK35"/>
      <w:bookmarkStart w:id="51" w:name="OLE_LINK10"/>
    </w:p>
    <w:p w14:paraId="50BEE27F">
      <w:pPr>
        <w:spacing w:line="351" w:lineRule="atLeast"/>
        <w:ind w:left="419"/>
        <w:jc w:val="center"/>
        <w:rPr>
          <w:rFonts w:ascii="黑体" w:eastAsia="黑体"/>
          <w:b/>
          <w:color w:val="auto"/>
          <w:spacing w:val="60"/>
          <w:sz w:val="36"/>
          <w:szCs w:val="36"/>
        </w:rPr>
      </w:pPr>
      <w:r>
        <w:rPr>
          <w:rFonts w:hint="eastAsia" w:ascii="黑体" w:eastAsia="黑体"/>
          <w:b/>
          <w:color w:val="auto"/>
          <w:spacing w:val="60"/>
          <w:sz w:val="36"/>
          <w:szCs w:val="36"/>
        </w:rPr>
        <w:t>一、投标书</w:t>
      </w:r>
      <w:bookmarkEnd w:id="50"/>
    </w:p>
    <w:bookmarkEnd w:id="51"/>
    <w:p w14:paraId="4603FCA6">
      <w:pPr>
        <w:widowControl w:val="0"/>
        <w:snapToGrid w:val="0"/>
        <w:spacing w:line="560" w:lineRule="exact"/>
        <w:rPr>
          <w:color w:val="auto"/>
          <w:sz w:val="28"/>
        </w:rPr>
      </w:pPr>
    </w:p>
    <w:p w14:paraId="22005655">
      <w:pPr>
        <w:widowControl w:val="0"/>
        <w:snapToGrid w:val="0"/>
        <w:spacing w:line="360" w:lineRule="auto"/>
        <w:rPr>
          <w:color w:val="auto"/>
          <w:sz w:val="24"/>
          <w:szCs w:val="24"/>
        </w:rPr>
      </w:pPr>
      <w:r>
        <w:rPr>
          <w:rFonts w:hint="eastAsia"/>
          <w:color w:val="auto"/>
          <w:sz w:val="24"/>
          <w:szCs w:val="24"/>
        </w:rPr>
        <w:t>致：安阳市方正招标采购服务有限责任公司</w:t>
      </w:r>
    </w:p>
    <w:p w14:paraId="01FCAF2F">
      <w:pPr>
        <w:widowControl w:val="0"/>
        <w:snapToGrid w:val="0"/>
        <w:spacing w:line="360" w:lineRule="auto"/>
        <w:ind w:firstLine="578"/>
        <w:textAlignment w:val="top"/>
        <w:rPr>
          <w:color w:val="auto"/>
          <w:sz w:val="24"/>
          <w:szCs w:val="24"/>
        </w:rPr>
      </w:pPr>
      <w:r>
        <w:rPr>
          <w:rFonts w:hint="eastAsia"/>
          <w:color w:val="auto"/>
          <w:sz w:val="24"/>
          <w:szCs w:val="24"/>
        </w:rPr>
        <w:t>根据贵方竞争性磋商</w:t>
      </w:r>
      <w:r>
        <w:rPr>
          <w:rFonts w:hint="eastAsia"/>
          <w:color w:val="auto"/>
          <w:sz w:val="18"/>
          <w:szCs w:val="18"/>
          <w:u w:val="single"/>
        </w:rPr>
        <w:t>（项目名称）</w:t>
      </w:r>
      <w:r>
        <w:rPr>
          <w:color w:val="auto"/>
          <w:sz w:val="18"/>
          <w:szCs w:val="18"/>
          <w:u w:val="single"/>
        </w:rPr>
        <w:t xml:space="preserve">               </w:t>
      </w:r>
      <w:r>
        <w:rPr>
          <w:rFonts w:hint="eastAsia"/>
          <w:color w:val="auto"/>
          <w:sz w:val="24"/>
          <w:szCs w:val="24"/>
        </w:rPr>
        <w:t>的《磋商文件》（项目编号：</w:t>
      </w:r>
      <w:r>
        <w:rPr>
          <w:color w:val="auto"/>
          <w:sz w:val="24"/>
          <w:szCs w:val="24"/>
          <w:u w:val="single"/>
        </w:rPr>
        <w:t xml:space="preserve">         </w:t>
      </w:r>
      <w:r>
        <w:rPr>
          <w:rFonts w:hint="eastAsia"/>
          <w:color w:val="auto"/>
          <w:sz w:val="24"/>
          <w:szCs w:val="24"/>
        </w:rPr>
        <w:t>），经详细研究，我们决定参加该项目的采购活动并按要求提交《响应文件》。我们郑重声明对我单位提交的所有投标资料的真实准确完整承担完全责任、并对之负法律责任。</w:t>
      </w:r>
    </w:p>
    <w:p w14:paraId="55D9494F">
      <w:pPr>
        <w:adjustRightInd w:val="0"/>
        <w:snapToGrid w:val="0"/>
        <w:spacing w:line="300" w:lineRule="auto"/>
        <w:ind w:firstLine="539"/>
        <w:textAlignment w:val="top"/>
        <w:rPr>
          <w:color w:val="auto"/>
          <w:sz w:val="24"/>
          <w:szCs w:val="24"/>
        </w:rPr>
      </w:pPr>
    </w:p>
    <w:p w14:paraId="0BDE2E20">
      <w:pPr>
        <w:adjustRightInd w:val="0"/>
        <w:snapToGrid w:val="0"/>
        <w:spacing w:line="300" w:lineRule="auto"/>
        <w:ind w:firstLine="539"/>
        <w:textAlignment w:val="top"/>
        <w:rPr>
          <w:color w:val="auto"/>
          <w:sz w:val="24"/>
        </w:rPr>
      </w:pPr>
      <w:r>
        <w:rPr>
          <w:rFonts w:hint="eastAsia"/>
          <w:color w:val="auto"/>
          <w:sz w:val="24"/>
        </w:rPr>
        <w:t>（</w:t>
      </w:r>
      <w:r>
        <w:rPr>
          <w:color w:val="auto"/>
          <w:sz w:val="24"/>
        </w:rPr>
        <w:t>1</w:t>
      </w:r>
      <w:r>
        <w:rPr>
          <w:rFonts w:hint="eastAsia"/>
          <w:color w:val="auto"/>
          <w:sz w:val="24"/>
        </w:rPr>
        <w:t>）投标书。</w:t>
      </w:r>
    </w:p>
    <w:p w14:paraId="659C449C">
      <w:pPr>
        <w:adjustRightInd w:val="0"/>
        <w:snapToGrid w:val="0"/>
        <w:spacing w:line="300" w:lineRule="auto"/>
        <w:ind w:firstLine="539"/>
        <w:textAlignment w:val="top"/>
        <w:rPr>
          <w:rFonts w:hint="eastAsia" w:ascii="宋体" w:hAnsi="宋体"/>
          <w:color w:val="auto"/>
          <w:sz w:val="24"/>
          <w:szCs w:val="24"/>
        </w:rPr>
      </w:pPr>
      <w:r>
        <w:rPr>
          <w:rFonts w:hint="eastAsia" w:ascii="宋体" w:hAnsi="宋体" w:cs="楷体_GB2312"/>
          <w:color w:val="auto"/>
          <w:sz w:val="24"/>
          <w:lang w:val="zh-CN"/>
        </w:rPr>
        <w:t>（</w:t>
      </w:r>
      <w:r>
        <w:rPr>
          <w:rFonts w:ascii="宋体" w:hAnsi="宋体" w:cs="楷体_GB2312"/>
          <w:color w:val="auto"/>
          <w:sz w:val="24"/>
          <w:lang w:val="zh-CN"/>
        </w:rPr>
        <w:t>2</w:t>
      </w:r>
      <w:r>
        <w:rPr>
          <w:rFonts w:hint="eastAsia" w:ascii="宋体" w:hAnsi="宋体" w:cs="楷体_GB2312"/>
          <w:color w:val="auto"/>
          <w:sz w:val="24"/>
          <w:lang w:val="zh-CN"/>
        </w:rPr>
        <w:t>）</w:t>
      </w:r>
      <w:r>
        <w:rPr>
          <w:rFonts w:hint="eastAsia" w:ascii="宋体" w:hAnsi="宋体"/>
          <w:color w:val="auto"/>
          <w:sz w:val="24"/>
          <w:szCs w:val="24"/>
        </w:rPr>
        <w:t>开标一览表（即交易系统中报价一览表）</w:t>
      </w:r>
    </w:p>
    <w:p w14:paraId="3700FD59">
      <w:pPr>
        <w:adjustRightInd w:val="0"/>
        <w:snapToGrid w:val="0"/>
        <w:spacing w:line="300" w:lineRule="auto"/>
        <w:ind w:firstLine="539"/>
        <w:textAlignment w:val="top"/>
        <w:rPr>
          <w:rFonts w:hint="eastAsia" w:ascii="宋体" w:hAnsi="宋体" w:cs="楷体_GB2312"/>
          <w:color w:val="auto"/>
          <w:sz w:val="24"/>
          <w:lang w:val="zh-CN"/>
        </w:rPr>
      </w:pPr>
      <w:r>
        <w:rPr>
          <w:rFonts w:hint="eastAsia" w:ascii="宋体" w:hAnsi="宋体" w:cs="楷体_GB2312"/>
          <w:color w:val="auto"/>
          <w:sz w:val="24"/>
          <w:lang w:val="zh-CN"/>
        </w:rPr>
        <w:t>（</w:t>
      </w:r>
      <w:r>
        <w:rPr>
          <w:rFonts w:ascii="宋体" w:hAnsi="宋体" w:cs="楷体_GB2312"/>
          <w:color w:val="auto"/>
          <w:sz w:val="24"/>
          <w:lang w:val="zh-CN"/>
        </w:rPr>
        <w:t>3</w:t>
      </w:r>
      <w:r>
        <w:rPr>
          <w:rFonts w:hint="eastAsia" w:ascii="宋体" w:hAnsi="宋体" w:cs="楷体_GB2312"/>
          <w:color w:val="auto"/>
          <w:sz w:val="24"/>
          <w:lang w:val="zh-CN"/>
        </w:rPr>
        <w:t>）第一次</w:t>
      </w:r>
      <w:r>
        <w:rPr>
          <w:rFonts w:hint="eastAsia"/>
          <w:color w:val="auto"/>
          <w:sz w:val="24"/>
        </w:rPr>
        <w:t>报价明细表（或预算书）</w:t>
      </w:r>
    </w:p>
    <w:p w14:paraId="3C040FA8">
      <w:pPr>
        <w:adjustRightInd w:val="0"/>
        <w:snapToGrid w:val="0"/>
        <w:spacing w:line="300" w:lineRule="auto"/>
        <w:ind w:firstLine="539"/>
        <w:textAlignment w:val="top"/>
        <w:rPr>
          <w:color w:val="auto"/>
          <w:sz w:val="24"/>
        </w:rPr>
      </w:pPr>
      <w:r>
        <w:rPr>
          <w:rFonts w:hint="eastAsia" w:ascii="宋体" w:hAnsi="宋体" w:cs="楷体_GB2312"/>
          <w:color w:val="auto"/>
          <w:sz w:val="24"/>
          <w:lang w:val="zh-CN"/>
        </w:rPr>
        <w:t>（</w:t>
      </w:r>
      <w:r>
        <w:rPr>
          <w:rFonts w:ascii="宋体" w:hAnsi="宋体" w:cs="楷体_GB2312"/>
          <w:color w:val="auto"/>
          <w:sz w:val="24"/>
          <w:lang w:val="zh-CN"/>
        </w:rPr>
        <w:t>4</w:t>
      </w:r>
      <w:r>
        <w:rPr>
          <w:rFonts w:hint="eastAsia" w:ascii="宋体" w:hAnsi="宋体" w:cs="楷体_GB2312"/>
          <w:color w:val="auto"/>
          <w:sz w:val="24"/>
          <w:lang w:val="zh-CN"/>
        </w:rPr>
        <w:t>）</w:t>
      </w:r>
      <w:r>
        <w:rPr>
          <w:rFonts w:hint="eastAsia"/>
          <w:color w:val="auto"/>
          <w:sz w:val="24"/>
        </w:rPr>
        <w:t>施工方案</w:t>
      </w:r>
    </w:p>
    <w:p w14:paraId="02D96F16">
      <w:pPr>
        <w:autoSpaceDE w:val="0"/>
        <w:autoSpaceDN w:val="0"/>
        <w:adjustRightInd w:val="0"/>
        <w:snapToGrid w:val="0"/>
        <w:spacing w:line="300" w:lineRule="auto"/>
        <w:ind w:firstLine="520" w:firstLineChars="217"/>
        <w:rPr>
          <w:rFonts w:hint="eastAsia" w:ascii="宋体" w:hAnsi="宋体"/>
          <w:color w:val="auto"/>
          <w:sz w:val="24"/>
        </w:rPr>
      </w:pPr>
      <w:r>
        <w:rPr>
          <w:rFonts w:hint="eastAsia"/>
          <w:color w:val="auto"/>
          <w:sz w:val="24"/>
        </w:rPr>
        <w:t>（5）</w:t>
      </w:r>
      <w:r>
        <w:rPr>
          <w:rFonts w:hint="eastAsia" w:ascii="宋体" w:hAnsi="宋体"/>
          <w:color w:val="auto"/>
          <w:sz w:val="24"/>
        </w:rPr>
        <w:t>工程质量保修书</w:t>
      </w:r>
    </w:p>
    <w:p w14:paraId="6A87444E">
      <w:pPr>
        <w:autoSpaceDE w:val="0"/>
        <w:autoSpaceDN w:val="0"/>
        <w:adjustRightInd w:val="0"/>
        <w:snapToGrid w:val="0"/>
        <w:spacing w:line="300" w:lineRule="auto"/>
        <w:ind w:firstLine="520" w:firstLineChars="217"/>
        <w:rPr>
          <w:rFonts w:hint="eastAsia" w:ascii="宋体" w:hAnsi="宋体"/>
          <w:color w:val="auto"/>
          <w:sz w:val="24"/>
        </w:rPr>
      </w:pPr>
      <w:r>
        <w:rPr>
          <w:rFonts w:hint="eastAsia"/>
          <w:color w:val="auto"/>
          <w:sz w:val="24"/>
        </w:rPr>
        <w:t>（6）</w:t>
      </w:r>
      <w:r>
        <w:rPr>
          <w:rFonts w:hint="eastAsia" w:ascii="宋体" w:hAnsi="宋体"/>
          <w:color w:val="auto"/>
          <w:sz w:val="24"/>
        </w:rPr>
        <w:t>工程质量、安全、工期承诺书</w:t>
      </w:r>
    </w:p>
    <w:p w14:paraId="62544FB5">
      <w:pPr>
        <w:adjustRightInd w:val="0"/>
        <w:snapToGrid w:val="0"/>
        <w:spacing w:line="300" w:lineRule="auto"/>
        <w:ind w:firstLine="539"/>
        <w:textAlignment w:val="top"/>
        <w:rPr>
          <w:color w:val="auto"/>
          <w:sz w:val="24"/>
        </w:rPr>
      </w:pPr>
      <w:r>
        <w:rPr>
          <w:rFonts w:hint="eastAsia" w:ascii="宋体" w:hAnsi="宋体" w:cs="楷体_GB2312"/>
          <w:color w:val="auto"/>
          <w:sz w:val="24"/>
          <w:lang w:val="zh-CN"/>
        </w:rPr>
        <w:t>（7）</w:t>
      </w:r>
      <w:r>
        <w:rPr>
          <w:rFonts w:hint="eastAsia"/>
          <w:color w:val="auto"/>
          <w:sz w:val="24"/>
        </w:rPr>
        <w:t>偏差表</w:t>
      </w:r>
    </w:p>
    <w:p w14:paraId="5782CEC2">
      <w:pPr>
        <w:adjustRightInd w:val="0"/>
        <w:snapToGrid w:val="0"/>
        <w:spacing w:line="300" w:lineRule="auto"/>
        <w:ind w:firstLine="539"/>
        <w:rPr>
          <w:color w:val="auto"/>
          <w:sz w:val="24"/>
        </w:rPr>
      </w:pPr>
      <w:r>
        <w:rPr>
          <w:rFonts w:hint="eastAsia" w:ascii="宋体" w:hAnsi="宋体" w:cs="楷体_GB2312"/>
          <w:color w:val="auto"/>
          <w:sz w:val="24"/>
          <w:lang w:val="zh-CN"/>
        </w:rPr>
        <w:t>（</w:t>
      </w:r>
      <w:r>
        <w:rPr>
          <w:rFonts w:ascii="宋体" w:hAnsi="宋体" w:cs="楷体_GB2312"/>
          <w:color w:val="auto"/>
          <w:sz w:val="24"/>
          <w:lang w:val="zh-CN"/>
        </w:rPr>
        <w:t>8</w:t>
      </w:r>
      <w:r>
        <w:rPr>
          <w:rFonts w:hint="eastAsia" w:ascii="宋体" w:hAnsi="宋体" w:cs="楷体_GB2312"/>
          <w:color w:val="auto"/>
          <w:sz w:val="24"/>
          <w:lang w:val="zh-CN"/>
        </w:rPr>
        <w:t>）</w:t>
      </w:r>
      <w:r>
        <w:rPr>
          <w:rFonts w:hint="eastAsia"/>
          <w:color w:val="auto"/>
          <w:sz w:val="24"/>
        </w:rPr>
        <w:t>关于资格的声明函</w:t>
      </w:r>
    </w:p>
    <w:p w14:paraId="5042D9EB">
      <w:pPr>
        <w:adjustRightInd w:val="0"/>
        <w:snapToGrid w:val="0"/>
        <w:spacing w:line="300" w:lineRule="auto"/>
        <w:ind w:firstLine="539"/>
        <w:rPr>
          <w:color w:val="auto"/>
          <w:sz w:val="24"/>
        </w:rPr>
      </w:pPr>
      <w:r>
        <w:rPr>
          <w:rFonts w:hint="eastAsia" w:ascii="宋体" w:hAnsi="宋体" w:cs="楷体_GB2312"/>
          <w:color w:val="auto"/>
          <w:sz w:val="24"/>
          <w:lang w:val="zh-CN"/>
        </w:rPr>
        <w:t>（</w:t>
      </w:r>
      <w:r>
        <w:rPr>
          <w:rFonts w:ascii="宋体" w:hAnsi="宋体" w:cs="楷体_GB2312"/>
          <w:color w:val="auto"/>
          <w:sz w:val="24"/>
          <w:lang w:val="zh-CN"/>
        </w:rPr>
        <w:t>9</w:t>
      </w:r>
      <w:r>
        <w:rPr>
          <w:rFonts w:hint="eastAsia" w:ascii="宋体" w:hAnsi="宋体" w:cs="楷体_GB2312"/>
          <w:color w:val="auto"/>
          <w:sz w:val="24"/>
          <w:lang w:val="zh-CN"/>
        </w:rPr>
        <w:t>）</w:t>
      </w:r>
      <w:r>
        <w:rPr>
          <w:rFonts w:hint="eastAsia"/>
          <w:color w:val="auto"/>
          <w:sz w:val="24"/>
        </w:rPr>
        <w:t>反商业贿赂承诺书。</w:t>
      </w:r>
    </w:p>
    <w:p w14:paraId="2FAEE65C">
      <w:pPr>
        <w:adjustRightInd w:val="0"/>
        <w:snapToGrid w:val="0"/>
        <w:spacing w:line="300" w:lineRule="auto"/>
        <w:ind w:firstLine="539"/>
        <w:rPr>
          <w:color w:val="auto"/>
          <w:sz w:val="24"/>
        </w:rPr>
      </w:pPr>
      <w:r>
        <w:rPr>
          <w:rFonts w:hint="eastAsia" w:ascii="宋体" w:hAnsi="宋体" w:cs="楷体_GB2312"/>
          <w:color w:val="auto"/>
          <w:sz w:val="24"/>
          <w:lang w:val="zh-CN"/>
        </w:rPr>
        <w:t>（</w:t>
      </w:r>
      <w:r>
        <w:rPr>
          <w:rFonts w:ascii="宋体" w:hAnsi="宋体" w:cs="楷体_GB2312"/>
          <w:color w:val="auto"/>
          <w:sz w:val="24"/>
          <w:lang w:val="zh-CN"/>
        </w:rPr>
        <w:t>10</w:t>
      </w:r>
      <w:r>
        <w:rPr>
          <w:rFonts w:hint="eastAsia" w:ascii="宋体" w:hAnsi="宋体" w:cs="楷体_GB2312"/>
          <w:color w:val="auto"/>
          <w:sz w:val="24"/>
          <w:lang w:val="zh-CN"/>
        </w:rPr>
        <w:t>）</w:t>
      </w:r>
      <w:r>
        <w:rPr>
          <w:rFonts w:hint="eastAsia"/>
          <w:color w:val="auto"/>
          <w:sz w:val="24"/>
        </w:rPr>
        <w:t>履约承诺书。</w:t>
      </w:r>
    </w:p>
    <w:p w14:paraId="63C83707">
      <w:pPr>
        <w:widowControl w:val="0"/>
        <w:adjustRightInd w:val="0"/>
        <w:snapToGrid w:val="0"/>
        <w:spacing w:line="300" w:lineRule="auto"/>
        <w:ind w:firstLine="539"/>
        <w:textAlignment w:val="top"/>
        <w:rPr>
          <w:color w:val="auto"/>
          <w:sz w:val="24"/>
        </w:rPr>
      </w:pPr>
      <w:r>
        <w:rPr>
          <w:rFonts w:hint="eastAsia"/>
          <w:color w:val="auto"/>
          <w:sz w:val="24"/>
        </w:rPr>
        <w:t>（</w:t>
      </w:r>
      <w:r>
        <w:rPr>
          <w:color w:val="auto"/>
          <w:sz w:val="24"/>
        </w:rPr>
        <w:t>11</w:t>
      </w:r>
      <w:r>
        <w:rPr>
          <w:rFonts w:hint="eastAsia"/>
          <w:color w:val="auto"/>
          <w:sz w:val="24"/>
        </w:rPr>
        <w:t>）资格要求相关证明材料（文件）</w:t>
      </w:r>
    </w:p>
    <w:p w14:paraId="12F3FF0F">
      <w:pPr>
        <w:widowControl w:val="0"/>
        <w:adjustRightInd w:val="0"/>
        <w:snapToGrid w:val="0"/>
        <w:spacing w:line="300" w:lineRule="auto"/>
        <w:ind w:firstLine="539"/>
        <w:textAlignment w:val="top"/>
        <w:rPr>
          <w:color w:val="auto"/>
          <w:sz w:val="24"/>
        </w:rPr>
      </w:pPr>
      <w:r>
        <w:rPr>
          <w:rFonts w:hint="eastAsia"/>
          <w:color w:val="auto"/>
          <w:sz w:val="24"/>
        </w:rPr>
        <w:t>（</w:t>
      </w:r>
      <w:r>
        <w:rPr>
          <w:color w:val="auto"/>
          <w:sz w:val="24"/>
        </w:rPr>
        <w:t>12</w:t>
      </w:r>
      <w:r>
        <w:rPr>
          <w:rFonts w:hint="eastAsia"/>
          <w:color w:val="auto"/>
          <w:sz w:val="24"/>
        </w:rPr>
        <w:t>）采购项目及技术服务要求所需的其他材料（按条款需要）</w:t>
      </w:r>
    </w:p>
    <w:p w14:paraId="358C8B10">
      <w:pPr>
        <w:widowControl w:val="0"/>
        <w:adjustRightInd w:val="0"/>
        <w:snapToGrid w:val="0"/>
        <w:spacing w:line="300" w:lineRule="auto"/>
        <w:ind w:firstLine="539"/>
        <w:textAlignment w:val="top"/>
        <w:rPr>
          <w:color w:val="auto"/>
          <w:sz w:val="24"/>
        </w:rPr>
      </w:pPr>
      <w:r>
        <w:rPr>
          <w:rFonts w:hint="eastAsia"/>
          <w:color w:val="auto"/>
          <w:sz w:val="24"/>
        </w:rPr>
        <w:t>（</w:t>
      </w:r>
      <w:r>
        <w:rPr>
          <w:color w:val="auto"/>
          <w:sz w:val="24"/>
        </w:rPr>
        <w:t>13</w:t>
      </w:r>
      <w:r>
        <w:rPr>
          <w:rFonts w:hint="eastAsia"/>
          <w:color w:val="auto"/>
          <w:sz w:val="24"/>
        </w:rPr>
        <w:t>）供应商须知所需的其他材料（按条款需要）</w:t>
      </w:r>
    </w:p>
    <w:p w14:paraId="6BBFA985">
      <w:pPr>
        <w:widowControl w:val="0"/>
        <w:adjustRightInd w:val="0"/>
        <w:snapToGrid w:val="0"/>
        <w:spacing w:line="300" w:lineRule="auto"/>
        <w:ind w:firstLine="539"/>
        <w:textAlignment w:val="top"/>
        <w:rPr>
          <w:color w:val="auto"/>
          <w:sz w:val="24"/>
        </w:rPr>
      </w:pPr>
      <w:r>
        <w:rPr>
          <w:rFonts w:hint="eastAsia"/>
          <w:color w:val="auto"/>
          <w:sz w:val="24"/>
        </w:rPr>
        <w:t>（</w:t>
      </w:r>
      <w:r>
        <w:rPr>
          <w:color w:val="auto"/>
          <w:sz w:val="24"/>
        </w:rPr>
        <w:t>14</w:t>
      </w:r>
      <w:r>
        <w:rPr>
          <w:rFonts w:hint="eastAsia"/>
          <w:color w:val="auto"/>
          <w:sz w:val="24"/>
        </w:rPr>
        <w:t>）评审办法所需的其他材料（按条款需要）</w:t>
      </w:r>
    </w:p>
    <w:p w14:paraId="32D742D0">
      <w:pPr>
        <w:widowControl w:val="0"/>
        <w:adjustRightInd w:val="0"/>
        <w:snapToGrid w:val="0"/>
        <w:spacing w:line="300" w:lineRule="auto"/>
        <w:ind w:firstLine="720" w:firstLineChars="300"/>
        <w:textAlignment w:val="top"/>
        <w:rPr>
          <w:color w:val="auto"/>
          <w:sz w:val="24"/>
        </w:rPr>
      </w:pPr>
      <w:r>
        <w:rPr>
          <w:rFonts w:hint="eastAsia" w:ascii="宋体" w:hAnsi="宋体" w:cs="楷体_GB2312"/>
          <w:color w:val="auto"/>
          <w:sz w:val="24"/>
          <w:lang w:val="zh-CN"/>
        </w:rPr>
        <w:t>14-1</w:t>
      </w:r>
      <w:r>
        <w:rPr>
          <w:rFonts w:hint="eastAsia" w:ascii="宋体" w:hAnsi="宋体" w:cs="楷体_GB2312"/>
          <w:color w:val="auto"/>
          <w:sz w:val="24"/>
        </w:rPr>
        <w:t xml:space="preserve"> 附件（如需）：国家强制性产品认证承诺函</w:t>
      </w:r>
    </w:p>
    <w:p w14:paraId="072AE3D5">
      <w:pPr>
        <w:adjustRightInd w:val="0"/>
        <w:snapToGrid w:val="0"/>
        <w:spacing w:line="300" w:lineRule="auto"/>
        <w:ind w:firstLine="657" w:firstLineChars="274"/>
        <w:textAlignment w:val="top"/>
        <w:rPr>
          <w:rFonts w:hint="eastAsia" w:ascii="宋体" w:hAnsi="宋体" w:cs="楷体_GB2312"/>
          <w:color w:val="auto"/>
          <w:sz w:val="24"/>
          <w:lang w:val="zh-CN"/>
        </w:rPr>
      </w:pPr>
      <w:r>
        <w:rPr>
          <w:rFonts w:hint="eastAsia" w:ascii="宋体" w:hAnsi="宋体" w:cs="楷体_GB2312"/>
          <w:color w:val="auto"/>
          <w:sz w:val="24"/>
          <w:lang w:val="zh-CN"/>
        </w:rPr>
        <w:t>14-2附件：证明材料查询核验工作的清单及要求</w:t>
      </w:r>
    </w:p>
    <w:p w14:paraId="137313AF">
      <w:pPr>
        <w:adjustRightInd w:val="0"/>
        <w:snapToGrid w:val="0"/>
        <w:spacing w:line="300" w:lineRule="auto"/>
        <w:ind w:firstLine="657" w:firstLineChars="274"/>
        <w:textAlignment w:val="top"/>
        <w:rPr>
          <w:rFonts w:hint="eastAsia" w:ascii="宋体" w:hAnsi="宋体" w:cs="楷体_GB2312"/>
          <w:color w:val="auto"/>
          <w:sz w:val="24"/>
          <w:lang w:val="zh-CN"/>
        </w:rPr>
      </w:pPr>
      <w:r>
        <w:rPr>
          <w:rFonts w:hint="eastAsia"/>
          <w:color w:val="auto"/>
          <w:sz w:val="24"/>
        </w:rPr>
        <w:t>14-3 其它材料</w:t>
      </w:r>
    </w:p>
    <w:p w14:paraId="40C6E7FB">
      <w:pPr>
        <w:autoSpaceDE w:val="0"/>
        <w:autoSpaceDN w:val="0"/>
        <w:adjustRightInd w:val="0"/>
        <w:snapToGrid w:val="0"/>
        <w:spacing w:line="300" w:lineRule="auto"/>
        <w:ind w:firstLine="520" w:firstLineChars="217"/>
        <w:rPr>
          <w:rFonts w:hint="eastAsia" w:ascii="宋体" w:hAnsi="宋体"/>
          <w:color w:val="auto"/>
          <w:sz w:val="24"/>
        </w:rPr>
      </w:pPr>
      <w:r>
        <w:rPr>
          <w:rFonts w:hint="eastAsia" w:ascii="宋体" w:hAnsi="宋体" w:cs="楷体_GB2312"/>
          <w:color w:val="auto"/>
          <w:sz w:val="24"/>
          <w:lang w:val="zh-CN"/>
        </w:rPr>
        <w:t>（</w:t>
      </w:r>
      <w:r>
        <w:rPr>
          <w:rFonts w:ascii="宋体" w:hAnsi="宋体" w:cs="楷体_GB2312"/>
          <w:color w:val="auto"/>
          <w:sz w:val="24"/>
          <w:lang w:val="zh-CN"/>
        </w:rPr>
        <w:t>15</w:t>
      </w:r>
      <w:r>
        <w:rPr>
          <w:rFonts w:hint="eastAsia" w:ascii="宋体" w:hAnsi="宋体" w:cs="楷体_GB2312"/>
          <w:color w:val="auto"/>
          <w:sz w:val="24"/>
          <w:lang w:val="zh-CN"/>
        </w:rPr>
        <w:t>）</w:t>
      </w:r>
      <w:r>
        <w:rPr>
          <w:rFonts w:hint="eastAsia" w:ascii="宋体" w:hAnsi="宋体"/>
          <w:color w:val="auto"/>
          <w:sz w:val="24"/>
        </w:rPr>
        <w:t>供应商认为有必要提交的其它材料</w:t>
      </w:r>
    </w:p>
    <w:p w14:paraId="29BE65FF">
      <w:pPr>
        <w:widowControl w:val="0"/>
        <w:snapToGrid w:val="0"/>
        <w:spacing w:line="560" w:lineRule="exact"/>
        <w:ind w:firstLine="555"/>
        <w:rPr>
          <w:color w:val="auto"/>
          <w:sz w:val="24"/>
          <w:szCs w:val="24"/>
        </w:rPr>
      </w:pPr>
      <w:r>
        <w:rPr>
          <w:color w:val="auto"/>
          <w:sz w:val="24"/>
          <w:szCs w:val="24"/>
        </w:rPr>
        <w:t>.........</w:t>
      </w:r>
    </w:p>
    <w:p w14:paraId="085BAB00">
      <w:pPr>
        <w:widowControl w:val="0"/>
        <w:snapToGrid w:val="0"/>
        <w:spacing w:before="120" w:beforeLines="50" w:line="300" w:lineRule="auto"/>
        <w:ind w:firstLine="556"/>
        <w:rPr>
          <w:color w:val="auto"/>
          <w:sz w:val="24"/>
          <w:szCs w:val="24"/>
        </w:rPr>
      </w:pPr>
      <w:r>
        <w:rPr>
          <w:rFonts w:hint="eastAsia"/>
          <w:color w:val="auto"/>
          <w:sz w:val="24"/>
          <w:szCs w:val="24"/>
        </w:rPr>
        <w:t>据此函，签字代表宣布同意如下：</w:t>
      </w:r>
    </w:p>
    <w:p w14:paraId="3FBBDDCA">
      <w:pPr>
        <w:widowControl w:val="0"/>
        <w:snapToGrid w:val="0"/>
        <w:spacing w:before="120" w:beforeLines="50" w:line="300" w:lineRule="auto"/>
        <w:ind w:firstLine="556"/>
        <w:rPr>
          <w:color w:val="auto"/>
          <w:sz w:val="24"/>
          <w:szCs w:val="24"/>
        </w:rPr>
      </w:pPr>
      <w:r>
        <w:rPr>
          <w:color w:val="auto"/>
          <w:sz w:val="24"/>
          <w:szCs w:val="24"/>
        </w:rPr>
        <w:t>1.</w:t>
      </w:r>
      <w:r>
        <w:rPr>
          <w:rFonts w:hint="eastAsia"/>
          <w:color w:val="auto"/>
          <w:sz w:val="24"/>
          <w:szCs w:val="24"/>
        </w:rPr>
        <w:t>所附“《响应文件》开标一览表”中规定的应提供和交付的投标总价为：</w:t>
      </w:r>
    </w:p>
    <w:p w14:paraId="25387077">
      <w:pPr>
        <w:widowControl w:val="0"/>
        <w:snapToGrid w:val="0"/>
        <w:spacing w:before="120" w:beforeLines="50" w:line="300" w:lineRule="auto"/>
        <w:ind w:left="550" w:leftChars="262"/>
        <w:rPr>
          <w:color w:val="auto"/>
          <w:sz w:val="24"/>
          <w:szCs w:val="24"/>
        </w:rPr>
      </w:pPr>
      <w:r>
        <w:rPr>
          <w:rFonts w:hint="eastAsia"/>
          <w:color w:val="auto"/>
          <w:sz w:val="24"/>
          <w:szCs w:val="24"/>
        </w:rPr>
        <w:t>人民币</w:t>
      </w:r>
      <w:r>
        <w:rPr>
          <w:color w:val="auto"/>
          <w:sz w:val="24"/>
          <w:szCs w:val="24"/>
          <w:u w:val="single"/>
        </w:rPr>
        <w:tab/>
      </w:r>
      <w:r>
        <w:rPr>
          <w:rFonts w:hint="eastAsia"/>
          <w:color w:val="auto"/>
          <w:sz w:val="24"/>
          <w:szCs w:val="24"/>
        </w:rPr>
        <w:t>，即</w:t>
      </w:r>
      <w:r>
        <w:rPr>
          <w:color w:val="auto"/>
          <w:sz w:val="24"/>
          <w:szCs w:val="24"/>
          <w:u w:val="single"/>
        </w:rPr>
        <w:tab/>
      </w:r>
      <w:r>
        <w:rPr>
          <w:color w:val="auto"/>
          <w:sz w:val="24"/>
          <w:szCs w:val="24"/>
          <w:u w:val="single"/>
        </w:rPr>
        <w:tab/>
      </w:r>
      <w:r>
        <w:rPr>
          <w:color w:val="auto"/>
          <w:sz w:val="24"/>
          <w:szCs w:val="24"/>
          <w:u w:val="single"/>
        </w:rPr>
        <w:tab/>
      </w:r>
      <w:r>
        <w:rPr>
          <w:rFonts w:hint="eastAsia"/>
          <w:color w:val="auto"/>
          <w:sz w:val="24"/>
          <w:szCs w:val="24"/>
        </w:rPr>
        <w:t>（文字表述），工期：</w:t>
      </w:r>
      <w:r>
        <w:rPr>
          <w:rFonts w:hint="eastAsia"/>
          <w:color w:val="auto"/>
          <w:sz w:val="24"/>
          <w:szCs w:val="24"/>
          <w:u w:val="single"/>
        </w:rPr>
        <w:t xml:space="preserve">                   </w:t>
      </w:r>
      <w:r>
        <w:rPr>
          <w:rFonts w:hint="eastAsia"/>
          <w:color w:val="auto"/>
          <w:sz w:val="24"/>
          <w:szCs w:val="24"/>
        </w:rPr>
        <w:t>，施工地点：</w:t>
      </w:r>
      <w:r>
        <w:rPr>
          <w:rFonts w:hint="eastAsia"/>
          <w:color w:val="auto"/>
          <w:sz w:val="24"/>
          <w:szCs w:val="24"/>
          <w:u w:val="single"/>
        </w:rPr>
        <w:t xml:space="preserve">                                 </w:t>
      </w:r>
      <w:r>
        <w:rPr>
          <w:rFonts w:hint="eastAsia"/>
          <w:color w:val="auto"/>
          <w:sz w:val="24"/>
          <w:szCs w:val="24"/>
        </w:rPr>
        <w:t>。</w:t>
      </w:r>
    </w:p>
    <w:p w14:paraId="013F5628">
      <w:pPr>
        <w:widowControl w:val="0"/>
        <w:snapToGrid w:val="0"/>
        <w:spacing w:before="120" w:beforeLines="50" w:line="300" w:lineRule="auto"/>
        <w:ind w:firstLine="556"/>
        <w:rPr>
          <w:color w:val="auto"/>
          <w:sz w:val="24"/>
          <w:szCs w:val="24"/>
        </w:rPr>
      </w:pPr>
      <w:r>
        <w:rPr>
          <w:color w:val="auto"/>
          <w:sz w:val="24"/>
          <w:szCs w:val="24"/>
        </w:rPr>
        <w:t>2.</w:t>
      </w:r>
      <w:r>
        <w:rPr>
          <w:rFonts w:hint="eastAsia"/>
          <w:color w:val="auto"/>
          <w:sz w:val="24"/>
          <w:szCs w:val="24"/>
        </w:rPr>
        <w:t>如果我单位的投标书被接受，我单位将履行《磋商文件》中规定的每一项要求，按期、按质、按量履行合同。</w:t>
      </w:r>
    </w:p>
    <w:p w14:paraId="75D8F699">
      <w:pPr>
        <w:widowControl w:val="0"/>
        <w:snapToGrid w:val="0"/>
        <w:spacing w:before="120" w:beforeLines="50" w:line="300" w:lineRule="auto"/>
        <w:ind w:firstLine="556"/>
        <w:rPr>
          <w:color w:val="auto"/>
          <w:sz w:val="24"/>
          <w:szCs w:val="24"/>
        </w:rPr>
      </w:pPr>
      <w:r>
        <w:rPr>
          <w:color w:val="auto"/>
          <w:sz w:val="24"/>
          <w:szCs w:val="24"/>
        </w:rPr>
        <w:t xml:space="preserve">3. </w:t>
      </w:r>
      <w:r>
        <w:rPr>
          <w:rFonts w:hint="eastAsia"/>
          <w:color w:val="auto"/>
          <w:sz w:val="24"/>
          <w:szCs w:val="24"/>
        </w:rPr>
        <w:t>我单位愿按《中华人民共和国民法典》履行我单位的全部责任。</w:t>
      </w:r>
    </w:p>
    <w:p w14:paraId="1F794305">
      <w:pPr>
        <w:widowControl w:val="0"/>
        <w:snapToGrid w:val="0"/>
        <w:spacing w:before="120" w:beforeLines="50" w:line="300" w:lineRule="auto"/>
        <w:ind w:firstLine="556"/>
        <w:rPr>
          <w:color w:val="auto"/>
          <w:sz w:val="24"/>
          <w:szCs w:val="24"/>
        </w:rPr>
      </w:pPr>
      <w:r>
        <w:rPr>
          <w:color w:val="auto"/>
          <w:sz w:val="24"/>
          <w:szCs w:val="24"/>
        </w:rPr>
        <w:t xml:space="preserve">4. </w:t>
      </w:r>
      <w:r>
        <w:rPr>
          <w:rFonts w:hint="eastAsia"/>
          <w:color w:val="auto"/>
          <w:sz w:val="24"/>
          <w:szCs w:val="24"/>
        </w:rPr>
        <w:t>我单位已详细阅读并完全理解、同意《磋商文件》的全部内容，包括澄清、修改、补充文件（竞争性磋商公告所述媒体公布）以及全部参考资料和有关附件；除我单位在《磋商文件》规定期间内书面提出的疑问外，我单位放弃对这方面有不明及误解的权力。</w:t>
      </w:r>
    </w:p>
    <w:p w14:paraId="0A0CEA5D">
      <w:pPr>
        <w:widowControl w:val="0"/>
        <w:snapToGrid w:val="0"/>
        <w:spacing w:before="120" w:beforeLines="50" w:line="300" w:lineRule="auto"/>
        <w:ind w:firstLine="556"/>
        <w:rPr>
          <w:color w:val="auto"/>
          <w:sz w:val="24"/>
          <w:szCs w:val="24"/>
        </w:rPr>
      </w:pPr>
      <w:r>
        <w:rPr>
          <w:color w:val="auto"/>
          <w:sz w:val="24"/>
          <w:szCs w:val="24"/>
        </w:rPr>
        <w:t>5.</w:t>
      </w:r>
      <w:r>
        <w:rPr>
          <w:rFonts w:hint="eastAsia"/>
          <w:color w:val="auto"/>
          <w:sz w:val="24"/>
          <w:szCs w:val="24"/>
        </w:rPr>
        <w:t>《响应文件》自开启日起有效期为</w:t>
      </w:r>
      <w:r>
        <w:rPr>
          <w:color w:val="auto"/>
          <w:sz w:val="24"/>
          <w:szCs w:val="24"/>
        </w:rPr>
        <w:t>90</w:t>
      </w:r>
      <w:r>
        <w:rPr>
          <w:rFonts w:hint="eastAsia"/>
          <w:color w:val="auto"/>
          <w:sz w:val="24"/>
          <w:szCs w:val="24"/>
        </w:rPr>
        <w:t>日历天。</w:t>
      </w:r>
    </w:p>
    <w:p w14:paraId="2C87B991">
      <w:pPr>
        <w:widowControl w:val="0"/>
        <w:snapToGrid w:val="0"/>
        <w:spacing w:before="120" w:beforeLines="50" w:line="300" w:lineRule="auto"/>
        <w:ind w:firstLine="556"/>
        <w:rPr>
          <w:color w:val="auto"/>
          <w:sz w:val="24"/>
          <w:szCs w:val="24"/>
        </w:rPr>
      </w:pPr>
      <w:r>
        <w:rPr>
          <w:rFonts w:hint="eastAsia"/>
          <w:color w:val="auto"/>
          <w:sz w:val="24"/>
          <w:szCs w:val="24"/>
        </w:rPr>
        <w:t>6.我单位承诺按照《磋商文件》规定的付款方式执行。</w:t>
      </w:r>
    </w:p>
    <w:p w14:paraId="6DE6C9F6">
      <w:pPr>
        <w:widowControl w:val="0"/>
        <w:snapToGrid w:val="0"/>
        <w:spacing w:before="120" w:beforeLines="50" w:line="300" w:lineRule="auto"/>
        <w:ind w:firstLine="556"/>
        <w:rPr>
          <w:color w:val="auto"/>
          <w:sz w:val="24"/>
          <w:szCs w:val="24"/>
        </w:rPr>
      </w:pPr>
      <w:r>
        <w:rPr>
          <w:rFonts w:hint="eastAsia"/>
          <w:color w:val="auto"/>
          <w:sz w:val="24"/>
          <w:szCs w:val="24"/>
        </w:rPr>
        <w:t>7</w:t>
      </w:r>
      <w:r>
        <w:rPr>
          <w:color w:val="auto"/>
          <w:sz w:val="24"/>
          <w:szCs w:val="24"/>
        </w:rPr>
        <w:t>.</w:t>
      </w:r>
      <w:r>
        <w:rPr>
          <w:rFonts w:hint="eastAsia"/>
          <w:color w:val="auto"/>
          <w:sz w:val="24"/>
          <w:szCs w:val="24"/>
        </w:rPr>
        <w:t>如果在规定的开标时间后，我单位在投标有效期内撤回投标的，依据</w:t>
      </w:r>
      <w:r>
        <w:rPr>
          <w:rFonts w:hint="eastAsia" w:ascii="宋体" w:hAnsi="宋体"/>
          <w:color w:val="auto"/>
          <w:sz w:val="24"/>
          <w:szCs w:val="24"/>
        </w:rPr>
        <w:t>磋商</w:t>
      </w:r>
      <w:r>
        <w:rPr>
          <w:rFonts w:hint="eastAsia"/>
          <w:color w:val="auto"/>
          <w:sz w:val="24"/>
          <w:szCs w:val="24"/>
        </w:rPr>
        <w:t>文件“第三章3.5.5 违背承诺的责任追究措施”，我单位承担相应法律责任及违约责任。</w:t>
      </w:r>
    </w:p>
    <w:p w14:paraId="49DEDDD9">
      <w:pPr>
        <w:widowControl w:val="0"/>
        <w:snapToGrid w:val="0"/>
        <w:spacing w:before="120" w:beforeLines="50" w:line="300" w:lineRule="auto"/>
        <w:ind w:firstLine="556"/>
        <w:rPr>
          <w:color w:val="auto"/>
          <w:sz w:val="24"/>
          <w:szCs w:val="24"/>
        </w:rPr>
      </w:pPr>
      <w:r>
        <w:rPr>
          <w:rFonts w:hint="eastAsia"/>
          <w:color w:val="auto"/>
          <w:sz w:val="24"/>
          <w:szCs w:val="24"/>
        </w:rPr>
        <w:t>8</w:t>
      </w:r>
      <w:r>
        <w:rPr>
          <w:color w:val="auto"/>
          <w:sz w:val="24"/>
          <w:szCs w:val="24"/>
        </w:rPr>
        <w:t xml:space="preserve">. </w:t>
      </w:r>
      <w:r>
        <w:rPr>
          <w:rFonts w:hint="eastAsia"/>
          <w:color w:val="auto"/>
          <w:sz w:val="24"/>
          <w:szCs w:val="24"/>
        </w:rPr>
        <w:t>我单位同意提供按照贵方可能要求的与磋商有关的一切数据或资料，理解贵方不一定要接受最低价的投标或收到的任何投标。</w:t>
      </w:r>
    </w:p>
    <w:p w14:paraId="05F1B4DD">
      <w:pPr>
        <w:widowControl w:val="0"/>
        <w:snapToGrid w:val="0"/>
        <w:spacing w:line="560" w:lineRule="exact"/>
        <w:ind w:firstLine="555"/>
        <w:rPr>
          <w:color w:val="auto"/>
          <w:sz w:val="24"/>
          <w:szCs w:val="24"/>
        </w:rPr>
      </w:pPr>
      <w:r>
        <w:rPr>
          <w:rFonts w:hint="eastAsia"/>
          <w:color w:val="auto"/>
          <w:sz w:val="24"/>
          <w:szCs w:val="24"/>
        </w:rPr>
        <w:t>9</w:t>
      </w:r>
      <w:r>
        <w:rPr>
          <w:color w:val="auto"/>
          <w:sz w:val="24"/>
          <w:szCs w:val="24"/>
        </w:rPr>
        <w:t>.</w:t>
      </w:r>
      <w:r>
        <w:rPr>
          <w:rFonts w:hint="eastAsia"/>
          <w:color w:val="auto"/>
          <w:sz w:val="24"/>
          <w:szCs w:val="24"/>
        </w:rPr>
        <w:t>与本投标有关的一切正式往来请寄：</w:t>
      </w:r>
    </w:p>
    <w:p w14:paraId="24B42C66">
      <w:pPr>
        <w:widowControl w:val="0"/>
        <w:snapToGrid w:val="0"/>
        <w:spacing w:line="560" w:lineRule="exact"/>
        <w:ind w:firstLine="555"/>
        <w:jc w:val="left"/>
        <w:rPr>
          <w:color w:val="auto"/>
          <w:sz w:val="24"/>
          <w:szCs w:val="24"/>
        </w:rPr>
      </w:pPr>
      <w:r>
        <w:rPr>
          <w:rFonts w:hint="eastAsia"/>
          <w:color w:val="auto"/>
          <w:sz w:val="24"/>
          <w:szCs w:val="24"/>
        </w:rPr>
        <w:t>地址：</w:t>
      </w:r>
      <w:r>
        <w:rPr>
          <w:color w:val="auto"/>
          <w:sz w:val="24"/>
          <w:szCs w:val="24"/>
        </w:rPr>
        <w:tab/>
      </w:r>
      <w:r>
        <w:rPr>
          <w:color w:val="auto"/>
          <w:sz w:val="24"/>
          <w:szCs w:val="24"/>
        </w:rPr>
        <w:tab/>
      </w:r>
      <w:r>
        <w:rPr>
          <w:rFonts w:hint="eastAsia"/>
          <w:color w:val="auto"/>
          <w:sz w:val="24"/>
          <w:szCs w:val="24"/>
        </w:rPr>
        <w:t>邮政编码：</w:t>
      </w:r>
      <w:r>
        <w:rPr>
          <w:color w:val="auto"/>
          <w:sz w:val="24"/>
          <w:szCs w:val="24"/>
        </w:rPr>
        <w:tab/>
      </w:r>
    </w:p>
    <w:p w14:paraId="2F17FBAE">
      <w:pPr>
        <w:widowControl w:val="0"/>
        <w:snapToGrid w:val="0"/>
        <w:spacing w:line="560" w:lineRule="exact"/>
        <w:ind w:firstLine="555"/>
        <w:rPr>
          <w:color w:val="auto"/>
          <w:sz w:val="24"/>
          <w:szCs w:val="24"/>
        </w:rPr>
      </w:pPr>
      <w:r>
        <w:rPr>
          <w:rFonts w:hint="eastAsia"/>
          <w:color w:val="auto"/>
          <w:sz w:val="24"/>
          <w:szCs w:val="24"/>
        </w:rPr>
        <w:t>电话：</w:t>
      </w:r>
      <w:r>
        <w:rPr>
          <w:color w:val="auto"/>
          <w:sz w:val="24"/>
          <w:szCs w:val="24"/>
        </w:rPr>
        <w:tab/>
      </w:r>
      <w:r>
        <w:rPr>
          <w:color w:val="auto"/>
          <w:sz w:val="24"/>
          <w:szCs w:val="24"/>
        </w:rPr>
        <w:tab/>
      </w:r>
      <w:r>
        <w:rPr>
          <w:rFonts w:hint="eastAsia"/>
          <w:color w:val="auto"/>
          <w:sz w:val="24"/>
          <w:szCs w:val="24"/>
        </w:rPr>
        <w:t>传真：</w:t>
      </w:r>
    </w:p>
    <w:p w14:paraId="461F05A5">
      <w:pPr>
        <w:widowControl w:val="0"/>
        <w:snapToGrid w:val="0"/>
        <w:spacing w:line="560" w:lineRule="exact"/>
        <w:ind w:firstLine="555"/>
        <w:rPr>
          <w:color w:val="auto"/>
          <w:sz w:val="24"/>
          <w:szCs w:val="24"/>
        </w:rPr>
      </w:pPr>
    </w:p>
    <w:p w14:paraId="2F287710">
      <w:pPr>
        <w:widowControl w:val="0"/>
        <w:snapToGrid w:val="0"/>
        <w:spacing w:line="560" w:lineRule="exact"/>
        <w:ind w:firstLine="555"/>
        <w:rPr>
          <w:color w:val="auto"/>
          <w:sz w:val="24"/>
          <w:szCs w:val="24"/>
        </w:rPr>
      </w:pPr>
    </w:p>
    <w:p w14:paraId="3E6C7EC6">
      <w:pPr>
        <w:widowControl w:val="0"/>
        <w:snapToGrid w:val="0"/>
        <w:spacing w:line="560" w:lineRule="exact"/>
        <w:ind w:firstLine="555"/>
        <w:rPr>
          <w:color w:val="auto"/>
          <w:sz w:val="24"/>
          <w:szCs w:val="24"/>
        </w:rPr>
      </w:pPr>
    </w:p>
    <w:p w14:paraId="6348433A">
      <w:pPr>
        <w:autoSpaceDE w:val="0"/>
        <w:autoSpaceDN w:val="0"/>
        <w:adjustRightInd w:val="0"/>
        <w:spacing w:line="360" w:lineRule="auto"/>
        <w:rPr>
          <w:rFonts w:ascii="宋体" w:cs="楷体_GB2312"/>
          <w:color w:val="auto"/>
          <w:sz w:val="24"/>
          <w:lang w:val="zh-CN"/>
        </w:rPr>
      </w:pPr>
      <w:r>
        <w:rPr>
          <w:rFonts w:hint="eastAsia" w:ascii="宋体" w:hAnsi="宋体"/>
          <w:color w:val="auto"/>
          <w:sz w:val="24"/>
        </w:rPr>
        <w:t>供应商</w:t>
      </w:r>
      <w:r>
        <w:rPr>
          <w:rFonts w:hint="eastAsia"/>
          <w:color w:val="auto"/>
          <w:sz w:val="24"/>
          <w:szCs w:val="24"/>
        </w:rPr>
        <w:t>（电子签</w:t>
      </w:r>
      <w:r>
        <w:rPr>
          <w:rFonts w:hint="eastAsia" w:ascii="宋体" w:hAnsi="宋体"/>
          <w:color w:val="auto"/>
          <w:sz w:val="24"/>
          <w:szCs w:val="24"/>
        </w:rPr>
        <w:t>章</w:t>
      </w:r>
      <w:r>
        <w:rPr>
          <w:rFonts w:hint="eastAsia"/>
          <w:color w:val="auto"/>
          <w:sz w:val="24"/>
          <w:szCs w:val="24"/>
        </w:rPr>
        <w:t>）</w:t>
      </w:r>
      <w:r>
        <w:rPr>
          <w:rFonts w:hint="eastAsia" w:ascii="宋体" w:hAnsi="宋体" w:cs="楷体_GB2312"/>
          <w:color w:val="auto"/>
          <w:sz w:val="24"/>
          <w:lang w:val="zh-CN"/>
        </w:rPr>
        <w:t>：</w:t>
      </w:r>
    </w:p>
    <w:p w14:paraId="6647E4FB">
      <w:pPr>
        <w:autoSpaceDE w:val="0"/>
        <w:autoSpaceDN w:val="0"/>
        <w:adjustRightInd w:val="0"/>
        <w:spacing w:line="360" w:lineRule="auto"/>
        <w:ind w:left="-2" w:right="-817" w:firstLine="2"/>
        <w:rPr>
          <w:rFonts w:ascii="宋体" w:cs="楷体_GB2312"/>
          <w:color w:val="auto"/>
          <w:sz w:val="24"/>
          <w:lang w:val="zh-CN"/>
        </w:rPr>
      </w:pPr>
      <w:r>
        <w:rPr>
          <w:rFonts w:hint="eastAsia" w:ascii="宋体" w:hAnsi="宋体" w:cs="楷体_GB2312"/>
          <w:color w:val="auto"/>
          <w:sz w:val="24"/>
          <w:lang w:val="zh-CN"/>
        </w:rPr>
        <w:t>法定代表人（电子签名或签章）：</w:t>
      </w:r>
      <w:r>
        <w:rPr>
          <w:rFonts w:ascii="宋体" w:hAnsi="宋体" w:cs="楷体_GB2312"/>
          <w:color w:val="auto"/>
          <w:sz w:val="24"/>
          <w:lang w:val="zh-CN"/>
        </w:rPr>
        <w:t xml:space="preserve">  </w:t>
      </w:r>
    </w:p>
    <w:p w14:paraId="6F285403">
      <w:pPr>
        <w:autoSpaceDE w:val="0"/>
        <w:autoSpaceDN w:val="0"/>
        <w:adjustRightInd w:val="0"/>
        <w:spacing w:line="360" w:lineRule="auto"/>
        <w:ind w:right="-817"/>
        <w:rPr>
          <w:rFonts w:ascii="宋体" w:cs="楷体_GB2312"/>
          <w:color w:val="auto"/>
          <w:sz w:val="24"/>
          <w:lang w:val="zh-CN"/>
        </w:rPr>
      </w:pPr>
      <w:r>
        <w:rPr>
          <w:rFonts w:hint="eastAsia" w:ascii="宋体" w:hAnsi="宋体" w:cs="楷体_GB2312"/>
          <w:color w:val="auto"/>
          <w:sz w:val="24"/>
          <w:lang w:val="zh-CN"/>
        </w:rPr>
        <w:t>日期：</w:t>
      </w:r>
      <w:r>
        <w:rPr>
          <w:rFonts w:ascii="宋体" w:hAnsi="宋体" w:cs="楷体_GB2312"/>
          <w:color w:val="auto"/>
          <w:sz w:val="24"/>
          <w:lang w:val="zh-CN"/>
        </w:rPr>
        <w:t xml:space="preserve">   </w:t>
      </w:r>
      <w:r>
        <w:rPr>
          <w:rFonts w:hint="eastAsia" w:ascii="宋体" w:hAnsi="宋体" w:cs="楷体_GB2312"/>
          <w:color w:val="auto"/>
          <w:sz w:val="24"/>
          <w:lang w:val="zh-CN"/>
        </w:rPr>
        <w:t>年</w:t>
      </w:r>
      <w:r>
        <w:rPr>
          <w:rFonts w:ascii="宋体" w:hAnsi="宋体" w:cs="楷体_GB2312"/>
          <w:color w:val="auto"/>
          <w:sz w:val="24"/>
          <w:lang w:val="zh-CN"/>
        </w:rPr>
        <w:t xml:space="preserve">   </w:t>
      </w:r>
      <w:r>
        <w:rPr>
          <w:rFonts w:hint="eastAsia" w:ascii="宋体" w:hAnsi="宋体" w:cs="楷体_GB2312"/>
          <w:color w:val="auto"/>
          <w:sz w:val="24"/>
          <w:lang w:val="zh-CN"/>
        </w:rPr>
        <w:t>月</w:t>
      </w:r>
      <w:r>
        <w:rPr>
          <w:rFonts w:ascii="宋体" w:hAnsi="宋体" w:cs="楷体_GB2312"/>
          <w:color w:val="auto"/>
          <w:sz w:val="24"/>
          <w:lang w:val="zh-CN"/>
        </w:rPr>
        <w:t xml:space="preserve">   </w:t>
      </w:r>
      <w:r>
        <w:rPr>
          <w:rFonts w:hint="eastAsia" w:ascii="宋体" w:hAnsi="宋体" w:cs="楷体_GB2312"/>
          <w:color w:val="auto"/>
          <w:sz w:val="24"/>
          <w:lang w:val="zh-CN"/>
        </w:rPr>
        <w:t>日</w:t>
      </w:r>
    </w:p>
    <w:p w14:paraId="792BE754">
      <w:pPr>
        <w:spacing w:line="240" w:lineRule="auto"/>
        <w:jc w:val="left"/>
        <w:textAlignment w:val="auto"/>
        <w:rPr>
          <w:color w:val="auto"/>
          <w:sz w:val="24"/>
          <w:szCs w:val="24"/>
        </w:rPr>
      </w:pPr>
      <w:r>
        <w:rPr>
          <w:color w:val="auto"/>
          <w:sz w:val="24"/>
          <w:szCs w:val="24"/>
        </w:rPr>
        <w:br w:type="page"/>
      </w:r>
    </w:p>
    <w:p w14:paraId="2456859E">
      <w:pPr>
        <w:widowControl w:val="0"/>
        <w:snapToGrid w:val="0"/>
        <w:spacing w:line="560" w:lineRule="exact"/>
        <w:jc w:val="center"/>
        <w:rPr>
          <w:rFonts w:eastAsia="方正黑体简体"/>
          <w:b/>
          <w:color w:val="auto"/>
          <w:sz w:val="30"/>
          <w:szCs w:val="30"/>
        </w:rPr>
      </w:pPr>
      <w:r>
        <w:rPr>
          <w:rFonts w:hint="eastAsia" w:eastAsia="方正黑体简体"/>
          <w:b/>
          <w:color w:val="auto"/>
          <w:sz w:val="30"/>
          <w:szCs w:val="30"/>
        </w:rPr>
        <w:t>二、开标一览表</w:t>
      </w:r>
      <w:r>
        <w:rPr>
          <w:rFonts w:hint="eastAsia" w:ascii="宋体" w:hAnsi="宋体"/>
          <w:b/>
          <w:color w:val="auto"/>
          <w:sz w:val="24"/>
          <w:szCs w:val="24"/>
        </w:rPr>
        <w:t>（即交易系统中报价一览表）</w:t>
      </w:r>
    </w:p>
    <w:p w14:paraId="2650BADE">
      <w:pPr>
        <w:pStyle w:val="16"/>
        <w:adjustRightInd w:val="0"/>
        <w:snapToGrid w:val="0"/>
        <w:spacing w:before="0" w:beforeAutospacing="0" w:after="0" w:afterAutospacing="0"/>
        <w:rPr>
          <w:rFonts w:hint="eastAsia"/>
          <w:color w:val="auto"/>
        </w:rPr>
      </w:pPr>
    </w:p>
    <w:p w14:paraId="021DA088">
      <w:pPr>
        <w:widowControl w:val="0"/>
        <w:snapToGrid w:val="0"/>
        <w:spacing w:before="120" w:beforeLines="50" w:line="240" w:lineRule="auto"/>
        <w:ind w:firstLine="542"/>
        <w:rPr>
          <w:b/>
          <w:color w:val="auto"/>
          <w:sz w:val="24"/>
          <w:szCs w:val="24"/>
        </w:rPr>
      </w:pPr>
      <w:r>
        <w:rPr>
          <w:rFonts w:hint="eastAsia"/>
          <w:b/>
          <w:color w:val="auto"/>
          <w:sz w:val="24"/>
          <w:szCs w:val="24"/>
        </w:rPr>
        <w:t>注：</w:t>
      </w:r>
      <w:r>
        <w:rPr>
          <w:b/>
          <w:color w:val="auto"/>
          <w:sz w:val="24"/>
          <w:szCs w:val="24"/>
        </w:rPr>
        <w:t>1</w:t>
      </w:r>
      <w:r>
        <w:rPr>
          <w:rFonts w:hint="eastAsia"/>
          <w:b/>
          <w:color w:val="auto"/>
          <w:sz w:val="24"/>
          <w:szCs w:val="24"/>
        </w:rPr>
        <w:t>、供应商需在安阳市公共资源电子交易平台投标文件制作工具中、按系统要求填列报价一览表（即开标一览表），系统中填列的报价一览表（即开标一览表）为供应商《投标文件》的一部分。</w:t>
      </w:r>
    </w:p>
    <w:p w14:paraId="45A438A1">
      <w:pPr>
        <w:widowControl w:val="0"/>
        <w:snapToGrid w:val="0"/>
        <w:spacing w:before="120" w:beforeLines="50" w:line="240" w:lineRule="auto"/>
        <w:ind w:firstLine="540"/>
        <w:rPr>
          <w:color w:val="auto"/>
          <w:sz w:val="24"/>
          <w:szCs w:val="24"/>
        </w:rPr>
      </w:pPr>
      <w:r>
        <w:rPr>
          <w:color w:val="auto"/>
          <w:sz w:val="24"/>
          <w:szCs w:val="24"/>
        </w:rPr>
        <w:t>2</w:t>
      </w:r>
      <w:r>
        <w:rPr>
          <w:rFonts w:hint="eastAsia"/>
          <w:color w:val="auto"/>
          <w:sz w:val="24"/>
          <w:szCs w:val="24"/>
        </w:rPr>
        <w:t>、供应商的投标报价（价格构成）应包括磋商文件所述投标报价的所有内容。</w:t>
      </w:r>
    </w:p>
    <w:p w14:paraId="481D4D4F">
      <w:pPr>
        <w:widowControl w:val="0"/>
        <w:snapToGrid w:val="0"/>
        <w:spacing w:before="120" w:beforeLines="50" w:line="240" w:lineRule="auto"/>
        <w:ind w:firstLine="540"/>
        <w:jc w:val="left"/>
        <w:rPr>
          <w:color w:val="auto"/>
          <w:sz w:val="24"/>
          <w:szCs w:val="24"/>
        </w:rPr>
      </w:pPr>
      <w:r>
        <w:rPr>
          <w:color w:val="auto"/>
          <w:sz w:val="24"/>
          <w:szCs w:val="24"/>
        </w:rPr>
        <w:t>3</w:t>
      </w:r>
      <w:r>
        <w:rPr>
          <w:rFonts w:hint="eastAsia"/>
          <w:color w:val="auto"/>
          <w:sz w:val="24"/>
          <w:szCs w:val="24"/>
        </w:rPr>
        <w:t>、供应商可对磋商文件中所列的所有标段（包）进行分别投标，也可选择其中一个标段（包）或几个标段（包）投标，但不得将磋商文件规定的同一标段（包）的内容拆开投标，否则将按无效投标处理。</w:t>
      </w:r>
    </w:p>
    <w:p w14:paraId="272BB1DB">
      <w:pPr>
        <w:widowControl w:val="0"/>
        <w:snapToGrid w:val="0"/>
        <w:spacing w:before="120" w:beforeLines="50" w:line="240" w:lineRule="auto"/>
        <w:ind w:firstLine="540"/>
        <w:jc w:val="left"/>
        <w:rPr>
          <w:color w:val="auto"/>
          <w:sz w:val="24"/>
          <w:szCs w:val="24"/>
        </w:rPr>
      </w:pPr>
      <w:r>
        <w:rPr>
          <w:color w:val="auto"/>
          <w:sz w:val="24"/>
          <w:szCs w:val="24"/>
        </w:rPr>
        <w:t>4</w:t>
      </w:r>
      <w:r>
        <w:rPr>
          <w:rFonts w:hint="eastAsia"/>
          <w:color w:val="auto"/>
          <w:sz w:val="24"/>
          <w:szCs w:val="24"/>
        </w:rPr>
        <w:t>、开标一览表与报价明细表有差别时，以开标一览表为准；大写文字表示的数据与小写数字表示的有差别时，以大写文字表示的数据为准。</w:t>
      </w:r>
    </w:p>
    <w:p w14:paraId="5252F673">
      <w:pPr>
        <w:widowControl w:val="0"/>
        <w:snapToGrid w:val="0"/>
        <w:spacing w:line="360" w:lineRule="auto"/>
        <w:textAlignment w:val="top"/>
        <w:rPr>
          <w:b/>
          <w:color w:val="auto"/>
          <w:sz w:val="24"/>
          <w:szCs w:val="24"/>
        </w:rPr>
      </w:pPr>
    </w:p>
    <w:p w14:paraId="53C57617">
      <w:pPr>
        <w:autoSpaceDE w:val="0"/>
        <w:autoSpaceDN w:val="0"/>
        <w:adjustRightInd w:val="0"/>
        <w:spacing w:line="360" w:lineRule="auto"/>
        <w:rPr>
          <w:rFonts w:hint="eastAsia" w:ascii="宋体" w:hAnsi="宋体"/>
          <w:color w:val="auto"/>
          <w:sz w:val="24"/>
        </w:rPr>
      </w:pPr>
    </w:p>
    <w:p w14:paraId="595021CD">
      <w:pPr>
        <w:autoSpaceDE w:val="0"/>
        <w:autoSpaceDN w:val="0"/>
        <w:adjustRightInd w:val="0"/>
        <w:spacing w:line="360" w:lineRule="auto"/>
        <w:rPr>
          <w:rFonts w:ascii="宋体" w:cs="楷体_GB2312"/>
          <w:color w:val="auto"/>
          <w:sz w:val="24"/>
          <w:lang w:val="zh-CN"/>
        </w:rPr>
      </w:pPr>
      <w:r>
        <w:rPr>
          <w:rFonts w:hint="eastAsia" w:ascii="宋体" w:hAnsi="宋体"/>
          <w:color w:val="auto"/>
          <w:sz w:val="24"/>
        </w:rPr>
        <w:t>供应商</w:t>
      </w:r>
      <w:r>
        <w:rPr>
          <w:rFonts w:hint="eastAsia"/>
          <w:color w:val="auto"/>
          <w:sz w:val="24"/>
          <w:szCs w:val="24"/>
        </w:rPr>
        <w:t>（电子签</w:t>
      </w:r>
      <w:r>
        <w:rPr>
          <w:rFonts w:hint="eastAsia" w:ascii="宋体" w:hAnsi="宋体"/>
          <w:color w:val="auto"/>
          <w:sz w:val="24"/>
          <w:szCs w:val="24"/>
        </w:rPr>
        <w:t>章</w:t>
      </w:r>
      <w:r>
        <w:rPr>
          <w:rFonts w:hint="eastAsia"/>
          <w:color w:val="auto"/>
          <w:sz w:val="24"/>
          <w:szCs w:val="24"/>
        </w:rPr>
        <w:t>）</w:t>
      </w:r>
      <w:r>
        <w:rPr>
          <w:rFonts w:hint="eastAsia" w:ascii="宋体" w:hAnsi="宋体" w:cs="楷体_GB2312"/>
          <w:color w:val="auto"/>
          <w:sz w:val="24"/>
          <w:lang w:val="zh-CN"/>
        </w:rPr>
        <w:t>：</w:t>
      </w:r>
    </w:p>
    <w:p w14:paraId="722DA051">
      <w:pPr>
        <w:autoSpaceDE w:val="0"/>
        <w:autoSpaceDN w:val="0"/>
        <w:adjustRightInd w:val="0"/>
        <w:spacing w:line="360" w:lineRule="auto"/>
        <w:ind w:left="-2" w:right="-817" w:firstLine="2"/>
        <w:rPr>
          <w:rFonts w:ascii="宋体" w:cs="楷体_GB2312"/>
          <w:color w:val="auto"/>
          <w:sz w:val="24"/>
          <w:lang w:val="zh-CN"/>
        </w:rPr>
      </w:pPr>
      <w:r>
        <w:rPr>
          <w:rFonts w:hint="eastAsia" w:ascii="宋体" w:hAnsi="宋体" w:cs="楷体_GB2312"/>
          <w:color w:val="auto"/>
          <w:sz w:val="24"/>
          <w:lang w:val="zh-CN"/>
        </w:rPr>
        <w:t>法定代表人（电子签名或签章）：</w:t>
      </w:r>
      <w:r>
        <w:rPr>
          <w:rFonts w:ascii="宋体" w:hAnsi="宋体" w:cs="楷体_GB2312"/>
          <w:color w:val="auto"/>
          <w:sz w:val="24"/>
          <w:lang w:val="zh-CN"/>
        </w:rPr>
        <w:t xml:space="preserve">  </w:t>
      </w:r>
    </w:p>
    <w:p w14:paraId="5B6C4460">
      <w:pPr>
        <w:widowControl w:val="0"/>
        <w:tabs>
          <w:tab w:val="left" w:pos="9365"/>
        </w:tabs>
        <w:snapToGrid w:val="0"/>
        <w:spacing w:after="56" w:line="360" w:lineRule="exact"/>
        <w:ind w:right="85"/>
        <w:textAlignment w:val="top"/>
        <w:rPr>
          <w:b/>
          <w:color w:val="auto"/>
        </w:rPr>
      </w:pPr>
      <w:r>
        <w:rPr>
          <w:rFonts w:hint="eastAsia" w:ascii="宋体" w:hAnsi="宋体" w:cs="楷体_GB2312"/>
          <w:color w:val="auto"/>
          <w:sz w:val="24"/>
          <w:lang w:val="zh-CN"/>
        </w:rPr>
        <w:t>日期：</w:t>
      </w:r>
      <w:r>
        <w:rPr>
          <w:rFonts w:ascii="宋体" w:hAnsi="宋体" w:cs="楷体_GB2312"/>
          <w:color w:val="auto"/>
          <w:sz w:val="24"/>
          <w:lang w:val="zh-CN"/>
        </w:rPr>
        <w:t xml:space="preserve">   </w:t>
      </w:r>
      <w:r>
        <w:rPr>
          <w:rFonts w:hint="eastAsia" w:ascii="宋体" w:hAnsi="宋体" w:cs="楷体_GB2312"/>
          <w:color w:val="auto"/>
          <w:sz w:val="24"/>
          <w:lang w:val="zh-CN"/>
        </w:rPr>
        <w:t>年</w:t>
      </w:r>
      <w:r>
        <w:rPr>
          <w:rFonts w:ascii="宋体" w:hAnsi="宋体" w:cs="楷体_GB2312"/>
          <w:color w:val="auto"/>
          <w:sz w:val="24"/>
          <w:lang w:val="zh-CN"/>
        </w:rPr>
        <w:t xml:space="preserve">   </w:t>
      </w:r>
      <w:r>
        <w:rPr>
          <w:rFonts w:hint="eastAsia" w:ascii="宋体" w:hAnsi="宋体" w:cs="楷体_GB2312"/>
          <w:color w:val="auto"/>
          <w:sz w:val="24"/>
          <w:lang w:val="zh-CN"/>
        </w:rPr>
        <w:t>月</w:t>
      </w:r>
      <w:r>
        <w:rPr>
          <w:rFonts w:ascii="宋体" w:hAnsi="宋体" w:cs="楷体_GB2312"/>
          <w:color w:val="auto"/>
          <w:sz w:val="24"/>
          <w:lang w:val="zh-CN"/>
        </w:rPr>
        <w:t xml:space="preserve">   </w:t>
      </w:r>
      <w:r>
        <w:rPr>
          <w:rFonts w:hint="eastAsia" w:ascii="宋体" w:hAnsi="宋体" w:cs="楷体_GB2312"/>
          <w:color w:val="auto"/>
          <w:sz w:val="24"/>
          <w:lang w:val="zh-CN"/>
        </w:rPr>
        <w:t>日</w:t>
      </w:r>
    </w:p>
    <w:p w14:paraId="638807F1">
      <w:pPr>
        <w:widowControl w:val="0"/>
        <w:snapToGrid w:val="0"/>
        <w:spacing w:line="560" w:lineRule="exact"/>
        <w:jc w:val="center"/>
        <w:rPr>
          <w:rFonts w:hint="eastAsia" w:ascii="黑体" w:hAnsi="黑体" w:eastAsia="黑体"/>
          <w:b/>
          <w:color w:val="auto"/>
          <w:sz w:val="30"/>
          <w:szCs w:val="30"/>
        </w:rPr>
      </w:pPr>
    </w:p>
    <w:p w14:paraId="74A5860F">
      <w:pPr>
        <w:widowControl w:val="0"/>
        <w:snapToGrid w:val="0"/>
        <w:spacing w:line="560" w:lineRule="exact"/>
        <w:jc w:val="center"/>
        <w:rPr>
          <w:rFonts w:hint="eastAsia" w:ascii="黑体" w:hAnsi="黑体" w:eastAsia="黑体"/>
          <w:b/>
          <w:color w:val="auto"/>
          <w:sz w:val="30"/>
          <w:szCs w:val="30"/>
        </w:rPr>
      </w:pPr>
      <w:r>
        <w:rPr>
          <w:rFonts w:ascii="黑体" w:hAnsi="黑体" w:eastAsia="黑体"/>
          <w:b/>
          <w:color w:val="auto"/>
          <w:sz w:val="30"/>
          <w:szCs w:val="30"/>
        </w:rPr>
        <w:br w:type="page"/>
      </w:r>
    </w:p>
    <w:p w14:paraId="0D14E1AB">
      <w:pPr>
        <w:widowControl w:val="0"/>
        <w:snapToGrid w:val="0"/>
        <w:spacing w:line="560" w:lineRule="exact"/>
        <w:jc w:val="center"/>
        <w:rPr>
          <w:b/>
          <w:color w:val="auto"/>
          <w:sz w:val="24"/>
          <w:szCs w:val="24"/>
        </w:rPr>
      </w:pPr>
      <w:r>
        <w:rPr>
          <w:rFonts w:hint="eastAsia" w:ascii="黑体" w:hAnsi="黑体" w:eastAsia="黑体"/>
          <w:b/>
          <w:color w:val="auto"/>
          <w:sz w:val="30"/>
          <w:szCs w:val="30"/>
        </w:rPr>
        <w:t>三、第一次报价明细表</w:t>
      </w:r>
      <w:r>
        <w:rPr>
          <w:rFonts w:hint="eastAsia" w:ascii="宋体" w:hAnsi="宋体"/>
          <w:b/>
          <w:color w:val="auto"/>
          <w:sz w:val="30"/>
          <w:szCs w:val="30"/>
        </w:rPr>
        <w:t>（或预算书）</w:t>
      </w:r>
    </w:p>
    <w:p w14:paraId="7522061B">
      <w:pPr>
        <w:pStyle w:val="16"/>
        <w:adjustRightInd w:val="0"/>
        <w:snapToGrid w:val="0"/>
        <w:spacing w:before="120" w:beforeLines="50" w:beforeAutospacing="0" w:after="0" w:afterAutospacing="0"/>
        <w:rPr>
          <w:rFonts w:hint="eastAsia"/>
          <w:color w:val="auto"/>
        </w:rPr>
      </w:pPr>
    </w:p>
    <w:p w14:paraId="3551215C">
      <w:pPr>
        <w:pStyle w:val="16"/>
        <w:adjustRightInd w:val="0"/>
        <w:snapToGrid w:val="0"/>
        <w:spacing w:before="0" w:beforeAutospacing="0" w:after="0" w:afterAutospacing="0"/>
        <w:rPr>
          <w:rFonts w:hint="eastAsia"/>
          <w:color w:val="auto"/>
          <w:u w:val="single"/>
        </w:rPr>
      </w:pPr>
      <w:r>
        <w:rPr>
          <w:rFonts w:hint="eastAsia"/>
          <w:color w:val="auto"/>
        </w:rPr>
        <w:t>项目名称：</w:t>
      </w:r>
    </w:p>
    <w:p w14:paraId="0479A177">
      <w:pPr>
        <w:pStyle w:val="16"/>
        <w:adjustRightInd w:val="0"/>
        <w:snapToGrid w:val="0"/>
        <w:spacing w:before="0" w:beforeAutospacing="0" w:after="0" w:afterAutospacing="0"/>
        <w:rPr>
          <w:rFonts w:hint="eastAsia"/>
          <w:color w:val="auto"/>
        </w:rPr>
      </w:pPr>
      <w:r>
        <w:rPr>
          <w:rFonts w:hint="eastAsia"/>
          <w:color w:val="auto"/>
        </w:rPr>
        <w:t>项目编号：</w:t>
      </w:r>
    </w:p>
    <w:tbl>
      <w:tblPr>
        <w:tblStyle w:val="19"/>
        <w:tblW w:w="9453" w:type="dxa"/>
        <w:tblInd w:w="-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08"/>
        <w:gridCol w:w="2134"/>
        <w:gridCol w:w="2848"/>
        <w:gridCol w:w="1027"/>
        <w:gridCol w:w="711"/>
        <w:gridCol w:w="948"/>
        <w:gridCol w:w="1177"/>
      </w:tblGrid>
      <w:tr w14:paraId="37DA7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5" w:hRule="atLeast"/>
        </w:trPr>
        <w:tc>
          <w:tcPr>
            <w:tcW w:w="608" w:type="dxa"/>
            <w:tcBorders>
              <w:top w:val="single" w:color="000000" w:sz="8" w:space="0"/>
              <w:left w:val="single" w:color="000000" w:sz="8" w:space="0"/>
              <w:bottom w:val="single" w:color="000000" w:sz="4" w:space="0"/>
              <w:right w:val="single" w:color="000000" w:sz="4" w:space="0"/>
            </w:tcBorders>
            <w:vAlign w:val="center"/>
          </w:tcPr>
          <w:p w14:paraId="4933F9F1">
            <w:pPr>
              <w:spacing w:line="560" w:lineRule="exact"/>
              <w:jc w:val="center"/>
              <w:rPr>
                <w:color w:val="auto"/>
                <w:sz w:val="28"/>
              </w:rPr>
            </w:pPr>
            <w:r>
              <w:rPr>
                <w:rFonts w:hint="eastAsia"/>
                <w:color w:val="auto"/>
              </w:rPr>
              <w:t>序号</w:t>
            </w:r>
          </w:p>
        </w:tc>
        <w:tc>
          <w:tcPr>
            <w:tcW w:w="2134" w:type="dxa"/>
            <w:tcBorders>
              <w:top w:val="single" w:color="000000" w:sz="8" w:space="0"/>
              <w:bottom w:val="single" w:color="000000" w:sz="4" w:space="0"/>
              <w:right w:val="single" w:color="000000" w:sz="4" w:space="0"/>
            </w:tcBorders>
            <w:vAlign w:val="center"/>
          </w:tcPr>
          <w:p w14:paraId="6A0876BA">
            <w:pPr>
              <w:spacing w:line="560" w:lineRule="exact"/>
              <w:jc w:val="center"/>
              <w:rPr>
                <w:color w:val="auto"/>
                <w:sz w:val="28"/>
              </w:rPr>
            </w:pPr>
            <w:r>
              <w:rPr>
                <w:rFonts w:hint="eastAsia"/>
                <w:color w:val="auto"/>
                <w:szCs w:val="21"/>
              </w:rPr>
              <w:t>内容</w:t>
            </w:r>
          </w:p>
        </w:tc>
        <w:tc>
          <w:tcPr>
            <w:tcW w:w="2848" w:type="dxa"/>
            <w:tcBorders>
              <w:top w:val="single" w:color="000000" w:sz="8" w:space="0"/>
              <w:bottom w:val="single" w:color="000000" w:sz="4" w:space="0"/>
            </w:tcBorders>
            <w:vAlign w:val="center"/>
          </w:tcPr>
          <w:p w14:paraId="61BFB827">
            <w:pPr>
              <w:spacing w:line="240" w:lineRule="auto"/>
              <w:jc w:val="center"/>
              <w:rPr>
                <w:color w:val="auto"/>
                <w:sz w:val="28"/>
              </w:rPr>
            </w:pPr>
            <w:r>
              <w:rPr>
                <w:rFonts w:hint="eastAsia"/>
                <w:color w:val="auto"/>
              </w:rPr>
              <w:t>技术描述及材料（工程设备）品牌型号规格</w:t>
            </w:r>
          </w:p>
        </w:tc>
        <w:tc>
          <w:tcPr>
            <w:tcW w:w="1027" w:type="dxa"/>
            <w:tcBorders>
              <w:top w:val="single" w:color="000000" w:sz="8" w:space="0"/>
              <w:bottom w:val="single" w:color="000000" w:sz="4" w:space="0"/>
              <w:right w:val="single" w:color="000000" w:sz="4" w:space="0"/>
            </w:tcBorders>
            <w:vAlign w:val="center"/>
          </w:tcPr>
          <w:p w14:paraId="1308904E">
            <w:pPr>
              <w:spacing w:line="560" w:lineRule="exact"/>
              <w:jc w:val="center"/>
              <w:rPr>
                <w:color w:val="auto"/>
                <w:sz w:val="28"/>
              </w:rPr>
            </w:pPr>
            <w:r>
              <w:rPr>
                <w:rFonts w:hint="eastAsia"/>
                <w:color w:val="auto"/>
              </w:rPr>
              <w:t>单位</w:t>
            </w:r>
          </w:p>
        </w:tc>
        <w:tc>
          <w:tcPr>
            <w:tcW w:w="711" w:type="dxa"/>
            <w:tcBorders>
              <w:top w:val="single" w:color="000000" w:sz="8" w:space="0"/>
              <w:bottom w:val="single" w:color="000000" w:sz="4" w:space="0"/>
              <w:right w:val="single" w:color="000000" w:sz="4" w:space="0"/>
            </w:tcBorders>
            <w:vAlign w:val="center"/>
          </w:tcPr>
          <w:p w14:paraId="4A94B589">
            <w:pPr>
              <w:spacing w:line="560" w:lineRule="exact"/>
              <w:jc w:val="center"/>
              <w:rPr>
                <w:color w:val="auto"/>
                <w:sz w:val="28"/>
              </w:rPr>
            </w:pPr>
            <w:r>
              <w:rPr>
                <w:rFonts w:hint="eastAsia"/>
                <w:color w:val="auto"/>
              </w:rPr>
              <w:t>数量</w:t>
            </w:r>
          </w:p>
        </w:tc>
        <w:tc>
          <w:tcPr>
            <w:tcW w:w="948" w:type="dxa"/>
            <w:tcBorders>
              <w:top w:val="single" w:color="000000" w:sz="8" w:space="0"/>
              <w:bottom w:val="single" w:color="000000" w:sz="4" w:space="0"/>
              <w:right w:val="single" w:color="000000" w:sz="4" w:space="0"/>
            </w:tcBorders>
            <w:vAlign w:val="center"/>
          </w:tcPr>
          <w:p w14:paraId="46052143">
            <w:pPr>
              <w:spacing w:line="560" w:lineRule="exact"/>
              <w:jc w:val="center"/>
              <w:rPr>
                <w:color w:val="auto"/>
                <w:sz w:val="28"/>
              </w:rPr>
            </w:pPr>
            <w:r>
              <w:rPr>
                <w:rFonts w:hint="eastAsia"/>
                <w:color w:val="auto"/>
              </w:rPr>
              <w:t>单价</w:t>
            </w:r>
          </w:p>
        </w:tc>
        <w:tc>
          <w:tcPr>
            <w:tcW w:w="1177" w:type="dxa"/>
            <w:tcBorders>
              <w:top w:val="single" w:color="000000" w:sz="8" w:space="0"/>
              <w:bottom w:val="single" w:color="000000" w:sz="4" w:space="0"/>
              <w:right w:val="single" w:color="000000" w:sz="8" w:space="0"/>
            </w:tcBorders>
            <w:vAlign w:val="center"/>
          </w:tcPr>
          <w:p w14:paraId="4DD9CEAC">
            <w:pPr>
              <w:spacing w:line="560" w:lineRule="exact"/>
              <w:jc w:val="center"/>
              <w:rPr>
                <w:color w:val="auto"/>
                <w:sz w:val="28"/>
              </w:rPr>
            </w:pPr>
            <w:r>
              <w:rPr>
                <w:rFonts w:hint="eastAsia"/>
                <w:color w:val="auto"/>
              </w:rPr>
              <w:t>小计</w:t>
            </w:r>
          </w:p>
        </w:tc>
      </w:tr>
      <w:tr w14:paraId="786BB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5" w:hRule="atLeast"/>
        </w:trPr>
        <w:tc>
          <w:tcPr>
            <w:tcW w:w="608" w:type="dxa"/>
            <w:tcBorders>
              <w:left w:val="single" w:color="000000" w:sz="8" w:space="0"/>
              <w:bottom w:val="single" w:color="000000" w:sz="4" w:space="0"/>
              <w:right w:val="single" w:color="000000" w:sz="4" w:space="0"/>
            </w:tcBorders>
            <w:vAlign w:val="center"/>
          </w:tcPr>
          <w:p w14:paraId="528724FF">
            <w:pPr>
              <w:spacing w:line="560" w:lineRule="exact"/>
              <w:jc w:val="center"/>
              <w:rPr>
                <w:color w:val="auto"/>
                <w:sz w:val="28"/>
              </w:rPr>
            </w:pPr>
            <w:r>
              <w:rPr>
                <w:color w:val="auto"/>
              </w:rPr>
              <w:t>1</w:t>
            </w:r>
          </w:p>
        </w:tc>
        <w:tc>
          <w:tcPr>
            <w:tcW w:w="2134" w:type="dxa"/>
            <w:tcBorders>
              <w:bottom w:val="single" w:color="000000" w:sz="4" w:space="0"/>
              <w:right w:val="single" w:color="000000" w:sz="4" w:space="0"/>
            </w:tcBorders>
            <w:vAlign w:val="center"/>
          </w:tcPr>
          <w:p w14:paraId="25A32F6B">
            <w:pPr>
              <w:spacing w:line="560" w:lineRule="exact"/>
              <w:jc w:val="center"/>
              <w:rPr>
                <w:color w:val="auto"/>
                <w:sz w:val="28"/>
              </w:rPr>
            </w:pPr>
          </w:p>
        </w:tc>
        <w:tc>
          <w:tcPr>
            <w:tcW w:w="2848" w:type="dxa"/>
            <w:tcBorders>
              <w:bottom w:val="single" w:color="000000" w:sz="4" w:space="0"/>
            </w:tcBorders>
            <w:vAlign w:val="center"/>
          </w:tcPr>
          <w:p w14:paraId="005EDB1D">
            <w:pPr>
              <w:spacing w:line="560" w:lineRule="exact"/>
              <w:jc w:val="left"/>
              <w:rPr>
                <w:color w:val="auto"/>
                <w:sz w:val="28"/>
              </w:rPr>
            </w:pPr>
          </w:p>
        </w:tc>
        <w:tc>
          <w:tcPr>
            <w:tcW w:w="1027" w:type="dxa"/>
            <w:tcBorders>
              <w:bottom w:val="single" w:color="000000" w:sz="4" w:space="0"/>
              <w:right w:val="single" w:color="000000" w:sz="4" w:space="0"/>
            </w:tcBorders>
            <w:vAlign w:val="center"/>
          </w:tcPr>
          <w:p w14:paraId="5208A6B3">
            <w:pPr>
              <w:spacing w:line="560" w:lineRule="exact"/>
              <w:jc w:val="center"/>
              <w:rPr>
                <w:color w:val="auto"/>
                <w:sz w:val="28"/>
              </w:rPr>
            </w:pPr>
          </w:p>
        </w:tc>
        <w:tc>
          <w:tcPr>
            <w:tcW w:w="711" w:type="dxa"/>
            <w:tcBorders>
              <w:bottom w:val="single" w:color="000000" w:sz="4" w:space="0"/>
              <w:right w:val="single" w:color="000000" w:sz="4" w:space="0"/>
            </w:tcBorders>
            <w:vAlign w:val="center"/>
          </w:tcPr>
          <w:p w14:paraId="30EFFF97">
            <w:pPr>
              <w:spacing w:line="560" w:lineRule="exact"/>
              <w:jc w:val="center"/>
              <w:rPr>
                <w:color w:val="auto"/>
                <w:sz w:val="28"/>
              </w:rPr>
            </w:pPr>
          </w:p>
        </w:tc>
        <w:tc>
          <w:tcPr>
            <w:tcW w:w="948" w:type="dxa"/>
            <w:tcBorders>
              <w:bottom w:val="single" w:color="000000" w:sz="4" w:space="0"/>
              <w:right w:val="single" w:color="000000" w:sz="4" w:space="0"/>
            </w:tcBorders>
            <w:vAlign w:val="center"/>
          </w:tcPr>
          <w:p w14:paraId="022D0E90">
            <w:pPr>
              <w:spacing w:line="560" w:lineRule="exact"/>
              <w:jc w:val="center"/>
              <w:rPr>
                <w:color w:val="auto"/>
                <w:sz w:val="28"/>
              </w:rPr>
            </w:pPr>
          </w:p>
        </w:tc>
        <w:tc>
          <w:tcPr>
            <w:tcW w:w="1177" w:type="dxa"/>
            <w:tcBorders>
              <w:bottom w:val="single" w:color="000000" w:sz="4" w:space="0"/>
              <w:right w:val="single" w:color="000000" w:sz="8" w:space="0"/>
            </w:tcBorders>
            <w:vAlign w:val="center"/>
          </w:tcPr>
          <w:p w14:paraId="15946176">
            <w:pPr>
              <w:spacing w:line="560" w:lineRule="exact"/>
              <w:jc w:val="center"/>
              <w:rPr>
                <w:color w:val="auto"/>
                <w:sz w:val="28"/>
              </w:rPr>
            </w:pPr>
          </w:p>
        </w:tc>
      </w:tr>
      <w:tr w14:paraId="42D24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5" w:hRule="atLeast"/>
        </w:trPr>
        <w:tc>
          <w:tcPr>
            <w:tcW w:w="608" w:type="dxa"/>
            <w:tcBorders>
              <w:left w:val="single" w:color="000000" w:sz="8" w:space="0"/>
              <w:bottom w:val="single" w:color="000000" w:sz="4" w:space="0"/>
              <w:right w:val="single" w:color="000000" w:sz="4" w:space="0"/>
            </w:tcBorders>
            <w:vAlign w:val="center"/>
          </w:tcPr>
          <w:p w14:paraId="57C0AE1F">
            <w:pPr>
              <w:spacing w:line="560" w:lineRule="exact"/>
              <w:jc w:val="center"/>
              <w:rPr>
                <w:color w:val="auto"/>
                <w:sz w:val="28"/>
              </w:rPr>
            </w:pPr>
            <w:r>
              <w:rPr>
                <w:color w:val="auto"/>
              </w:rPr>
              <w:t>2</w:t>
            </w:r>
          </w:p>
        </w:tc>
        <w:tc>
          <w:tcPr>
            <w:tcW w:w="2134" w:type="dxa"/>
            <w:tcBorders>
              <w:bottom w:val="single" w:color="000000" w:sz="4" w:space="0"/>
              <w:right w:val="single" w:color="000000" w:sz="4" w:space="0"/>
            </w:tcBorders>
            <w:vAlign w:val="center"/>
          </w:tcPr>
          <w:p w14:paraId="15E4B2DB">
            <w:pPr>
              <w:spacing w:line="560" w:lineRule="exact"/>
              <w:jc w:val="center"/>
              <w:rPr>
                <w:color w:val="auto"/>
                <w:sz w:val="28"/>
              </w:rPr>
            </w:pPr>
          </w:p>
        </w:tc>
        <w:tc>
          <w:tcPr>
            <w:tcW w:w="2848" w:type="dxa"/>
            <w:tcBorders>
              <w:bottom w:val="single" w:color="000000" w:sz="4" w:space="0"/>
            </w:tcBorders>
            <w:vAlign w:val="center"/>
          </w:tcPr>
          <w:p w14:paraId="01AE3C00">
            <w:pPr>
              <w:spacing w:line="560" w:lineRule="exact"/>
              <w:jc w:val="left"/>
              <w:rPr>
                <w:color w:val="auto"/>
                <w:sz w:val="28"/>
              </w:rPr>
            </w:pPr>
          </w:p>
        </w:tc>
        <w:tc>
          <w:tcPr>
            <w:tcW w:w="1027" w:type="dxa"/>
            <w:tcBorders>
              <w:bottom w:val="single" w:color="000000" w:sz="4" w:space="0"/>
              <w:right w:val="single" w:color="000000" w:sz="4" w:space="0"/>
            </w:tcBorders>
            <w:vAlign w:val="center"/>
          </w:tcPr>
          <w:p w14:paraId="14408792">
            <w:pPr>
              <w:spacing w:line="560" w:lineRule="exact"/>
              <w:jc w:val="center"/>
              <w:rPr>
                <w:color w:val="auto"/>
                <w:sz w:val="28"/>
              </w:rPr>
            </w:pPr>
          </w:p>
        </w:tc>
        <w:tc>
          <w:tcPr>
            <w:tcW w:w="711" w:type="dxa"/>
            <w:tcBorders>
              <w:bottom w:val="single" w:color="000000" w:sz="4" w:space="0"/>
              <w:right w:val="single" w:color="000000" w:sz="4" w:space="0"/>
            </w:tcBorders>
            <w:vAlign w:val="center"/>
          </w:tcPr>
          <w:p w14:paraId="0A9DAF08">
            <w:pPr>
              <w:spacing w:line="560" w:lineRule="exact"/>
              <w:jc w:val="center"/>
              <w:rPr>
                <w:color w:val="auto"/>
                <w:sz w:val="28"/>
              </w:rPr>
            </w:pPr>
          </w:p>
        </w:tc>
        <w:tc>
          <w:tcPr>
            <w:tcW w:w="948" w:type="dxa"/>
            <w:tcBorders>
              <w:bottom w:val="single" w:color="000000" w:sz="4" w:space="0"/>
              <w:right w:val="single" w:color="000000" w:sz="4" w:space="0"/>
            </w:tcBorders>
            <w:vAlign w:val="center"/>
          </w:tcPr>
          <w:p w14:paraId="5E5078DB">
            <w:pPr>
              <w:spacing w:line="560" w:lineRule="exact"/>
              <w:jc w:val="center"/>
              <w:rPr>
                <w:color w:val="auto"/>
                <w:sz w:val="28"/>
              </w:rPr>
            </w:pPr>
          </w:p>
        </w:tc>
        <w:tc>
          <w:tcPr>
            <w:tcW w:w="1177" w:type="dxa"/>
            <w:tcBorders>
              <w:bottom w:val="single" w:color="000000" w:sz="4" w:space="0"/>
              <w:right w:val="single" w:color="000000" w:sz="8" w:space="0"/>
            </w:tcBorders>
            <w:vAlign w:val="center"/>
          </w:tcPr>
          <w:p w14:paraId="5039572E">
            <w:pPr>
              <w:spacing w:line="560" w:lineRule="exact"/>
              <w:jc w:val="center"/>
              <w:rPr>
                <w:color w:val="auto"/>
                <w:sz w:val="28"/>
              </w:rPr>
            </w:pPr>
          </w:p>
        </w:tc>
      </w:tr>
      <w:tr w14:paraId="7CA5A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5" w:hRule="atLeast"/>
        </w:trPr>
        <w:tc>
          <w:tcPr>
            <w:tcW w:w="608" w:type="dxa"/>
            <w:tcBorders>
              <w:left w:val="single" w:color="000000" w:sz="8" w:space="0"/>
              <w:bottom w:val="single" w:color="000000" w:sz="4" w:space="0"/>
              <w:right w:val="single" w:color="000000" w:sz="4" w:space="0"/>
            </w:tcBorders>
            <w:vAlign w:val="center"/>
          </w:tcPr>
          <w:p w14:paraId="1943F919">
            <w:pPr>
              <w:spacing w:line="560" w:lineRule="exact"/>
              <w:jc w:val="center"/>
              <w:rPr>
                <w:color w:val="auto"/>
                <w:sz w:val="28"/>
              </w:rPr>
            </w:pPr>
            <w:r>
              <w:rPr>
                <w:color w:val="auto"/>
              </w:rPr>
              <w:t>3</w:t>
            </w:r>
          </w:p>
        </w:tc>
        <w:tc>
          <w:tcPr>
            <w:tcW w:w="2134" w:type="dxa"/>
            <w:tcBorders>
              <w:bottom w:val="single" w:color="000000" w:sz="4" w:space="0"/>
              <w:right w:val="single" w:color="000000" w:sz="4" w:space="0"/>
            </w:tcBorders>
            <w:vAlign w:val="center"/>
          </w:tcPr>
          <w:p w14:paraId="5FB7F21F">
            <w:pPr>
              <w:spacing w:line="560" w:lineRule="exact"/>
              <w:jc w:val="center"/>
              <w:rPr>
                <w:color w:val="auto"/>
                <w:sz w:val="28"/>
              </w:rPr>
            </w:pPr>
          </w:p>
        </w:tc>
        <w:tc>
          <w:tcPr>
            <w:tcW w:w="2848" w:type="dxa"/>
            <w:tcBorders>
              <w:bottom w:val="single" w:color="000000" w:sz="4" w:space="0"/>
            </w:tcBorders>
            <w:vAlign w:val="center"/>
          </w:tcPr>
          <w:p w14:paraId="2ED07863">
            <w:pPr>
              <w:spacing w:line="560" w:lineRule="exact"/>
              <w:jc w:val="left"/>
              <w:rPr>
                <w:color w:val="auto"/>
                <w:sz w:val="28"/>
              </w:rPr>
            </w:pPr>
          </w:p>
        </w:tc>
        <w:tc>
          <w:tcPr>
            <w:tcW w:w="1027" w:type="dxa"/>
            <w:tcBorders>
              <w:bottom w:val="single" w:color="000000" w:sz="4" w:space="0"/>
              <w:right w:val="single" w:color="000000" w:sz="4" w:space="0"/>
            </w:tcBorders>
            <w:vAlign w:val="center"/>
          </w:tcPr>
          <w:p w14:paraId="0EA741BD">
            <w:pPr>
              <w:spacing w:line="560" w:lineRule="exact"/>
              <w:jc w:val="center"/>
              <w:rPr>
                <w:color w:val="auto"/>
                <w:sz w:val="28"/>
              </w:rPr>
            </w:pPr>
          </w:p>
        </w:tc>
        <w:tc>
          <w:tcPr>
            <w:tcW w:w="711" w:type="dxa"/>
            <w:tcBorders>
              <w:bottom w:val="single" w:color="000000" w:sz="4" w:space="0"/>
              <w:right w:val="single" w:color="000000" w:sz="4" w:space="0"/>
            </w:tcBorders>
            <w:vAlign w:val="center"/>
          </w:tcPr>
          <w:p w14:paraId="4191A5FC">
            <w:pPr>
              <w:spacing w:line="560" w:lineRule="exact"/>
              <w:jc w:val="center"/>
              <w:rPr>
                <w:color w:val="auto"/>
                <w:sz w:val="28"/>
              </w:rPr>
            </w:pPr>
          </w:p>
        </w:tc>
        <w:tc>
          <w:tcPr>
            <w:tcW w:w="948" w:type="dxa"/>
            <w:tcBorders>
              <w:bottom w:val="single" w:color="000000" w:sz="4" w:space="0"/>
              <w:right w:val="single" w:color="000000" w:sz="4" w:space="0"/>
            </w:tcBorders>
            <w:vAlign w:val="center"/>
          </w:tcPr>
          <w:p w14:paraId="0B99827A">
            <w:pPr>
              <w:spacing w:line="560" w:lineRule="exact"/>
              <w:jc w:val="center"/>
              <w:rPr>
                <w:color w:val="auto"/>
                <w:sz w:val="28"/>
              </w:rPr>
            </w:pPr>
          </w:p>
        </w:tc>
        <w:tc>
          <w:tcPr>
            <w:tcW w:w="1177" w:type="dxa"/>
            <w:tcBorders>
              <w:bottom w:val="single" w:color="000000" w:sz="4" w:space="0"/>
              <w:right w:val="single" w:color="000000" w:sz="8" w:space="0"/>
            </w:tcBorders>
            <w:vAlign w:val="center"/>
          </w:tcPr>
          <w:p w14:paraId="1B2F3234">
            <w:pPr>
              <w:spacing w:line="560" w:lineRule="exact"/>
              <w:jc w:val="center"/>
              <w:rPr>
                <w:color w:val="auto"/>
                <w:sz w:val="28"/>
              </w:rPr>
            </w:pPr>
          </w:p>
        </w:tc>
      </w:tr>
      <w:tr w14:paraId="096BC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5" w:hRule="atLeast"/>
        </w:trPr>
        <w:tc>
          <w:tcPr>
            <w:tcW w:w="608" w:type="dxa"/>
            <w:tcBorders>
              <w:left w:val="single" w:color="000000" w:sz="8" w:space="0"/>
              <w:bottom w:val="single" w:color="000000" w:sz="4" w:space="0"/>
              <w:right w:val="single" w:color="000000" w:sz="4" w:space="0"/>
            </w:tcBorders>
            <w:vAlign w:val="center"/>
          </w:tcPr>
          <w:p w14:paraId="7A9D8B4A">
            <w:pPr>
              <w:spacing w:line="560" w:lineRule="exact"/>
              <w:jc w:val="center"/>
              <w:rPr>
                <w:color w:val="auto"/>
                <w:sz w:val="28"/>
              </w:rPr>
            </w:pPr>
            <w:r>
              <w:rPr>
                <w:color w:val="auto"/>
              </w:rPr>
              <w:t>4</w:t>
            </w:r>
          </w:p>
        </w:tc>
        <w:tc>
          <w:tcPr>
            <w:tcW w:w="2134" w:type="dxa"/>
            <w:tcBorders>
              <w:bottom w:val="single" w:color="000000" w:sz="4" w:space="0"/>
              <w:right w:val="single" w:color="000000" w:sz="4" w:space="0"/>
            </w:tcBorders>
            <w:vAlign w:val="center"/>
          </w:tcPr>
          <w:p w14:paraId="08F59EEE">
            <w:pPr>
              <w:spacing w:line="560" w:lineRule="exact"/>
              <w:jc w:val="center"/>
              <w:rPr>
                <w:color w:val="auto"/>
                <w:sz w:val="28"/>
              </w:rPr>
            </w:pPr>
          </w:p>
        </w:tc>
        <w:tc>
          <w:tcPr>
            <w:tcW w:w="2848" w:type="dxa"/>
            <w:tcBorders>
              <w:bottom w:val="single" w:color="000000" w:sz="4" w:space="0"/>
            </w:tcBorders>
            <w:vAlign w:val="center"/>
          </w:tcPr>
          <w:p w14:paraId="51DECC7A">
            <w:pPr>
              <w:spacing w:line="560" w:lineRule="exact"/>
              <w:jc w:val="center"/>
              <w:rPr>
                <w:color w:val="auto"/>
                <w:sz w:val="28"/>
              </w:rPr>
            </w:pPr>
          </w:p>
        </w:tc>
        <w:tc>
          <w:tcPr>
            <w:tcW w:w="1027" w:type="dxa"/>
            <w:tcBorders>
              <w:bottom w:val="single" w:color="000000" w:sz="4" w:space="0"/>
              <w:right w:val="single" w:color="000000" w:sz="4" w:space="0"/>
            </w:tcBorders>
            <w:vAlign w:val="center"/>
          </w:tcPr>
          <w:p w14:paraId="6B57511D">
            <w:pPr>
              <w:spacing w:line="560" w:lineRule="exact"/>
              <w:jc w:val="center"/>
              <w:rPr>
                <w:color w:val="auto"/>
                <w:sz w:val="28"/>
              </w:rPr>
            </w:pPr>
          </w:p>
        </w:tc>
        <w:tc>
          <w:tcPr>
            <w:tcW w:w="711" w:type="dxa"/>
            <w:tcBorders>
              <w:bottom w:val="single" w:color="000000" w:sz="4" w:space="0"/>
              <w:right w:val="single" w:color="000000" w:sz="4" w:space="0"/>
            </w:tcBorders>
            <w:vAlign w:val="center"/>
          </w:tcPr>
          <w:p w14:paraId="0FCFBBDA">
            <w:pPr>
              <w:spacing w:line="560" w:lineRule="exact"/>
              <w:jc w:val="center"/>
              <w:rPr>
                <w:color w:val="auto"/>
                <w:sz w:val="28"/>
              </w:rPr>
            </w:pPr>
          </w:p>
        </w:tc>
        <w:tc>
          <w:tcPr>
            <w:tcW w:w="948" w:type="dxa"/>
            <w:tcBorders>
              <w:bottom w:val="single" w:color="000000" w:sz="4" w:space="0"/>
              <w:right w:val="single" w:color="000000" w:sz="4" w:space="0"/>
            </w:tcBorders>
            <w:vAlign w:val="center"/>
          </w:tcPr>
          <w:p w14:paraId="2F66467B">
            <w:pPr>
              <w:spacing w:line="560" w:lineRule="exact"/>
              <w:jc w:val="center"/>
              <w:rPr>
                <w:color w:val="auto"/>
                <w:sz w:val="28"/>
              </w:rPr>
            </w:pPr>
          </w:p>
        </w:tc>
        <w:tc>
          <w:tcPr>
            <w:tcW w:w="1177" w:type="dxa"/>
            <w:tcBorders>
              <w:bottom w:val="single" w:color="000000" w:sz="4" w:space="0"/>
              <w:right w:val="single" w:color="000000" w:sz="8" w:space="0"/>
            </w:tcBorders>
            <w:vAlign w:val="center"/>
          </w:tcPr>
          <w:p w14:paraId="01AA9D93">
            <w:pPr>
              <w:spacing w:line="560" w:lineRule="exact"/>
              <w:jc w:val="center"/>
              <w:rPr>
                <w:color w:val="auto"/>
                <w:sz w:val="28"/>
              </w:rPr>
            </w:pPr>
          </w:p>
        </w:tc>
      </w:tr>
      <w:tr w14:paraId="7385F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1" w:hRule="atLeast"/>
        </w:trPr>
        <w:tc>
          <w:tcPr>
            <w:tcW w:w="608" w:type="dxa"/>
            <w:tcBorders>
              <w:left w:val="single" w:color="000000" w:sz="8" w:space="0"/>
              <w:bottom w:val="single" w:color="000000" w:sz="4" w:space="0"/>
              <w:right w:val="single" w:color="000000" w:sz="4" w:space="0"/>
            </w:tcBorders>
            <w:vAlign w:val="center"/>
          </w:tcPr>
          <w:p w14:paraId="08010C80">
            <w:pPr>
              <w:spacing w:line="560" w:lineRule="exact"/>
              <w:jc w:val="center"/>
              <w:rPr>
                <w:color w:val="auto"/>
                <w:sz w:val="28"/>
              </w:rPr>
            </w:pPr>
            <w:r>
              <w:rPr>
                <w:color w:val="auto"/>
              </w:rPr>
              <w:t>5</w:t>
            </w:r>
          </w:p>
        </w:tc>
        <w:tc>
          <w:tcPr>
            <w:tcW w:w="2134" w:type="dxa"/>
            <w:tcBorders>
              <w:bottom w:val="single" w:color="000000" w:sz="4" w:space="0"/>
              <w:right w:val="single" w:color="000000" w:sz="4" w:space="0"/>
            </w:tcBorders>
            <w:vAlign w:val="center"/>
          </w:tcPr>
          <w:p w14:paraId="2B493FB1">
            <w:pPr>
              <w:spacing w:line="560" w:lineRule="exact"/>
              <w:jc w:val="center"/>
              <w:rPr>
                <w:color w:val="auto"/>
                <w:sz w:val="28"/>
              </w:rPr>
            </w:pPr>
          </w:p>
        </w:tc>
        <w:tc>
          <w:tcPr>
            <w:tcW w:w="2848" w:type="dxa"/>
            <w:tcBorders>
              <w:bottom w:val="single" w:color="000000" w:sz="4" w:space="0"/>
            </w:tcBorders>
            <w:vAlign w:val="center"/>
          </w:tcPr>
          <w:p w14:paraId="341D3289">
            <w:pPr>
              <w:spacing w:line="560" w:lineRule="exact"/>
              <w:jc w:val="center"/>
              <w:rPr>
                <w:color w:val="auto"/>
                <w:sz w:val="28"/>
              </w:rPr>
            </w:pPr>
          </w:p>
        </w:tc>
        <w:tc>
          <w:tcPr>
            <w:tcW w:w="1027" w:type="dxa"/>
            <w:tcBorders>
              <w:bottom w:val="single" w:color="000000" w:sz="4" w:space="0"/>
              <w:right w:val="single" w:color="000000" w:sz="4" w:space="0"/>
            </w:tcBorders>
            <w:vAlign w:val="center"/>
          </w:tcPr>
          <w:p w14:paraId="5F287E6B">
            <w:pPr>
              <w:spacing w:line="560" w:lineRule="exact"/>
              <w:jc w:val="center"/>
              <w:rPr>
                <w:color w:val="auto"/>
                <w:sz w:val="28"/>
              </w:rPr>
            </w:pPr>
          </w:p>
        </w:tc>
        <w:tc>
          <w:tcPr>
            <w:tcW w:w="711" w:type="dxa"/>
            <w:tcBorders>
              <w:bottom w:val="single" w:color="000000" w:sz="4" w:space="0"/>
              <w:right w:val="single" w:color="000000" w:sz="4" w:space="0"/>
            </w:tcBorders>
            <w:vAlign w:val="center"/>
          </w:tcPr>
          <w:p w14:paraId="2F86C81B">
            <w:pPr>
              <w:spacing w:line="560" w:lineRule="exact"/>
              <w:jc w:val="center"/>
              <w:rPr>
                <w:color w:val="auto"/>
                <w:sz w:val="28"/>
              </w:rPr>
            </w:pPr>
          </w:p>
        </w:tc>
        <w:tc>
          <w:tcPr>
            <w:tcW w:w="948" w:type="dxa"/>
            <w:tcBorders>
              <w:bottom w:val="single" w:color="000000" w:sz="4" w:space="0"/>
              <w:right w:val="single" w:color="000000" w:sz="4" w:space="0"/>
            </w:tcBorders>
            <w:vAlign w:val="center"/>
          </w:tcPr>
          <w:p w14:paraId="60B7899A">
            <w:pPr>
              <w:spacing w:line="560" w:lineRule="exact"/>
              <w:jc w:val="center"/>
              <w:rPr>
                <w:color w:val="auto"/>
                <w:sz w:val="28"/>
              </w:rPr>
            </w:pPr>
          </w:p>
        </w:tc>
        <w:tc>
          <w:tcPr>
            <w:tcW w:w="1177" w:type="dxa"/>
            <w:tcBorders>
              <w:bottom w:val="single" w:color="000000" w:sz="4" w:space="0"/>
              <w:right w:val="single" w:color="000000" w:sz="8" w:space="0"/>
            </w:tcBorders>
            <w:vAlign w:val="center"/>
          </w:tcPr>
          <w:p w14:paraId="7C26B1F5">
            <w:pPr>
              <w:spacing w:line="560" w:lineRule="exact"/>
              <w:jc w:val="center"/>
              <w:rPr>
                <w:color w:val="auto"/>
                <w:sz w:val="28"/>
              </w:rPr>
            </w:pPr>
          </w:p>
        </w:tc>
      </w:tr>
      <w:tr w14:paraId="51A6D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0" w:hRule="atLeast"/>
        </w:trPr>
        <w:tc>
          <w:tcPr>
            <w:tcW w:w="608" w:type="dxa"/>
            <w:tcBorders>
              <w:left w:val="single" w:color="000000" w:sz="8" w:space="0"/>
              <w:bottom w:val="single" w:color="000000" w:sz="4" w:space="0"/>
              <w:right w:val="single" w:color="000000" w:sz="4" w:space="0"/>
            </w:tcBorders>
            <w:vAlign w:val="center"/>
          </w:tcPr>
          <w:p w14:paraId="7625C4F7">
            <w:pPr>
              <w:spacing w:line="560" w:lineRule="exact"/>
              <w:jc w:val="center"/>
              <w:rPr>
                <w:color w:val="auto"/>
                <w:sz w:val="28"/>
              </w:rPr>
            </w:pPr>
            <w:r>
              <w:rPr>
                <w:color w:val="auto"/>
              </w:rPr>
              <w:t>6</w:t>
            </w:r>
          </w:p>
        </w:tc>
        <w:tc>
          <w:tcPr>
            <w:tcW w:w="2134" w:type="dxa"/>
            <w:tcBorders>
              <w:bottom w:val="single" w:color="000000" w:sz="4" w:space="0"/>
              <w:right w:val="single" w:color="000000" w:sz="4" w:space="0"/>
            </w:tcBorders>
            <w:vAlign w:val="center"/>
          </w:tcPr>
          <w:p w14:paraId="22022F3E">
            <w:pPr>
              <w:spacing w:line="560" w:lineRule="exact"/>
              <w:jc w:val="center"/>
              <w:rPr>
                <w:color w:val="auto"/>
                <w:sz w:val="28"/>
              </w:rPr>
            </w:pPr>
          </w:p>
        </w:tc>
        <w:tc>
          <w:tcPr>
            <w:tcW w:w="2848" w:type="dxa"/>
            <w:tcBorders>
              <w:bottom w:val="single" w:color="000000" w:sz="4" w:space="0"/>
            </w:tcBorders>
            <w:vAlign w:val="center"/>
          </w:tcPr>
          <w:p w14:paraId="48DB2C93">
            <w:pPr>
              <w:spacing w:line="560" w:lineRule="exact"/>
              <w:jc w:val="center"/>
              <w:rPr>
                <w:color w:val="auto"/>
                <w:sz w:val="28"/>
              </w:rPr>
            </w:pPr>
          </w:p>
        </w:tc>
        <w:tc>
          <w:tcPr>
            <w:tcW w:w="1027" w:type="dxa"/>
            <w:tcBorders>
              <w:bottom w:val="single" w:color="000000" w:sz="4" w:space="0"/>
              <w:right w:val="single" w:color="000000" w:sz="4" w:space="0"/>
            </w:tcBorders>
            <w:vAlign w:val="center"/>
          </w:tcPr>
          <w:p w14:paraId="1B49CF15">
            <w:pPr>
              <w:spacing w:line="560" w:lineRule="exact"/>
              <w:jc w:val="center"/>
              <w:rPr>
                <w:color w:val="auto"/>
                <w:sz w:val="28"/>
              </w:rPr>
            </w:pPr>
          </w:p>
        </w:tc>
        <w:tc>
          <w:tcPr>
            <w:tcW w:w="711" w:type="dxa"/>
            <w:tcBorders>
              <w:bottom w:val="single" w:color="000000" w:sz="4" w:space="0"/>
              <w:right w:val="single" w:color="000000" w:sz="4" w:space="0"/>
            </w:tcBorders>
            <w:vAlign w:val="center"/>
          </w:tcPr>
          <w:p w14:paraId="799A1DA2">
            <w:pPr>
              <w:spacing w:line="560" w:lineRule="exact"/>
              <w:jc w:val="center"/>
              <w:rPr>
                <w:color w:val="auto"/>
                <w:sz w:val="28"/>
              </w:rPr>
            </w:pPr>
          </w:p>
        </w:tc>
        <w:tc>
          <w:tcPr>
            <w:tcW w:w="948" w:type="dxa"/>
            <w:tcBorders>
              <w:bottom w:val="single" w:color="000000" w:sz="4" w:space="0"/>
              <w:right w:val="single" w:color="000000" w:sz="4" w:space="0"/>
            </w:tcBorders>
            <w:vAlign w:val="center"/>
          </w:tcPr>
          <w:p w14:paraId="286FDB38">
            <w:pPr>
              <w:spacing w:line="560" w:lineRule="exact"/>
              <w:jc w:val="center"/>
              <w:rPr>
                <w:color w:val="auto"/>
                <w:sz w:val="28"/>
              </w:rPr>
            </w:pPr>
          </w:p>
        </w:tc>
        <w:tc>
          <w:tcPr>
            <w:tcW w:w="1177" w:type="dxa"/>
            <w:tcBorders>
              <w:bottom w:val="single" w:color="000000" w:sz="4" w:space="0"/>
              <w:right w:val="single" w:color="000000" w:sz="8" w:space="0"/>
            </w:tcBorders>
            <w:vAlign w:val="center"/>
          </w:tcPr>
          <w:p w14:paraId="6639C77C">
            <w:pPr>
              <w:spacing w:line="560" w:lineRule="exact"/>
              <w:jc w:val="center"/>
              <w:rPr>
                <w:color w:val="auto"/>
                <w:sz w:val="28"/>
              </w:rPr>
            </w:pPr>
          </w:p>
        </w:tc>
      </w:tr>
      <w:tr w14:paraId="702FB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5" w:hRule="atLeast"/>
        </w:trPr>
        <w:tc>
          <w:tcPr>
            <w:tcW w:w="608" w:type="dxa"/>
            <w:tcBorders>
              <w:left w:val="single" w:color="000000" w:sz="8" w:space="0"/>
              <w:bottom w:val="single" w:color="000000" w:sz="4" w:space="0"/>
              <w:right w:val="single" w:color="000000" w:sz="4" w:space="0"/>
            </w:tcBorders>
            <w:vAlign w:val="center"/>
          </w:tcPr>
          <w:p w14:paraId="09DBEA17">
            <w:pPr>
              <w:spacing w:line="560" w:lineRule="exact"/>
              <w:jc w:val="center"/>
              <w:rPr>
                <w:color w:val="auto"/>
                <w:sz w:val="28"/>
              </w:rPr>
            </w:pPr>
            <w:r>
              <w:rPr>
                <w:color w:val="auto"/>
              </w:rPr>
              <w:t>7</w:t>
            </w:r>
          </w:p>
        </w:tc>
        <w:tc>
          <w:tcPr>
            <w:tcW w:w="2134" w:type="dxa"/>
            <w:tcBorders>
              <w:bottom w:val="single" w:color="000000" w:sz="4" w:space="0"/>
              <w:right w:val="single" w:color="000000" w:sz="4" w:space="0"/>
            </w:tcBorders>
            <w:vAlign w:val="center"/>
          </w:tcPr>
          <w:p w14:paraId="54B0261B">
            <w:pPr>
              <w:spacing w:line="560" w:lineRule="exact"/>
              <w:jc w:val="center"/>
              <w:rPr>
                <w:color w:val="auto"/>
                <w:sz w:val="28"/>
              </w:rPr>
            </w:pPr>
          </w:p>
        </w:tc>
        <w:tc>
          <w:tcPr>
            <w:tcW w:w="2848" w:type="dxa"/>
            <w:tcBorders>
              <w:bottom w:val="single" w:color="000000" w:sz="4" w:space="0"/>
            </w:tcBorders>
            <w:vAlign w:val="center"/>
          </w:tcPr>
          <w:p w14:paraId="04B2CB07">
            <w:pPr>
              <w:spacing w:line="560" w:lineRule="exact"/>
              <w:jc w:val="center"/>
              <w:rPr>
                <w:color w:val="auto"/>
                <w:sz w:val="28"/>
              </w:rPr>
            </w:pPr>
          </w:p>
        </w:tc>
        <w:tc>
          <w:tcPr>
            <w:tcW w:w="1027" w:type="dxa"/>
            <w:tcBorders>
              <w:bottom w:val="single" w:color="000000" w:sz="4" w:space="0"/>
              <w:right w:val="single" w:color="000000" w:sz="4" w:space="0"/>
            </w:tcBorders>
            <w:vAlign w:val="center"/>
          </w:tcPr>
          <w:p w14:paraId="5A2390A0">
            <w:pPr>
              <w:spacing w:line="560" w:lineRule="exact"/>
              <w:jc w:val="center"/>
              <w:rPr>
                <w:color w:val="auto"/>
                <w:sz w:val="28"/>
              </w:rPr>
            </w:pPr>
          </w:p>
        </w:tc>
        <w:tc>
          <w:tcPr>
            <w:tcW w:w="711" w:type="dxa"/>
            <w:tcBorders>
              <w:bottom w:val="single" w:color="000000" w:sz="4" w:space="0"/>
              <w:right w:val="single" w:color="000000" w:sz="4" w:space="0"/>
            </w:tcBorders>
            <w:vAlign w:val="center"/>
          </w:tcPr>
          <w:p w14:paraId="21703619">
            <w:pPr>
              <w:spacing w:line="560" w:lineRule="exact"/>
              <w:jc w:val="center"/>
              <w:rPr>
                <w:color w:val="auto"/>
                <w:sz w:val="28"/>
              </w:rPr>
            </w:pPr>
          </w:p>
        </w:tc>
        <w:tc>
          <w:tcPr>
            <w:tcW w:w="948" w:type="dxa"/>
            <w:tcBorders>
              <w:bottom w:val="single" w:color="000000" w:sz="4" w:space="0"/>
              <w:right w:val="single" w:color="000000" w:sz="4" w:space="0"/>
            </w:tcBorders>
            <w:vAlign w:val="center"/>
          </w:tcPr>
          <w:p w14:paraId="68D82D1A">
            <w:pPr>
              <w:spacing w:line="560" w:lineRule="exact"/>
              <w:jc w:val="center"/>
              <w:rPr>
                <w:color w:val="auto"/>
                <w:sz w:val="28"/>
              </w:rPr>
            </w:pPr>
          </w:p>
        </w:tc>
        <w:tc>
          <w:tcPr>
            <w:tcW w:w="1177" w:type="dxa"/>
            <w:tcBorders>
              <w:bottom w:val="single" w:color="000000" w:sz="4" w:space="0"/>
              <w:right w:val="single" w:color="000000" w:sz="8" w:space="0"/>
            </w:tcBorders>
            <w:vAlign w:val="center"/>
          </w:tcPr>
          <w:p w14:paraId="48473E59">
            <w:pPr>
              <w:spacing w:line="560" w:lineRule="exact"/>
              <w:jc w:val="center"/>
              <w:rPr>
                <w:color w:val="auto"/>
                <w:sz w:val="28"/>
              </w:rPr>
            </w:pPr>
          </w:p>
        </w:tc>
      </w:tr>
      <w:tr w14:paraId="1DCE0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0" w:hRule="atLeast"/>
        </w:trPr>
        <w:tc>
          <w:tcPr>
            <w:tcW w:w="608" w:type="dxa"/>
            <w:tcBorders>
              <w:left w:val="single" w:color="000000" w:sz="8" w:space="0"/>
              <w:bottom w:val="single" w:color="000000" w:sz="4" w:space="0"/>
              <w:right w:val="single" w:color="000000" w:sz="4" w:space="0"/>
            </w:tcBorders>
            <w:vAlign w:val="center"/>
          </w:tcPr>
          <w:p w14:paraId="71C5A3A5">
            <w:pPr>
              <w:spacing w:line="560" w:lineRule="exact"/>
              <w:jc w:val="center"/>
              <w:rPr>
                <w:color w:val="auto"/>
                <w:sz w:val="28"/>
              </w:rPr>
            </w:pPr>
            <w:r>
              <w:rPr>
                <w:color w:val="auto"/>
              </w:rPr>
              <w:t>8</w:t>
            </w:r>
          </w:p>
        </w:tc>
        <w:tc>
          <w:tcPr>
            <w:tcW w:w="2134" w:type="dxa"/>
            <w:tcBorders>
              <w:bottom w:val="single" w:color="000000" w:sz="4" w:space="0"/>
              <w:right w:val="single" w:color="000000" w:sz="4" w:space="0"/>
            </w:tcBorders>
            <w:vAlign w:val="center"/>
          </w:tcPr>
          <w:p w14:paraId="4623E41B">
            <w:pPr>
              <w:spacing w:line="560" w:lineRule="exact"/>
              <w:jc w:val="center"/>
              <w:rPr>
                <w:color w:val="auto"/>
                <w:sz w:val="28"/>
              </w:rPr>
            </w:pPr>
          </w:p>
        </w:tc>
        <w:tc>
          <w:tcPr>
            <w:tcW w:w="2848" w:type="dxa"/>
            <w:tcBorders>
              <w:bottom w:val="single" w:color="000000" w:sz="4" w:space="0"/>
            </w:tcBorders>
            <w:vAlign w:val="center"/>
          </w:tcPr>
          <w:p w14:paraId="69F2C0B0">
            <w:pPr>
              <w:spacing w:line="560" w:lineRule="exact"/>
              <w:jc w:val="center"/>
              <w:rPr>
                <w:color w:val="auto"/>
                <w:sz w:val="28"/>
              </w:rPr>
            </w:pPr>
          </w:p>
        </w:tc>
        <w:tc>
          <w:tcPr>
            <w:tcW w:w="1027" w:type="dxa"/>
            <w:tcBorders>
              <w:bottom w:val="single" w:color="000000" w:sz="4" w:space="0"/>
              <w:right w:val="single" w:color="000000" w:sz="4" w:space="0"/>
            </w:tcBorders>
            <w:vAlign w:val="center"/>
          </w:tcPr>
          <w:p w14:paraId="20D71AD2">
            <w:pPr>
              <w:spacing w:line="560" w:lineRule="exact"/>
              <w:jc w:val="center"/>
              <w:rPr>
                <w:color w:val="auto"/>
                <w:sz w:val="28"/>
              </w:rPr>
            </w:pPr>
          </w:p>
        </w:tc>
        <w:tc>
          <w:tcPr>
            <w:tcW w:w="711" w:type="dxa"/>
            <w:tcBorders>
              <w:bottom w:val="single" w:color="000000" w:sz="4" w:space="0"/>
              <w:right w:val="single" w:color="000000" w:sz="4" w:space="0"/>
            </w:tcBorders>
            <w:vAlign w:val="center"/>
          </w:tcPr>
          <w:p w14:paraId="772CBFEE">
            <w:pPr>
              <w:spacing w:line="560" w:lineRule="exact"/>
              <w:jc w:val="center"/>
              <w:rPr>
                <w:color w:val="auto"/>
                <w:sz w:val="28"/>
              </w:rPr>
            </w:pPr>
          </w:p>
        </w:tc>
        <w:tc>
          <w:tcPr>
            <w:tcW w:w="948" w:type="dxa"/>
            <w:tcBorders>
              <w:bottom w:val="single" w:color="000000" w:sz="4" w:space="0"/>
              <w:right w:val="single" w:color="000000" w:sz="4" w:space="0"/>
            </w:tcBorders>
            <w:vAlign w:val="center"/>
          </w:tcPr>
          <w:p w14:paraId="0ACBFEE8">
            <w:pPr>
              <w:spacing w:line="560" w:lineRule="exact"/>
              <w:jc w:val="center"/>
              <w:rPr>
                <w:color w:val="auto"/>
                <w:sz w:val="28"/>
              </w:rPr>
            </w:pPr>
          </w:p>
        </w:tc>
        <w:tc>
          <w:tcPr>
            <w:tcW w:w="1177" w:type="dxa"/>
            <w:tcBorders>
              <w:bottom w:val="single" w:color="000000" w:sz="4" w:space="0"/>
              <w:right w:val="single" w:color="000000" w:sz="8" w:space="0"/>
            </w:tcBorders>
            <w:vAlign w:val="center"/>
          </w:tcPr>
          <w:p w14:paraId="4EFEBE0E">
            <w:pPr>
              <w:spacing w:line="560" w:lineRule="exact"/>
              <w:jc w:val="center"/>
              <w:rPr>
                <w:color w:val="auto"/>
                <w:sz w:val="28"/>
              </w:rPr>
            </w:pPr>
          </w:p>
        </w:tc>
      </w:tr>
      <w:tr w14:paraId="76E48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8" w:hRule="atLeast"/>
        </w:trPr>
        <w:tc>
          <w:tcPr>
            <w:tcW w:w="608" w:type="dxa"/>
            <w:tcBorders>
              <w:left w:val="single" w:color="000000" w:sz="8" w:space="0"/>
              <w:bottom w:val="single" w:color="000000" w:sz="4" w:space="0"/>
              <w:right w:val="single" w:color="000000" w:sz="4" w:space="0"/>
            </w:tcBorders>
            <w:vAlign w:val="center"/>
          </w:tcPr>
          <w:p w14:paraId="04C76BC3">
            <w:pPr>
              <w:spacing w:line="560" w:lineRule="exact"/>
              <w:jc w:val="center"/>
              <w:rPr>
                <w:color w:val="auto"/>
                <w:sz w:val="28"/>
              </w:rPr>
            </w:pPr>
            <w:r>
              <w:rPr>
                <w:color w:val="auto"/>
              </w:rPr>
              <w:t>9</w:t>
            </w:r>
          </w:p>
        </w:tc>
        <w:tc>
          <w:tcPr>
            <w:tcW w:w="2134" w:type="dxa"/>
            <w:tcBorders>
              <w:bottom w:val="single" w:color="000000" w:sz="4" w:space="0"/>
              <w:right w:val="single" w:color="000000" w:sz="4" w:space="0"/>
            </w:tcBorders>
            <w:vAlign w:val="center"/>
          </w:tcPr>
          <w:p w14:paraId="717DC133">
            <w:pPr>
              <w:spacing w:line="560" w:lineRule="exact"/>
              <w:jc w:val="center"/>
              <w:rPr>
                <w:color w:val="auto"/>
                <w:sz w:val="28"/>
              </w:rPr>
            </w:pPr>
          </w:p>
        </w:tc>
        <w:tc>
          <w:tcPr>
            <w:tcW w:w="2848" w:type="dxa"/>
            <w:tcBorders>
              <w:bottom w:val="single" w:color="000000" w:sz="4" w:space="0"/>
            </w:tcBorders>
            <w:vAlign w:val="center"/>
          </w:tcPr>
          <w:p w14:paraId="0069A590">
            <w:pPr>
              <w:spacing w:line="560" w:lineRule="exact"/>
              <w:jc w:val="center"/>
              <w:rPr>
                <w:color w:val="auto"/>
                <w:sz w:val="28"/>
              </w:rPr>
            </w:pPr>
          </w:p>
        </w:tc>
        <w:tc>
          <w:tcPr>
            <w:tcW w:w="1027" w:type="dxa"/>
            <w:tcBorders>
              <w:bottom w:val="single" w:color="000000" w:sz="4" w:space="0"/>
              <w:right w:val="single" w:color="000000" w:sz="4" w:space="0"/>
            </w:tcBorders>
            <w:vAlign w:val="center"/>
          </w:tcPr>
          <w:p w14:paraId="7001254E">
            <w:pPr>
              <w:spacing w:line="560" w:lineRule="exact"/>
              <w:jc w:val="center"/>
              <w:rPr>
                <w:color w:val="auto"/>
                <w:sz w:val="28"/>
              </w:rPr>
            </w:pPr>
          </w:p>
        </w:tc>
        <w:tc>
          <w:tcPr>
            <w:tcW w:w="711" w:type="dxa"/>
            <w:tcBorders>
              <w:bottom w:val="single" w:color="000000" w:sz="4" w:space="0"/>
              <w:right w:val="single" w:color="000000" w:sz="4" w:space="0"/>
            </w:tcBorders>
            <w:vAlign w:val="center"/>
          </w:tcPr>
          <w:p w14:paraId="770110AE">
            <w:pPr>
              <w:spacing w:line="560" w:lineRule="exact"/>
              <w:jc w:val="center"/>
              <w:rPr>
                <w:color w:val="auto"/>
                <w:sz w:val="28"/>
              </w:rPr>
            </w:pPr>
          </w:p>
        </w:tc>
        <w:tc>
          <w:tcPr>
            <w:tcW w:w="948" w:type="dxa"/>
            <w:tcBorders>
              <w:bottom w:val="single" w:color="000000" w:sz="4" w:space="0"/>
              <w:right w:val="single" w:color="000000" w:sz="4" w:space="0"/>
            </w:tcBorders>
            <w:vAlign w:val="center"/>
          </w:tcPr>
          <w:p w14:paraId="7EE9C849">
            <w:pPr>
              <w:spacing w:line="560" w:lineRule="exact"/>
              <w:jc w:val="center"/>
              <w:rPr>
                <w:color w:val="auto"/>
                <w:sz w:val="28"/>
              </w:rPr>
            </w:pPr>
          </w:p>
        </w:tc>
        <w:tc>
          <w:tcPr>
            <w:tcW w:w="1177" w:type="dxa"/>
            <w:tcBorders>
              <w:bottom w:val="single" w:color="000000" w:sz="4" w:space="0"/>
              <w:right w:val="single" w:color="000000" w:sz="8" w:space="0"/>
            </w:tcBorders>
            <w:vAlign w:val="center"/>
          </w:tcPr>
          <w:p w14:paraId="69B59A11">
            <w:pPr>
              <w:spacing w:line="560" w:lineRule="exact"/>
              <w:jc w:val="center"/>
              <w:rPr>
                <w:color w:val="auto"/>
                <w:sz w:val="28"/>
              </w:rPr>
            </w:pPr>
          </w:p>
        </w:tc>
      </w:tr>
      <w:tr w14:paraId="71CA8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8" w:hRule="atLeast"/>
        </w:trPr>
        <w:tc>
          <w:tcPr>
            <w:tcW w:w="608" w:type="dxa"/>
            <w:tcBorders>
              <w:left w:val="single" w:color="000000" w:sz="8" w:space="0"/>
              <w:bottom w:val="single" w:color="000000" w:sz="4" w:space="0"/>
              <w:right w:val="single" w:color="000000" w:sz="4" w:space="0"/>
            </w:tcBorders>
            <w:vAlign w:val="center"/>
          </w:tcPr>
          <w:p w14:paraId="37275D08">
            <w:pPr>
              <w:spacing w:line="560" w:lineRule="exact"/>
              <w:jc w:val="center"/>
              <w:rPr>
                <w:color w:val="auto"/>
                <w:sz w:val="28"/>
              </w:rPr>
            </w:pPr>
            <w:r>
              <w:rPr>
                <w:color w:val="auto"/>
              </w:rPr>
              <w:t>......</w:t>
            </w:r>
          </w:p>
        </w:tc>
        <w:tc>
          <w:tcPr>
            <w:tcW w:w="2134" w:type="dxa"/>
            <w:tcBorders>
              <w:bottom w:val="single" w:color="000000" w:sz="4" w:space="0"/>
              <w:right w:val="single" w:color="000000" w:sz="4" w:space="0"/>
            </w:tcBorders>
            <w:vAlign w:val="center"/>
          </w:tcPr>
          <w:p w14:paraId="7C28CCC0">
            <w:pPr>
              <w:spacing w:line="560" w:lineRule="exact"/>
              <w:jc w:val="center"/>
              <w:rPr>
                <w:color w:val="auto"/>
                <w:sz w:val="28"/>
              </w:rPr>
            </w:pPr>
          </w:p>
        </w:tc>
        <w:tc>
          <w:tcPr>
            <w:tcW w:w="2848" w:type="dxa"/>
            <w:tcBorders>
              <w:bottom w:val="single" w:color="000000" w:sz="4" w:space="0"/>
            </w:tcBorders>
            <w:vAlign w:val="center"/>
          </w:tcPr>
          <w:p w14:paraId="4443E194">
            <w:pPr>
              <w:spacing w:line="560" w:lineRule="exact"/>
              <w:jc w:val="center"/>
              <w:rPr>
                <w:color w:val="auto"/>
                <w:sz w:val="28"/>
              </w:rPr>
            </w:pPr>
          </w:p>
        </w:tc>
        <w:tc>
          <w:tcPr>
            <w:tcW w:w="1027" w:type="dxa"/>
            <w:tcBorders>
              <w:bottom w:val="single" w:color="000000" w:sz="4" w:space="0"/>
              <w:right w:val="single" w:color="000000" w:sz="4" w:space="0"/>
            </w:tcBorders>
            <w:vAlign w:val="center"/>
          </w:tcPr>
          <w:p w14:paraId="7B31C01B">
            <w:pPr>
              <w:spacing w:line="560" w:lineRule="exact"/>
              <w:jc w:val="center"/>
              <w:rPr>
                <w:color w:val="auto"/>
                <w:sz w:val="28"/>
              </w:rPr>
            </w:pPr>
          </w:p>
        </w:tc>
        <w:tc>
          <w:tcPr>
            <w:tcW w:w="711" w:type="dxa"/>
            <w:tcBorders>
              <w:bottom w:val="single" w:color="000000" w:sz="4" w:space="0"/>
              <w:right w:val="single" w:color="000000" w:sz="4" w:space="0"/>
            </w:tcBorders>
            <w:vAlign w:val="center"/>
          </w:tcPr>
          <w:p w14:paraId="3EA3C7BE">
            <w:pPr>
              <w:spacing w:line="560" w:lineRule="exact"/>
              <w:jc w:val="center"/>
              <w:rPr>
                <w:color w:val="auto"/>
                <w:sz w:val="28"/>
              </w:rPr>
            </w:pPr>
          </w:p>
        </w:tc>
        <w:tc>
          <w:tcPr>
            <w:tcW w:w="948" w:type="dxa"/>
            <w:tcBorders>
              <w:bottom w:val="single" w:color="000000" w:sz="4" w:space="0"/>
              <w:right w:val="single" w:color="000000" w:sz="4" w:space="0"/>
            </w:tcBorders>
            <w:vAlign w:val="center"/>
          </w:tcPr>
          <w:p w14:paraId="2C328849">
            <w:pPr>
              <w:spacing w:line="560" w:lineRule="exact"/>
              <w:jc w:val="center"/>
              <w:rPr>
                <w:color w:val="auto"/>
                <w:sz w:val="28"/>
              </w:rPr>
            </w:pPr>
          </w:p>
        </w:tc>
        <w:tc>
          <w:tcPr>
            <w:tcW w:w="1177" w:type="dxa"/>
            <w:tcBorders>
              <w:bottom w:val="single" w:color="000000" w:sz="4" w:space="0"/>
              <w:right w:val="single" w:color="000000" w:sz="8" w:space="0"/>
            </w:tcBorders>
            <w:vAlign w:val="center"/>
          </w:tcPr>
          <w:p w14:paraId="29A31E34">
            <w:pPr>
              <w:spacing w:line="560" w:lineRule="exact"/>
              <w:jc w:val="center"/>
              <w:rPr>
                <w:color w:val="auto"/>
                <w:sz w:val="28"/>
              </w:rPr>
            </w:pPr>
          </w:p>
        </w:tc>
      </w:tr>
      <w:tr w14:paraId="6A512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2" w:hRule="atLeast"/>
        </w:trPr>
        <w:tc>
          <w:tcPr>
            <w:tcW w:w="9453" w:type="dxa"/>
            <w:gridSpan w:val="7"/>
            <w:tcBorders>
              <w:left w:val="single" w:color="000000" w:sz="8" w:space="0"/>
              <w:bottom w:val="single" w:color="000000" w:sz="8" w:space="0"/>
              <w:right w:val="single" w:color="000000" w:sz="8" w:space="0"/>
            </w:tcBorders>
            <w:vAlign w:val="center"/>
          </w:tcPr>
          <w:p w14:paraId="01CBBE86">
            <w:pPr>
              <w:spacing w:line="560" w:lineRule="exact"/>
              <w:jc w:val="left"/>
              <w:rPr>
                <w:color w:val="auto"/>
              </w:rPr>
            </w:pPr>
            <w:r>
              <w:rPr>
                <w:rFonts w:hint="eastAsia"/>
                <w:color w:val="auto"/>
              </w:rPr>
              <w:t>磋商报价：拾万仟佰拾元整</w:t>
            </w:r>
          </w:p>
          <w:p w14:paraId="0058D0DB">
            <w:pPr>
              <w:spacing w:line="560" w:lineRule="exact"/>
              <w:jc w:val="center"/>
              <w:rPr>
                <w:color w:val="auto"/>
                <w:sz w:val="28"/>
              </w:rPr>
            </w:pPr>
            <w:r>
              <w:rPr>
                <w:rFonts w:hint="eastAsia"/>
                <w:color w:val="auto"/>
              </w:rPr>
              <w:t>（小写：￥　　　　元）</w:t>
            </w:r>
          </w:p>
        </w:tc>
      </w:tr>
    </w:tbl>
    <w:p w14:paraId="4580ED57">
      <w:pPr>
        <w:pStyle w:val="16"/>
        <w:adjustRightInd w:val="0"/>
        <w:snapToGrid w:val="0"/>
        <w:spacing w:before="0" w:beforeAutospacing="0" w:after="0" w:afterAutospacing="0"/>
        <w:rPr>
          <w:rFonts w:hint="eastAsia"/>
          <w:color w:val="auto"/>
          <w:sz w:val="21"/>
          <w:szCs w:val="21"/>
        </w:rPr>
      </w:pPr>
      <w:r>
        <w:rPr>
          <w:rFonts w:hint="eastAsia"/>
          <w:color w:val="auto"/>
          <w:sz w:val="21"/>
          <w:szCs w:val="21"/>
        </w:rPr>
        <w:t>注：磋商报价明细表应按第二章“基本技术要求”列示内容及主要工程量清单逐一填列。</w:t>
      </w:r>
    </w:p>
    <w:p w14:paraId="7E1E0B5A">
      <w:pPr>
        <w:widowControl w:val="0"/>
        <w:tabs>
          <w:tab w:val="left" w:pos="9365"/>
        </w:tabs>
        <w:snapToGrid w:val="0"/>
        <w:spacing w:after="56" w:line="360" w:lineRule="exact"/>
        <w:ind w:right="85" w:firstLine="601"/>
        <w:textAlignment w:val="top"/>
        <w:rPr>
          <w:color w:val="auto"/>
        </w:rPr>
      </w:pPr>
    </w:p>
    <w:p w14:paraId="61A67959">
      <w:pPr>
        <w:widowControl w:val="0"/>
        <w:tabs>
          <w:tab w:val="left" w:pos="9365"/>
        </w:tabs>
        <w:snapToGrid w:val="0"/>
        <w:spacing w:after="56" w:line="360" w:lineRule="exact"/>
        <w:ind w:right="85" w:firstLine="601"/>
        <w:textAlignment w:val="top"/>
        <w:rPr>
          <w:b/>
          <w:color w:val="auto"/>
        </w:rPr>
      </w:pPr>
    </w:p>
    <w:p w14:paraId="4A8A3CB3">
      <w:pPr>
        <w:autoSpaceDE w:val="0"/>
        <w:autoSpaceDN w:val="0"/>
        <w:adjustRightInd w:val="0"/>
        <w:spacing w:line="360" w:lineRule="auto"/>
        <w:rPr>
          <w:rFonts w:ascii="宋体" w:cs="楷体_GB2312"/>
          <w:color w:val="auto"/>
          <w:sz w:val="24"/>
          <w:lang w:val="zh-CN"/>
        </w:rPr>
      </w:pPr>
      <w:r>
        <w:rPr>
          <w:rFonts w:hint="eastAsia" w:ascii="宋体" w:hAnsi="宋体"/>
          <w:color w:val="auto"/>
          <w:sz w:val="24"/>
        </w:rPr>
        <w:t>供应商</w:t>
      </w:r>
      <w:r>
        <w:rPr>
          <w:rFonts w:hint="eastAsia"/>
          <w:color w:val="auto"/>
          <w:sz w:val="24"/>
          <w:szCs w:val="24"/>
        </w:rPr>
        <w:t>（电子签</w:t>
      </w:r>
      <w:r>
        <w:rPr>
          <w:rFonts w:hint="eastAsia" w:ascii="宋体" w:hAnsi="宋体"/>
          <w:color w:val="auto"/>
          <w:sz w:val="24"/>
          <w:szCs w:val="24"/>
        </w:rPr>
        <w:t>章</w:t>
      </w:r>
      <w:r>
        <w:rPr>
          <w:rFonts w:hint="eastAsia"/>
          <w:color w:val="auto"/>
          <w:sz w:val="24"/>
          <w:szCs w:val="24"/>
        </w:rPr>
        <w:t>）</w:t>
      </w:r>
      <w:r>
        <w:rPr>
          <w:rFonts w:hint="eastAsia" w:ascii="宋体" w:hAnsi="宋体" w:cs="楷体_GB2312"/>
          <w:color w:val="auto"/>
          <w:sz w:val="24"/>
          <w:lang w:val="zh-CN"/>
        </w:rPr>
        <w:t>：</w:t>
      </w:r>
    </w:p>
    <w:p w14:paraId="3447720D">
      <w:pPr>
        <w:autoSpaceDE w:val="0"/>
        <w:autoSpaceDN w:val="0"/>
        <w:adjustRightInd w:val="0"/>
        <w:spacing w:line="360" w:lineRule="auto"/>
        <w:ind w:left="-2" w:right="-817" w:firstLine="2"/>
        <w:rPr>
          <w:rFonts w:ascii="宋体" w:cs="楷体_GB2312"/>
          <w:color w:val="auto"/>
          <w:sz w:val="24"/>
          <w:lang w:val="zh-CN"/>
        </w:rPr>
      </w:pPr>
      <w:r>
        <w:rPr>
          <w:rFonts w:hint="eastAsia" w:ascii="宋体" w:hAnsi="宋体" w:cs="楷体_GB2312"/>
          <w:color w:val="auto"/>
          <w:sz w:val="24"/>
          <w:lang w:val="zh-CN"/>
        </w:rPr>
        <w:t>法定代表人（电子签名或签章）：</w:t>
      </w:r>
      <w:r>
        <w:rPr>
          <w:rFonts w:ascii="宋体" w:hAnsi="宋体" w:cs="楷体_GB2312"/>
          <w:color w:val="auto"/>
          <w:sz w:val="24"/>
          <w:lang w:val="zh-CN"/>
        </w:rPr>
        <w:t xml:space="preserve">  </w:t>
      </w:r>
    </w:p>
    <w:p w14:paraId="33EF1A17">
      <w:pPr>
        <w:widowControl w:val="0"/>
        <w:tabs>
          <w:tab w:val="left" w:pos="9365"/>
        </w:tabs>
        <w:snapToGrid w:val="0"/>
        <w:spacing w:after="56" w:line="360" w:lineRule="exact"/>
        <w:ind w:right="85"/>
        <w:textAlignment w:val="top"/>
        <w:rPr>
          <w:b/>
          <w:color w:val="auto"/>
        </w:rPr>
      </w:pPr>
      <w:r>
        <w:rPr>
          <w:rFonts w:hint="eastAsia" w:ascii="宋体" w:hAnsi="宋体" w:cs="楷体_GB2312"/>
          <w:color w:val="auto"/>
          <w:sz w:val="24"/>
          <w:lang w:val="zh-CN"/>
        </w:rPr>
        <w:t>日期：</w:t>
      </w:r>
      <w:r>
        <w:rPr>
          <w:rFonts w:ascii="宋体" w:hAnsi="宋体" w:cs="楷体_GB2312"/>
          <w:color w:val="auto"/>
          <w:sz w:val="24"/>
          <w:lang w:val="zh-CN"/>
        </w:rPr>
        <w:t xml:space="preserve">   </w:t>
      </w:r>
      <w:r>
        <w:rPr>
          <w:rFonts w:hint="eastAsia" w:ascii="宋体" w:hAnsi="宋体" w:cs="楷体_GB2312"/>
          <w:color w:val="auto"/>
          <w:sz w:val="24"/>
          <w:lang w:val="zh-CN"/>
        </w:rPr>
        <w:t>年</w:t>
      </w:r>
      <w:r>
        <w:rPr>
          <w:rFonts w:ascii="宋体" w:hAnsi="宋体" w:cs="楷体_GB2312"/>
          <w:color w:val="auto"/>
          <w:sz w:val="24"/>
          <w:lang w:val="zh-CN"/>
        </w:rPr>
        <w:t xml:space="preserve">   </w:t>
      </w:r>
      <w:r>
        <w:rPr>
          <w:rFonts w:hint="eastAsia" w:ascii="宋体" w:hAnsi="宋体" w:cs="楷体_GB2312"/>
          <w:color w:val="auto"/>
          <w:sz w:val="24"/>
          <w:lang w:val="zh-CN"/>
        </w:rPr>
        <w:t>月</w:t>
      </w:r>
      <w:r>
        <w:rPr>
          <w:rFonts w:ascii="宋体" w:hAnsi="宋体" w:cs="楷体_GB2312"/>
          <w:color w:val="auto"/>
          <w:sz w:val="24"/>
          <w:lang w:val="zh-CN"/>
        </w:rPr>
        <w:t xml:space="preserve">   </w:t>
      </w:r>
      <w:r>
        <w:rPr>
          <w:rFonts w:hint="eastAsia" w:ascii="宋体" w:hAnsi="宋体" w:cs="楷体_GB2312"/>
          <w:color w:val="auto"/>
          <w:sz w:val="24"/>
          <w:lang w:val="zh-CN"/>
        </w:rPr>
        <w:t>日</w:t>
      </w:r>
    </w:p>
    <w:p w14:paraId="76C8B520">
      <w:pPr>
        <w:widowControl w:val="0"/>
        <w:snapToGrid w:val="0"/>
        <w:spacing w:line="560" w:lineRule="exact"/>
        <w:jc w:val="left"/>
        <w:rPr>
          <w:color w:val="auto"/>
          <w:sz w:val="28"/>
        </w:rPr>
      </w:pPr>
      <w:r>
        <w:rPr>
          <w:color w:val="auto"/>
          <w:sz w:val="28"/>
        </w:rPr>
        <w:br w:type="page"/>
      </w:r>
    </w:p>
    <w:p w14:paraId="0CD9857D">
      <w:pPr>
        <w:widowControl w:val="0"/>
        <w:snapToGrid w:val="0"/>
        <w:spacing w:line="560" w:lineRule="exact"/>
        <w:jc w:val="center"/>
        <w:rPr>
          <w:rFonts w:hint="eastAsia" w:ascii="黑体" w:hAnsi="黑体" w:eastAsia="黑体"/>
          <w:color w:val="auto"/>
          <w:sz w:val="30"/>
          <w:szCs w:val="30"/>
        </w:rPr>
      </w:pPr>
      <w:r>
        <w:rPr>
          <w:rFonts w:hint="eastAsia" w:ascii="黑体" w:hAnsi="黑体" w:eastAsia="黑体"/>
          <w:b/>
          <w:color w:val="auto"/>
          <w:sz w:val="30"/>
          <w:szCs w:val="30"/>
        </w:rPr>
        <w:t>四、施工方案</w:t>
      </w:r>
    </w:p>
    <w:p w14:paraId="0FE2BF71">
      <w:pPr>
        <w:widowControl w:val="0"/>
        <w:snapToGrid w:val="0"/>
        <w:spacing w:line="560" w:lineRule="exact"/>
        <w:jc w:val="center"/>
        <w:rPr>
          <w:rFonts w:hint="eastAsia" w:ascii="黑体" w:hAnsi="黑体" w:eastAsia="黑体"/>
          <w:b/>
          <w:color w:val="auto"/>
          <w:sz w:val="30"/>
          <w:szCs w:val="30"/>
        </w:rPr>
      </w:pPr>
      <w:r>
        <w:rPr>
          <w:rFonts w:hint="eastAsia" w:ascii="黑体" w:hAnsi="黑体" w:eastAsia="黑体"/>
          <w:b/>
          <w:color w:val="auto"/>
          <w:sz w:val="30"/>
          <w:szCs w:val="30"/>
        </w:rPr>
        <w:t>（格式自拟）</w:t>
      </w:r>
    </w:p>
    <w:p w14:paraId="08D6F9EB">
      <w:pPr>
        <w:tabs>
          <w:tab w:val="left" w:pos="720"/>
        </w:tabs>
        <w:spacing w:line="360" w:lineRule="auto"/>
        <w:ind w:firstLine="537" w:firstLineChars="192"/>
        <w:outlineLvl w:val="1"/>
        <w:rPr>
          <w:color w:val="auto"/>
          <w:sz w:val="28"/>
          <w:szCs w:val="28"/>
        </w:rPr>
      </w:pPr>
    </w:p>
    <w:p w14:paraId="3A3E51C3">
      <w:pPr>
        <w:widowControl w:val="0"/>
        <w:snapToGrid w:val="0"/>
        <w:spacing w:line="560" w:lineRule="exact"/>
        <w:jc w:val="center"/>
        <w:rPr>
          <w:color w:val="auto"/>
          <w:sz w:val="28"/>
        </w:rPr>
      </w:pPr>
    </w:p>
    <w:p w14:paraId="03D371D2">
      <w:pPr>
        <w:widowControl w:val="0"/>
        <w:snapToGrid w:val="0"/>
        <w:spacing w:line="560" w:lineRule="exact"/>
        <w:jc w:val="center"/>
        <w:rPr>
          <w:color w:val="auto"/>
          <w:sz w:val="28"/>
        </w:rPr>
      </w:pPr>
    </w:p>
    <w:p w14:paraId="61C23FCE">
      <w:pPr>
        <w:widowControl w:val="0"/>
        <w:snapToGrid w:val="0"/>
        <w:spacing w:line="560" w:lineRule="exact"/>
        <w:jc w:val="center"/>
        <w:rPr>
          <w:color w:val="auto"/>
          <w:sz w:val="28"/>
        </w:rPr>
      </w:pPr>
    </w:p>
    <w:p w14:paraId="7416BCB7">
      <w:pPr>
        <w:widowControl w:val="0"/>
        <w:snapToGrid w:val="0"/>
        <w:spacing w:line="560" w:lineRule="exact"/>
        <w:jc w:val="center"/>
        <w:rPr>
          <w:color w:val="auto"/>
          <w:sz w:val="28"/>
        </w:rPr>
      </w:pPr>
    </w:p>
    <w:p w14:paraId="2752B47D">
      <w:pPr>
        <w:widowControl w:val="0"/>
        <w:snapToGrid w:val="0"/>
        <w:spacing w:line="560" w:lineRule="exact"/>
        <w:jc w:val="center"/>
        <w:rPr>
          <w:color w:val="auto"/>
          <w:sz w:val="28"/>
        </w:rPr>
      </w:pPr>
    </w:p>
    <w:p w14:paraId="2AE2EA91">
      <w:pPr>
        <w:widowControl w:val="0"/>
        <w:snapToGrid w:val="0"/>
        <w:spacing w:line="560" w:lineRule="exact"/>
        <w:jc w:val="center"/>
        <w:rPr>
          <w:color w:val="auto"/>
          <w:sz w:val="28"/>
        </w:rPr>
      </w:pPr>
    </w:p>
    <w:p w14:paraId="5E4D7745">
      <w:pPr>
        <w:widowControl w:val="0"/>
        <w:snapToGrid w:val="0"/>
        <w:spacing w:line="560" w:lineRule="exact"/>
        <w:jc w:val="center"/>
        <w:rPr>
          <w:color w:val="auto"/>
          <w:sz w:val="28"/>
        </w:rPr>
      </w:pPr>
    </w:p>
    <w:p w14:paraId="5CE56D8D">
      <w:pPr>
        <w:widowControl w:val="0"/>
        <w:snapToGrid w:val="0"/>
        <w:spacing w:line="560" w:lineRule="exact"/>
        <w:jc w:val="center"/>
        <w:rPr>
          <w:color w:val="auto"/>
          <w:sz w:val="28"/>
        </w:rPr>
      </w:pPr>
    </w:p>
    <w:p w14:paraId="68A8B21B">
      <w:pPr>
        <w:widowControl w:val="0"/>
        <w:snapToGrid w:val="0"/>
        <w:spacing w:line="560" w:lineRule="exact"/>
        <w:jc w:val="center"/>
        <w:rPr>
          <w:color w:val="auto"/>
          <w:sz w:val="28"/>
        </w:rPr>
      </w:pPr>
    </w:p>
    <w:p w14:paraId="2AC5A7A0">
      <w:pPr>
        <w:widowControl w:val="0"/>
        <w:snapToGrid w:val="0"/>
        <w:spacing w:line="560" w:lineRule="exact"/>
        <w:jc w:val="center"/>
        <w:rPr>
          <w:color w:val="auto"/>
          <w:sz w:val="28"/>
        </w:rPr>
      </w:pPr>
    </w:p>
    <w:p w14:paraId="7BBC7B97">
      <w:pPr>
        <w:widowControl w:val="0"/>
        <w:snapToGrid w:val="0"/>
        <w:spacing w:line="560" w:lineRule="exact"/>
        <w:jc w:val="center"/>
        <w:rPr>
          <w:color w:val="auto"/>
          <w:sz w:val="28"/>
        </w:rPr>
      </w:pPr>
    </w:p>
    <w:p w14:paraId="08DE413A">
      <w:pPr>
        <w:widowControl w:val="0"/>
        <w:snapToGrid w:val="0"/>
        <w:spacing w:line="560" w:lineRule="exact"/>
        <w:jc w:val="center"/>
        <w:rPr>
          <w:color w:val="auto"/>
          <w:sz w:val="28"/>
        </w:rPr>
      </w:pPr>
    </w:p>
    <w:p w14:paraId="5178FACD">
      <w:pPr>
        <w:widowControl w:val="0"/>
        <w:snapToGrid w:val="0"/>
        <w:spacing w:line="560" w:lineRule="exact"/>
        <w:jc w:val="center"/>
        <w:rPr>
          <w:color w:val="auto"/>
          <w:sz w:val="28"/>
        </w:rPr>
      </w:pPr>
    </w:p>
    <w:p w14:paraId="293A752C">
      <w:pPr>
        <w:widowControl w:val="0"/>
        <w:snapToGrid w:val="0"/>
        <w:spacing w:line="560" w:lineRule="exact"/>
        <w:jc w:val="center"/>
        <w:rPr>
          <w:color w:val="auto"/>
          <w:sz w:val="28"/>
        </w:rPr>
      </w:pPr>
    </w:p>
    <w:p w14:paraId="42ADE5A3">
      <w:pPr>
        <w:widowControl w:val="0"/>
        <w:tabs>
          <w:tab w:val="left" w:pos="9365"/>
        </w:tabs>
        <w:snapToGrid w:val="0"/>
        <w:spacing w:after="56" w:line="560" w:lineRule="exact"/>
        <w:ind w:right="85"/>
        <w:jc w:val="left"/>
        <w:textAlignment w:val="top"/>
        <w:rPr>
          <w:color w:val="auto"/>
          <w:sz w:val="24"/>
          <w:szCs w:val="24"/>
        </w:rPr>
      </w:pPr>
      <w:r>
        <w:rPr>
          <w:rFonts w:hint="eastAsia" w:ascii="宋体" w:hAnsi="宋体"/>
          <w:color w:val="auto"/>
          <w:sz w:val="24"/>
        </w:rPr>
        <w:t>供应商</w:t>
      </w:r>
      <w:r>
        <w:rPr>
          <w:rFonts w:hint="eastAsia"/>
          <w:color w:val="auto"/>
          <w:sz w:val="24"/>
          <w:szCs w:val="24"/>
        </w:rPr>
        <w:t>（电子签</w:t>
      </w:r>
      <w:r>
        <w:rPr>
          <w:rFonts w:hint="eastAsia" w:ascii="宋体" w:hAnsi="宋体"/>
          <w:color w:val="auto"/>
          <w:sz w:val="24"/>
          <w:szCs w:val="24"/>
        </w:rPr>
        <w:t>章</w:t>
      </w:r>
      <w:r>
        <w:rPr>
          <w:rFonts w:hint="eastAsia"/>
          <w:color w:val="auto"/>
          <w:sz w:val="24"/>
          <w:szCs w:val="24"/>
        </w:rPr>
        <w:t>）：</w:t>
      </w:r>
    </w:p>
    <w:p w14:paraId="244F7116">
      <w:pPr>
        <w:widowControl w:val="0"/>
        <w:tabs>
          <w:tab w:val="left" w:pos="9365"/>
        </w:tabs>
        <w:snapToGrid w:val="0"/>
        <w:spacing w:after="56" w:line="560" w:lineRule="exact"/>
        <w:ind w:right="85"/>
        <w:jc w:val="left"/>
        <w:textAlignment w:val="top"/>
        <w:rPr>
          <w:color w:val="auto"/>
          <w:sz w:val="24"/>
          <w:szCs w:val="24"/>
        </w:rPr>
      </w:pPr>
      <w:r>
        <w:rPr>
          <w:rFonts w:hint="eastAsia"/>
          <w:color w:val="auto"/>
          <w:sz w:val="24"/>
          <w:szCs w:val="24"/>
        </w:rPr>
        <w:t>法定代表人（电子签名或签章）：</w:t>
      </w:r>
    </w:p>
    <w:p w14:paraId="16B22ECA">
      <w:pPr>
        <w:widowControl w:val="0"/>
        <w:tabs>
          <w:tab w:val="left" w:pos="9365"/>
        </w:tabs>
        <w:snapToGrid w:val="0"/>
        <w:spacing w:after="56" w:line="560" w:lineRule="exact"/>
        <w:ind w:right="56"/>
        <w:jc w:val="left"/>
        <w:textAlignment w:val="top"/>
        <w:rPr>
          <w:color w:val="auto"/>
        </w:rPr>
      </w:pPr>
      <w:r>
        <w:rPr>
          <w:rFonts w:hint="eastAsia" w:ascii="宋体" w:hAnsi="宋体" w:cs="楷体_GB2312"/>
          <w:color w:val="auto"/>
          <w:sz w:val="24"/>
          <w:lang w:val="zh-CN"/>
        </w:rPr>
        <w:t>日期：</w:t>
      </w:r>
      <w:r>
        <w:rPr>
          <w:rFonts w:ascii="宋体" w:hAnsi="宋体" w:cs="楷体_GB2312"/>
          <w:color w:val="auto"/>
          <w:sz w:val="24"/>
          <w:lang w:val="zh-CN"/>
        </w:rPr>
        <w:t xml:space="preserve">   </w:t>
      </w:r>
      <w:r>
        <w:rPr>
          <w:rFonts w:hint="eastAsia" w:ascii="宋体" w:hAnsi="宋体" w:cs="楷体_GB2312"/>
          <w:color w:val="auto"/>
          <w:sz w:val="24"/>
          <w:lang w:val="zh-CN"/>
        </w:rPr>
        <w:t>年</w:t>
      </w:r>
      <w:r>
        <w:rPr>
          <w:rFonts w:ascii="宋体" w:hAnsi="宋体" w:cs="楷体_GB2312"/>
          <w:color w:val="auto"/>
          <w:sz w:val="24"/>
          <w:lang w:val="zh-CN"/>
        </w:rPr>
        <w:t xml:space="preserve">   </w:t>
      </w:r>
      <w:r>
        <w:rPr>
          <w:rFonts w:hint="eastAsia" w:ascii="宋体" w:hAnsi="宋体" w:cs="楷体_GB2312"/>
          <w:color w:val="auto"/>
          <w:sz w:val="24"/>
          <w:lang w:val="zh-CN"/>
        </w:rPr>
        <w:t>月</w:t>
      </w:r>
      <w:r>
        <w:rPr>
          <w:rFonts w:ascii="宋体" w:hAnsi="宋体" w:cs="楷体_GB2312"/>
          <w:color w:val="auto"/>
          <w:sz w:val="24"/>
          <w:lang w:val="zh-CN"/>
        </w:rPr>
        <w:t xml:space="preserve">   </w:t>
      </w:r>
      <w:r>
        <w:rPr>
          <w:rFonts w:hint="eastAsia" w:ascii="宋体" w:hAnsi="宋体" w:cs="楷体_GB2312"/>
          <w:color w:val="auto"/>
          <w:sz w:val="24"/>
          <w:lang w:val="zh-CN"/>
        </w:rPr>
        <w:t>日</w:t>
      </w:r>
    </w:p>
    <w:p w14:paraId="4CB9AE09">
      <w:pPr>
        <w:spacing w:line="240" w:lineRule="auto"/>
        <w:rPr>
          <w:color w:val="auto"/>
          <w:sz w:val="24"/>
        </w:rPr>
      </w:pPr>
    </w:p>
    <w:p w14:paraId="0A566105">
      <w:pPr>
        <w:spacing w:line="440" w:lineRule="exact"/>
        <w:jc w:val="center"/>
        <w:rPr>
          <w:rFonts w:eastAsia="方正黑体简体"/>
          <w:b/>
          <w:color w:val="auto"/>
          <w:sz w:val="30"/>
          <w:szCs w:val="30"/>
        </w:rPr>
      </w:pPr>
      <w:r>
        <w:rPr>
          <w:rFonts w:eastAsia="方正黑体简体"/>
          <w:b/>
          <w:color w:val="auto"/>
          <w:sz w:val="30"/>
          <w:szCs w:val="30"/>
        </w:rPr>
        <w:br w:type="page"/>
      </w:r>
      <w:bookmarkStart w:id="52" w:name="OLE_LINK22"/>
    </w:p>
    <w:p w14:paraId="2ED4B6D0">
      <w:pPr>
        <w:spacing w:line="440" w:lineRule="exact"/>
        <w:jc w:val="center"/>
        <w:rPr>
          <w:rFonts w:hint="eastAsia" w:ascii="黑体" w:hAnsi="黑体" w:eastAsia="黑体"/>
          <w:b/>
          <w:color w:val="auto"/>
          <w:spacing w:val="36"/>
          <w:sz w:val="30"/>
          <w:szCs w:val="30"/>
        </w:rPr>
      </w:pPr>
      <w:r>
        <w:rPr>
          <w:rFonts w:hint="eastAsia" w:ascii="黑体" w:hAnsi="黑体" w:eastAsia="黑体"/>
          <w:b/>
          <w:color w:val="auto"/>
          <w:sz w:val="30"/>
          <w:szCs w:val="30"/>
        </w:rPr>
        <w:t>五、</w:t>
      </w:r>
      <w:bookmarkEnd w:id="52"/>
      <w:r>
        <w:rPr>
          <w:rFonts w:hint="eastAsia" w:ascii="黑体" w:hAnsi="黑体" w:eastAsia="黑体"/>
          <w:b/>
          <w:color w:val="auto"/>
          <w:spacing w:val="36"/>
          <w:sz w:val="30"/>
          <w:szCs w:val="30"/>
        </w:rPr>
        <w:t>工程质量保修书</w:t>
      </w:r>
    </w:p>
    <w:p w14:paraId="317613AB">
      <w:pPr>
        <w:spacing w:line="440" w:lineRule="exact"/>
        <w:jc w:val="center"/>
        <w:rPr>
          <w:rFonts w:ascii="黑体" w:eastAsia="黑体"/>
          <w:b/>
          <w:color w:val="auto"/>
          <w:spacing w:val="36"/>
          <w:sz w:val="28"/>
          <w:szCs w:val="28"/>
        </w:rPr>
      </w:pPr>
    </w:p>
    <w:p w14:paraId="19DD5340">
      <w:pPr>
        <w:autoSpaceDE w:val="0"/>
        <w:autoSpaceDN w:val="0"/>
        <w:adjustRightInd w:val="0"/>
        <w:spacing w:line="360" w:lineRule="auto"/>
        <w:rPr>
          <w:rFonts w:ascii="宋体"/>
          <w:color w:val="auto"/>
          <w:sz w:val="24"/>
        </w:rPr>
      </w:pPr>
      <w:r>
        <w:rPr>
          <w:rFonts w:hint="eastAsia" w:ascii="宋体" w:hAnsi="宋体"/>
          <w:color w:val="auto"/>
          <w:sz w:val="24"/>
        </w:rPr>
        <w:t>一、工程质量保修范围和内容</w:t>
      </w:r>
    </w:p>
    <w:p w14:paraId="5ACF86B4">
      <w:pPr>
        <w:autoSpaceDE w:val="0"/>
        <w:autoSpaceDN w:val="0"/>
        <w:adjustRightInd w:val="0"/>
        <w:spacing w:line="360" w:lineRule="auto"/>
        <w:rPr>
          <w:rFonts w:ascii="宋体"/>
          <w:color w:val="auto"/>
          <w:sz w:val="24"/>
        </w:rPr>
      </w:pPr>
      <w:r>
        <w:rPr>
          <w:rFonts w:hint="eastAsia" w:ascii="宋体" w:hAnsi="宋体"/>
          <w:color w:val="auto"/>
          <w:sz w:val="24"/>
        </w:rPr>
        <w:t>成交供应商在质量保修期内，按照有关法律、法规、规章的管理规定和双方约定，承担本工程质量保修责任。质量保修范围包括</w:t>
      </w:r>
      <w:r>
        <w:rPr>
          <w:rFonts w:hint="eastAsia" w:ascii="宋体" w:hAnsi="宋体"/>
          <w:color w:val="auto"/>
          <w:sz w:val="24"/>
          <w:u w:val="single"/>
        </w:rPr>
        <w:t>：，</w:t>
      </w:r>
      <w:r>
        <w:rPr>
          <w:rFonts w:hint="eastAsia" w:ascii="宋体" w:hAnsi="宋体"/>
          <w:color w:val="auto"/>
          <w:sz w:val="24"/>
        </w:rPr>
        <w:t>以及双方约定的其他项目。具体保修的内容如下：</w:t>
      </w:r>
    </w:p>
    <w:p w14:paraId="666F9A07">
      <w:pPr>
        <w:autoSpaceDE w:val="0"/>
        <w:autoSpaceDN w:val="0"/>
        <w:adjustRightInd w:val="0"/>
        <w:spacing w:line="360" w:lineRule="auto"/>
        <w:rPr>
          <w:rFonts w:ascii="宋体"/>
          <w:color w:val="auto"/>
          <w:sz w:val="24"/>
        </w:rPr>
      </w:pPr>
      <w:r>
        <w:rPr>
          <w:rFonts w:hint="eastAsia" w:ascii="宋体" w:hAnsi="宋体"/>
          <w:color w:val="auto"/>
          <w:sz w:val="24"/>
        </w:rPr>
        <w:t>１、</w:t>
      </w:r>
    </w:p>
    <w:p w14:paraId="6274FB4C">
      <w:pPr>
        <w:autoSpaceDE w:val="0"/>
        <w:autoSpaceDN w:val="0"/>
        <w:adjustRightInd w:val="0"/>
        <w:spacing w:line="360" w:lineRule="auto"/>
        <w:rPr>
          <w:rFonts w:ascii="宋体"/>
          <w:color w:val="auto"/>
          <w:sz w:val="24"/>
        </w:rPr>
      </w:pPr>
      <w:r>
        <w:rPr>
          <w:rFonts w:hint="eastAsia" w:ascii="宋体" w:hAnsi="宋体"/>
          <w:color w:val="auto"/>
          <w:sz w:val="24"/>
        </w:rPr>
        <w:t>２、</w:t>
      </w:r>
    </w:p>
    <w:p w14:paraId="3CD97D02">
      <w:pPr>
        <w:autoSpaceDE w:val="0"/>
        <w:autoSpaceDN w:val="0"/>
        <w:adjustRightInd w:val="0"/>
        <w:spacing w:line="360" w:lineRule="auto"/>
        <w:rPr>
          <w:rFonts w:ascii="宋体"/>
          <w:color w:val="auto"/>
          <w:sz w:val="24"/>
        </w:rPr>
      </w:pPr>
      <w:r>
        <w:rPr>
          <w:rFonts w:hint="eastAsia" w:ascii="宋体" w:hAnsi="宋体"/>
          <w:color w:val="auto"/>
          <w:sz w:val="24"/>
        </w:rPr>
        <w:t>３、</w:t>
      </w:r>
    </w:p>
    <w:p w14:paraId="7E9D8CDD">
      <w:pPr>
        <w:autoSpaceDE w:val="0"/>
        <w:autoSpaceDN w:val="0"/>
        <w:adjustRightInd w:val="0"/>
        <w:spacing w:line="360" w:lineRule="auto"/>
        <w:rPr>
          <w:rFonts w:ascii="宋体"/>
          <w:color w:val="auto"/>
          <w:sz w:val="24"/>
        </w:rPr>
      </w:pPr>
      <w:r>
        <w:rPr>
          <w:rFonts w:hint="eastAsia" w:ascii="宋体" w:hAnsi="宋体"/>
          <w:color w:val="auto"/>
          <w:sz w:val="24"/>
        </w:rPr>
        <w:t>４、</w:t>
      </w:r>
    </w:p>
    <w:p w14:paraId="7D320400">
      <w:pPr>
        <w:autoSpaceDE w:val="0"/>
        <w:autoSpaceDN w:val="0"/>
        <w:adjustRightInd w:val="0"/>
        <w:spacing w:line="360" w:lineRule="auto"/>
        <w:rPr>
          <w:rFonts w:ascii="宋体"/>
          <w:color w:val="auto"/>
          <w:sz w:val="24"/>
        </w:rPr>
      </w:pPr>
      <w:r>
        <w:rPr>
          <w:rFonts w:hint="eastAsia" w:ascii="宋体" w:hAnsi="宋体"/>
          <w:color w:val="auto"/>
          <w:sz w:val="24"/>
        </w:rPr>
        <w:t>二、质量保修期：</w:t>
      </w:r>
      <w:r>
        <w:rPr>
          <w:rFonts w:hint="eastAsia" w:ascii="宋体" w:hAnsi="宋体"/>
          <w:color w:val="auto"/>
          <w:sz w:val="24"/>
          <w:u w:val="single"/>
        </w:rPr>
        <w:t xml:space="preserve">       </w:t>
      </w:r>
      <w:r>
        <w:rPr>
          <w:rFonts w:hint="eastAsia" w:ascii="宋体" w:hAnsi="宋体"/>
          <w:color w:val="auto"/>
          <w:sz w:val="24"/>
        </w:rPr>
        <w:t>年。（应符合或优于国家、地方或行业相关质量保修期规定，符合或优于本文件有关质量保修期规定；如质量保修期有各类别规定的，供应商可以按不同类别分别填列各类别质量保修期。）</w:t>
      </w:r>
    </w:p>
    <w:p w14:paraId="02D06ED0">
      <w:pPr>
        <w:autoSpaceDE w:val="0"/>
        <w:autoSpaceDN w:val="0"/>
        <w:adjustRightInd w:val="0"/>
        <w:spacing w:line="360" w:lineRule="auto"/>
        <w:rPr>
          <w:rFonts w:ascii="宋体"/>
          <w:color w:val="auto"/>
          <w:sz w:val="24"/>
        </w:rPr>
      </w:pPr>
      <w:r>
        <w:rPr>
          <w:rFonts w:hint="eastAsia" w:ascii="宋体" w:hAnsi="宋体"/>
          <w:color w:val="auto"/>
          <w:sz w:val="24"/>
        </w:rPr>
        <w:t>注：质量保修期自工程竣工验收合格之日起计算。</w:t>
      </w:r>
    </w:p>
    <w:p w14:paraId="1137C9F4">
      <w:pPr>
        <w:autoSpaceDE w:val="0"/>
        <w:autoSpaceDN w:val="0"/>
        <w:adjustRightInd w:val="0"/>
        <w:spacing w:line="360" w:lineRule="auto"/>
        <w:rPr>
          <w:rFonts w:ascii="宋体"/>
          <w:color w:val="auto"/>
          <w:sz w:val="24"/>
        </w:rPr>
      </w:pPr>
      <w:r>
        <w:rPr>
          <w:rFonts w:hint="eastAsia" w:ascii="宋体" w:hAnsi="宋体"/>
          <w:color w:val="auto"/>
          <w:sz w:val="24"/>
        </w:rPr>
        <w:t>三、质量保修责任</w:t>
      </w:r>
    </w:p>
    <w:p w14:paraId="244B4573">
      <w:pPr>
        <w:autoSpaceDE w:val="0"/>
        <w:autoSpaceDN w:val="0"/>
        <w:adjustRightInd w:val="0"/>
        <w:spacing w:line="360" w:lineRule="auto"/>
        <w:rPr>
          <w:rFonts w:ascii="宋体"/>
          <w:color w:val="auto"/>
          <w:sz w:val="24"/>
        </w:rPr>
      </w:pPr>
      <w:r>
        <w:rPr>
          <w:rFonts w:ascii="宋体" w:hAnsi="宋体"/>
          <w:color w:val="auto"/>
          <w:sz w:val="24"/>
        </w:rPr>
        <w:t>1</w:t>
      </w:r>
      <w:r>
        <w:rPr>
          <w:rFonts w:hint="eastAsia" w:ascii="宋体" w:hAnsi="宋体"/>
          <w:color w:val="auto"/>
          <w:sz w:val="24"/>
        </w:rPr>
        <w:t>、属于保修范围、内容的项目，成交供应商应当在接到保修通知之日起</w:t>
      </w:r>
      <w:r>
        <w:rPr>
          <w:rFonts w:ascii="宋体" w:hAnsi="宋体"/>
          <w:color w:val="auto"/>
          <w:sz w:val="24"/>
        </w:rPr>
        <w:t>7</w:t>
      </w:r>
      <w:r>
        <w:rPr>
          <w:rFonts w:hint="eastAsia" w:ascii="宋体" w:hAnsi="宋体"/>
          <w:color w:val="auto"/>
          <w:sz w:val="24"/>
        </w:rPr>
        <w:t>天内派人保修。成交供应商不在约定期限内派人保修的，采购人可以委托他人修理。</w:t>
      </w:r>
    </w:p>
    <w:p w14:paraId="76B412E8">
      <w:pPr>
        <w:autoSpaceDE w:val="0"/>
        <w:autoSpaceDN w:val="0"/>
        <w:adjustRightInd w:val="0"/>
        <w:spacing w:line="360" w:lineRule="auto"/>
        <w:rPr>
          <w:rFonts w:ascii="宋体"/>
          <w:color w:val="auto"/>
          <w:sz w:val="24"/>
        </w:rPr>
      </w:pPr>
      <w:r>
        <w:rPr>
          <w:rFonts w:ascii="宋体" w:hAnsi="宋体"/>
          <w:color w:val="auto"/>
          <w:sz w:val="24"/>
        </w:rPr>
        <w:t>2</w:t>
      </w:r>
      <w:r>
        <w:rPr>
          <w:rFonts w:hint="eastAsia" w:ascii="宋体" w:hAnsi="宋体"/>
          <w:color w:val="auto"/>
          <w:sz w:val="24"/>
        </w:rPr>
        <w:t>、发生紧急抢修事故的，成交供应商在接到事故通知后，应当立即到达事故现场抢修。</w:t>
      </w:r>
    </w:p>
    <w:p w14:paraId="75464F14">
      <w:pPr>
        <w:autoSpaceDE w:val="0"/>
        <w:autoSpaceDN w:val="0"/>
        <w:adjustRightInd w:val="0"/>
        <w:spacing w:line="360" w:lineRule="auto"/>
        <w:rPr>
          <w:rFonts w:ascii="宋体"/>
          <w:color w:val="auto"/>
          <w:sz w:val="24"/>
        </w:rPr>
      </w:pPr>
      <w:r>
        <w:rPr>
          <w:rFonts w:ascii="宋体" w:hAnsi="宋体"/>
          <w:color w:val="auto"/>
          <w:sz w:val="24"/>
        </w:rPr>
        <w:t>3</w:t>
      </w:r>
      <w:r>
        <w:rPr>
          <w:rFonts w:hint="eastAsia" w:ascii="宋体" w:hAnsi="宋体"/>
          <w:color w:val="auto"/>
          <w:sz w:val="24"/>
        </w:rPr>
        <w:t>、对于涉及结构安全的质量问题，应当按照《房屋建筑工程质量保修办法》的规定，立即向当地建设行政主管部门报告，采取安全防范措施；由原设计单位或者具有相应资质等级的设计单位提出保修方案，成交供应商实施保修。</w:t>
      </w:r>
    </w:p>
    <w:p w14:paraId="2554BBC3">
      <w:pPr>
        <w:autoSpaceDE w:val="0"/>
        <w:autoSpaceDN w:val="0"/>
        <w:adjustRightInd w:val="0"/>
        <w:spacing w:line="360" w:lineRule="auto"/>
        <w:rPr>
          <w:rFonts w:ascii="宋体"/>
          <w:color w:val="auto"/>
          <w:sz w:val="24"/>
        </w:rPr>
      </w:pPr>
      <w:r>
        <w:rPr>
          <w:rFonts w:ascii="宋体" w:hAnsi="宋体"/>
          <w:color w:val="auto"/>
          <w:sz w:val="24"/>
        </w:rPr>
        <w:t>4</w:t>
      </w:r>
      <w:r>
        <w:rPr>
          <w:rFonts w:hint="eastAsia" w:ascii="宋体" w:hAnsi="宋体"/>
          <w:color w:val="auto"/>
          <w:sz w:val="24"/>
        </w:rPr>
        <w:t>、质量保修完成后，由采购人组织验收。</w:t>
      </w:r>
    </w:p>
    <w:p w14:paraId="3EB3E74E">
      <w:pPr>
        <w:autoSpaceDE w:val="0"/>
        <w:autoSpaceDN w:val="0"/>
        <w:adjustRightInd w:val="0"/>
        <w:spacing w:line="360" w:lineRule="auto"/>
        <w:rPr>
          <w:rFonts w:ascii="宋体"/>
          <w:color w:val="auto"/>
          <w:sz w:val="24"/>
        </w:rPr>
      </w:pPr>
      <w:r>
        <w:rPr>
          <w:rFonts w:hint="eastAsia" w:ascii="宋体" w:hAnsi="宋体"/>
          <w:color w:val="auto"/>
          <w:sz w:val="24"/>
        </w:rPr>
        <w:t>四、保修费用</w:t>
      </w:r>
    </w:p>
    <w:p w14:paraId="16BD6F69">
      <w:pPr>
        <w:autoSpaceDE w:val="0"/>
        <w:autoSpaceDN w:val="0"/>
        <w:adjustRightInd w:val="0"/>
        <w:spacing w:line="360" w:lineRule="auto"/>
        <w:rPr>
          <w:rFonts w:ascii="宋体"/>
          <w:color w:val="auto"/>
          <w:sz w:val="24"/>
        </w:rPr>
      </w:pPr>
      <w:r>
        <w:rPr>
          <w:rFonts w:hint="eastAsia" w:ascii="宋体" w:hAnsi="宋体"/>
          <w:color w:val="auto"/>
          <w:sz w:val="24"/>
        </w:rPr>
        <w:t>保修费用由造成质量缺陷的责任方承担。</w:t>
      </w:r>
    </w:p>
    <w:p w14:paraId="7C67BAF9">
      <w:pPr>
        <w:autoSpaceDE w:val="0"/>
        <w:autoSpaceDN w:val="0"/>
        <w:adjustRightInd w:val="0"/>
        <w:spacing w:line="360" w:lineRule="auto"/>
        <w:rPr>
          <w:rFonts w:ascii="宋体"/>
          <w:color w:val="auto"/>
          <w:sz w:val="24"/>
        </w:rPr>
      </w:pPr>
      <w:r>
        <w:rPr>
          <w:rFonts w:hint="eastAsia" w:ascii="宋体" w:hAnsi="宋体"/>
          <w:color w:val="auto"/>
          <w:sz w:val="24"/>
        </w:rPr>
        <w:t>五、其他</w:t>
      </w:r>
    </w:p>
    <w:p w14:paraId="327CECA0">
      <w:pPr>
        <w:autoSpaceDE w:val="0"/>
        <w:autoSpaceDN w:val="0"/>
        <w:adjustRightInd w:val="0"/>
        <w:spacing w:line="360" w:lineRule="auto"/>
        <w:rPr>
          <w:rFonts w:ascii="宋体"/>
          <w:color w:val="auto"/>
          <w:sz w:val="24"/>
        </w:rPr>
      </w:pPr>
      <w:r>
        <w:rPr>
          <w:rFonts w:hint="eastAsia" w:ascii="宋体" w:hAnsi="宋体"/>
          <w:color w:val="auto"/>
          <w:sz w:val="24"/>
        </w:rPr>
        <w:t>双方约定的其他工程质量保修事项。</w:t>
      </w:r>
    </w:p>
    <w:p w14:paraId="7D8E8DDD">
      <w:pPr>
        <w:widowControl w:val="0"/>
        <w:snapToGrid w:val="0"/>
        <w:spacing w:line="560" w:lineRule="exact"/>
        <w:jc w:val="center"/>
        <w:rPr>
          <w:rFonts w:ascii="宋体"/>
          <w:color w:val="auto"/>
          <w:sz w:val="24"/>
        </w:rPr>
      </w:pPr>
    </w:p>
    <w:p w14:paraId="60E54C06">
      <w:pPr>
        <w:autoSpaceDE w:val="0"/>
        <w:autoSpaceDN w:val="0"/>
        <w:adjustRightInd w:val="0"/>
        <w:spacing w:line="360" w:lineRule="auto"/>
        <w:jc w:val="left"/>
        <w:rPr>
          <w:rFonts w:ascii="宋体" w:cs="楷体_GB2312"/>
          <w:color w:val="auto"/>
          <w:sz w:val="24"/>
          <w:lang w:val="zh-CN"/>
        </w:rPr>
      </w:pPr>
      <w:r>
        <w:rPr>
          <w:rFonts w:hint="eastAsia" w:ascii="宋体" w:hAnsi="宋体"/>
          <w:color w:val="auto"/>
          <w:sz w:val="24"/>
        </w:rPr>
        <w:t>供应商</w:t>
      </w:r>
      <w:r>
        <w:rPr>
          <w:rFonts w:hint="eastAsia"/>
          <w:color w:val="auto"/>
          <w:sz w:val="24"/>
          <w:szCs w:val="24"/>
        </w:rPr>
        <w:t>（电子签</w:t>
      </w:r>
      <w:r>
        <w:rPr>
          <w:rFonts w:hint="eastAsia" w:ascii="宋体" w:hAnsi="宋体"/>
          <w:color w:val="auto"/>
          <w:sz w:val="24"/>
          <w:szCs w:val="24"/>
        </w:rPr>
        <w:t>章</w:t>
      </w:r>
      <w:r>
        <w:rPr>
          <w:rFonts w:hint="eastAsia"/>
          <w:color w:val="auto"/>
          <w:sz w:val="24"/>
          <w:szCs w:val="24"/>
        </w:rPr>
        <w:t>）</w:t>
      </w:r>
      <w:r>
        <w:rPr>
          <w:rFonts w:hint="eastAsia" w:ascii="宋体" w:hAnsi="宋体" w:cs="楷体_GB2312"/>
          <w:color w:val="auto"/>
          <w:sz w:val="24"/>
          <w:lang w:val="zh-CN"/>
        </w:rPr>
        <w:t>：</w:t>
      </w:r>
    </w:p>
    <w:p w14:paraId="57A25C05">
      <w:pPr>
        <w:autoSpaceDE w:val="0"/>
        <w:autoSpaceDN w:val="0"/>
        <w:adjustRightInd w:val="0"/>
        <w:spacing w:line="360" w:lineRule="auto"/>
        <w:ind w:left="-2" w:right="-817" w:firstLine="2"/>
        <w:jc w:val="left"/>
        <w:rPr>
          <w:rFonts w:ascii="宋体" w:cs="楷体_GB2312"/>
          <w:color w:val="auto"/>
          <w:sz w:val="24"/>
          <w:lang w:val="zh-CN"/>
        </w:rPr>
      </w:pPr>
      <w:r>
        <w:rPr>
          <w:rFonts w:hint="eastAsia" w:ascii="宋体" w:hAnsi="宋体" w:cs="楷体_GB2312"/>
          <w:color w:val="auto"/>
          <w:sz w:val="24"/>
          <w:lang w:val="zh-CN"/>
        </w:rPr>
        <w:t>法定代表人（电子签名或签章）：</w:t>
      </w:r>
      <w:r>
        <w:rPr>
          <w:rFonts w:ascii="宋体" w:hAnsi="宋体" w:cs="楷体_GB2312"/>
          <w:color w:val="auto"/>
          <w:sz w:val="24"/>
          <w:lang w:val="zh-CN"/>
        </w:rPr>
        <w:t xml:space="preserve">  </w:t>
      </w:r>
    </w:p>
    <w:p w14:paraId="0AB0FD7E">
      <w:pPr>
        <w:autoSpaceDE w:val="0"/>
        <w:autoSpaceDN w:val="0"/>
        <w:adjustRightInd w:val="0"/>
        <w:spacing w:line="360" w:lineRule="auto"/>
        <w:ind w:right="-817"/>
        <w:jc w:val="left"/>
        <w:rPr>
          <w:rFonts w:ascii="宋体" w:cs="楷体_GB2312"/>
          <w:color w:val="auto"/>
          <w:sz w:val="24"/>
          <w:lang w:val="zh-CN"/>
        </w:rPr>
      </w:pPr>
      <w:r>
        <w:rPr>
          <w:rFonts w:hint="eastAsia" w:ascii="宋体" w:hAnsi="宋体" w:cs="楷体_GB2312"/>
          <w:color w:val="auto"/>
          <w:sz w:val="24"/>
          <w:lang w:val="zh-CN"/>
        </w:rPr>
        <w:t>日期：</w:t>
      </w:r>
      <w:r>
        <w:rPr>
          <w:rFonts w:ascii="宋体" w:hAnsi="宋体" w:cs="楷体_GB2312"/>
          <w:color w:val="auto"/>
          <w:sz w:val="24"/>
          <w:lang w:val="zh-CN"/>
        </w:rPr>
        <w:t xml:space="preserve">   </w:t>
      </w:r>
      <w:r>
        <w:rPr>
          <w:rFonts w:hint="eastAsia" w:ascii="宋体" w:hAnsi="宋体" w:cs="楷体_GB2312"/>
          <w:color w:val="auto"/>
          <w:sz w:val="24"/>
          <w:lang w:val="zh-CN"/>
        </w:rPr>
        <w:t>年</w:t>
      </w:r>
      <w:r>
        <w:rPr>
          <w:rFonts w:ascii="宋体" w:hAnsi="宋体" w:cs="楷体_GB2312"/>
          <w:color w:val="auto"/>
          <w:sz w:val="24"/>
          <w:lang w:val="zh-CN"/>
        </w:rPr>
        <w:t xml:space="preserve">   </w:t>
      </w:r>
      <w:r>
        <w:rPr>
          <w:rFonts w:hint="eastAsia" w:ascii="宋体" w:hAnsi="宋体" w:cs="楷体_GB2312"/>
          <w:color w:val="auto"/>
          <w:sz w:val="24"/>
          <w:lang w:val="zh-CN"/>
        </w:rPr>
        <w:t>月</w:t>
      </w:r>
      <w:r>
        <w:rPr>
          <w:rFonts w:ascii="宋体" w:hAnsi="宋体" w:cs="楷体_GB2312"/>
          <w:color w:val="auto"/>
          <w:sz w:val="24"/>
          <w:lang w:val="zh-CN"/>
        </w:rPr>
        <w:t xml:space="preserve">   </w:t>
      </w:r>
      <w:r>
        <w:rPr>
          <w:rFonts w:hint="eastAsia" w:ascii="宋体" w:hAnsi="宋体" w:cs="楷体_GB2312"/>
          <w:color w:val="auto"/>
          <w:sz w:val="24"/>
          <w:lang w:val="zh-CN"/>
        </w:rPr>
        <w:t>日</w:t>
      </w:r>
    </w:p>
    <w:p w14:paraId="42F97DCD">
      <w:pPr>
        <w:spacing w:line="240" w:lineRule="auto"/>
        <w:jc w:val="left"/>
        <w:textAlignment w:val="auto"/>
        <w:rPr>
          <w:rFonts w:eastAsia="方正黑体简体"/>
          <w:b/>
          <w:color w:val="auto"/>
          <w:sz w:val="30"/>
          <w:szCs w:val="30"/>
        </w:rPr>
      </w:pPr>
      <w:r>
        <w:rPr>
          <w:rFonts w:eastAsia="方正黑体简体"/>
          <w:b/>
          <w:color w:val="auto"/>
          <w:sz w:val="30"/>
          <w:szCs w:val="30"/>
        </w:rPr>
        <w:br w:type="page"/>
      </w:r>
    </w:p>
    <w:p w14:paraId="785BEFB2">
      <w:pPr>
        <w:widowControl w:val="0"/>
        <w:snapToGrid w:val="0"/>
        <w:spacing w:line="560" w:lineRule="exact"/>
        <w:jc w:val="center"/>
        <w:rPr>
          <w:rFonts w:hint="eastAsia" w:ascii="黑体" w:hAnsi="黑体" w:eastAsia="黑体"/>
          <w:b/>
          <w:color w:val="auto"/>
          <w:sz w:val="30"/>
          <w:szCs w:val="30"/>
        </w:rPr>
      </w:pPr>
      <w:r>
        <w:rPr>
          <w:rFonts w:hint="eastAsia" w:ascii="黑体" w:hAnsi="黑体" w:eastAsia="黑体"/>
          <w:b/>
          <w:color w:val="auto"/>
          <w:sz w:val="30"/>
          <w:szCs w:val="30"/>
        </w:rPr>
        <w:t>六、质量、工期、安全承诺书</w:t>
      </w:r>
    </w:p>
    <w:p w14:paraId="7A0771C7">
      <w:pPr>
        <w:widowControl w:val="0"/>
        <w:tabs>
          <w:tab w:val="left" w:pos="9365"/>
        </w:tabs>
        <w:snapToGrid w:val="0"/>
        <w:spacing w:after="56" w:line="240" w:lineRule="auto"/>
        <w:ind w:right="85"/>
        <w:jc w:val="left"/>
        <w:textAlignment w:val="top"/>
        <w:rPr>
          <w:color w:val="auto"/>
          <w:sz w:val="28"/>
        </w:rPr>
      </w:pPr>
    </w:p>
    <w:p w14:paraId="0AA4D1B6">
      <w:pPr>
        <w:pStyle w:val="16"/>
        <w:adjustRightInd w:val="0"/>
        <w:snapToGrid w:val="0"/>
        <w:spacing w:before="0" w:beforeAutospacing="0" w:after="0" w:afterAutospacing="0"/>
        <w:rPr>
          <w:rFonts w:hint="eastAsia"/>
          <w:color w:val="auto"/>
        </w:rPr>
      </w:pPr>
    </w:p>
    <w:p w14:paraId="700DF4AD">
      <w:pPr>
        <w:pStyle w:val="16"/>
        <w:adjustRightInd w:val="0"/>
        <w:snapToGrid w:val="0"/>
        <w:spacing w:before="0" w:beforeAutospacing="0" w:after="0" w:afterAutospacing="0"/>
        <w:rPr>
          <w:rFonts w:hint="eastAsia"/>
          <w:color w:val="auto"/>
        </w:rPr>
      </w:pPr>
      <w:r>
        <w:rPr>
          <w:rFonts w:hint="eastAsia"/>
          <w:color w:val="auto"/>
        </w:rPr>
        <w:t>项目名称：</w:t>
      </w:r>
    </w:p>
    <w:p w14:paraId="62708E93">
      <w:pPr>
        <w:pStyle w:val="16"/>
        <w:adjustRightInd w:val="0"/>
        <w:snapToGrid w:val="0"/>
        <w:spacing w:before="0" w:beforeAutospacing="0" w:after="0" w:afterAutospacing="0"/>
        <w:rPr>
          <w:rFonts w:hint="eastAsia"/>
          <w:color w:val="auto"/>
        </w:rPr>
      </w:pPr>
      <w:r>
        <w:rPr>
          <w:rFonts w:hint="eastAsia"/>
          <w:color w:val="auto"/>
        </w:rPr>
        <w:t>项目编号：</w:t>
      </w:r>
    </w:p>
    <w:p w14:paraId="131A95D1">
      <w:pPr>
        <w:spacing w:line="240" w:lineRule="auto"/>
        <w:rPr>
          <w:color w:val="auto"/>
          <w:sz w:val="28"/>
        </w:rPr>
      </w:pPr>
    </w:p>
    <w:p w14:paraId="7DF2226D">
      <w:pPr>
        <w:pStyle w:val="5"/>
        <w:rPr>
          <w:color w:val="auto"/>
          <w:sz w:val="24"/>
        </w:rPr>
      </w:pPr>
    </w:p>
    <w:p w14:paraId="4D1FB5F2">
      <w:pPr>
        <w:spacing w:line="440" w:lineRule="exact"/>
        <w:jc w:val="center"/>
        <w:rPr>
          <w:rFonts w:ascii="宋体"/>
          <w:b/>
          <w:color w:val="auto"/>
          <w:sz w:val="30"/>
          <w:szCs w:val="30"/>
        </w:rPr>
      </w:pPr>
      <w:r>
        <w:rPr>
          <w:rFonts w:hint="eastAsia" w:ascii="宋体" w:hAnsi="宋体"/>
          <w:color w:val="auto"/>
          <w:sz w:val="24"/>
          <w:szCs w:val="24"/>
        </w:rPr>
        <w:t>（对工程质量、工期、安全进行承诺，并描述责任承担。）</w:t>
      </w:r>
    </w:p>
    <w:p w14:paraId="5493D29D">
      <w:pPr>
        <w:pStyle w:val="5"/>
        <w:rPr>
          <w:color w:val="auto"/>
          <w:sz w:val="24"/>
        </w:rPr>
      </w:pPr>
    </w:p>
    <w:p w14:paraId="4603B8BC">
      <w:pPr>
        <w:pStyle w:val="5"/>
        <w:rPr>
          <w:color w:val="auto"/>
          <w:sz w:val="24"/>
        </w:rPr>
      </w:pPr>
    </w:p>
    <w:p w14:paraId="17D2ED20">
      <w:pPr>
        <w:autoSpaceDE w:val="0"/>
        <w:autoSpaceDN w:val="0"/>
        <w:adjustRightInd w:val="0"/>
        <w:spacing w:line="360" w:lineRule="auto"/>
        <w:rPr>
          <w:rFonts w:ascii="宋体"/>
          <w:color w:val="auto"/>
          <w:sz w:val="24"/>
        </w:rPr>
      </w:pPr>
    </w:p>
    <w:p w14:paraId="11DF9C86">
      <w:pPr>
        <w:widowControl w:val="0"/>
        <w:snapToGrid w:val="0"/>
        <w:spacing w:line="560" w:lineRule="exact"/>
        <w:jc w:val="center"/>
        <w:rPr>
          <w:rFonts w:ascii="宋体"/>
          <w:color w:val="auto"/>
          <w:spacing w:val="8"/>
          <w:szCs w:val="21"/>
        </w:rPr>
      </w:pPr>
    </w:p>
    <w:p w14:paraId="4A84877D">
      <w:pPr>
        <w:autoSpaceDE w:val="0"/>
        <w:autoSpaceDN w:val="0"/>
        <w:adjustRightInd w:val="0"/>
        <w:spacing w:line="360" w:lineRule="auto"/>
        <w:jc w:val="center"/>
        <w:rPr>
          <w:rFonts w:ascii="宋体"/>
          <w:color w:val="auto"/>
          <w:spacing w:val="8"/>
          <w:szCs w:val="21"/>
        </w:rPr>
      </w:pPr>
    </w:p>
    <w:p w14:paraId="594E92D6">
      <w:pPr>
        <w:autoSpaceDE w:val="0"/>
        <w:autoSpaceDN w:val="0"/>
        <w:adjustRightInd w:val="0"/>
        <w:spacing w:line="360" w:lineRule="auto"/>
        <w:jc w:val="center"/>
        <w:rPr>
          <w:rFonts w:ascii="宋体"/>
          <w:color w:val="auto"/>
          <w:spacing w:val="8"/>
          <w:szCs w:val="21"/>
        </w:rPr>
      </w:pPr>
    </w:p>
    <w:p w14:paraId="36640012">
      <w:pPr>
        <w:autoSpaceDE w:val="0"/>
        <w:autoSpaceDN w:val="0"/>
        <w:adjustRightInd w:val="0"/>
        <w:spacing w:line="360" w:lineRule="auto"/>
        <w:jc w:val="center"/>
        <w:rPr>
          <w:rFonts w:ascii="宋体"/>
          <w:color w:val="auto"/>
          <w:spacing w:val="8"/>
          <w:szCs w:val="21"/>
        </w:rPr>
      </w:pPr>
    </w:p>
    <w:p w14:paraId="356394B2">
      <w:pPr>
        <w:autoSpaceDE w:val="0"/>
        <w:autoSpaceDN w:val="0"/>
        <w:adjustRightInd w:val="0"/>
        <w:spacing w:line="360" w:lineRule="auto"/>
        <w:jc w:val="center"/>
        <w:rPr>
          <w:rFonts w:ascii="宋体"/>
          <w:color w:val="auto"/>
          <w:spacing w:val="8"/>
          <w:szCs w:val="21"/>
        </w:rPr>
      </w:pPr>
    </w:p>
    <w:p w14:paraId="484C488E">
      <w:pPr>
        <w:autoSpaceDE w:val="0"/>
        <w:autoSpaceDN w:val="0"/>
        <w:adjustRightInd w:val="0"/>
        <w:spacing w:line="360" w:lineRule="auto"/>
        <w:jc w:val="center"/>
        <w:rPr>
          <w:rFonts w:ascii="宋体"/>
          <w:color w:val="auto"/>
          <w:spacing w:val="8"/>
          <w:szCs w:val="21"/>
        </w:rPr>
      </w:pPr>
    </w:p>
    <w:p w14:paraId="31884BE6">
      <w:pPr>
        <w:autoSpaceDE w:val="0"/>
        <w:autoSpaceDN w:val="0"/>
        <w:adjustRightInd w:val="0"/>
        <w:spacing w:line="360" w:lineRule="auto"/>
        <w:jc w:val="center"/>
        <w:rPr>
          <w:rFonts w:ascii="宋体"/>
          <w:color w:val="auto"/>
          <w:spacing w:val="8"/>
          <w:szCs w:val="21"/>
        </w:rPr>
      </w:pPr>
    </w:p>
    <w:p w14:paraId="54D48800">
      <w:pPr>
        <w:autoSpaceDE w:val="0"/>
        <w:autoSpaceDN w:val="0"/>
        <w:adjustRightInd w:val="0"/>
        <w:spacing w:line="360" w:lineRule="auto"/>
        <w:jc w:val="center"/>
        <w:rPr>
          <w:rFonts w:ascii="宋体"/>
          <w:color w:val="auto"/>
          <w:spacing w:val="8"/>
          <w:szCs w:val="21"/>
        </w:rPr>
      </w:pPr>
    </w:p>
    <w:p w14:paraId="787252D8">
      <w:pPr>
        <w:autoSpaceDE w:val="0"/>
        <w:autoSpaceDN w:val="0"/>
        <w:adjustRightInd w:val="0"/>
        <w:spacing w:line="360" w:lineRule="auto"/>
        <w:jc w:val="center"/>
        <w:rPr>
          <w:rFonts w:ascii="宋体"/>
          <w:color w:val="auto"/>
          <w:spacing w:val="8"/>
          <w:szCs w:val="21"/>
        </w:rPr>
      </w:pPr>
    </w:p>
    <w:p w14:paraId="54E1296B">
      <w:pPr>
        <w:autoSpaceDE w:val="0"/>
        <w:autoSpaceDN w:val="0"/>
        <w:adjustRightInd w:val="0"/>
        <w:spacing w:line="360" w:lineRule="auto"/>
        <w:jc w:val="center"/>
        <w:rPr>
          <w:rFonts w:ascii="宋体"/>
          <w:color w:val="auto"/>
          <w:spacing w:val="8"/>
          <w:szCs w:val="21"/>
        </w:rPr>
      </w:pPr>
    </w:p>
    <w:p w14:paraId="5CFEDEF0">
      <w:pPr>
        <w:autoSpaceDE w:val="0"/>
        <w:autoSpaceDN w:val="0"/>
        <w:adjustRightInd w:val="0"/>
        <w:spacing w:line="360" w:lineRule="auto"/>
        <w:jc w:val="center"/>
        <w:rPr>
          <w:rFonts w:ascii="宋体"/>
          <w:color w:val="auto"/>
          <w:spacing w:val="8"/>
          <w:szCs w:val="21"/>
        </w:rPr>
      </w:pPr>
    </w:p>
    <w:p w14:paraId="38BB7AB3">
      <w:pPr>
        <w:autoSpaceDE w:val="0"/>
        <w:autoSpaceDN w:val="0"/>
        <w:adjustRightInd w:val="0"/>
        <w:spacing w:line="360" w:lineRule="auto"/>
        <w:jc w:val="center"/>
        <w:rPr>
          <w:rFonts w:ascii="宋体"/>
          <w:color w:val="auto"/>
          <w:spacing w:val="8"/>
          <w:szCs w:val="21"/>
        </w:rPr>
      </w:pPr>
    </w:p>
    <w:p w14:paraId="0B5EF2E2">
      <w:pPr>
        <w:autoSpaceDE w:val="0"/>
        <w:autoSpaceDN w:val="0"/>
        <w:adjustRightInd w:val="0"/>
        <w:spacing w:line="360" w:lineRule="auto"/>
        <w:jc w:val="center"/>
        <w:rPr>
          <w:rFonts w:ascii="宋体"/>
          <w:color w:val="auto"/>
          <w:spacing w:val="8"/>
          <w:szCs w:val="21"/>
        </w:rPr>
      </w:pPr>
    </w:p>
    <w:p w14:paraId="54987103">
      <w:pPr>
        <w:autoSpaceDE w:val="0"/>
        <w:autoSpaceDN w:val="0"/>
        <w:adjustRightInd w:val="0"/>
        <w:spacing w:line="360" w:lineRule="auto"/>
        <w:jc w:val="center"/>
        <w:rPr>
          <w:rFonts w:ascii="宋体"/>
          <w:color w:val="auto"/>
          <w:spacing w:val="8"/>
          <w:szCs w:val="21"/>
        </w:rPr>
      </w:pPr>
    </w:p>
    <w:p w14:paraId="773460AB">
      <w:pPr>
        <w:autoSpaceDE w:val="0"/>
        <w:autoSpaceDN w:val="0"/>
        <w:adjustRightInd w:val="0"/>
        <w:spacing w:line="360" w:lineRule="auto"/>
        <w:jc w:val="center"/>
        <w:rPr>
          <w:rFonts w:ascii="宋体"/>
          <w:color w:val="auto"/>
          <w:spacing w:val="8"/>
          <w:szCs w:val="21"/>
        </w:rPr>
      </w:pPr>
    </w:p>
    <w:p w14:paraId="2F6D857F">
      <w:pPr>
        <w:tabs>
          <w:tab w:val="left" w:pos="0"/>
        </w:tabs>
        <w:adjustRightInd w:val="0"/>
        <w:snapToGrid w:val="0"/>
        <w:spacing w:before="120" w:beforeLines="50" w:line="300" w:lineRule="auto"/>
        <w:ind w:right="510"/>
        <w:rPr>
          <w:rFonts w:ascii="宋体"/>
          <w:color w:val="auto"/>
          <w:spacing w:val="8"/>
          <w:szCs w:val="21"/>
        </w:rPr>
      </w:pPr>
    </w:p>
    <w:p w14:paraId="17A718E7">
      <w:pPr>
        <w:tabs>
          <w:tab w:val="left" w:pos="0"/>
        </w:tabs>
        <w:spacing w:line="480" w:lineRule="auto"/>
        <w:ind w:right="512"/>
        <w:rPr>
          <w:rFonts w:ascii="宋体"/>
          <w:color w:val="auto"/>
          <w:spacing w:val="8"/>
          <w:sz w:val="24"/>
        </w:rPr>
      </w:pPr>
      <w:r>
        <w:rPr>
          <w:rFonts w:hint="eastAsia" w:ascii="宋体" w:hAnsi="宋体"/>
          <w:color w:val="auto"/>
          <w:sz w:val="24"/>
        </w:rPr>
        <w:t>供应商</w:t>
      </w:r>
      <w:r>
        <w:rPr>
          <w:rFonts w:hint="eastAsia"/>
          <w:color w:val="auto"/>
          <w:sz w:val="24"/>
          <w:szCs w:val="24"/>
        </w:rPr>
        <w:t>（电子签</w:t>
      </w:r>
      <w:r>
        <w:rPr>
          <w:rFonts w:hint="eastAsia" w:ascii="宋体" w:hAnsi="宋体"/>
          <w:color w:val="auto"/>
          <w:sz w:val="24"/>
          <w:szCs w:val="24"/>
        </w:rPr>
        <w:t>章</w:t>
      </w:r>
      <w:r>
        <w:rPr>
          <w:rFonts w:hint="eastAsia"/>
          <w:color w:val="auto"/>
          <w:sz w:val="24"/>
          <w:szCs w:val="24"/>
        </w:rPr>
        <w:t>）</w:t>
      </w:r>
      <w:r>
        <w:rPr>
          <w:rFonts w:hint="eastAsia" w:ascii="宋体" w:hAnsi="宋体"/>
          <w:color w:val="auto"/>
          <w:spacing w:val="8"/>
          <w:sz w:val="24"/>
        </w:rPr>
        <w:t>：</w:t>
      </w:r>
    </w:p>
    <w:p w14:paraId="00731F80">
      <w:pPr>
        <w:tabs>
          <w:tab w:val="left" w:pos="0"/>
        </w:tabs>
        <w:spacing w:line="480" w:lineRule="auto"/>
        <w:ind w:right="768"/>
        <w:jc w:val="left"/>
        <w:rPr>
          <w:rFonts w:ascii="宋体"/>
          <w:color w:val="auto"/>
          <w:spacing w:val="8"/>
          <w:sz w:val="24"/>
        </w:rPr>
      </w:pPr>
      <w:r>
        <w:rPr>
          <w:rFonts w:hint="eastAsia" w:ascii="宋体" w:hAnsi="宋体"/>
          <w:color w:val="auto"/>
          <w:spacing w:val="8"/>
          <w:sz w:val="24"/>
        </w:rPr>
        <w:t>法定代表人（电子签名或签章）：</w:t>
      </w:r>
    </w:p>
    <w:p w14:paraId="5B8C3336">
      <w:pPr>
        <w:autoSpaceDE w:val="0"/>
        <w:autoSpaceDN w:val="0"/>
        <w:adjustRightInd w:val="0"/>
        <w:spacing w:line="480" w:lineRule="auto"/>
        <w:rPr>
          <w:rFonts w:ascii="宋体"/>
          <w:color w:val="auto"/>
          <w:sz w:val="24"/>
        </w:rPr>
      </w:pPr>
      <w:r>
        <w:rPr>
          <w:rFonts w:hint="eastAsia" w:ascii="宋体" w:hAnsi="宋体"/>
          <w:color w:val="auto"/>
          <w:spacing w:val="8"/>
          <w:sz w:val="24"/>
        </w:rPr>
        <w:t>日期</w:t>
      </w:r>
      <w:r>
        <w:rPr>
          <w:rFonts w:ascii="宋体" w:hAnsi="宋体"/>
          <w:color w:val="auto"/>
          <w:spacing w:val="8"/>
          <w:sz w:val="24"/>
        </w:rPr>
        <w:t xml:space="preserve"> </w:t>
      </w:r>
      <w:r>
        <w:rPr>
          <w:rFonts w:hint="eastAsia" w:ascii="宋体" w:hAnsi="宋体"/>
          <w:color w:val="auto"/>
          <w:spacing w:val="8"/>
          <w:sz w:val="24"/>
        </w:rPr>
        <w:t>：</w:t>
      </w:r>
      <w:r>
        <w:rPr>
          <w:rFonts w:ascii="宋体" w:hAnsi="宋体" w:cs="楷体_GB2312"/>
          <w:color w:val="auto"/>
          <w:sz w:val="24"/>
        </w:rPr>
        <w:t xml:space="preserve">   </w:t>
      </w:r>
      <w:r>
        <w:rPr>
          <w:rFonts w:hint="eastAsia" w:ascii="宋体" w:hAnsi="宋体" w:cs="楷体_GB2312"/>
          <w:color w:val="auto"/>
          <w:sz w:val="24"/>
          <w:lang w:val="zh-CN"/>
        </w:rPr>
        <w:t>年</w:t>
      </w:r>
      <w:r>
        <w:rPr>
          <w:rFonts w:ascii="宋体" w:hAnsi="宋体" w:cs="楷体_GB2312"/>
          <w:color w:val="auto"/>
          <w:sz w:val="24"/>
        </w:rPr>
        <w:t xml:space="preserve">   </w:t>
      </w:r>
      <w:r>
        <w:rPr>
          <w:rFonts w:hint="eastAsia" w:ascii="宋体" w:hAnsi="宋体" w:cs="楷体_GB2312"/>
          <w:color w:val="auto"/>
          <w:sz w:val="24"/>
          <w:lang w:val="zh-CN"/>
        </w:rPr>
        <w:t>月</w:t>
      </w:r>
      <w:r>
        <w:rPr>
          <w:rFonts w:ascii="宋体" w:hAnsi="宋体" w:cs="楷体_GB2312"/>
          <w:color w:val="auto"/>
          <w:sz w:val="24"/>
        </w:rPr>
        <w:t xml:space="preserve">   </w:t>
      </w:r>
      <w:r>
        <w:rPr>
          <w:rFonts w:hint="eastAsia" w:ascii="宋体" w:hAnsi="宋体" w:cs="楷体_GB2312"/>
          <w:color w:val="auto"/>
          <w:sz w:val="24"/>
          <w:lang w:val="zh-CN"/>
        </w:rPr>
        <w:t>日</w:t>
      </w:r>
    </w:p>
    <w:p w14:paraId="2C9583EC">
      <w:pPr>
        <w:tabs>
          <w:tab w:val="left" w:pos="540"/>
        </w:tabs>
        <w:spacing w:line="440" w:lineRule="exact"/>
        <w:jc w:val="center"/>
        <w:rPr>
          <w:rFonts w:ascii="宋体" w:cs="楷体_GB2312"/>
          <w:b/>
          <w:color w:val="auto"/>
          <w:sz w:val="30"/>
          <w:szCs w:val="30"/>
        </w:rPr>
      </w:pPr>
    </w:p>
    <w:p w14:paraId="7EF2C9D9">
      <w:pPr>
        <w:widowControl w:val="0"/>
        <w:snapToGrid w:val="0"/>
        <w:spacing w:line="560" w:lineRule="exact"/>
        <w:jc w:val="left"/>
        <w:textAlignment w:val="top"/>
        <w:rPr>
          <w:color w:val="auto"/>
        </w:rPr>
      </w:pPr>
      <w:r>
        <w:rPr>
          <w:color w:val="auto"/>
        </w:rPr>
        <w:br w:type="page"/>
      </w:r>
    </w:p>
    <w:p w14:paraId="43369739">
      <w:pPr>
        <w:widowControl w:val="0"/>
        <w:snapToGrid w:val="0"/>
        <w:spacing w:line="560" w:lineRule="exact"/>
        <w:jc w:val="center"/>
        <w:rPr>
          <w:rFonts w:hint="eastAsia" w:ascii="黑体" w:hAnsi="黑体" w:eastAsia="黑体"/>
          <w:b/>
          <w:color w:val="auto"/>
          <w:sz w:val="28"/>
          <w:szCs w:val="28"/>
        </w:rPr>
      </w:pPr>
      <w:r>
        <w:rPr>
          <w:rFonts w:hint="eastAsia" w:ascii="黑体" w:hAnsi="黑体" w:eastAsia="黑体"/>
          <w:b/>
          <w:color w:val="auto"/>
          <w:sz w:val="30"/>
          <w:szCs w:val="30"/>
        </w:rPr>
        <w:t>七、偏差表</w:t>
      </w:r>
    </w:p>
    <w:p w14:paraId="20543642">
      <w:pPr>
        <w:widowControl w:val="0"/>
        <w:snapToGrid w:val="0"/>
        <w:spacing w:line="276" w:lineRule="auto"/>
        <w:jc w:val="center"/>
        <w:rPr>
          <w:rFonts w:hint="eastAsia" w:ascii="Adobe 宋体 Std L" w:hAnsi="Adobe 宋体 Std L" w:eastAsia="Adobe 宋体 Std L"/>
          <w:b/>
          <w:color w:val="auto"/>
          <w:sz w:val="28"/>
          <w:szCs w:val="28"/>
        </w:rPr>
      </w:pPr>
    </w:p>
    <w:p w14:paraId="59B23F91">
      <w:pPr>
        <w:pStyle w:val="16"/>
        <w:adjustRightInd w:val="0"/>
        <w:snapToGrid w:val="0"/>
        <w:spacing w:before="0" w:beforeAutospacing="0" w:after="0" w:afterAutospacing="0"/>
        <w:rPr>
          <w:rFonts w:hint="eastAsia"/>
          <w:color w:val="auto"/>
          <w:u w:val="single"/>
        </w:rPr>
      </w:pPr>
      <w:r>
        <w:rPr>
          <w:rFonts w:hint="eastAsia"/>
          <w:color w:val="auto"/>
        </w:rPr>
        <w:t>项目名称：</w:t>
      </w:r>
      <w:r>
        <w:rPr>
          <w:color w:val="auto"/>
          <w:u w:val="single"/>
        </w:rPr>
        <w:t xml:space="preserve">           </w:t>
      </w:r>
    </w:p>
    <w:p w14:paraId="263D835B">
      <w:pPr>
        <w:pStyle w:val="16"/>
        <w:adjustRightInd w:val="0"/>
        <w:snapToGrid w:val="0"/>
        <w:spacing w:before="0" w:beforeAutospacing="0" w:after="0" w:afterAutospacing="0"/>
        <w:rPr>
          <w:rFonts w:hint="eastAsia"/>
          <w:color w:val="auto"/>
        </w:rPr>
      </w:pPr>
      <w:r>
        <w:rPr>
          <w:rFonts w:hint="eastAsia"/>
          <w:color w:val="auto"/>
        </w:rPr>
        <w:t>项目编号：</w:t>
      </w:r>
      <w:r>
        <w:rPr>
          <w:color w:val="auto"/>
          <w:u w:val="single"/>
        </w:rPr>
        <w:t xml:space="preserve">           </w:t>
      </w:r>
    </w:p>
    <w:tbl>
      <w:tblPr>
        <w:tblStyle w:val="19"/>
        <w:tblW w:w="93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37"/>
        <w:gridCol w:w="3098"/>
        <w:gridCol w:w="2947"/>
        <w:gridCol w:w="2638"/>
      </w:tblGrid>
      <w:tr w14:paraId="56DDD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2" w:hRule="atLeast"/>
        </w:trPr>
        <w:tc>
          <w:tcPr>
            <w:tcW w:w="637" w:type="dxa"/>
            <w:tcBorders>
              <w:top w:val="single" w:color="000000" w:sz="8" w:space="0"/>
              <w:left w:val="single" w:color="000000" w:sz="8" w:space="0"/>
              <w:bottom w:val="single" w:color="000000" w:sz="4" w:space="0"/>
              <w:right w:val="single" w:color="000000" w:sz="4" w:space="0"/>
            </w:tcBorders>
            <w:vAlign w:val="center"/>
          </w:tcPr>
          <w:p w14:paraId="20E50032">
            <w:pPr>
              <w:spacing w:line="560" w:lineRule="exact"/>
              <w:jc w:val="center"/>
              <w:rPr>
                <w:b/>
                <w:color w:val="auto"/>
                <w:sz w:val="28"/>
              </w:rPr>
            </w:pPr>
            <w:r>
              <w:rPr>
                <w:rFonts w:hint="eastAsia"/>
                <w:b/>
                <w:color w:val="auto"/>
              </w:rPr>
              <w:t>序号</w:t>
            </w:r>
          </w:p>
        </w:tc>
        <w:tc>
          <w:tcPr>
            <w:tcW w:w="3098" w:type="dxa"/>
            <w:tcBorders>
              <w:top w:val="single" w:color="000000" w:sz="8" w:space="0"/>
              <w:bottom w:val="single" w:color="000000" w:sz="4" w:space="0"/>
              <w:right w:val="single" w:color="000000" w:sz="4" w:space="0"/>
            </w:tcBorders>
            <w:vAlign w:val="center"/>
          </w:tcPr>
          <w:p w14:paraId="0C45323E">
            <w:pPr>
              <w:spacing w:line="560" w:lineRule="exact"/>
              <w:jc w:val="center"/>
              <w:rPr>
                <w:b/>
                <w:color w:val="auto"/>
                <w:sz w:val="28"/>
              </w:rPr>
            </w:pPr>
            <w:r>
              <w:rPr>
                <w:rFonts w:hint="eastAsia"/>
                <w:b/>
                <w:color w:val="auto"/>
              </w:rPr>
              <w:t>磋商文件要求</w:t>
            </w:r>
          </w:p>
        </w:tc>
        <w:tc>
          <w:tcPr>
            <w:tcW w:w="2947" w:type="dxa"/>
            <w:tcBorders>
              <w:top w:val="single" w:color="000000" w:sz="8" w:space="0"/>
              <w:bottom w:val="single" w:color="000000" w:sz="4" w:space="0"/>
              <w:right w:val="single" w:color="000000" w:sz="4" w:space="0"/>
            </w:tcBorders>
            <w:vAlign w:val="center"/>
          </w:tcPr>
          <w:p w14:paraId="55A53137">
            <w:pPr>
              <w:spacing w:line="560" w:lineRule="exact"/>
              <w:jc w:val="center"/>
              <w:rPr>
                <w:b/>
                <w:color w:val="auto"/>
                <w:sz w:val="28"/>
              </w:rPr>
            </w:pPr>
            <w:r>
              <w:rPr>
                <w:rFonts w:hint="eastAsia"/>
                <w:b/>
                <w:color w:val="auto"/>
              </w:rPr>
              <w:t>响应文件响应</w:t>
            </w:r>
          </w:p>
        </w:tc>
        <w:tc>
          <w:tcPr>
            <w:tcW w:w="2638" w:type="dxa"/>
            <w:tcBorders>
              <w:top w:val="single" w:color="000000" w:sz="8" w:space="0"/>
              <w:bottom w:val="single" w:color="000000" w:sz="4" w:space="0"/>
              <w:right w:val="single" w:color="000000" w:sz="8" w:space="0"/>
            </w:tcBorders>
            <w:vAlign w:val="center"/>
          </w:tcPr>
          <w:p w14:paraId="3D5DE9C4">
            <w:pPr>
              <w:spacing w:line="560" w:lineRule="exact"/>
              <w:jc w:val="center"/>
              <w:rPr>
                <w:b/>
                <w:color w:val="auto"/>
                <w:sz w:val="28"/>
              </w:rPr>
            </w:pPr>
            <w:r>
              <w:rPr>
                <w:rFonts w:hint="eastAsia"/>
                <w:b/>
                <w:color w:val="auto"/>
              </w:rPr>
              <w:t>偏差描述</w:t>
            </w:r>
          </w:p>
        </w:tc>
      </w:tr>
      <w:tr w14:paraId="685C8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trPr>
        <w:tc>
          <w:tcPr>
            <w:tcW w:w="637" w:type="dxa"/>
            <w:tcBorders>
              <w:left w:val="single" w:color="000000" w:sz="8" w:space="0"/>
              <w:bottom w:val="single" w:color="000000" w:sz="4" w:space="0"/>
              <w:right w:val="single" w:color="000000" w:sz="4" w:space="0"/>
            </w:tcBorders>
            <w:vAlign w:val="center"/>
          </w:tcPr>
          <w:p w14:paraId="17518C8B">
            <w:pPr>
              <w:spacing w:line="560" w:lineRule="exact"/>
              <w:jc w:val="center"/>
              <w:rPr>
                <w:color w:val="auto"/>
                <w:sz w:val="28"/>
              </w:rPr>
            </w:pPr>
            <w:r>
              <w:rPr>
                <w:color w:val="auto"/>
              </w:rPr>
              <w:t>1</w:t>
            </w:r>
          </w:p>
        </w:tc>
        <w:tc>
          <w:tcPr>
            <w:tcW w:w="3098" w:type="dxa"/>
            <w:tcBorders>
              <w:bottom w:val="single" w:color="000000" w:sz="4" w:space="0"/>
              <w:right w:val="single" w:color="000000" w:sz="4" w:space="0"/>
            </w:tcBorders>
            <w:vAlign w:val="center"/>
          </w:tcPr>
          <w:p w14:paraId="2E897116">
            <w:pPr>
              <w:spacing w:line="560" w:lineRule="exact"/>
              <w:jc w:val="center"/>
              <w:rPr>
                <w:color w:val="auto"/>
                <w:sz w:val="28"/>
              </w:rPr>
            </w:pPr>
          </w:p>
        </w:tc>
        <w:tc>
          <w:tcPr>
            <w:tcW w:w="2947" w:type="dxa"/>
            <w:tcBorders>
              <w:bottom w:val="single" w:color="000000" w:sz="4" w:space="0"/>
              <w:right w:val="single" w:color="000000" w:sz="4" w:space="0"/>
            </w:tcBorders>
            <w:vAlign w:val="center"/>
          </w:tcPr>
          <w:p w14:paraId="69C4227F">
            <w:pPr>
              <w:spacing w:line="560" w:lineRule="exact"/>
              <w:jc w:val="center"/>
              <w:rPr>
                <w:color w:val="auto"/>
                <w:sz w:val="28"/>
              </w:rPr>
            </w:pPr>
          </w:p>
        </w:tc>
        <w:tc>
          <w:tcPr>
            <w:tcW w:w="2638" w:type="dxa"/>
            <w:tcBorders>
              <w:bottom w:val="single" w:color="000000" w:sz="4" w:space="0"/>
              <w:right w:val="single" w:color="000000" w:sz="8" w:space="0"/>
            </w:tcBorders>
            <w:vAlign w:val="center"/>
          </w:tcPr>
          <w:p w14:paraId="246C433F">
            <w:pPr>
              <w:spacing w:line="560" w:lineRule="exact"/>
              <w:jc w:val="center"/>
              <w:rPr>
                <w:color w:val="auto"/>
                <w:sz w:val="28"/>
              </w:rPr>
            </w:pPr>
          </w:p>
        </w:tc>
      </w:tr>
      <w:tr w14:paraId="2EDEE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trPr>
        <w:tc>
          <w:tcPr>
            <w:tcW w:w="637" w:type="dxa"/>
            <w:tcBorders>
              <w:left w:val="single" w:color="000000" w:sz="8" w:space="0"/>
              <w:bottom w:val="single" w:color="000000" w:sz="4" w:space="0"/>
              <w:right w:val="single" w:color="000000" w:sz="4" w:space="0"/>
            </w:tcBorders>
            <w:vAlign w:val="center"/>
          </w:tcPr>
          <w:p w14:paraId="414B558F">
            <w:pPr>
              <w:spacing w:line="560" w:lineRule="exact"/>
              <w:jc w:val="center"/>
              <w:rPr>
                <w:color w:val="auto"/>
                <w:sz w:val="28"/>
              </w:rPr>
            </w:pPr>
            <w:r>
              <w:rPr>
                <w:color w:val="auto"/>
              </w:rPr>
              <w:t>2</w:t>
            </w:r>
          </w:p>
        </w:tc>
        <w:tc>
          <w:tcPr>
            <w:tcW w:w="3098" w:type="dxa"/>
            <w:tcBorders>
              <w:bottom w:val="single" w:color="000000" w:sz="4" w:space="0"/>
              <w:right w:val="single" w:color="000000" w:sz="4" w:space="0"/>
            </w:tcBorders>
            <w:vAlign w:val="center"/>
          </w:tcPr>
          <w:p w14:paraId="021E1B28">
            <w:pPr>
              <w:spacing w:line="560" w:lineRule="exact"/>
              <w:jc w:val="center"/>
              <w:rPr>
                <w:color w:val="auto"/>
                <w:sz w:val="28"/>
              </w:rPr>
            </w:pPr>
          </w:p>
        </w:tc>
        <w:tc>
          <w:tcPr>
            <w:tcW w:w="2947" w:type="dxa"/>
            <w:tcBorders>
              <w:bottom w:val="single" w:color="000000" w:sz="4" w:space="0"/>
              <w:right w:val="single" w:color="000000" w:sz="4" w:space="0"/>
            </w:tcBorders>
            <w:vAlign w:val="center"/>
          </w:tcPr>
          <w:p w14:paraId="58047697">
            <w:pPr>
              <w:spacing w:line="560" w:lineRule="exact"/>
              <w:jc w:val="center"/>
              <w:rPr>
                <w:color w:val="auto"/>
                <w:sz w:val="28"/>
              </w:rPr>
            </w:pPr>
          </w:p>
        </w:tc>
        <w:tc>
          <w:tcPr>
            <w:tcW w:w="2638" w:type="dxa"/>
            <w:tcBorders>
              <w:bottom w:val="single" w:color="000000" w:sz="4" w:space="0"/>
              <w:right w:val="single" w:color="000000" w:sz="8" w:space="0"/>
            </w:tcBorders>
            <w:vAlign w:val="center"/>
          </w:tcPr>
          <w:p w14:paraId="3E466D61">
            <w:pPr>
              <w:spacing w:line="560" w:lineRule="exact"/>
              <w:jc w:val="center"/>
              <w:rPr>
                <w:color w:val="auto"/>
                <w:sz w:val="28"/>
              </w:rPr>
            </w:pPr>
          </w:p>
        </w:tc>
      </w:tr>
      <w:tr w14:paraId="5A3DB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trPr>
        <w:tc>
          <w:tcPr>
            <w:tcW w:w="637" w:type="dxa"/>
            <w:tcBorders>
              <w:left w:val="single" w:color="000000" w:sz="8" w:space="0"/>
              <w:bottom w:val="single" w:color="000000" w:sz="4" w:space="0"/>
              <w:right w:val="single" w:color="000000" w:sz="4" w:space="0"/>
            </w:tcBorders>
            <w:vAlign w:val="center"/>
          </w:tcPr>
          <w:p w14:paraId="38B63CC1">
            <w:pPr>
              <w:spacing w:line="560" w:lineRule="exact"/>
              <w:jc w:val="center"/>
              <w:rPr>
                <w:color w:val="auto"/>
                <w:sz w:val="28"/>
              </w:rPr>
            </w:pPr>
            <w:r>
              <w:rPr>
                <w:color w:val="auto"/>
              </w:rPr>
              <w:t>3</w:t>
            </w:r>
          </w:p>
        </w:tc>
        <w:tc>
          <w:tcPr>
            <w:tcW w:w="3098" w:type="dxa"/>
            <w:tcBorders>
              <w:bottom w:val="single" w:color="000000" w:sz="4" w:space="0"/>
              <w:right w:val="single" w:color="000000" w:sz="4" w:space="0"/>
            </w:tcBorders>
            <w:vAlign w:val="center"/>
          </w:tcPr>
          <w:p w14:paraId="42457B79">
            <w:pPr>
              <w:spacing w:line="560" w:lineRule="exact"/>
              <w:jc w:val="center"/>
              <w:rPr>
                <w:color w:val="auto"/>
                <w:sz w:val="28"/>
              </w:rPr>
            </w:pPr>
          </w:p>
        </w:tc>
        <w:tc>
          <w:tcPr>
            <w:tcW w:w="2947" w:type="dxa"/>
            <w:tcBorders>
              <w:bottom w:val="single" w:color="000000" w:sz="4" w:space="0"/>
              <w:right w:val="single" w:color="000000" w:sz="4" w:space="0"/>
            </w:tcBorders>
            <w:vAlign w:val="center"/>
          </w:tcPr>
          <w:p w14:paraId="7E9EB61B">
            <w:pPr>
              <w:spacing w:line="560" w:lineRule="exact"/>
              <w:jc w:val="center"/>
              <w:rPr>
                <w:color w:val="auto"/>
                <w:sz w:val="28"/>
              </w:rPr>
            </w:pPr>
          </w:p>
        </w:tc>
        <w:tc>
          <w:tcPr>
            <w:tcW w:w="2638" w:type="dxa"/>
            <w:tcBorders>
              <w:bottom w:val="single" w:color="000000" w:sz="4" w:space="0"/>
              <w:right w:val="single" w:color="000000" w:sz="8" w:space="0"/>
            </w:tcBorders>
            <w:vAlign w:val="center"/>
          </w:tcPr>
          <w:p w14:paraId="29BD3241">
            <w:pPr>
              <w:spacing w:line="560" w:lineRule="exact"/>
              <w:jc w:val="center"/>
              <w:rPr>
                <w:color w:val="auto"/>
                <w:sz w:val="28"/>
              </w:rPr>
            </w:pPr>
          </w:p>
        </w:tc>
      </w:tr>
      <w:tr w14:paraId="544E6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trPr>
        <w:tc>
          <w:tcPr>
            <w:tcW w:w="637" w:type="dxa"/>
            <w:tcBorders>
              <w:left w:val="single" w:color="000000" w:sz="8" w:space="0"/>
              <w:bottom w:val="single" w:color="000000" w:sz="4" w:space="0"/>
              <w:right w:val="single" w:color="000000" w:sz="4" w:space="0"/>
            </w:tcBorders>
            <w:vAlign w:val="center"/>
          </w:tcPr>
          <w:p w14:paraId="0CE02014">
            <w:pPr>
              <w:spacing w:line="560" w:lineRule="exact"/>
              <w:jc w:val="center"/>
              <w:rPr>
                <w:color w:val="auto"/>
                <w:sz w:val="28"/>
              </w:rPr>
            </w:pPr>
            <w:r>
              <w:rPr>
                <w:color w:val="auto"/>
              </w:rPr>
              <w:t>4</w:t>
            </w:r>
          </w:p>
        </w:tc>
        <w:tc>
          <w:tcPr>
            <w:tcW w:w="3098" w:type="dxa"/>
            <w:tcBorders>
              <w:bottom w:val="single" w:color="000000" w:sz="4" w:space="0"/>
              <w:right w:val="single" w:color="000000" w:sz="4" w:space="0"/>
            </w:tcBorders>
            <w:vAlign w:val="center"/>
          </w:tcPr>
          <w:p w14:paraId="0D3B45DB">
            <w:pPr>
              <w:spacing w:line="560" w:lineRule="exact"/>
              <w:jc w:val="center"/>
              <w:rPr>
                <w:color w:val="auto"/>
                <w:sz w:val="28"/>
              </w:rPr>
            </w:pPr>
          </w:p>
        </w:tc>
        <w:tc>
          <w:tcPr>
            <w:tcW w:w="2947" w:type="dxa"/>
            <w:tcBorders>
              <w:bottom w:val="single" w:color="000000" w:sz="4" w:space="0"/>
              <w:right w:val="single" w:color="000000" w:sz="4" w:space="0"/>
            </w:tcBorders>
            <w:vAlign w:val="center"/>
          </w:tcPr>
          <w:p w14:paraId="35F3AAF1">
            <w:pPr>
              <w:spacing w:line="560" w:lineRule="exact"/>
              <w:jc w:val="center"/>
              <w:rPr>
                <w:color w:val="auto"/>
                <w:sz w:val="28"/>
              </w:rPr>
            </w:pPr>
          </w:p>
        </w:tc>
        <w:tc>
          <w:tcPr>
            <w:tcW w:w="2638" w:type="dxa"/>
            <w:tcBorders>
              <w:bottom w:val="single" w:color="000000" w:sz="4" w:space="0"/>
              <w:right w:val="single" w:color="000000" w:sz="8" w:space="0"/>
            </w:tcBorders>
            <w:vAlign w:val="center"/>
          </w:tcPr>
          <w:p w14:paraId="5FF1A4DC">
            <w:pPr>
              <w:spacing w:line="560" w:lineRule="exact"/>
              <w:jc w:val="center"/>
              <w:rPr>
                <w:color w:val="auto"/>
                <w:sz w:val="28"/>
              </w:rPr>
            </w:pPr>
          </w:p>
        </w:tc>
      </w:tr>
      <w:tr w14:paraId="35CDB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trPr>
        <w:tc>
          <w:tcPr>
            <w:tcW w:w="637" w:type="dxa"/>
            <w:tcBorders>
              <w:left w:val="single" w:color="000000" w:sz="8" w:space="0"/>
              <w:bottom w:val="single" w:color="000000" w:sz="4" w:space="0"/>
              <w:right w:val="single" w:color="000000" w:sz="4" w:space="0"/>
            </w:tcBorders>
            <w:vAlign w:val="center"/>
          </w:tcPr>
          <w:p w14:paraId="5EBC9A59">
            <w:pPr>
              <w:spacing w:line="560" w:lineRule="exact"/>
              <w:jc w:val="center"/>
              <w:rPr>
                <w:color w:val="auto"/>
                <w:sz w:val="28"/>
              </w:rPr>
            </w:pPr>
            <w:r>
              <w:rPr>
                <w:color w:val="auto"/>
              </w:rPr>
              <w:t>5</w:t>
            </w:r>
          </w:p>
        </w:tc>
        <w:tc>
          <w:tcPr>
            <w:tcW w:w="3098" w:type="dxa"/>
            <w:tcBorders>
              <w:bottom w:val="single" w:color="000000" w:sz="4" w:space="0"/>
              <w:right w:val="single" w:color="000000" w:sz="4" w:space="0"/>
            </w:tcBorders>
            <w:vAlign w:val="center"/>
          </w:tcPr>
          <w:p w14:paraId="047A2300">
            <w:pPr>
              <w:spacing w:line="560" w:lineRule="exact"/>
              <w:jc w:val="center"/>
              <w:rPr>
                <w:color w:val="auto"/>
                <w:sz w:val="28"/>
              </w:rPr>
            </w:pPr>
          </w:p>
        </w:tc>
        <w:tc>
          <w:tcPr>
            <w:tcW w:w="2947" w:type="dxa"/>
            <w:tcBorders>
              <w:bottom w:val="single" w:color="000000" w:sz="4" w:space="0"/>
              <w:right w:val="single" w:color="000000" w:sz="4" w:space="0"/>
            </w:tcBorders>
            <w:vAlign w:val="center"/>
          </w:tcPr>
          <w:p w14:paraId="5C9D623B">
            <w:pPr>
              <w:spacing w:line="560" w:lineRule="exact"/>
              <w:jc w:val="center"/>
              <w:rPr>
                <w:color w:val="auto"/>
                <w:sz w:val="28"/>
              </w:rPr>
            </w:pPr>
          </w:p>
        </w:tc>
        <w:tc>
          <w:tcPr>
            <w:tcW w:w="2638" w:type="dxa"/>
            <w:tcBorders>
              <w:bottom w:val="single" w:color="000000" w:sz="4" w:space="0"/>
              <w:right w:val="single" w:color="000000" w:sz="8" w:space="0"/>
            </w:tcBorders>
            <w:vAlign w:val="center"/>
          </w:tcPr>
          <w:p w14:paraId="1CCE6A38">
            <w:pPr>
              <w:spacing w:line="560" w:lineRule="exact"/>
              <w:jc w:val="center"/>
              <w:rPr>
                <w:color w:val="auto"/>
                <w:sz w:val="28"/>
              </w:rPr>
            </w:pPr>
          </w:p>
        </w:tc>
      </w:tr>
      <w:tr w14:paraId="0CF94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5" w:hRule="atLeast"/>
        </w:trPr>
        <w:tc>
          <w:tcPr>
            <w:tcW w:w="637" w:type="dxa"/>
            <w:tcBorders>
              <w:left w:val="single" w:color="000000" w:sz="8" w:space="0"/>
              <w:bottom w:val="single" w:color="000000" w:sz="4" w:space="0"/>
              <w:right w:val="single" w:color="000000" w:sz="4" w:space="0"/>
            </w:tcBorders>
            <w:vAlign w:val="center"/>
          </w:tcPr>
          <w:p w14:paraId="303329AE">
            <w:pPr>
              <w:spacing w:line="560" w:lineRule="exact"/>
              <w:jc w:val="center"/>
              <w:rPr>
                <w:color w:val="auto"/>
                <w:sz w:val="28"/>
              </w:rPr>
            </w:pPr>
            <w:r>
              <w:rPr>
                <w:color w:val="auto"/>
              </w:rPr>
              <w:t>6</w:t>
            </w:r>
          </w:p>
        </w:tc>
        <w:tc>
          <w:tcPr>
            <w:tcW w:w="3098" w:type="dxa"/>
            <w:tcBorders>
              <w:bottom w:val="single" w:color="000000" w:sz="4" w:space="0"/>
              <w:right w:val="single" w:color="000000" w:sz="4" w:space="0"/>
            </w:tcBorders>
            <w:vAlign w:val="center"/>
          </w:tcPr>
          <w:p w14:paraId="35D2C7B6">
            <w:pPr>
              <w:spacing w:line="560" w:lineRule="exact"/>
              <w:jc w:val="center"/>
              <w:rPr>
                <w:color w:val="auto"/>
                <w:sz w:val="28"/>
              </w:rPr>
            </w:pPr>
          </w:p>
        </w:tc>
        <w:tc>
          <w:tcPr>
            <w:tcW w:w="2947" w:type="dxa"/>
            <w:tcBorders>
              <w:bottom w:val="single" w:color="000000" w:sz="4" w:space="0"/>
              <w:right w:val="single" w:color="000000" w:sz="4" w:space="0"/>
            </w:tcBorders>
            <w:vAlign w:val="center"/>
          </w:tcPr>
          <w:p w14:paraId="7244603D">
            <w:pPr>
              <w:spacing w:line="560" w:lineRule="exact"/>
              <w:jc w:val="center"/>
              <w:rPr>
                <w:color w:val="auto"/>
                <w:sz w:val="28"/>
              </w:rPr>
            </w:pPr>
          </w:p>
        </w:tc>
        <w:tc>
          <w:tcPr>
            <w:tcW w:w="2638" w:type="dxa"/>
            <w:tcBorders>
              <w:bottom w:val="single" w:color="000000" w:sz="4" w:space="0"/>
              <w:right w:val="single" w:color="000000" w:sz="8" w:space="0"/>
            </w:tcBorders>
            <w:vAlign w:val="center"/>
          </w:tcPr>
          <w:p w14:paraId="442CFD2B">
            <w:pPr>
              <w:spacing w:line="560" w:lineRule="exact"/>
              <w:jc w:val="center"/>
              <w:rPr>
                <w:color w:val="auto"/>
                <w:sz w:val="28"/>
              </w:rPr>
            </w:pPr>
          </w:p>
        </w:tc>
      </w:tr>
      <w:tr w14:paraId="68B33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2" w:hRule="atLeast"/>
        </w:trPr>
        <w:tc>
          <w:tcPr>
            <w:tcW w:w="637" w:type="dxa"/>
            <w:tcBorders>
              <w:left w:val="single" w:color="000000" w:sz="8" w:space="0"/>
              <w:bottom w:val="single" w:color="000000" w:sz="4" w:space="0"/>
              <w:right w:val="single" w:color="000000" w:sz="4" w:space="0"/>
            </w:tcBorders>
            <w:vAlign w:val="center"/>
          </w:tcPr>
          <w:p w14:paraId="5163CD42">
            <w:pPr>
              <w:spacing w:line="560" w:lineRule="exact"/>
              <w:jc w:val="center"/>
              <w:rPr>
                <w:color w:val="auto"/>
                <w:sz w:val="28"/>
              </w:rPr>
            </w:pPr>
            <w:r>
              <w:rPr>
                <w:color w:val="auto"/>
              </w:rPr>
              <w:t>7</w:t>
            </w:r>
          </w:p>
        </w:tc>
        <w:tc>
          <w:tcPr>
            <w:tcW w:w="3098" w:type="dxa"/>
            <w:tcBorders>
              <w:bottom w:val="single" w:color="000000" w:sz="4" w:space="0"/>
              <w:right w:val="single" w:color="000000" w:sz="4" w:space="0"/>
            </w:tcBorders>
            <w:vAlign w:val="center"/>
          </w:tcPr>
          <w:p w14:paraId="7CC64FD7">
            <w:pPr>
              <w:spacing w:line="560" w:lineRule="exact"/>
              <w:jc w:val="center"/>
              <w:rPr>
                <w:color w:val="auto"/>
                <w:sz w:val="28"/>
              </w:rPr>
            </w:pPr>
          </w:p>
        </w:tc>
        <w:tc>
          <w:tcPr>
            <w:tcW w:w="2947" w:type="dxa"/>
            <w:tcBorders>
              <w:bottom w:val="single" w:color="000000" w:sz="4" w:space="0"/>
              <w:right w:val="single" w:color="000000" w:sz="4" w:space="0"/>
            </w:tcBorders>
            <w:vAlign w:val="center"/>
          </w:tcPr>
          <w:p w14:paraId="5EF1D667">
            <w:pPr>
              <w:spacing w:line="560" w:lineRule="exact"/>
              <w:jc w:val="center"/>
              <w:rPr>
                <w:color w:val="auto"/>
                <w:sz w:val="28"/>
              </w:rPr>
            </w:pPr>
          </w:p>
        </w:tc>
        <w:tc>
          <w:tcPr>
            <w:tcW w:w="2638" w:type="dxa"/>
            <w:tcBorders>
              <w:bottom w:val="single" w:color="000000" w:sz="4" w:space="0"/>
              <w:right w:val="single" w:color="000000" w:sz="8" w:space="0"/>
            </w:tcBorders>
            <w:vAlign w:val="center"/>
          </w:tcPr>
          <w:p w14:paraId="7EBB0B73">
            <w:pPr>
              <w:spacing w:line="560" w:lineRule="exact"/>
              <w:jc w:val="center"/>
              <w:rPr>
                <w:color w:val="auto"/>
                <w:sz w:val="28"/>
              </w:rPr>
            </w:pPr>
          </w:p>
        </w:tc>
      </w:tr>
      <w:tr w14:paraId="59121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2" w:hRule="atLeast"/>
        </w:trPr>
        <w:tc>
          <w:tcPr>
            <w:tcW w:w="637" w:type="dxa"/>
            <w:tcBorders>
              <w:left w:val="single" w:color="000000" w:sz="8" w:space="0"/>
              <w:bottom w:val="single" w:color="000000" w:sz="4" w:space="0"/>
              <w:right w:val="single" w:color="000000" w:sz="4" w:space="0"/>
            </w:tcBorders>
            <w:vAlign w:val="center"/>
          </w:tcPr>
          <w:p w14:paraId="3EAE23B9">
            <w:pPr>
              <w:spacing w:line="560" w:lineRule="exact"/>
              <w:jc w:val="center"/>
              <w:rPr>
                <w:color w:val="auto"/>
                <w:sz w:val="28"/>
              </w:rPr>
            </w:pPr>
            <w:r>
              <w:rPr>
                <w:color w:val="auto"/>
              </w:rPr>
              <w:t>8</w:t>
            </w:r>
          </w:p>
        </w:tc>
        <w:tc>
          <w:tcPr>
            <w:tcW w:w="3098" w:type="dxa"/>
            <w:tcBorders>
              <w:bottom w:val="single" w:color="000000" w:sz="4" w:space="0"/>
              <w:right w:val="single" w:color="000000" w:sz="4" w:space="0"/>
            </w:tcBorders>
            <w:vAlign w:val="center"/>
          </w:tcPr>
          <w:p w14:paraId="399D3AFC">
            <w:pPr>
              <w:spacing w:line="560" w:lineRule="exact"/>
              <w:jc w:val="center"/>
              <w:rPr>
                <w:color w:val="auto"/>
                <w:sz w:val="28"/>
              </w:rPr>
            </w:pPr>
          </w:p>
        </w:tc>
        <w:tc>
          <w:tcPr>
            <w:tcW w:w="2947" w:type="dxa"/>
            <w:tcBorders>
              <w:bottom w:val="single" w:color="000000" w:sz="4" w:space="0"/>
              <w:right w:val="single" w:color="000000" w:sz="4" w:space="0"/>
            </w:tcBorders>
            <w:vAlign w:val="center"/>
          </w:tcPr>
          <w:p w14:paraId="5FECBA06">
            <w:pPr>
              <w:spacing w:line="560" w:lineRule="exact"/>
              <w:jc w:val="center"/>
              <w:rPr>
                <w:color w:val="auto"/>
                <w:sz w:val="28"/>
              </w:rPr>
            </w:pPr>
          </w:p>
        </w:tc>
        <w:tc>
          <w:tcPr>
            <w:tcW w:w="2638" w:type="dxa"/>
            <w:tcBorders>
              <w:bottom w:val="single" w:color="000000" w:sz="4" w:space="0"/>
              <w:right w:val="single" w:color="000000" w:sz="8" w:space="0"/>
            </w:tcBorders>
            <w:vAlign w:val="center"/>
          </w:tcPr>
          <w:p w14:paraId="17A96846">
            <w:pPr>
              <w:spacing w:line="560" w:lineRule="exact"/>
              <w:jc w:val="center"/>
              <w:rPr>
                <w:color w:val="auto"/>
                <w:sz w:val="28"/>
              </w:rPr>
            </w:pPr>
          </w:p>
        </w:tc>
      </w:tr>
      <w:tr w14:paraId="71AC0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9" w:hRule="atLeast"/>
        </w:trPr>
        <w:tc>
          <w:tcPr>
            <w:tcW w:w="637" w:type="dxa"/>
            <w:tcBorders>
              <w:left w:val="single" w:color="000000" w:sz="8" w:space="0"/>
              <w:bottom w:val="single" w:color="000000" w:sz="4" w:space="0"/>
              <w:right w:val="single" w:color="000000" w:sz="4" w:space="0"/>
            </w:tcBorders>
            <w:vAlign w:val="center"/>
          </w:tcPr>
          <w:p w14:paraId="25BF7D54">
            <w:pPr>
              <w:spacing w:line="560" w:lineRule="exact"/>
              <w:jc w:val="center"/>
              <w:rPr>
                <w:color w:val="auto"/>
                <w:sz w:val="28"/>
              </w:rPr>
            </w:pPr>
            <w:r>
              <w:rPr>
                <w:color w:val="auto"/>
              </w:rPr>
              <w:t>9</w:t>
            </w:r>
          </w:p>
        </w:tc>
        <w:tc>
          <w:tcPr>
            <w:tcW w:w="3098" w:type="dxa"/>
            <w:tcBorders>
              <w:bottom w:val="single" w:color="000000" w:sz="4" w:space="0"/>
              <w:right w:val="single" w:color="000000" w:sz="4" w:space="0"/>
            </w:tcBorders>
            <w:vAlign w:val="center"/>
          </w:tcPr>
          <w:p w14:paraId="3E37C9EB">
            <w:pPr>
              <w:spacing w:line="560" w:lineRule="exact"/>
              <w:jc w:val="center"/>
              <w:rPr>
                <w:color w:val="auto"/>
                <w:sz w:val="28"/>
              </w:rPr>
            </w:pPr>
          </w:p>
        </w:tc>
        <w:tc>
          <w:tcPr>
            <w:tcW w:w="2947" w:type="dxa"/>
            <w:tcBorders>
              <w:bottom w:val="single" w:color="000000" w:sz="4" w:space="0"/>
              <w:right w:val="single" w:color="000000" w:sz="4" w:space="0"/>
            </w:tcBorders>
            <w:vAlign w:val="center"/>
          </w:tcPr>
          <w:p w14:paraId="7D4A245E">
            <w:pPr>
              <w:spacing w:line="560" w:lineRule="exact"/>
              <w:jc w:val="center"/>
              <w:rPr>
                <w:color w:val="auto"/>
                <w:sz w:val="28"/>
              </w:rPr>
            </w:pPr>
          </w:p>
        </w:tc>
        <w:tc>
          <w:tcPr>
            <w:tcW w:w="2638" w:type="dxa"/>
            <w:tcBorders>
              <w:bottom w:val="single" w:color="000000" w:sz="4" w:space="0"/>
              <w:right w:val="single" w:color="000000" w:sz="8" w:space="0"/>
            </w:tcBorders>
            <w:vAlign w:val="center"/>
          </w:tcPr>
          <w:p w14:paraId="20622ED9">
            <w:pPr>
              <w:spacing w:line="560" w:lineRule="exact"/>
              <w:jc w:val="center"/>
              <w:rPr>
                <w:color w:val="auto"/>
                <w:sz w:val="28"/>
              </w:rPr>
            </w:pPr>
          </w:p>
        </w:tc>
      </w:tr>
      <w:tr w14:paraId="66B98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5" w:hRule="atLeast"/>
        </w:trPr>
        <w:tc>
          <w:tcPr>
            <w:tcW w:w="637" w:type="dxa"/>
            <w:tcBorders>
              <w:left w:val="single" w:color="000000" w:sz="8" w:space="0"/>
              <w:bottom w:val="single" w:color="000000" w:sz="8" w:space="0"/>
              <w:right w:val="single" w:color="000000" w:sz="4" w:space="0"/>
            </w:tcBorders>
            <w:vAlign w:val="center"/>
          </w:tcPr>
          <w:p w14:paraId="6FD5F0D9">
            <w:pPr>
              <w:spacing w:line="560" w:lineRule="exact"/>
              <w:jc w:val="center"/>
              <w:rPr>
                <w:color w:val="auto"/>
                <w:sz w:val="28"/>
              </w:rPr>
            </w:pPr>
            <w:r>
              <w:rPr>
                <w:color w:val="auto"/>
              </w:rPr>
              <w:t>......</w:t>
            </w:r>
          </w:p>
        </w:tc>
        <w:tc>
          <w:tcPr>
            <w:tcW w:w="3098" w:type="dxa"/>
            <w:tcBorders>
              <w:bottom w:val="single" w:color="000000" w:sz="8" w:space="0"/>
              <w:right w:val="single" w:color="000000" w:sz="4" w:space="0"/>
            </w:tcBorders>
            <w:vAlign w:val="center"/>
          </w:tcPr>
          <w:p w14:paraId="7D859590">
            <w:pPr>
              <w:spacing w:line="560" w:lineRule="exact"/>
              <w:jc w:val="center"/>
              <w:rPr>
                <w:color w:val="auto"/>
                <w:sz w:val="28"/>
              </w:rPr>
            </w:pPr>
          </w:p>
        </w:tc>
        <w:tc>
          <w:tcPr>
            <w:tcW w:w="2947" w:type="dxa"/>
            <w:tcBorders>
              <w:bottom w:val="single" w:color="000000" w:sz="8" w:space="0"/>
              <w:right w:val="single" w:color="000000" w:sz="4" w:space="0"/>
            </w:tcBorders>
            <w:vAlign w:val="center"/>
          </w:tcPr>
          <w:p w14:paraId="08C7A256">
            <w:pPr>
              <w:spacing w:line="560" w:lineRule="exact"/>
              <w:jc w:val="center"/>
              <w:rPr>
                <w:color w:val="auto"/>
                <w:sz w:val="28"/>
              </w:rPr>
            </w:pPr>
          </w:p>
        </w:tc>
        <w:tc>
          <w:tcPr>
            <w:tcW w:w="2638" w:type="dxa"/>
            <w:tcBorders>
              <w:bottom w:val="single" w:color="000000" w:sz="8" w:space="0"/>
              <w:right w:val="single" w:color="000000" w:sz="8" w:space="0"/>
            </w:tcBorders>
            <w:vAlign w:val="center"/>
          </w:tcPr>
          <w:p w14:paraId="6DAB7BCE">
            <w:pPr>
              <w:spacing w:line="560" w:lineRule="exact"/>
              <w:jc w:val="center"/>
              <w:rPr>
                <w:color w:val="auto"/>
                <w:sz w:val="28"/>
              </w:rPr>
            </w:pPr>
          </w:p>
        </w:tc>
      </w:tr>
    </w:tbl>
    <w:p w14:paraId="75A51D4F">
      <w:pPr>
        <w:tabs>
          <w:tab w:val="left" w:pos="0"/>
        </w:tabs>
        <w:adjustRightInd w:val="0"/>
        <w:snapToGrid w:val="0"/>
        <w:spacing w:before="120" w:beforeLines="50" w:line="300" w:lineRule="auto"/>
        <w:ind w:right="25" w:firstLine="452" w:firstLineChars="200"/>
        <w:rPr>
          <w:rFonts w:ascii="宋体"/>
          <w:color w:val="auto"/>
          <w:spacing w:val="8"/>
          <w:szCs w:val="21"/>
        </w:rPr>
      </w:pPr>
      <w:r>
        <w:rPr>
          <w:rFonts w:hint="eastAsia" w:ascii="宋体" w:hAnsi="宋体"/>
          <w:color w:val="auto"/>
          <w:spacing w:val="8"/>
          <w:szCs w:val="21"/>
        </w:rPr>
        <w:t>注：</w:t>
      </w:r>
      <w:r>
        <w:rPr>
          <w:rFonts w:ascii="宋体" w:hAnsi="宋体"/>
          <w:color w:val="auto"/>
          <w:spacing w:val="8"/>
          <w:szCs w:val="21"/>
        </w:rPr>
        <w:t>1</w:t>
      </w:r>
      <w:r>
        <w:rPr>
          <w:rFonts w:hint="eastAsia" w:ascii="宋体" w:hAnsi="宋体"/>
          <w:color w:val="auto"/>
          <w:spacing w:val="8"/>
          <w:szCs w:val="21"/>
        </w:rPr>
        <w:t>、“偏差表”应详细注明与《磋商文件》中各项要求有何不同，并说明其符合性（优于、或低于《磋商文件》要求）。</w:t>
      </w:r>
    </w:p>
    <w:p w14:paraId="5A624CF2">
      <w:pPr>
        <w:tabs>
          <w:tab w:val="left" w:pos="0"/>
        </w:tabs>
        <w:adjustRightInd w:val="0"/>
        <w:snapToGrid w:val="0"/>
        <w:spacing w:before="120" w:beforeLines="50" w:line="300" w:lineRule="auto"/>
        <w:ind w:right="25" w:firstLine="452" w:firstLineChars="200"/>
        <w:rPr>
          <w:rFonts w:ascii="宋体"/>
          <w:color w:val="auto"/>
          <w:spacing w:val="8"/>
          <w:szCs w:val="21"/>
        </w:rPr>
      </w:pPr>
      <w:r>
        <w:rPr>
          <w:rFonts w:ascii="宋体" w:hAnsi="宋体"/>
          <w:color w:val="auto"/>
          <w:spacing w:val="8"/>
          <w:szCs w:val="21"/>
        </w:rPr>
        <w:t>2</w:t>
      </w:r>
      <w:r>
        <w:rPr>
          <w:rFonts w:hint="eastAsia" w:ascii="宋体" w:hAnsi="宋体"/>
          <w:color w:val="auto"/>
          <w:spacing w:val="8"/>
          <w:szCs w:val="21"/>
        </w:rPr>
        <w:t>、如投标条款与《磋商文件》要求一致，仍需在本表填列“与《磋商文件》所有条款要求一致，无偏差”等相似表述。</w:t>
      </w:r>
    </w:p>
    <w:p w14:paraId="082EB376">
      <w:pPr>
        <w:tabs>
          <w:tab w:val="left" w:pos="540"/>
        </w:tabs>
        <w:spacing w:line="440" w:lineRule="exact"/>
        <w:jc w:val="center"/>
        <w:rPr>
          <w:color w:val="auto"/>
          <w:sz w:val="28"/>
        </w:rPr>
      </w:pPr>
    </w:p>
    <w:p w14:paraId="02A77DA7">
      <w:pPr>
        <w:tabs>
          <w:tab w:val="left" w:pos="540"/>
        </w:tabs>
        <w:spacing w:line="440" w:lineRule="exact"/>
        <w:jc w:val="center"/>
        <w:rPr>
          <w:color w:val="auto"/>
          <w:sz w:val="28"/>
        </w:rPr>
      </w:pPr>
    </w:p>
    <w:p w14:paraId="6E8C2397">
      <w:pPr>
        <w:tabs>
          <w:tab w:val="left" w:pos="0"/>
        </w:tabs>
        <w:spacing w:line="480" w:lineRule="auto"/>
        <w:ind w:right="512"/>
        <w:rPr>
          <w:rFonts w:ascii="宋体"/>
          <w:color w:val="auto"/>
          <w:spacing w:val="8"/>
          <w:sz w:val="24"/>
        </w:rPr>
      </w:pPr>
      <w:r>
        <w:rPr>
          <w:rFonts w:hint="eastAsia" w:ascii="宋体" w:hAnsi="宋体"/>
          <w:color w:val="auto"/>
          <w:sz w:val="24"/>
        </w:rPr>
        <w:t>供应商</w:t>
      </w:r>
      <w:r>
        <w:rPr>
          <w:rFonts w:hint="eastAsia"/>
          <w:color w:val="auto"/>
          <w:sz w:val="24"/>
          <w:szCs w:val="24"/>
        </w:rPr>
        <w:t>（电子签</w:t>
      </w:r>
      <w:r>
        <w:rPr>
          <w:rFonts w:hint="eastAsia" w:ascii="宋体" w:hAnsi="宋体"/>
          <w:color w:val="auto"/>
          <w:sz w:val="24"/>
          <w:szCs w:val="24"/>
        </w:rPr>
        <w:t>章</w:t>
      </w:r>
      <w:r>
        <w:rPr>
          <w:rFonts w:hint="eastAsia"/>
          <w:color w:val="auto"/>
          <w:sz w:val="24"/>
          <w:szCs w:val="24"/>
        </w:rPr>
        <w:t>）</w:t>
      </w:r>
      <w:r>
        <w:rPr>
          <w:rFonts w:hint="eastAsia" w:ascii="宋体" w:hAnsi="宋体"/>
          <w:color w:val="auto"/>
          <w:spacing w:val="8"/>
          <w:sz w:val="24"/>
        </w:rPr>
        <w:t>：</w:t>
      </w:r>
    </w:p>
    <w:p w14:paraId="113E5358">
      <w:pPr>
        <w:tabs>
          <w:tab w:val="left" w:pos="0"/>
        </w:tabs>
        <w:spacing w:line="480" w:lineRule="auto"/>
        <w:ind w:right="768"/>
        <w:jc w:val="left"/>
        <w:rPr>
          <w:rFonts w:ascii="宋体"/>
          <w:color w:val="auto"/>
          <w:spacing w:val="8"/>
          <w:sz w:val="24"/>
        </w:rPr>
      </w:pPr>
      <w:r>
        <w:rPr>
          <w:rFonts w:hint="eastAsia" w:ascii="宋体" w:hAnsi="宋体"/>
          <w:color w:val="auto"/>
          <w:spacing w:val="8"/>
          <w:sz w:val="24"/>
        </w:rPr>
        <w:t>法定代表人（电子签名或签章）：</w:t>
      </w:r>
    </w:p>
    <w:p w14:paraId="1F100859">
      <w:pPr>
        <w:autoSpaceDE w:val="0"/>
        <w:autoSpaceDN w:val="0"/>
        <w:adjustRightInd w:val="0"/>
        <w:spacing w:line="480" w:lineRule="auto"/>
        <w:rPr>
          <w:rFonts w:ascii="宋体"/>
          <w:color w:val="auto"/>
          <w:sz w:val="24"/>
        </w:rPr>
      </w:pPr>
      <w:r>
        <w:rPr>
          <w:rFonts w:hint="eastAsia" w:ascii="宋体" w:hAnsi="宋体"/>
          <w:color w:val="auto"/>
          <w:spacing w:val="8"/>
          <w:sz w:val="24"/>
        </w:rPr>
        <w:t>日期</w:t>
      </w:r>
      <w:r>
        <w:rPr>
          <w:rFonts w:ascii="宋体" w:hAnsi="宋体"/>
          <w:color w:val="auto"/>
          <w:spacing w:val="8"/>
          <w:sz w:val="24"/>
        </w:rPr>
        <w:t xml:space="preserve"> </w:t>
      </w:r>
      <w:r>
        <w:rPr>
          <w:rFonts w:hint="eastAsia" w:ascii="宋体" w:hAnsi="宋体"/>
          <w:color w:val="auto"/>
          <w:spacing w:val="8"/>
          <w:sz w:val="24"/>
        </w:rPr>
        <w:t>：</w:t>
      </w:r>
      <w:r>
        <w:rPr>
          <w:rFonts w:ascii="宋体" w:hAnsi="宋体" w:cs="楷体_GB2312"/>
          <w:color w:val="auto"/>
          <w:sz w:val="24"/>
          <w:lang w:val="zh-CN"/>
        </w:rPr>
        <w:t xml:space="preserve">   </w:t>
      </w:r>
      <w:r>
        <w:rPr>
          <w:rFonts w:hint="eastAsia" w:ascii="宋体" w:hAnsi="宋体" w:cs="楷体_GB2312"/>
          <w:color w:val="auto"/>
          <w:sz w:val="24"/>
          <w:lang w:val="zh-CN"/>
        </w:rPr>
        <w:t>年</w:t>
      </w:r>
      <w:r>
        <w:rPr>
          <w:rFonts w:ascii="宋体" w:hAnsi="宋体" w:cs="楷体_GB2312"/>
          <w:color w:val="auto"/>
          <w:sz w:val="24"/>
          <w:lang w:val="zh-CN"/>
        </w:rPr>
        <w:t xml:space="preserve">   </w:t>
      </w:r>
      <w:r>
        <w:rPr>
          <w:rFonts w:hint="eastAsia" w:ascii="宋体" w:hAnsi="宋体" w:cs="楷体_GB2312"/>
          <w:color w:val="auto"/>
          <w:sz w:val="24"/>
          <w:lang w:val="zh-CN"/>
        </w:rPr>
        <w:t>月</w:t>
      </w:r>
      <w:r>
        <w:rPr>
          <w:rFonts w:ascii="宋体" w:hAnsi="宋体" w:cs="楷体_GB2312"/>
          <w:color w:val="auto"/>
          <w:sz w:val="24"/>
          <w:lang w:val="zh-CN"/>
        </w:rPr>
        <w:t xml:space="preserve">   </w:t>
      </w:r>
      <w:r>
        <w:rPr>
          <w:rFonts w:hint="eastAsia" w:ascii="宋体" w:hAnsi="宋体" w:cs="楷体_GB2312"/>
          <w:color w:val="auto"/>
          <w:sz w:val="24"/>
          <w:lang w:val="zh-CN"/>
        </w:rPr>
        <w:t>日</w:t>
      </w:r>
    </w:p>
    <w:p w14:paraId="451D0CB5">
      <w:pPr>
        <w:tabs>
          <w:tab w:val="left" w:pos="540"/>
        </w:tabs>
        <w:spacing w:line="440" w:lineRule="exact"/>
        <w:jc w:val="center"/>
        <w:rPr>
          <w:color w:val="auto"/>
          <w:sz w:val="28"/>
        </w:rPr>
      </w:pPr>
      <w:r>
        <w:rPr>
          <w:color w:val="auto"/>
          <w:sz w:val="28"/>
        </w:rPr>
        <w:br w:type="page"/>
      </w:r>
      <w:bookmarkStart w:id="53" w:name="OLE_LINK28"/>
    </w:p>
    <w:p w14:paraId="067D5572">
      <w:pPr>
        <w:tabs>
          <w:tab w:val="left" w:pos="540"/>
        </w:tabs>
        <w:spacing w:line="440" w:lineRule="exact"/>
        <w:jc w:val="center"/>
        <w:rPr>
          <w:rFonts w:hint="eastAsia" w:ascii="黑体" w:hAnsi="黑体" w:eastAsia="黑体"/>
          <w:b/>
          <w:color w:val="auto"/>
          <w:sz w:val="30"/>
          <w:szCs w:val="30"/>
        </w:rPr>
      </w:pPr>
      <w:r>
        <w:rPr>
          <w:rFonts w:hint="eastAsia" w:ascii="黑体" w:hAnsi="黑体" w:eastAsia="黑体"/>
          <w:b/>
          <w:color w:val="auto"/>
          <w:sz w:val="30"/>
          <w:szCs w:val="30"/>
        </w:rPr>
        <w:t>八、关于资格的声明函</w:t>
      </w:r>
      <w:bookmarkEnd w:id="53"/>
    </w:p>
    <w:p w14:paraId="1143BA27">
      <w:pPr>
        <w:snapToGrid w:val="0"/>
        <w:spacing w:line="560" w:lineRule="exact"/>
        <w:ind w:firstLine="839"/>
        <w:rPr>
          <w:color w:val="auto"/>
        </w:rPr>
      </w:pPr>
    </w:p>
    <w:p w14:paraId="6E49256F">
      <w:pPr>
        <w:snapToGrid w:val="0"/>
        <w:spacing w:line="560" w:lineRule="exact"/>
        <w:rPr>
          <w:rFonts w:ascii="宋体"/>
          <w:color w:val="auto"/>
          <w:sz w:val="24"/>
        </w:rPr>
      </w:pPr>
      <w:r>
        <w:rPr>
          <w:rFonts w:hint="eastAsia" w:ascii="宋体" w:hAnsi="宋体"/>
          <w:color w:val="auto"/>
          <w:sz w:val="24"/>
        </w:rPr>
        <w:t>安阳市方正招标采购服务有限责任公司：</w:t>
      </w:r>
    </w:p>
    <w:p w14:paraId="072E072B">
      <w:pPr>
        <w:snapToGrid w:val="0"/>
        <w:spacing w:line="560" w:lineRule="exact"/>
        <w:ind w:firstLine="555"/>
        <w:rPr>
          <w:rFonts w:ascii="宋体"/>
          <w:color w:val="auto"/>
          <w:sz w:val="24"/>
        </w:rPr>
      </w:pPr>
      <w:r>
        <w:rPr>
          <w:rFonts w:hint="eastAsia" w:ascii="宋体" w:hAnsi="宋体"/>
          <w:color w:val="auto"/>
          <w:sz w:val="24"/>
        </w:rPr>
        <w:t>关于贵方项目编号为</w:t>
      </w:r>
      <w:r>
        <w:rPr>
          <w:rFonts w:ascii="宋体" w:hAnsi="宋体"/>
          <w:color w:val="auto"/>
          <w:sz w:val="24"/>
          <w:u w:val="single"/>
        </w:rPr>
        <w:t xml:space="preserve">          </w:t>
      </w:r>
      <w:r>
        <w:rPr>
          <w:rFonts w:hint="eastAsia" w:ascii="宋体" w:hAnsi="宋体"/>
          <w:color w:val="auto"/>
          <w:sz w:val="24"/>
        </w:rPr>
        <w:t>的投标邀请，本签字人愿意参加投标，提供《磋商文件》中规定的产品及服务，并声明提交下列文件是准确的、真实的和有效的。</w:t>
      </w:r>
    </w:p>
    <w:p w14:paraId="0BD5A935">
      <w:pPr>
        <w:numPr>
          <w:ilvl w:val="0"/>
          <w:numId w:val="6"/>
        </w:numPr>
        <w:snapToGrid w:val="0"/>
        <w:spacing w:line="560" w:lineRule="exact"/>
        <w:ind w:firstLine="555"/>
        <w:rPr>
          <w:rFonts w:hint="eastAsia" w:ascii="宋体" w:hAnsi="宋体"/>
          <w:color w:val="auto"/>
          <w:sz w:val="24"/>
        </w:rPr>
      </w:pPr>
      <w:r>
        <w:rPr>
          <w:rFonts w:hint="eastAsia" w:ascii="宋体" w:hAnsi="宋体"/>
          <w:color w:val="auto"/>
          <w:sz w:val="24"/>
        </w:rPr>
        <w:t>《磋商文件》第一章“竞争性磋商公告”第二条所要求的资格性证明文件（证件或证明资料或承诺）</w:t>
      </w:r>
    </w:p>
    <w:p w14:paraId="1EC90CA7">
      <w:pPr>
        <w:snapToGrid w:val="0"/>
        <w:spacing w:line="560" w:lineRule="exact"/>
        <w:ind w:firstLine="555"/>
        <w:rPr>
          <w:rFonts w:ascii="宋体"/>
          <w:color w:val="auto"/>
          <w:sz w:val="24"/>
        </w:rPr>
      </w:pPr>
      <w:r>
        <w:rPr>
          <w:rFonts w:hint="eastAsia" w:ascii="宋体" w:hAnsi="宋体"/>
          <w:color w:val="auto"/>
          <w:sz w:val="24"/>
        </w:rPr>
        <w:t>2</w:t>
      </w:r>
      <w:r>
        <w:rPr>
          <w:rFonts w:ascii="宋体" w:hAnsi="宋体"/>
          <w:color w:val="auto"/>
          <w:sz w:val="24"/>
        </w:rPr>
        <w:t xml:space="preserve">. </w:t>
      </w:r>
      <w:r>
        <w:rPr>
          <w:rFonts w:hint="eastAsia" w:ascii="宋体" w:hAnsi="宋体"/>
          <w:color w:val="auto"/>
          <w:sz w:val="24"/>
        </w:rPr>
        <w:t>采购项目中必须的其他证件。</w:t>
      </w:r>
    </w:p>
    <w:p w14:paraId="21F73790">
      <w:pPr>
        <w:snapToGrid w:val="0"/>
        <w:spacing w:line="560" w:lineRule="exact"/>
        <w:ind w:firstLine="555"/>
        <w:rPr>
          <w:rFonts w:ascii="宋体"/>
          <w:color w:val="auto"/>
          <w:sz w:val="24"/>
        </w:rPr>
      </w:pPr>
      <w:r>
        <w:rPr>
          <w:rFonts w:hint="eastAsia" w:ascii="宋体" w:hAnsi="宋体"/>
          <w:color w:val="auto"/>
          <w:sz w:val="24"/>
        </w:rPr>
        <w:t>3</w:t>
      </w:r>
      <w:r>
        <w:rPr>
          <w:rFonts w:ascii="宋体" w:hAnsi="宋体"/>
          <w:color w:val="auto"/>
          <w:sz w:val="24"/>
        </w:rPr>
        <w:t xml:space="preserve">. </w:t>
      </w:r>
      <w:r>
        <w:rPr>
          <w:rFonts w:hint="eastAsia" w:ascii="宋体" w:hAnsi="宋体"/>
          <w:color w:val="auto"/>
          <w:sz w:val="24"/>
        </w:rPr>
        <w:t>本签字人确认资格文件中的说明是真实的、准确的。</w:t>
      </w:r>
    </w:p>
    <w:p w14:paraId="241B6170">
      <w:pPr>
        <w:snapToGrid w:val="0"/>
        <w:spacing w:line="560" w:lineRule="exact"/>
        <w:ind w:firstLine="555"/>
        <w:rPr>
          <w:rFonts w:ascii="宋体"/>
          <w:color w:val="auto"/>
          <w:sz w:val="24"/>
        </w:rPr>
      </w:pPr>
    </w:p>
    <w:p w14:paraId="4975BC29">
      <w:pPr>
        <w:widowControl w:val="0"/>
        <w:tabs>
          <w:tab w:val="left" w:pos="9365"/>
        </w:tabs>
        <w:snapToGrid w:val="0"/>
        <w:spacing w:after="56" w:line="560" w:lineRule="exact"/>
        <w:ind w:right="85"/>
        <w:jc w:val="left"/>
        <w:textAlignment w:val="top"/>
        <w:rPr>
          <w:color w:val="auto"/>
          <w:sz w:val="24"/>
          <w:szCs w:val="24"/>
        </w:rPr>
      </w:pPr>
      <w:r>
        <w:rPr>
          <w:rFonts w:hint="eastAsia" w:ascii="宋体" w:hAnsi="宋体"/>
          <w:color w:val="auto"/>
          <w:sz w:val="24"/>
        </w:rPr>
        <w:t>供应商</w:t>
      </w:r>
      <w:r>
        <w:rPr>
          <w:rFonts w:hint="eastAsia"/>
          <w:color w:val="auto"/>
          <w:sz w:val="24"/>
          <w:szCs w:val="24"/>
        </w:rPr>
        <w:t>（电子签</w:t>
      </w:r>
      <w:r>
        <w:rPr>
          <w:rFonts w:hint="eastAsia" w:ascii="宋体" w:hAnsi="宋体"/>
          <w:color w:val="auto"/>
          <w:sz w:val="24"/>
          <w:szCs w:val="24"/>
        </w:rPr>
        <w:t>章</w:t>
      </w:r>
      <w:r>
        <w:rPr>
          <w:rFonts w:hint="eastAsia"/>
          <w:color w:val="auto"/>
          <w:sz w:val="24"/>
          <w:szCs w:val="24"/>
        </w:rPr>
        <w:t>）：</w:t>
      </w:r>
    </w:p>
    <w:p w14:paraId="44C04CC2">
      <w:pPr>
        <w:widowControl w:val="0"/>
        <w:tabs>
          <w:tab w:val="left" w:pos="9365"/>
        </w:tabs>
        <w:snapToGrid w:val="0"/>
        <w:spacing w:after="56" w:line="560" w:lineRule="exact"/>
        <w:ind w:right="85"/>
        <w:jc w:val="left"/>
        <w:textAlignment w:val="top"/>
        <w:rPr>
          <w:color w:val="auto"/>
          <w:sz w:val="24"/>
          <w:szCs w:val="24"/>
        </w:rPr>
      </w:pPr>
      <w:r>
        <w:rPr>
          <w:rFonts w:hint="eastAsia"/>
          <w:color w:val="auto"/>
          <w:sz w:val="24"/>
          <w:szCs w:val="24"/>
        </w:rPr>
        <w:t>法定代表人（电子签名或签章）：</w:t>
      </w:r>
    </w:p>
    <w:p w14:paraId="204D7C7B">
      <w:pPr>
        <w:widowControl w:val="0"/>
        <w:tabs>
          <w:tab w:val="left" w:pos="9365"/>
        </w:tabs>
        <w:snapToGrid w:val="0"/>
        <w:spacing w:after="56" w:line="560" w:lineRule="exact"/>
        <w:ind w:right="85"/>
        <w:jc w:val="left"/>
        <w:textAlignment w:val="top"/>
        <w:rPr>
          <w:rFonts w:hint="eastAsia" w:ascii="宋体" w:hAnsi="宋体" w:cs="楷体_GB2312"/>
          <w:color w:val="auto"/>
          <w:sz w:val="24"/>
          <w:lang w:val="zh-CN"/>
        </w:rPr>
      </w:pPr>
      <w:r>
        <w:rPr>
          <w:rFonts w:hint="eastAsia" w:ascii="宋体" w:hAnsi="宋体"/>
          <w:color w:val="auto"/>
          <w:spacing w:val="8"/>
          <w:sz w:val="24"/>
        </w:rPr>
        <w:t>日期</w:t>
      </w:r>
      <w:r>
        <w:rPr>
          <w:rFonts w:ascii="宋体" w:hAnsi="宋体"/>
          <w:color w:val="auto"/>
          <w:spacing w:val="8"/>
          <w:sz w:val="24"/>
        </w:rPr>
        <w:t xml:space="preserve"> </w:t>
      </w:r>
      <w:r>
        <w:rPr>
          <w:rFonts w:hint="eastAsia" w:ascii="宋体" w:hAnsi="宋体"/>
          <w:color w:val="auto"/>
          <w:spacing w:val="8"/>
          <w:sz w:val="24"/>
        </w:rPr>
        <w:t>：</w:t>
      </w:r>
      <w:r>
        <w:rPr>
          <w:rFonts w:ascii="宋体" w:hAnsi="宋体" w:cs="楷体_GB2312"/>
          <w:color w:val="auto"/>
          <w:sz w:val="24"/>
          <w:lang w:val="zh-CN"/>
        </w:rPr>
        <w:t xml:space="preserve">   </w:t>
      </w:r>
      <w:r>
        <w:rPr>
          <w:rFonts w:hint="eastAsia" w:ascii="宋体" w:hAnsi="宋体" w:cs="楷体_GB2312"/>
          <w:color w:val="auto"/>
          <w:sz w:val="24"/>
          <w:lang w:val="zh-CN"/>
        </w:rPr>
        <w:t>年</w:t>
      </w:r>
      <w:r>
        <w:rPr>
          <w:rFonts w:ascii="宋体" w:hAnsi="宋体" w:cs="楷体_GB2312"/>
          <w:color w:val="auto"/>
          <w:sz w:val="24"/>
          <w:lang w:val="zh-CN"/>
        </w:rPr>
        <w:t xml:space="preserve">   </w:t>
      </w:r>
      <w:r>
        <w:rPr>
          <w:rFonts w:hint="eastAsia" w:ascii="宋体" w:hAnsi="宋体" w:cs="楷体_GB2312"/>
          <w:color w:val="auto"/>
          <w:sz w:val="24"/>
          <w:lang w:val="zh-CN"/>
        </w:rPr>
        <w:t>月</w:t>
      </w:r>
      <w:r>
        <w:rPr>
          <w:rFonts w:ascii="宋体" w:hAnsi="宋体" w:cs="楷体_GB2312"/>
          <w:color w:val="auto"/>
          <w:sz w:val="24"/>
          <w:lang w:val="zh-CN"/>
        </w:rPr>
        <w:t xml:space="preserve">   </w:t>
      </w:r>
      <w:r>
        <w:rPr>
          <w:rFonts w:hint="eastAsia" w:ascii="宋体" w:hAnsi="宋体" w:cs="楷体_GB2312"/>
          <w:color w:val="auto"/>
          <w:sz w:val="24"/>
          <w:lang w:val="zh-CN"/>
        </w:rPr>
        <w:t>日</w:t>
      </w:r>
    </w:p>
    <w:p w14:paraId="57AD3188">
      <w:pPr>
        <w:snapToGrid w:val="0"/>
        <w:spacing w:line="560" w:lineRule="exact"/>
        <w:rPr>
          <w:rFonts w:ascii="宋体"/>
          <w:color w:val="auto"/>
          <w:sz w:val="24"/>
        </w:rPr>
      </w:pPr>
    </w:p>
    <w:p w14:paraId="2A5206C0">
      <w:pPr>
        <w:snapToGrid w:val="0"/>
        <w:spacing w:line="560" w:lineRule="exact"/>
        <w:ind w:firstLine="555"/>
        <w:rPr>
          <w:rFonts w:hint="eastAsia" w:ascii="宋体" w:hAnsi="宋体"/>
          <w:color w:val="auto"/>
          <w:sz w:val="24"/>
        </w:rPr>
      </w:pPr>
    </w:p>
    <w:p w14:paraId="27D9AD26">
      <w:pPr>
        <w:widowControl w:val="0"/>
        <w:tabs>
          <w:tab w:val="left" w:pos="9365"/>
        </w:tabs>
        <w:snapToGrid w:val="0"/>
        <w:spacing w:after="56" w:line="560" w:lineRule="exact"/>
        <w:ind w:right="85"/>
        <w:jc w:val="center"/>
        <w:textAlignment w:val="top"/>
        <w:rPr>
          <w:rFonts w:hint="eastAsia" w:ascii="宋体" w:hAnsi="宋体"/>
          <w:color w:val="auto"/>
          <w:sz w:val="24"/>
        </w:rPr>
      </w:pPr>
      <w:r>
        <w:rPr>
          <w:rFonts w:ascii="宋体" w:hAnsi="宋体"/>
          <w:color w:val="auto"/>
          <w:sz w:val="24"/>
        </w:rPr>
        <w:t xml:space="preserve">   </w:t>
      </w:r>
    </w:p>
    <w:p w14:paraId="64D44386">
      <w:pPr>
        <w:widowControl w:val="0"/>
        <w:tabs>
          <w:tab w:val="left" w:pos="9365"/>
        </w:tabs>
        <w:snapToGrid w:val="0"/>
        <w:spacing w:after="56" w:line="560" w:lineRule="exact"/>
        <w:ind w:right="85"/>
        <w:jc w:val="center"/>
        <w:textAlignment w:val="top"/>
        <w:rPr>
          <w:rFonts w:hint="eastAsia" w:ascii="宋体" w:hAnsi="宋体"/>
          <w:color w:val="auto"/>
          <w:sz w:val="24"/>
        </w:rPr>
      </w:pPr>
    </w:p>
    <w:p w14:paraId="3E2F58C7">
      <w:pPr>
        <w:widowControl w:val="0"/>
        <w:tabs>
          <w:tab w:val="left" w:pos="9365"/>
        </w:tabs>
        <w:snapToGrid w:val="0"/>
        <w:spacing w:after="56" w:line="560" w:lineRule="exact"/>
        <w:ind w:right="85"/>
        <w:jc w:val="center"/>
        <w:textAlignment w:val="top"/>
        <w:rPr>
          <w:rFonts w:hint="eastAsia" w:ascii="宋体" w:hAnsi="宋体"/>
          <w:color w:val="auto"/>
          <w:sz w:val="24"/>
        </w:rPr>
      </w:pPr>
    </w:p>
    <w:p w14:paraId="396D8FC1">
      <w:pPr>
        <w:widowControl w:val="0"/>
        <w:tabs>
          <w:tab w:val="left" w:pos="9365"/>
        </w:tabs>
        <w:snapToGrid w:val="0"/>
        <w:spacing w:after="56" w:line="560" w:lineRule="exact"/>
        <w:ind w:right="85"/>
        <w:jc w:val="center"/>
        <w:textAlignment w:val="top"/>
        <w:rPr>
          <w:rFonts w:hint="eastAsia" w:ascii="宋体" w:hAnsi="宋体"/>
          <w:color w:val="auto"/>
          <w:sz w:val="24"/>
        </w:rPr>
      </w:pPr>
    </w:p>
    <w:p w14:paraId="3B30A133">
      <w:pPr>
        <w:widowControl w:val="0"/>
        <w:tabs>
          <w:tab w:val="left" w:pos="9365"/>
        </w:tabs>
        <w:snapToGrid w:val="0"/>
        <w:spacing w:after="56" w:line="560" w:lineRule="exact"/>
        <w:ind w:right="85"/>
        <w:jc w:val="center"/>
        <w:textAlignment w:val="top"/>
        <w:rPr>
          <w:rFonts w:hint="eastAsia" w:ascii="宋体" w:hAnsi="宋体"/>
          <w:color w:val="auto"/>
          <w:sz w:val="24"/>
        </w:rPr>
      </w:pPr>
    </w:p>
    <w:p w14:paraId="53A5034F">
      <w:pPr>
        <w:widowControl w:val="0"/>
        <w:tabs>
          <w:tab w:val="left" w:pos="9365"/>
        </w:tabs>
        <w:snapToGrid w:val="0"/>
        <w:spacing w:after="56" w:line="560" w:lineRule="exact"/>
        <w:ind w:right="85"/>
        <w:jc w:val="center"/>
        <w:textAlignment w:val="top"/>
        <w:rPr>
          <w:rFonts w:hint="eastAsia" w:ascii="宋体" w:hAnsi="宋体"/>
          <w:color w:val="auto"/>
          <w:sz w:val="24"/>
        </w:rPr>
      </w:pPr>
    </w:p>
    <w:p w14:paraId="7C7CC91C">
      <w:pPr>
        <w:widowControl w:val="0"/>
        <w:tabs>
          <w:tab w:val="left" w:pos="9365"/>
        </w:tabs>
        <w:snapToGrid w:val="0"/>
        <w:spacing w:after="56" w:line="560" w:lineRule="exact"/>
        <w:ind w:right="85"/>
        <w:jc w:val="center"/>
        <w:textAlignment w:val="top"/>
        <w:rPr>
          <w:rFonts w:hint="eastAsia" w:ascii="宋体" w:hAnsi="宋体"/>
          <w:color w:val="auto"/>
          <w:sz w:val="24"/>
        </w:rPr>
      </w:pPr>
    </w:p>
    <w:p w14:paraId="5A3C2816">
      <w:pPr>
        <w:widowControl w:val="0"/>
        <w:tabs>
          <w:tab w:val="left" w:pos="9365"/>
        </w:tabs>
        <w:snapToGrid w:val="0"/>
        <w:spacing w:after="56" w:line="560" w:lineRule="exact"/>
        <w:ind w:right="85"/>
        <w:jc w:val="center"/>
        <w:textAlignment w:val="top"/>
        <w:rPr>
          <w:rFonts w:hint="eastAsia" w:ascii="宋体" w:hAnsi="宋体"/>
          <w:color w:val="auto"/>
          <w:sz w:val="24"/>
        </w:rPr>
      </w:pPr>
    </w:p>
    <w:p w14:paraId="50DACA01">
      <w:pPr>
        <w:widowControl w:val="0"/>
        <w:tabs>
          <w:tab w:val="left" w:pos="9365"/>
        </w:tabs>
        <w:snapToGrid w:val="0"/>
        <w:spacing w:after="56" w:line="560" w:lineRule="exact"/>
        <w:ind w:right="85"/>
        <w:jc w:val="center"/>
        <w:textAlignment w:val="top"/>
        <w:rPr>
          <w:rFonts w:hint="eastAsia" w:ascii="宋体" w:hAnsi="宋体"/>
          <w:color w:val="auto"/>
          <w:sz w:val="24"/>
        </w:rPr>
      </w:pPr>
    </w:p>
    <w:p w14:paraId="7484656C">
      <w:pPr>
        <w:tabs>
          <w:tab w:val="left" w:pos="540"/>
        </w:tabs>
        <w:spacing w:line="440" w:lineRule="exact"/>
        <w:rPr>
          <w:rFonts w:ascii="宋体"/>
          <w:color w:val="auto"/>
          <w:sz w:val="24"/>
        </w:rPr>
      </w:pPr>
    </w:p>
    <w:p w14:paraId="1633D101">
      <w:pPr>
        <w:tabs>
          <w:tab w:val="left" w:pos="540"/>
        </w:tabs>
        <w:spacing w:line="440" w:lineRule="exact"/>
        <w:jc w:val="center"/>
        <w:rPr>
          <w:rFonts w:hint="eastAsia" w:ascii="黑体" w:hAnsi="黑体" w:eastAsia="黑体"/>
          <w:b/>
          <w:color w:val="auto"/>
          <w:sz w:val="30"/>
          <w:szCs w:val="30"/>
        </w:rPr>
      </w:pPr>
      <w:r>
        <w:rPr>
          <w:rFonts w:hint="eastAsia" w:ascii="黑体" w:hAnsi="黑体" w:eastAsia="黑体"/>
          <w:b/>
          <w:color w:val="auto"/>
          <w:sz w:val="30"/>
          <w:szCs w:val="30"/>
        </w:rPr>
        <w:t>九、反商业贿赂承诺书</w:t>
      </w:r>
    </w:p>
    <w:p w14:paraId="5CE5D513">
      <w:pPr>
        <w:rPr>
          <w:b/>
          <w:color w:val="auto"/>
          <w:sz w:val="48"/>
          <w:szCs w:val="48"/>
        </w:rPr>
      </w:pPr>
    </w:p>
    <w:p w14:paraId="782C1F34">
      <w:pPr>
        <w:snapToGrid w:val="0"/>
        <w:spacing w:line="560" w:lineRule="atLeast"/>
        <w:ind w:right="56" w:firstLine="555"/>
        <w:rPr>
          <w:color w:val="auto"/>
          <w:sz w:val="24"/>
        </w:rPr>
      </w:pPr>
      <w:r>
        <w:rPr>
          <w:rFonts w:hint="eastAsia"/>
          <w:color w:val="auto"/>
          <w:sz w:val="24"/>
        </w:rPr>
        <w:t>我公司承诺：</w:t>
      </w:r>
    </w:p>
    <w:p w14:paraId="4FB5FDE8">
      <w:pPr>
        <w:snapToGrid w:val="0"/>
        <w:spacing w:line="560" w:lineRule="atLeast"/>
        <w:ind w:right="56" w:firstLine="555"/>
        <w:rPr>
          <w:color w:val="auto"/>
          <w:sz w:val="24"/>
        </w:rPr>
      </w:pPr>
      <w:r>
        <w:rPr>
          <w:rFonts w:hint="eastAsia"/>
          <w:color w:val="auto"/>
          <w:sz w:val="24"/>
        </w:rPr>
        <w:t>在采购活动中，我公司保证做到：</w:t>
      </w:r>
    </w:p>
    <w:p w14:paraId="13DA9C67">
      <w:pPr>
        <w:snapToGrid w:val="0"/>
        <w:spacing w:line="560" w:lineRule="atLeast"/>
        <w:ind w:right="56" w:firstLine="555"/>
        <w:rPr>
          <w:color w:val="auto"/>
          <w:sz w:val="24"/>
        </w:rPr>
      </w:pPr>
      <w:r>
        <w:rPr>
          <w:rFonts w:hint="eastAsia"/>
          <w:color w:val="auto"/>
          <w:sz w:val="24"/>
        </w:rPr>
        <w:t>一、公平竞争参加本次采购活动。</w:t>
      </w:r>
    </w:p>
    <w:p w14:paraId="44AEDD34">
      <w:pPr>
        <w:snapToGrid w:val="0"/>
        <w:spacing w:line="560" w:lineRule="atLeast"/>
        <w:ind w:right="56" w:firstLine="555"/>
        <w:rPr>
          <w:color w:val="auto"/>
          <w:sz w:val="24"/>
        </w:rPr>
      </w:pPr>
      <w:r>
        <w:rPr>
          <w:rFonts w:hint="eastAsia"/>
          <w:color w:val="auto"/>
          <w:sz w:val="24"/>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0369002B">
      <w:pPr>
        <w:snapToGrid w:val="0"/>
        <w:spacing w:line="560" w:lineRule="atLeast"/>
        <w:ind w:right="56" w:firstLine="555"/>
        <w:rPr>
          <w:color w:val="auto"/>
          <w:sz w:val="24"/>
        </w:rPr>
      </w:pPr>
      <w:r>
        <w:rPr>
          <w:rFonts w:hint="eastAsia"/>
          <w:color w:val="auto"/>
          <w:sz w:val="24"/>
        </w:rPr>
        <w:t>三、若出现上述行为，我公司及其参与投标的工作人员愿意接受按照国家法律法规等有关规定给予的处罚。</w:t>
      </w:r>
    </w:p>
    <w:p w14:paraId="6E3810CA">
      <w:pPr>
        <w:snapToGrid w:val="0"/>
        <w:spacing w:line="560" w:lineRule="atLeast"/>
        <w:ind w:right="56" w:firstLine="555"/>
        <w:rPr>
          <w:color w:val="auto"/>
          <w:sz w:val="24"/>
        </w:rPr>
      </w:pPr>
    </w:p>
    <w:p w14:paraId="77E904CC">
      <w:pPr>
        <w:snapToGrid w:val="0"/>
        <w:spacing w:line="560" w:lineRule="atLeast"/>
        <w:ind w:right="56" w:firstLine="555"/>
        <w:rPr>
          <w:color w:val="auto"/>
          <w:sz w:val="24"/>
        </w:rPr>
      </w:pPr>
    </w:p>
    <w:p w14:paraId="416A0A35">
      <w:pPr>
        <w:tabs>
          <w:tab w:val="left" w:pos="0"/>
        </w:tabs>
        <w:spacing w:line="480" w:lineRule="auto"/>
        <w:ind w:right="512"/>
        <w:rPr>
          <w:rFonts w:ascii="宋体"/>
          <w:color w:val="auto"/>
          <w:spacing w:val="8"/>
          <w:sz w:val="24"/>
        </w:rPr>
      </w:pPr>
      <w:r>
        <w:rPr>
          <w:rFonts w:hint="eastAsia" w:ascii="宋体" w:hAnsi="宋体"/>
          <w:color w:val="auto"/>
          <w:sz w:val="24"/>
        </w:rPr>
        <w:t>供应商</w:t>
      </w:r>
      <w:r>
        <w:rPr>
          <w:rFonts w:hint="eastAsia"/>
          <w:color w:val="auto"/>
          <w:sz w:val="24"/>
          <w:szCs w:val="24"/>
        </w:rPr>
        <w:t>（电子签</w:t>
      </w:r>
      <w:r>
        <w:rPr>
          <w:rFonts w:hint="eastAsia" w:ascii="宋体" w:hAnsi="宋体"/>
          <w:color w:val="auto"/>
          <w:sz w:val="24"/>
          <w:szCs w:val="24"/>
        </w:rPr>
        <w:t>章</w:t>
      </w:r>
      <w:r>
        <w:rPr>
          <w:rFonts w:hint="eastAsia"/>
          <w:color w:val="auto"/>
          <w:sz w:val="24"/>
          <w:szCs w:val="24"/>
        </w:rPr>
        <w:t>）</w:t>
      </w:r>
      <w:r>
        <w:rPr>
          <w:rFonts w:hint="eastAsia" w:ascii="宋体" w:hAnsi="宋体"/>
          <w:color w:val="auto"/>
          <w:spacing w:val="8"/>
          <w:sz w:val="24"/>
        </w:rPr>
        <w:t>：</w:t>
      </w:r>
    </w:p>
    <w:p w14:paraId="1C167616">
      <w:pPr>
        <w:tabs>
          <w:tab w:val="left" w:pos="0"/>
        </w:tabs>
        <w:spacing w:line="480" w:lineRule="auto"/>
        <w:ind w:right="768"/>
        <w:jc w:val="left"/>
        <w:rPr>
          <w:rFonts w:ascii="宋体"/>
          <w:color w:val="auto"/>
          <w:spacing w:val="8"/>
          <w:sz w:val="24"/>
        </w:rPr>
      </w:pPr>
      <w:r>
        <w:rPr>
          <w:rFonts w:hint="eastAsia" w:ascii="宋体" w:hAnsi="宋体"/>
          <w:color w:val="auto"/>
          <w:spacing w:val="8"/>
          <w:sz w:val="24"/>
        </w:rPr>
        <w:t>法定代表人（电子签名或签章）：</w:t>
      </w:r>
    </w:p>
    <w:p w14:paraId="24BCF3E0">
      <w:pPr>
        <w:autoSpaceDE w:val="0"/>
        <w:autoSpaceDN w:val="0"/>
        <w:adjustRightInd w:val="0"/>
        <w:spacing w:line="480" w:lineRule="auto"/>
        <w:rPr>
          <w:rFonts w:ascii="宋体"/>
          <w:color w:val="auto"/>
          <w:sz w:val="24"/>
        </w:rPr>
      </w:pPr>
      <w:r>
        <w:rPr>
          <w:rFonts w:hint="eastAsia" w:ascii="宋体" w:hAnsi="宋体"/>
          <w:color w:val="auto"/>
          <w:spacing w:val="8"/>
          <w:sz w:val="24"/>
        </w:rPr>
        <w:t>日期</w:t>
      </w:r>
      <w:r>
        <w:rPr>
          <w:rFonts w:ascii="宋体" w:hAnsi="宋体"/>
          <w:color w:val="auto"/>
          <w:spacing w:val="8"/>
          <w:sz w:val="24"/>
        </w:rPr>
        <w:t xml:space="preserve"> </w:t>
      </w:r>
      <w:r>
        <w:rPr>
          <w:rFonts w:hint="eastAsia" w:ascii="宋体" w:hAnsi="宋体"/>
          <w:color w:val="auto"/>
          <w:spacing w:val="8"/>
          <w:sz w:val="24"/>
        </w:rPr>
        <w:t>：</w:t>
      </w:r>
      <w:r>
        <w:rPr>
          <w:rFonts w:ascii="宋体" w:hAnsi="宋体" w:cs="楷体_GB2312"/>
          <w:color w:val="auto"/>
          <w:sz w:val="24"/>
          <w:lang w:val="zh-CN"/>
        </w:rPr>
        <w:t xml:space="preserve">   </w:t>
      </w:r>
      <w:r>
        <w:rPr>
          <w:rFonts w:hint="eastAsia" w:ascii="宋体" w:hAnsi="宋体" w:cs="楷体_GB2312"/>
          <w:color w:val="auto"/>
          <w:sz w:val="24"/>
          <w:lang w:val="zh-CN"/>
        </w:rPr>
        <w:t>年</w:t>
      </w:r>
      <w:r>
        <w:rPr>
          <w:rFonts w:ascii="宋体" w:hAnsi="宋体" w:cs="楷体_GB2312"/>
          <w:color w:val="auto"/>
          <w:sz w:val="24"/>
          <w:lang w:val="zh-CN"/>
        </w:rPr>
        <w:t xml:space="preserve">   </w:t>
      </w:r>
      <w:r>
        <w:rPr>
          <w:rFonts w:hint="eastAsia" w:ascii="宋体" w:hAnsi="宋体" w:cs="楷体_GB2312"/>
          <w:color w:val="auto"/>
          <w:sz w:val="24"/>
          <w:lang w:val="zh-CN"/>
        </w:rPr>
        <w:t>月</w:t>
      </w:r>
      <w:r>
        <w:rPr>
          <w:rFonts w:ascii="宋体" w:hAnsi="宋体" w:cs="楷体_GB2312"/>
          <w:color w:val="auto"/>
          <w:sz w:val="24"/>
          <w:lang w:val="zh-CN"/>
        </w:rPr>
        <w:t xml:space="preserve">   </w:t>
      </w:r>
      <w:r>
        <w:rPr>
          <w:rFonts w:hint="eastAsia" w:ascii="宋体" w:hAnsi="宋体" w:cs="楷体_GB2312"/>
          <w:color w:val="auto"/>
          <w:sz w:val="24"/>
          <w:lang w:val="zh-CN"/>
        </w:rPr>
        <w:t>日</w:t>
      </w:r>
    </w:p>
    <w:p w14:paraId="7FE48F98">
      <w:pPr>
        <w:tabs>
          <w:tab w:val="left" w:pos="540"/>
        </w:tabs>
        <w:spacing w:line="440" w:lineRule="exact"/>
        <w:jc w:val="center"/>
        <w:rPr>
          <w:color w:val="auto"/>
        </w:rPr>
      </w:pPr>
      <w:r>
        <w:rPr>
          <w:color w:val="auto"/>
        </w:rPr>
        <w:br w:type="page"/>
      </w:r>
    </w:p>
    <w:p w14:paraId="7E65B566">
      <w:pPr>
        <w:tabs>
          <w:tab w:val="left" w:pos="540"/>
        </w:tabs>
        <w:spacing w:line="440" w:lineRule="exact"/>
        <w:jc w:val="center"/>
        <w:rPr>
          <w:rFonts w:hint="eastAsia" w:ascii="黑体" w:hAnsi="黑体" w:eastAsia="黑体"/>
          <w:b/>
          <w:color w:val="auto"/>
          <w:sz w:val="30"/>
          <w:szCs w:val="30"/>
        </w:rPr>
      </w:pPr>
      <w:r>
        <w:rPr>
          <w:rFonts w:hint="eastAsia" w:ascii="黑体" w:hAnsi="黑体" w:eastAsia="黑体"/>
          <w:b/>
          <w:color w:val="auto"/>
          <w:sz w:val="30"/>
          <w:szCs w:val="30"/>
        </w:rPr>
        <w:t>十、</w:t>
      </w:r>
      <w:bookmarkStart w:id="54" w:name="OLE_LINK19"/>
      <w:r>
        <w:rPr>
          <w:rFonts w:hint="eastAsia" w:ascii="黑体" w:hAnsi="黑体" w:eastAsia="黑体"/>
          <w:b/>
          <w:color w:val="auto"/>
          <w:sz w:val="30"/>
          <w:szCs w:val="30"/>
        </w:rPr>
        <w:t>履约承诺书</w:t>
      </w:r>
      <w:bookmarkEnd w:id="54"/>
    </w:p>
    <w:p w14:paraId="1EECFB93">
      <w:pPr>
        <w:adjustRightInd w:val="0"/>
        <w:snapToGrid w:val="0"/>
        <w:spacing w:before="120" w:beforeLines="50" w:line="300" w:lineRule="auto"/>
        <w:ind w:right="56" w:firstLine="555"/>
        <w:rPr>
          <w:color w:val="auto"/>
          <w:sz w:val="24"/>
        </w:rPr>
      </w:pPr>
      <w:r>
        <w:rPr>
          <w:rFonts w:hint="eastAsia"/>
          <w:color w:val="auto"/>
          <w:sz w:val="24"/>
        </w:rPr>
        <w:t>一、我单位承诺：</w:t>
      </w:r>
    </w:p>
    <w:p w14:paraId="047BF113">
      <w:pPr>
        <w:adjustRightInd w:val="0"/>
        <w:snapToGrid w:val="0"/>
        <w:spacing w:before="120" w:beforeLines="50" w:line="300" w:lineRule="auto"/>
        <w:ind w:firstLine="555"/>
        <w:rPr>
          <w:color w:val="auto"/>
          <w:sz w:val="24"/>
        </w:rPr>
      </w:pPr>
      <w:r>
        <w:rPr>
          <w:rFonts w:hint="eastAsia"/>
          <w:color w:val="auto"/>
          <w:sz w:val="24"/>
        </w:rPr>
        <w:t>（一）我单位已详细阅读并完全理解、同意《磋商文件》的全部内容，包括修改补充文件以及全部参考资料和有关附件；除我单位在《磋商文件》规定期间内书面提出的疑问外，我单位放弃对这方面不明及误解的权力，并严格按采购人确定的技术及商务要求等履行。</w:t>
      </w:r>
    </w:p>
    <w:p w14:paraId="21DC21FF">
      <w:pPr>
        <w:tabs>
          <w:tab w:val="left" w:pos="9354"/>
        </w:tabs>
        <w:adjustRightInd w:val="0"/>
        <w:snapToGrid w:val="0"/>
        <w:spacing w:before="120" w:beforeLines="50" w:line="300" w:lineRule="auto"/>
        <w:ind w:firstLine="480" w:firstLineChars="200"/>
        <w:rPr>
          <w:color w:val="auto"/>
          <w:sz w:val="24"/>
        </w:rPr>
      </w:pPr>
      <w:r>
        <w:rPr>
          <w:rFonts w:hint="eastAsia"/>
          <w:color w:val="auto"/>
          <w:sz w:val="24"/>
        </w:rPr>
        <w:t>（二）我单位《响应文件》开启前已详细勘察现场，并按采购人现场条件及采购要求编制磋商报价；我单位的磋商报价括《磋商文件》所述报价组成的所有内容、并包括《磋商文件》未列明而与采购项目相关的、必须的所有款项及费用等达到交付使用及验收条件的所有一切风险、责任和义务的费用。</w:t>
      </w:r>
    </w:p>
    <w:p w14:paraId="1511010A">
      <w:pPr>
        <w:tabs>
          <w:tab w:val="left" w:pos="9354"/>
        </w:tabs>
        <w:adjustRightInd w:val="0"/>
        <w:snapToGrid w:val="0"/>
        <w:spacing w:before="120" w:beforeLines="50" w:line="300" w:lineRule="auto"/>
        <w:ind w:firstLine="480" w:firstLineChars="200"/>
        <w:rPr>
          <w:color w:val="auto"/>
          <w:sz w:val="24"/>
        </w:rPr>
      </w:pPr>
      <w:r>
        <w:rPr>
          <w:rFonts w:hint="eastAsia"/>
          <w:color w:val="auto"/>
          <w:sz w:val="24"/>
        </w:rPr>
        <w:t>我单位保证按《磋商文件》要求及投标承诺的质量诚信履约。</w:t>
      </w:r>
    </w:p>
    <w:p w14:paraId="4861A876">
      <w:pPr>
        <w:tabs>
          <w:tab w:val="left" w:pos="9354"/>
        </w:tabs>
        <w:adjustRightInd w:val="0"/>
        <w:snapToGrid w:val="0"/>
        <w:spacing w:before="120" w:beforeLines="50" w:line="300" w:lineRule="auto"/>
        <w:ind w:firstLine="480" w:firstLineChars="200"/>
        <w:rPr>
          <w:color w:val="auto"/>
          <w:sz w:val="24"/>
        </w:rPr>
      </w:pPr>
      <w:r>
        <w:rPr>
          <w:rFonts w:hint="eastAsia"/>
          <w:color w:val="auto"/>
          <w:sz w:val="24"/>
        </w:rPr>
        <w:t>（三）我单位保证在《磋商文件》要求的时间内按期、保质完成中标项目。我单位在推荐中标结果公示后，将积极、主动的与采购人联系合同签订事宜，合同签订中如有任何的问题，我单位保证及时书面反映情况，否则视为我单位责任、按违约处理。</w:t>
      </w:r>
    </w:p>
    <w:p w14:paraId="658889D0">
      <w:pPr>
        <w:tabs>
          <w:tab w:val="left" w:pos="9354"/>
        </w:tabs>
        <w:adjustRightInd w:val="0"/>
        <w:snapToGrid w:val="0"/>
        <w:spacing w:before="120" w:beforeLines="50" w:line="300" w:lineRule="auto"/>
        <w:ind w:firstLine="480" w:firstLineChars="200"/>
        <w:rPr>
          <w:color w:val="auto"/>
          <w:sz w:val="24"/>
        </w:rPr>
      </w:pPr>
      <w:r>
        <w:rPr>
          <w:rFonts w:hint="eastAsia"/>
          <w:color w:val="auto"/>
          <w:sz w:val="24"/>
        </w:rPr>
        <w:t>二、我单位承诺：</w:t>
      </w:r>
    </w:p>
    <w:p w14:paraId="421BCD53">
      <w:pPr>
        <w:tabs>
          <w:tab w:val="left" w:pos="9354"/>
        </w:tabs>
        <w:adjustRightInd w:val="0"/>
        <w:snapToGrid w:val="0"/>
        <w:spacing w:before="120" w:beforeLines="50" w:line="300" w:lineRule="auto"/>
        <w:ind w:firstLine="480" w:firstLineChars="200"/>
        <w:rPr>
          <w:color w:val="auto"/>
          <w:sz w:val="24"/>
        </w:rPr>
      </w:pPr>
      <w:r>
        <w:rPr>
          <w:rFonts w:hint="eastAsia"/>
          <w:color w:val="auto"/>
          <w:sz w:val="24"/>
        </w:rPr>
        <w:t>除法律规定的不可抗力因素外，我单位中标后以任何理由（包括违背上述承诺的事项）提出不能满足《磋商文件》技术、工期等要求或不能实现投标承诺的或提出变更的，我单位将无条件接受违约处理、并放弃我单位中标资格。我单位知悉违约责任及其处理，并无条件接受：</w:t>
      </w:r>
      <w:r>
        <w:rPr>
          <w:rFonts w:hint="eastAsia"/>
          <w:color w:val="auto"/>
          <w:sz w:val="24"/>
          <w:szCs w:val="24"/>
        </w:rPr>
        <w:t>依据磋商文件“第三章3.5.5 违背承诺的责任追究措施”，供应商承担相应法律责任及违约责任</w:t>
      </w:r>
      <w:r>
        <w:rPr>
          <w:rFonts w:hint="eastAsia"/>
          <w:color w:val="auto"/>
          <w:sz w:val="24"/>
        </w:rPr>
        <w:t>；情节严重的，由财政部门列入不良行为记录名单，在一至三年内禁止参加政府采购活动，并予以通报，处以罚金，给采购人及他人造成损失的，承担相应的赔偿责任。</w:t>
      </w:r>
    </w:p>
    <w:p w14:paraId="3FA0BE0C">
      <w:pPr>
        <w:tabs>
          <w:tab w:val="left" w:pos="9354"/>
        </w:tabs>
        <w:adjustRightInd w:val="0"/>
        <w:snapToGrid w:val="0"/>
        <w:spacing w:before="120" w:beforeLines="50" w:line="300" w:lineRule="auto"/>
        <w:ind w:firstLine="480" w:firstLineChars="200"/>
        <w:rPr>
          <w:color w:val="auto"/>
          <w:sz w:val="24"/>
        </w:rPr>
      </w:pPr>
    </w:p>
    <w:p w14:paraId="14A7A47C">
      <w:pPr>
        <w:tabs>
          <w:tab w:val="left" w:pos="9354"/>
        </w:tabs>
        <w:adjustRightInd w:val="0"/>
        <w:snapToGrid w:val="0"/>
        <w:spacing w:before="120" w:beforeLines="50" w:line="300" w:lineRule="auto"/>
        <w:ind w:firstLine="480" w:firstLineChars="200"/>
        <w:rPr>
          <w:color w:val="auto"/>
          <w:sz w:val="24"/>
        </w:rPr>
      </w:pPr>
    </w:p>
    <w:p w14:paraId="7E5DDF84">
      <w:pPr>
        <w:tabs>
          <w:tab w:val="left" w:pos="0"/>
        </w:tabs>
        <w:spacing w:line="500" w:lineRule="exact"/>
        <w:ind w:right="512"/>
        <w:rPr>
          <w:rFonts w:ascii="宋体"/>
          <w:color w:val="auto"/>
          <w:spacing w:val="8"/>
          <w:sz w:val="24"/>
        </w:rPr>
      </w:pPr>
      <w:r>
        <w:rPr>
          <w:rFonts w:hint="eastAsia" w:ascii="宋体" w:hAnsi="宋体"/>
          <w:color w:val="auto"/>
          <w:sz w:val="24"/>
        </w:rPr>
        <w:t>供应商</w:t>
      </w:r>
      <w:r>
        <w:rPr>
          <w:rFonts w:hint="eastAsia"/>
          <w:color w:val="auto"/>
          <w:sz w:val="24"/>
          <w:szCs w:val="24"/>
        </w:rPr>
        <w:t>（电子签</w:t>
      </w:r>
      <w:r>
        <w:rPr>
          <w:rFonts w:hint="eastAsia" w:ascii="宋体" w:hAnsi="宋体"/>
          <w:color w:val="auto"/>
          <w:sz w:val="24"/>
          <w:szCs w:val="24"/>
        </w:rPr>
        <w:t>章</w:t>
      </w:r>
      <w:r>
        <w:rPr>
          <w:rFonts w:hint="eastAsia"/>
          <w:color w:val="auto"/>
          <w:sz w:val="24"/>
          <w:szCs w:val="24"/>
        </w:rPr>
        <w:t>）</w:t>
      </w:r>
      <w:r>
        <w:rPr>
          <w:rFonts w:hint="eastAsia" w:ascii="宋体" w:hAnsi="宋体"/>
          <w:color w:val="auto"/>
          <w:spacing w:val="8"/>
          <w:sz w:val="24"/>
        </w:rPr>
        <w:t>：</w:t>
      </w:r>
    </w:p>
    <w:p w14:paraId="7254CD2D">
      <w:pPr>
        <w:tabs>
          <w:tab w:val="left" w:pos="0"/>
        </w:tabs>
        <w:spacing w:line="500" w:lineRule="exact"/>
        <w:ind w:right="768"/>
        <w:jc w:val="left"/>
        <w:rPr>
          <w:rFonts w:ascii="宋体"/>
          <w:color w:val="auto"/>
          <w:spacing w:val="8"/>
          <w:sz w:val="24"/>
        </w:rPr>
      </w:pPr>
      <w:r>
        <w:rPr>
          <w:rFonts w:hint="eastAsia" w:ascii="宋体" w:hAnsi="宋体"/>
          <w:color w:val="auto"/>
          <w:spacing w:val="8"/>
          <w:sz w:val="24"/>
        </w:rPr>
        <w:t>法定代表人（电子签名或签章）：</w:t>
      </w:r>
    </w:p>
    <w:p w14:paraId="3A502BDD">
      <w:pPr>
        <w:tabs>
          <w:tab w:val="left" w:pos="0"/>
        </w:tabs>
        <w:spacing w:line="500" w:lineRule="exact"/>
        <w:ind w:right="256"/>
        <w:jc w:val="right"/>
        <w:rPr>
          <w:rFonts w:ascii="宋体"/>
          <w:color w:val="auto"/>
          <w:spacing w:val="8"/>
          <w:sz w:val="24"/>
        </w:rPr>
      </w:pPr>
    </w:p>
    <w:p w14:paraId="30AF8225">
      <w:pPr>
        <w:autoSpaceDE w:val="0"/>
        <w:autoSpaceDN w:val="0"/>
        <w:adjustRightInd w:val="0"/>
        <w:spacing w:line="360" w:lineRule="auto"/>
        <w:jc w:val="left"/>
        <w:rPr>
          <w:rFonts w:ascii="宋体"/>
          <w:color w:val="auto"/>
          <w:sz w:val="24"/>
        </w:rPr>
      </w:pPr>
      <w:r>
        <w:rPr>
          <w:rFonts w:hint="eastAsia" w:ascii="宋体" w:hAnsi="宋体"/>
          <w:color w:val="auto"/>
          <w:spacing w:val="8"/>
          <w:sz w:val="24"/>
        </w:rPr>
        <w:t>日期</w:t>
      </w:r>
      <w:r>
        <w:rPr>
          <w:rFonts w:ascii="宋体" w:hAnsi="宋体"/>
          <w:color w:val="auto"/>
          <w:spacing w:val="8"/>
          <w:sz w:val="24"/>
        </w:rPr>
        <w:t xml:space="preserve"> </w:t>
      </w:r>
      <w:r>
        <w:rPr>
          <w:rFonts w:hint="eastAsia" w:ascii="宋体" w:hAnsi="宋体"/>
          <w:color w:val="auto"/>
          <w:spacing w:val="8"/>
          <w:sz w:val="24"/>
        </w:rPr>
        <w:t>：</w:t>
      </w:r>
      <w:r>
        <w:rPr>
          <w:rFonts w:ascii="宋体" w:hAnsi="宋体" w:cs="楷体_GB2312"/>
          <w:color w:val="auto"/>
          <w:sz w:val="24"/>
          <w:lang w:val="zh-CN"/>
        </w:rPr>
        <w:t xml:space="preserve">   </w:t>
      </w:r>
      <w:r>
        <w:rPr>
          <w:rFonts w:hint="eastAsia" w:ascii="宋体" w:hAnsi="宋体" w:cs="楷体_GB2312"/>
          <w:color w:val="auto"/>
          <w:sz w:val="24"/>
          <w:lang w:val="zh-CN"/>
        </w:rPr>
        <w:t>年</w:t>
      </w:r>
      <w:r>
        <w:rPr>
          <w:rFonts w:ascii="宋体" w:hAnsi="宋体" w:cs="楷体_GB2312"/>
          <w:color w:val="auto"/>
          <w:sz w:val="24"/>
          <w:lang w:val="zh-CN"/>
        </w:rPr>
        <w:t xml:space="preserve">   </w:t>
      </w:r>
      <w:r>
        <w:rPr>
          <w:rFonts w:hint="eastAsia" w:ascii="宋体" w:hAnsi="宋体" w:cs="楷体_GB2312"/>
          <w:color w:val="auto"/>
          <w:sz w:val="24"/>
          <w:lang w:val="zh-CN"/>
        </w:rPr>
        <w:t>月</w:t>
      </w:r>
      <w:r>
        <w:rPr>
          <w:rFonts w:ascii="宋体" w:hAnsi="宋体" w:cs="楷体_GB2312"/>
          <w:color w:val="auto"/>
          <w:sz w:val="24"/>
          <w:lang w:val="zh-CN"/>
        </w:rPr>
        <w:t xml:space="preserve">   </w:t>
      </w:r>
      <w:r>
        <w:rPr>
          <w:rFonts w:hint="eastAsia" w:ascii="宋体" w:hAnsi="宋体" w:cs="楷体_GB2312"/>
          <w:color w:val="auto"/>
          <w:sz w:val="24"/>
          <w:lang w:val="zh-CN"/>
        </w:rPr>
        <w:t>日</w:t>
      </w:r>
    </w:p>
    <w:p w14:paraId="58209C82">
      <w:pPr>
        <w:autoSpaceDE w:val="0"/>
        <w:autoSpaceDN w:val="0"/>
        <w:adjustRightInd w:val="0"/>
        <w:spacing w:line="360" w:lineRule="auto"/>
        <w:rPr>
          <w:rFonts w:ascii="宋体" w:cs="楷体_GB2312"/>
          <w:b/>
          <w:color w:val="auto"/>
          <w:sz w:val="30"/>
          <w:szCs w:val="30"/>
          <w:lang w:val="zh-CN"/>
        </w:rPr>
      </w:pPr>
      <w:r>
        <w:rPr>
          <w:rFonts w:ascii="宋体" w:cs="楷体_GB2312"/>
          <w:b/>
          <w:bCs/>
          <w:color w:val="auto"/>
          <w:sz w:val="24"/>
          <w:lang w:val="zh-CN"/>
        </w:rPr>
        <w:br w:type="page"/>
      </w:r>
    </w:p>
    <w:p w14:paraId="7621039C">
      <w:pPr>
        <w:autoSpaceDE w:val="0"/>
        <w:autoSpaceDN w:val="0"/>
        <w:adjustRightInd w:val="0"/>
        <w:spacing w:line="360" w:lineRule="auto"/>
        <w:jc w:val="center"/>
        <w:rPr>
          <w:rFonts w:hint="eastAsia" w:ascii="黑体" w:hAnsi="黑体" w:eastAsia="黑体"/>
          <w:b/>
          <w:color w:val="auto"/>
          <w:sz w:val="30"/>
          <w:szCs w:val="30"/>
        </w:rPr>
      </w:pPr>
      <w:r>
        <w:rPr>
          <w:rFonts w:hint="eastAsia" w:ascii="黑体" w:hAnsi="黑体" w:eastAsia="黑体"/>
          <w:b/>
          <w:color w:val="auto"/>
          <w:sz w:val="30"/>
          <w:szCs w:val="30"/>
        </w:rPr>
        <w:t>十一、资格要求相关证明材料（文件）</w:t>
      </w:r>
    </w:p>
    <w:p w14:paraId="6B947673">
      <w:pPr>
        <w:autoSpaceDE w:val="0"/>
        <w:autoSpaceDN w:val="0"/>
        <w:adjustRightInd w:val="0"/>
        <w:spacing w:line="360" w:lineRule="auto"/>
        <w:jc w:val="center"/>
        <w:rPr>
          <w:rFonts w:ascii="宋体"/>
          <w:color w:val="auto"/>
          <w:sz w:val="24"/>
          <w:szCs w:val="24"/>
        </w:rPr>
      </w:pPr>
    </w:p>
    <w:p w14:paraId="39910081">
      <w:pPr>
        <w:autoSpaceDE w:val="0"/>
        <w:autoSpaceDN w:val="0"/>
        <w:adjustRightInd w:val="0"/>
        <w:spacing w:line="360" w:lineRule="auto"/>
        <w:jc w:val="center"/>
        <w:rPr>
          <w:rFonts w:hint="eastAsia" w:ascii="黑体" w:hAnsi="黑体" w:eastAsia="黑体"/>
          <w:b/>
          <w:color w:val="auto"/>
          <w:sz w:val="24"/>
          <w:szCs w:val="24"/>
        </w:rPr>
      </w:pPr>
      <w:r>
        <w:rPr>
          <w:rFonts w:hint="eastAsia" w:ascii="宋体"/>
          <w:color w:val="auto"/>
          <w:sz w:val="24"/>
          <w:szCs w:val="24"/>
        </w:rPr>
        <w:t>★★★【</w:t>
      </w:r>
      <w:r>
        <w:rPr>
          <w:rFonts w:hint="eastAsia" w:ascii="黑体" w:hAnsi="黑体" w:eastAsia="黑体"/>
          <w:b/>
          <w:color w:val="auto"/>
          <w:sz w:val="24"/>
          <w:szCs w:val="24"/>
        </w:rPr>
        <w:t>请注意：未按公告要求逐一提交资格证明资料的将导致无效投标，为近期常见的因不仔细而缺少某一资格证明资料、导致无效，特此提醒】</w:t>
      </w:r>
    </w:p>
    <w:p w14:paraId="0ACD2FE8">
      <w:pPr>
        <w:autoSpaceDE w:val="0"/>
        <w:autoSpaceDN w:val="0"/>
        <w:adjustRightInd w:val="0"/>
        <w:spacing w:line="360" w:lineRule="auto"/>
        <w:jc w:val="center"/>
        <w:rPr>
          <w:rFonts w:ascii="宋体"/>
          <w:color w:val="auto"/>
          <w:sz w:val="24"/>
          <w:szCs w:val="24"/>
        </w:rPr>
      </w:pPr>
    </w:p>
    <w:p w14:paraId="7CB37EFD">
      <w:pPr>
        <w:spacing w:line="588" w:lineRule="exact"/>
        <w:jc w:val="center"/>
        <w:rPr>
          <w:rFonts w:hint="eastAsia" w:ascii="黑体" w:hAnsi="黑体" w:eastAsia="黑体"/>
          <w:b/>
          <w:color w:val="auto"/>
          <w:sz w:val="30"/>
          <w:szCs w:val="30"/>
        </w:rPr>
      </w:pPr>
      <w:r>
        <w:rPr>
          <w:rFonts w:hint="eastAsia" w:ascii="宋体"/>
          <w:color w:val="auto"/>
          <w:sz w:val="24"/>
          <w:szCs w:val="24"/>
        </w:rPr>
        <w:t>★★★【</w:t>
      </w:r>
      <w:r>
        <w:rPr>
          <w:rFonts w:hint="eastAsia" w:ascii="黑体" w:hAnsi="黑体" w:eastAsia="黑体"/>
          <w:b/>
          <w:color w:val="auto"/>
          <w:sz w:val="24"/>
          <w:szCs w:val="24"/>
        </w:rPr>
        <w:t>请注意：未按竞争性磋商公告要求电子签名&lt;签章&gt;的将导致无效投标，特此提醒】</w:t>
      </w:r>
      <w:r>
        <w:rPr>
          <w:rFonts w:ascii="宋体" w:hAnsi="宋体"/>
          <w:color w:val="auto"/>
          <w:sz w:val="24"/>
        </w:rPr>
        <w:t xml:space="preserve"> </w:t>
      </w:r>
      <w:r>
        <w:rPr>
          <w:rFonts w:ascii="宋体" w:hAnsi="宋体"/>
          <w:color w:val="auto"/>
          <w:sz w:val="24"/>
        </w:rPr>
        <w:br w:type="page"/>
      </w:r>
    </w:p>
    <w:p w14:paraId="0D1BBA75">
      <w:pPr>
        <w:spacing w:line="588" w:lineRule="exact"/>
        <w:jc w:val="center"/>
        <w:rPr>
          <w:rFonts w:hint="eastAsia" w:ascii="黑体" w:hAnsi="黑体" w:eastAsia="黑体"/>
          <w:b/>
          <w:color w:val="auto"/>
          <w:sz w:val="30"/>
          <w:szCs w:val="30"/>
        </w:rPr>
      </w:pPr>
      <w:r>
        <w:rPr>
          <w:rFonts w:ascii="黑体" w:hAnsi="黑体" w:eastAsia="黑体"/>
          <w:b/>
          <w:color w:val="auto"/>
          <w:sz w:val="30"/>
          <w:szCs w:val="30"/>
        </w:rPr>
        <w:t>中小企业声明函</w:t>
      </w:r>
    </w:p>
    <w:p w14:paraId="7BCCC86E">
      <w:pPr>
        <w:pStyle w:val="67"/>
        <w:shd w:val="clear" w:color="auto" w:fill="auto"/>
        <w:spacing w:after="0" w:line="518" w:lineRule="exact"/>
        <w:ind w:firstLine="680"/>
        <w:jc w:val="both"/>
        <w:rPr>
          <w:rFonts w:hint="eastAsia" w:ascii="宋体" w:hAnsi="宋体" w:eastAsia="宋体"/>
          <w:sz w:val="24"/>
          <w:szCs w:val="24"/>
        </w:rPr>
      </w:pPr>
      <w:r>
        <w:rPr>
          <w:rFonts w:ascii="宋体" w:hAnsi="宋体" w:eastAsia="宋体"/>
          <w:sz w:val="24"/>
          <w:szCs w:val="24"/>
        </w:rPr>
        <w:t>本公司（联合体）郑重声明，根据《政府采购促进中小企业发展管理办法》（财库〔2020〕46号）的规定，本公司 (联合体）</w:t>
      </w:r>
      <w:r>
        <w:rPr>
          <w:rStyle w:val="68"/>
          <w:rFonts w:ascii="宋体" w:hAnsi="宋体" w:eastAsia="宋体"/>
          <w:i w:val="0"/>
          <w:color w:val="auto"/>
          <w:sz w:val="24"/>
          <w:szCs w:val="24"/>
        </w:rPr>
        <w:t>参加</w:t>
      </w:r>
      <w:r>
        <w:rPr>
          <w:rStyle w:val="68"/>
          <w:rFonts w:ascii="宋体" w:hAnsi="宋体" w:eastAsia="宋体"/>
          <w:i w:val="0"/>
          <w:color w:val="auto"/>
          <w:sz w:val="24"/>
          <w:szCs w:val="24"/>
          <w:u w:val="single"/>
        </w:rPr>
        <w:t>（单位名称）</w:t>
      </w:r>
      <w:r>
        <w:rPr>
          <w:rStyle w:val="68"/>
          <w:rFonts w:ascii="宋体" w:hAnsi="宋体" w:eastAsia="宋体"/>
          <w:i w:val="0"/>
          <w:color w:val="auto"/>
          <w:sz w:val="24"/>
          <w:szCs w:val="24"/>
        </w:rPr>
        <w:t>的</w:t>
      </w:r>
      <w:r>
        <w:rPr>
          <w:rStyle w:val="68"/>
          <w:rFonts w:ascii="宋体" w:hAnsi="宋体" w:eastAsia="宋体"/>
          <w:i w:val="0"/>
          <w:color w:val="auto"/>
          <w:sz w:val="24"/>
          <w:szCs w:val="24"/>
          <w:u w:val="single"/>
        </w:rPr>
        <w:t>（项目名称）</w:t>
      </w:r>
      <w:r>
        <w:rPr>
          <w:rStyle w:val="68"/>
          <w:rFonts w:ascii="宋体" w:hAnsi="宋体" w:eastAsia="宋体"/>
          <w:i w:val="0"/>
          <w:color w:val="auto"/>
          <w:sz w:val="24"/>
          <w:szCs w:val="24"/>
        </w:rPr>
        <w:t>采购活动，</w:t>
      </w:r>
      <w:r>
        <w:rPr>
          <w:rFonts w:ascii="宋体" w:hAnsi="宋体" w:eastAsia="宋体"/>
          <w:sz w:val="24"/>
          <w:szCs w:val="24"/>
        </w:rPr>
        <w:t>工程的施工单位全部为符合政策要求的中小企业。相关企业</w:t>
      </w:r>
      <w:r>
        <w:rPr>
          <w:rFonts w:ascii="宋体" w:hAnsi="宋体" w:eastAsia="宋体"/>
          <w:sz w:val="24"/>
          <w:szCs w:val="24"/>
          <w:lang w:bidi="en-US"/>
        </w:rPr>
        <w:t>（</w:t>
      </w:r>
      <w:r>
        <w:rPr>
          <w:rFonts w:ascii="宋体" w:hAnsi="宋体" w:eastAsia="宋体"/>
          <w:sz w:val="24"/>
          <w:szCs w:val="24"/>
        </w:rPr>
        <w:t>含联合体中的中小企业、签订分包意向协议的中小企业）的具体情况如下：</w:t>
      </w:r>
    </w:p>
    <w:p w14:paraId="7A32316C">
      <w:pPr>
        <w:spacing w:line="588" w:lineRule="exact"/>
        <w:ind w:firstLine="480" w:firstLineChars="200"/>
        <w:rPr>
          <w:rFonts w:hint="eastAsia" w:ascii="宋体" w:hAnsi="宋体"/>
          <w:color w:val="auto"/>
          <w:sz w:val="24"/>
          <w:szCs w:val="24"/>
        </w:rPr>
      </w:pPr>
      <w:r>
        <w:rPr>
          <w:rFonts w:hint="eastAsia" w:ascii="宋体" w:hAnsi="宋体"/>
          <w:color w:val="auto"/>
          <w:sz w:val="24"/>
          <w:szCs w:val="24"/>
        </w:rPr>
        <w:t>1.</w:t>
      </w:r>
      <w:r>
        <w:rPr>
          <w:rFonts w:ascii="宋体" w:hAnsi="宋体"/>
          <w:iCs/>
          <w:color w:val="auto"/>
          <w:sz w:val="24"/>
          <w:szCs w:val="24"/>
          <w:u w:val="single"/>
        </w:rPr>
        <w:t>(标的名称)</w:t>
      </w:r>
      <w:r>
        <w:rPr>
          <w:rFonts w:ascii="宋体" w:hAnsi="宋体"/>
          <w:iCs/>
          <w:color w:val="auto"/>
          <w:sz w:val="24"/>
          <w:szCs w:val="24"/>
        </w:rPr>
        <w:t>，</w:t>
      </w:r>
      <w:r>
        <w:rPr>
          <w:rFonts w:ascii="宋体" w:hAnsi="宋体"/>
          <w:color w:val="auto"/>
          <w:sz w:val="24"/>
          <w:szCs w:val="24"/>
        </w:rPr>
        <w:t>属于</w:t>
      </w:r>
      <w:r>
        <w:rPr>
          <w:rFonts w:ascii="宋体" w:hAnsi="宋体"/>
          <w:iCs/>
          <w:color w:val="auto"/>
          <w:sz w:val="24"/>
          <w:szCs w:val="24"/>
          <w:u w:val="single"/>
        </w:rPr>
        <w:t>（采购文件中明确的所属行业)</w:t>
      </w:r>
      <w:r>
        <w:rPr>
          <w:rFonts w:hint="eastAsia" w:ascii="宋体" w:hAnsi="宋体"/>
          <w:iCs/>
          <w:color w:val="auto"/>
          <w:sz w:val="24"/>
          <w:szCs w:val="24"/>
        </w:rPr>
        <w:t>，</w:t>
      </w:r>
      <w:r>
        <w:rPr>
          <w:rFonts w:ascii="宋体" w:hAnsi="宋体"/>
          <w:color w:val="auto"/>
          <w:sz w:val="24"/>
          <w:szCs w:val="24"/>
        </w:rPr>
        <w:t>承建</w:t>
      </w:r>
      <w:r>
        <w:rPr>
          <w:rFonts w:ascii="宋体" w:hAnsi="宋体"/>
          <w:iCs/>
          <w:color w:val="auto"/>
          <w:sz w:val="24"/>
          <w:szCs w:val="24"/>
        </w:rPr>
        <w:t>企业为</w:t>
      </w:r>
      <w:r>
        <w:rPr>
          <w:rFonts w:ascii="宋体" w:hAnsi="宋体"/>
          <w:color w:val="auto"/>
          <w:sz w:val="24"/>
          <w:szCs w:val="24"/>
          <w:u w:val="single"/>
        </w:rPr>
        <w:t>（企业名称)</w:t>
      </w:r>
      <w:r>
        <w:rPr>
          <w:rFonts w:ascii="宋体" w:hAnsi="宋体"/>
          <w:color w:val="auto"/>
          <w:sz w:val="24"/>
          <w:szCs w:val="24"/>
        </w:rPr>
        <w:t>，从业人员</w:t>
      </w:r>
      <w:r>
        <w:rPr>
          <w:rFonts w:hint="eastAsia" w:ascii="宋体" w:hAnsi="宋体"/>
          <w:color w:val="auto"/>
          <w:sz w:val="24"/>
          <w:szCs w:val="24"/>
          <w:u w:val="single"/>
        </w:rPr>
        <w:t xml:space="preserve">    </w:t>
      </w:r>
      <w:r>
        <w:rPr>
          <w:rFonts w:ascii="宋体" w:hAnsi="宋体"/>
          <w:color w:val="auto"/>
          <w:sz w:val="24"/>
          <w:szCs w:val="24"/>
        </w:rPr>
        <w:t>人，营业收</w:t>
      </w:r>
      <w:r>
        <w:rPr>
          <w:rFonts w:ascii="宋体" w:hAnsi="宋体"/>
          <w:iCs/>
          <w:color w:val="auto"/>
          <w:sz w:val="24"/>
          <w:szCs w:val="24"/>
        </w:rPr>
        <w:t>入为</w:t>
      </w:r>
      <w:r>
        <w:rPr>
          <w:rFonts w:ascii="宋体" w:hAnsi="宋体"/>
          <w:iCs/>
          <w:color w:val="auto"/>
          <w:sz w:val="24"/>
          <w:szCs w:val="24"/>
          <w:u w:val="single"/>
        </w:rPr>
        <w:t>_</w:t>
      </w:r>
      <w:r>
        <w:rPr>
          <w:rFonts w:hint="eastAsia" w:ascii="宋体" w:hAnsi="宋体"/>
          <w:iCs/>
          <w:color w:val="auto"/>
          <w:sz w:val="24"/>
          <w:szCs w:val="24"/>
          <w:u w:val="single"/>
        </w:rPr>
        <w:t xml:space="preserve">    </w:t>
      </w:r>
      <w:r>
        <w:rPr>
          <w:rFonts w:ascii="宋体" w:hAnsi="宋体"/>
          <w:iCs/>
          <w:color w:val="auto"/>
          <w:sz w:val="24"/>
          <w:szCs w:val="24"/>
        </w:rPr>
        <w:t>万元，资产总额为</w:t>
      </w:r>
      <w:r>
        <w:rPr>
          <w:rFonts w:hint="eastAsia" w:ascii="宋体" w:hAnsi="宋体"/>
          <w:iCs/>
          <w:color w:val="auto"/>
          <w:sz w:val="24"/>
          <w:szCs w:val="24"/>
          <w:u w:val="single"/>
        </w:rPr>
        <w:t xml:space="preserve">    </w:t>
      </w:r>
      <w:r>
        <w:rPr>
          <w:rFonts w:ascii="宋体" w:hAnsi="宋体"/>
          <w:iCs/>
          <w:color w:val="auto"/>
          <w:sz w:val="24"/>
          <w:szCs w:val="24"/>
          <w:u w:val="single"/>
        </w:rPr>
        <w:t>_</w:t>
      </w:r>
      <w:r>
        <w:rPr>
          <w:rFonts w:ascii="宋体" w:hAnsi="宋体"/>
          <w:iCs/>
          <w:color w:val="auto"/>
          <w:sz w:val="24"/>
          <w:szCs w:val="24"/>
        </w:rPr>
        <w:t>万元</w:t>
      </w:r>
      <w:r>
        <w:rPr>
          <w:rFonts w:hint="eastAsia" w:ascii="宋体" w:hAnsi="宋体"/>
          <w:iCs/>
          <w:color w:val="auto"/>
          <w:sz w:val="24"/>
          <w:szCs w:val="24"/>
          <w:vertAlign w:val="superscript"/>
        </w:rPr>
        <w:t>1</w:t>
      </w:r>
      <w:r>
        <w:rPr>
          <w:rFonts w:hint="eastAsia" w:ascii="宋体" w:hAnsi="宋体"/>
          <w:iCs/>
          <w:color w:val="auto"/>
          <w:sz w:val="24"/>
          <w:szCs w:val="24"/>
        </w:rPr>
        <w:t>，按采购文件中明确的所属行业</w:t>
      </w:r>
      <w:r>
        <w:rPr>
          <w:rFonts w:ascii="宋体" w:hAnsi="宋体"/>
          <w:color w:val="auto"/>
          <w:sz w:val="24"/>
          <w:szCs w:val="24"/>
        </w:rPr>
        <w:t>属于</w:t>
      </w:r>
      <w:r>
        <w:rPr>
          <w:rFonts w:ascii="宋体" w:hAnsi="宋体"/>
          <w:iCs/>
          <w:color w:val="auto"/>
          <w:sz w:val="24"/>
          <w:szCs w:val="24"/>
          <w:u w:val="single"/>
        </w:rPr>
        <w:t>（中型企业、小型企业、微型企业）</w:t>
      </w:r>
      <w:r>
        <w:rPr>
          <w:rFonts w:hint="eastAsia" w:ascii="宋体" w:hAnsi="宋体"/>
          <w:color w:val="auto"/>
          <w:sz w:val="24"/>
          <w:szCs w:val="24"/>
        </w:rPr>
        <w:t>；</w:t>
      </w:r>
    </w:p>
    <w:p w14:paraId="729EFA09">
      <w:pPr>
        <w:spacing w:line="588" w:lineRule="exact"/>
        <w:ind w:firstLine="480" w:firstLineChars="200"/>
        <w:rPr>
          <w:rFonts w:hint="eastAsia" w:ascii="宋体" w:hAnsi="宋体"/>
          <w:color w:val="auto"/>
          <w:sz w:val="24"/>
          <w:szCs w:val="24"/>
        </w:rPr>
      </w:pPr>
      <w:r>
        <w:rPr>
          <w:rFonts w:hint="eastAsia" w:ascii="宋体" w:hAnsi="宋体"/>
          <w:color w:val="auto"/>
          <w:sz w:val="24"/>
          <w:szCs w:val="24"/>
        </w:rPr>
        <w:t>2.</w:t>
      </w:r>
      <w:r>
        <w:rPr>
          <w:rFonts w:ascii="宋体" w:hAnsi="宋体"/>
          <w:iCs/>
          <w:color w:val="auto"/>
          <w:sz w:val="24"/>
          <w:szCs w:val="24"/>
          <w:u w:val="single"/>
        </w:rPr>
        <w:t>(标的名称)</w:t>
      </w:r>
      <w:r>
        <w:rPr>
          <w:rFonts w:ascii="宋体" w:hAnsi="宋体"/>
          <w:iCs/>
          <w:color w:val="auto"/>
          <w:sz w:val="24"/>
          <w:szCs w:val="24"/>
        </w:rPr>
        <w:t>，</w:t>
      </w:r>
      <w:r>
        <w:rPr>
          <w:rFonts w:ascii="宋体" w:hAnsi="宋体"/>
          <w:color w:val="auto"/>
          <w:sz w:val="24"/>
          <w:szCs w:val="24"/>
        </w:rPr>
        <w:t>属于</w:t>
      </w:r>
      <w:r>
        <w:rPr>
          <w:rFonts w:ascii="宋体" w:hAnsi="宋体"/>
          <w:iCs/>
          <w:color w:val="auto"/>
          <w:sz w:val="24"/>
          <w:szCs w:val="24"/>
          <w:u w:val="single"/>
        </w:rPr>
        <w:t>（采购文件中明确的所属行业)</w:t>
      </w:r>
      <w:r>
        <w:rPr>
          <w:rFonts w:hint="eastAsia" w:ascii="宋体" w:hAnsi="宋体"/>
          <w:iCs/>
          <w:color w:val="auto"/>
          <w:sz w:val="24"/>
          <w:szCs w:val="24"/>
        </w:rPr>
        <w:t>，</w:t>
      </w:r>
      <w:r>
        <w:rPr>
          <w:rFonts w:ascii="宋体" w:hAnsi="宋体"/>
          <w:color w:val="auto"/>
          <w:sz w:val="24"/>
          <w:szCs w:val="24"/>
        </w:rPr>
        <w:t>承建</w:t>
      </w:r>
      <w:r>
        <w:rPr>
          <w:rFonts w:ascii="宋体" w:hAnsi="宋体"/>
          <w:iCs/>
          <w:color w:val="auto"/>
          <w:sz w:val="24"/>
          <w:szCs w:val="24"/>
        </w:rPr>
        <w:t>企业为</w:t>
      </w:r>
      <w:r>
        <w:rPr>
          <w:rFonts w:ascii="宋体" w:hAnsi="宋体"/>
          <w:color w:val="auto"/>
          <w:sz w:val="24"/>
          <w:szCs w:val="24"/>
          <w:u w:val="single"/>
        </w:rPr>
        <w:t>（企业名称)</w:t>
      </w:r>
      <w:r>
        <w:rPr>
          <w:rFonts w:ascii="宋体" w:hAnsi="宋体"/>
          <w:color w:val="auto"/>
          <w:sz w:val="24"/>
          <w:szCs w:val="24"/>
        </w:rPr>
        <w:t>，从业人员</w:t>
      </w:r>
      <w:r>
        <w:rPr>
          <w:rFonts w:hint="eastAsia" w:ascii="宋体" w:hAnsi="宋体"/>
          <w:color w:val="auto"/>
          <w:sz w:val="24"/>
          <w:szCs w:val="24"/>
          <w:u w:val="single"/>
        </w:rPr>
        <w:t xml:space="preserve">    </w:t>
      </w:r>
      <w:r>
        <w:rPr>
          <w:rFonts w:ascii="宋体" w:hAnsi="宋体"/>
          <w:color w:val="auto"/>
          <w:sz w:val="24"/>
          <w:szCs w:val="24"/>
        </w:rPr>
        <w:t>人，营业收</w:t>
      </w:r>
      <w:r>
        <w:rPr>
          <w:rFonts w:ascii="宋体" w:hAnsi="宋体"/>
          <w:iCs/>
          <w:color w:val="auto"/>
          <w:sz w:val="24"/>
          <w:szCs w:val="24"/>
        </w:rPr>
        <w:t>入为</w:t>
      </w:r>
      <w:r>
        <w:rPr>
          <w:rFonts w:ascii="宋体" w:hAnsi="宋体"/>
          <w:iCs/>
          <w:color w:val="auto"/>
          <w:sz w:val="24"/>
          <w:szCs w:val="24"/>
          <w:u w:val="single"/>
        </w:rPr>
        <w:t>_</w:t>
      </w:r>
      <w:r>
        <w:rPr>
          <w:rFonts w:hint="eastAsia" w:ascii="宋体" w:hAnsi="宋体"/>
          <w:iCs/>
          <w:color w:val="auto"/>
          <w:sz w:val="24"/>
          <w:szCs w:val="24"/>
          <w:u w:val="single"/>
        </w:rPr>
        <w:t xml:space="preserve">    </w:t>
      </w:r>
      <w:r>
        <w:rPr>
          <w:rFonts w:ascii="宋体" w:hAnsi="宋体"/>
          <w:iCs/>
          <w:color w:val="auto"/>
          <w:sz w:val="24"/>
          <w:szCs w:val="24"/>
        </w:rPr>
        <w:t>万元，资产总额为</w:t>
      </w:r>
      <w:r>
        <w:rPr>
          <w:rFonts w:hint="eastAsia" w:ascii="宋体" w:hAnsi="宋体"/>
          <w:iCs/>
          <w:color w:val="auto"/>
          <w:sz w:val="24"/>
          <w:szCs w:val="24"/>
          <w:u w:val="single"/>
        </w:rPr>
        <w:t xml:space="preserve">    </w:t>
      </w:r>
      <w:r>
        <w:rPr>
          <w:rFonts w:ascii="宋体" w:hAnsi="宋体"/>
          <w:iCs/>
          <w:color w:val="auto"/>
          <w:sz w:val="24"/>
          <w:szCs w:val="24"/>
          <w:u w:val="single"/>
        </w:rPr>
        <w:t>_</w:t>
      </w:r>
      <w:r>
        <w:rPr>
          <w:rFonts w:ascii="宋体" w:hAnsi="宋体"/>
          <w:iCs/>
          <w:color w:val="auto"/>
          <w:sz w:val="24"/>
          <w:szCs w:val="24"/>
        </w:rPr>
        <w:t>万元</w:t>
      </w:r>
      <w:r>
        <w:rPr>
          <w:rFonts w:hint="eastAsia" w:ascii="宋体" w:hAnsi="宋体"/>
          <w:iCs/>
          <w:color w:val="auto"/>
          <w:sz w:val="24"/>
          <w:szCs w:val="24"/>
        </w:rPr>
        <w:t>，按采购文件中明确的所属行业</w:t>
      </w:r>
      <w:r>
        <w:rPr>
          <w:rFonts w:ascii="宋体" w:hAnsi="宋体"/>
          <w:color w:val="auto"/>
          <w:sz w:val="24"/>
          <w:szCs w:val="24"/>
        </w:rPr>
        <w:t>属于</w:t>
      </w:r>
      <w:r>
        <w:rPr>
          <w:rFonts w:ascii="宋体" w:hAnsi="宋体"/>
          <w:iCs/>
          <w:color w:val="auto"/>
          <w:sz w:val="24"/>
          <w:szCs w:val="24"/>
          <w:u w:val="single"/>
        </w:rPr>
        <w:t>（中型企业、小型企业、微型企业）</w:t>
      </w:r>
      <w:r>
        <w:rPr>
          <w:rFonts w:hint="eastAsia" w:ascii="宋体" w:hAnsi="宋体"/>
          <w:color w:val="auto"/>
          <w:sz w:val="24"/>
          <w:szCs w:val="24"/>
        </w:rPr>
        <w:t>；</w:t>
      </w:r>
    </w:p>
    <w:p w14:paraId="57EB2A92">
      <w:pPr>
        <w:pStyle w:val="67"/>
        <w:shd w:val="clear" w:color="auto" w:fill="auto"/>
        <w:spacing w:after="0" w:line="518" w:lineRule="exact"/>
        <w:ind w:firstLine="680"/>
        <w:jc w:val="both"/>
        <w:rPr>
          <w:rFonts w:hint="eastAsia" w:ascii="宋体" w:hAnsi="宋体" w:eastAsia="宋体"/>
          <w:sz w:val="24"/>
          <w:szCs w:val="24"/>
        </w:rPr>
      </w:pPr>
      <w:r>
        <w:rPr>
          <w:rFonts w:hint="eastAsia" w:ascii="宋体" w:hAnsi="宋体" w:eastAsia="宋体"/>
          <w:sz w:val="24"/>
          <w:szCs w:val="24"/>
        </w:rPr>
        <w:t>……</w:t>
      </w:r>
    </w:p>
    <w:p w14:paraId="73CD1441">
      <w:pPr>
        <w:pStyle w:val="67"/>
        <w:shd w:val="clear" w:color="auto" w:fill="auto"/>
        <w:spacing w:after="0" w:line="518" w:lineRule="exact"/>
        <w:ind w:firstLine="680"/>
        <w:jc w:val="both"/>
        <w:rPr>
          <w:rFonts w:hint="eastAsia" w:ascii="宋体" w:hAnsi="宋体" w:eastAsia="宋体"/>
          <w:sz w:val="24"/>
          <w:szCs w:val="24"/>
        </w:rPr>
      </w:pPr>
      <w:r>
        <w:rPr>
          <w:rFonts w:ascii="宋体" w:hAnsi="宋体" w:eastAsia="宋体"/>
          <w:sz w:val="24"/>
          <w:szCs w:val="24"/>
        </w:rPr>
        <w:t>以上企业，不属于大企业的分支机构，不存在控股股东为大企业的情形，也不存在与大企业的负责人为同一人的情形。</w:t>
      </w:r>
    </w:p>
    <w:p w14:paraId="1D8EED10">
      <w:pPr>
        <w:pStyle w:val="67"/>
        <w:shd w:val="clear" w:color="auto" w:fill="auto"/>
        <w:spacing w:after="0" w:line="518" w:lineRule="exact"/>
        <w:ind w:firstLine="680"/>
        <w:jc w:val="both"/>
        <w:rPr>
          <w:rFonts w:hint="eastAsia" w:ascii="宋体" w:hAnsi="宋体" w:eastAsia="宋体"/>
          <w:sz w:val="24"/>
          <w:szCs w:val="24"/>
        </w:rPr>
      </w:pPr>
      <w:r>
        <w:rPr>
          <w:rFonts w:ascii="宋体" w:hAnsi="宋体" w:eastAsia="宋体"/>
          <w:sz w:val="24"/>
          <w:szCs w:val="24"/>
        </w:rPr>
        <w:t>本企业对上述声明内容的真实性负责。如有虚假，将依法承担相应责任。</w:t>
      </w:r>
    </w:p>
    <w:p w14:paraId="0F294493">
      <w:pPr>
        <w:pStyle w:val="67"/>
        <w:shd w:val="clear" w:color="auto" w:fill="auto"/>
        <w:spacing w:after="228" w:line="300" w:lineRule="exact"/>
        <w:ind w:left="3900"/>
        <w:rPr>
          <w:rFonts w:hint="eastAsia" w:ascii="宋体" w:hAnsi="宋体" w:eastAsia="宋体"/>
          <w:sz w:val="24"/>
          <w:szCs w:val="24"/>
        </w:rPr>
      </w:pPr>
    </w:p>
    <w:p w14:paraId="3D387300">
      <w:pPr>
        <w:pStyle w:val="67"/>
        <w:shd w:val="clear" w:color="auto" w:fill="auto"/>
        <w:spacing w:after="228" w:line="300" w:lineRule="exact"/>
        <w:ind w:left="3900"/>
        <w:rPr>
          <w:rFonts w:hint="eastAsia" w:ascii="宋体" w:hAnsi="宋体" w:eastAsia="宋体"/>
          <w:sz w:val="24"/>
          <w:szCs w:val="24"/>
        </w:rPr>
      </w:pPr>
    </w:p>
    <w:p w14:paraId="39A0984C">
      <w:pPr>
        <w:pStyle w:val="67"/>
        <w:shd w:val="clear" w:color="auto" w:fill="auto"/>
        <w:spacing w:after="228" w:line="300" w:lineRule="exact"/>
        <w:ind w:firstLine="4536" w:firstLineChars="1512"/>
        <w:rPr>
          <w:rFonts w:hint="eastAsia" w:ascii="宋体" w:hAnsi="宋体" w:eastAsia="宋体"/>
          <w:sz w:val="24"/>
          <w:szCs w:val="24"/>
        </w:rPr>
      </w:pPr>
      <w:r>
        <w:rPr>
          <w:rFonts w:ascii="宋体" w:hAnsi="宋体" w:eastAsia="宋体"/>
          <w:sz w:val="24"/>
          <w:szCs w:val="24"/>
        </w:rPr>
        <w:t>企业名称（盖章</w:t>
      </w:r>
      <w:r>
        <w:rPr>
          <w:rFonts w:ascii="宋体" w:hAnsi="宋体" w:eastAsia="宋体"/>
          <w:sz w:val="24"/>
          <w:szCs w:val="24"/>
          <w:lang w:bidi="en-US"/>
        </w:rPr>
        <w:t>）</w:t>
      </w:r>
    </w:p>
    <w:p w14:paraId="60FF7885">
      <w:pPr>
        <w:autoSpaceDE w:val="0"/>
        <w:autoSpaceDN w:val="0"/>
        <w:adjustRightInd w:val="0"/>
        <w:spacing w:line="360" w:lineRule="auto"/>
        <w:ind w:firstLine="4536" w:firstLineChars="1890"/>
        <w:jc w:val="left"/>
        <w:rPr>
          <w:rFonts w:hint="eastAsia" w:ascii="宋体" w:hAnsi="宋体"/>
          <w:color w:val="auto"/>
          <w:sz w:val="24"/>
          <w:szCs w:val="24"/>
        </w:rPr>
      </w:pPr>
      <w:r>
        <w:rPr>
          <w:rFonts w:ascii="宋体" w:hAnsi="宋体"/>
          <w:color w:val="auto"/>
          <w:sz w:val="24"/>
          <w:szCs w:val="24"/>
        </w:rPr>
        <w:t>日期：</w:t>
      </w:r>
    </w:p>
    <w:p w14:paraId="43BF6926">
      <w:pPr>
        <w:autoSpaceDE w:val="0"/>
        <w:autoSpaceDN w:val="0"/>
        <w:adjustRightInd w:val="0"/>
        <w:spacing w:line="360" w:lineRule="auto"/>
        <w:jc w:val="center"/>
        <w:rPr>
          <w:rFonts w:hint="eastAsia" w:ascii="宋体" w:hAnsi="宋体"/>
          <w:color w:val="auto"/>
          <w:sz w:val="24"/>
          <w:szCs w:val="24"/>
        </w:rPr>
      </w:pPr>
    </w:p>
    <w:p w14:paraId="2131A0B0">
      <w:pPr>
        <w:autoSpaceDE w:val="0"/>
        <w:autoSpaceDN w:val="0"/>
        <w:adjustRightInd w:val="0"/>
        <w:spacing w:line="360" w:lineRule="auto"/>
        <w:jc w:val="center"/>
        <w:rPr>
          <w:rFonts w:hint="eastAsia" w:ascii="宋体" w:hAnsi="宋体"/>
          <w:color w:val="auto"/>
          <w:sz w:val="24"/>
          <w:szCs w:val="24"/>
        </w:rPr>
      </w:pPr>
    </w:p>
    <w:p w14:paraId="07EE372A">
      <w:pPr>
        <w:autoSpaceDE w:val="0"/>
        <w:autoSpaceDN w:val="0"/>
        <w:adjustRightInd w:val="0"/>
        <w:spacing w:line="360" w:lineRule="auto"/>
        <w:jc w:val="center"/>
        <w:rPr>
          <w:rFonts w:hint="eastAsia" w:ascii="宋体" w:hAnsi="宋体"/>
          <w:color w:val="auto"/>
          <w:sz w:val="24"/>
          <w:szCs w:val="24"/>
        </w:rPr>
      </w:pPr>
    </w:p>
    <w:p w14:paraId="58C6F4B6">
      <w:pPr>
        <w:spacing w:line="240" w:lineRule="auto"/>
        <w:rPr>
          <w:rStyle w:val="70"/>
          <w:rFonts w:hint="eastAsia" w:ascii="宋体" w:hAnsi="宋体" w:eastAsia="宋体"/>
          <w:color w:val="auto"/>
        </w:rPr>
      </w:pPr>
      <w:r>
        <w:rPr>
          <w:rFonts w:hint="eastAsia" w:ascii="宋体" w:hAnsi="宋体"/>
          <w:color w:val="auto"/>
          <w:sz w:val="18"/>
          <w:szCs w:val="18"/>
        </w:rPr>
        <w:t>注：1、</w:t>
      </w:r>
      <w:r>
        <w:rPr>
          <w:rStyle w:val="69"/>
          <w:rFonts w:ascii="宋体" w:hAnsi="宋体" w:eastAsia="宋体"/>
          <w:color w:val="auto"/>
          <w:sz w:val="18"/>
          <w:szCs w:val="18"/>
          <w:vertAlign w:val="superscript"/>
        </w:rPr>
        <w:t>1</w:t>
      </w:r>
      <w:r>
        <w:rPr>
          <w:rStyle w:val="70"/>
          <w:rFonts w:ascii="宋体" w:hAnsi="宋体" w:eastAsia="宋体"/>
          <w:color w:val="auto"/>
        </w:rPr>
        <w:t>从业人员、营业收入、资产总额填报上一年度数据，无上一年度数据的新成立企业可不填报</w:t>
      </w:r>
      <w:r>
        <w:rPr>
          <w:rStyle w:val="70"/>
          <w:rFonts w:hint="eastAsia" w:ascii="宋体" w:hAnsi="宋体" w:eastAsia="宋体"/>
          <w:color w:val="auto"/>
        </w:rPr>
        <w:t>。</w:t>
      </w:r>
    </w:p>
    <w:p w14:paraId="63A6DBA2">
      <w:pPr>
        <w:spacing w:line="240" w:lineRule="auto"/>
        <w:ind w:firstLine="450" w:firstLineChars="250"/>
        <w:rPr>
          <w:rFonts w:hint="eastAsia" w:ascii="宋体" w:hAnsi="宋体"/>
          <w:color w:val="auto"/>
          <w:sz w:val="18"/>
          <w:szCs w:val="18"/>
        </w:rPr>
      </w:pPr>
      <w:r>
        <w:rPr>
          <w:rStyle w:val="70"/>
          <w:rFonts w:hint="eastAsia" w:ascii="宋体" w:hAnsi="宋体" w:eastAsia="宋体"/>
          <w:color w:val="auto"/>
        </w:rPr>
        <w:t>2、“专门面向中小企业采购”项目必须提供《中小企业声明函》。</w:t>
      </w:r>
    </w:p>
    <w:p w14:paraId="1344B6D0">
      <w:pPr>
        <w:widowControl w:val="0"/>
        <w:snapToGrid w:val="0"/>
        <w:spacing w:line="560" w:lineRule="exact"/>
        <w:rPr>
          <w:rFonts w:hint="eastAsia" w:ascii="宋体" w:hAnsi="宋体" w:cs="宋体"/>
          <w:b/>
          <w:color w:val="auto"/>
          <w:sz w:val="24"/>
        </w:rPr>
      </w:pPr>
    </w:p>
    <w:p w14:paraId="4E25FEB0">
      <w:pPr>
        <w:spacing w:line="588" w:lineRule="exact"/>
        <w:jc w:val="center"/>
        <w:rPr>
          <w:rFonts w:hint="eastAsia" w:ascii="宋体" w:hAnsi="宋体"/>
          <w:color w:val="auto"/>
          <w:sz w:val="24"/>
        </w:rPr>
      </w:pPr>
      <w:r>
        <w:rPr>
          <w:rFonts w:ascii="宋体" w:hAnsi="宋体"/>
          <w:color w:val="auto"/>
          <w:sz w:val="24"/>
        </w:rPr>
        <w:br w:type="page"/>
      </w:r>
    </w:p>
    <w:p w14:paraId="22A87776">
      <w:pPr>
        <w:spacing w:line="588" w:lineRule="exact"/>
        <w:jc w:val="center"/>
        <w:rPr>
          <w:rFonts w:hint="eastAsia" w:ascii="宋体" w:hAnsi="宋体"/>
          <w:color w:val="auto"/>
          <w:spacing w:val="6"/>
          <w:sz w:val="24"/>
          <w:szCs w:val="24"/>
        </w:rPr>
      </w:pPr>
      <w:r>
        <w:rPr>
          <w:rFonts w:hint="eastAsia" w:ascii="黑体" w:hAnsi="黑体" w:eastAsia="黑体"/>
          <w:b/>
          <w:color w:val="auto"/>
          <w:sz w:val="30"/>
          <w:szCs w:val="30"/>
        </w:rPr>
        <w:t>残疾人福利性单位声明函</w:t>
      </w:r>
      <w:r>
        <w:rPr>
          <w:rFonts w:hint="eastAsia" w:ascii="宋体" w:hAnsi="宋体"/>
          <w:color w:val="auto"/>
          <w:spacing w:val="6"/>
          <w:sz w:val="24"/>
          <w:szCs w:val="24"/>
        </w:rPr>
        <w:t>（如符合条件时填写</w:t>
      </w:r>
      <w:r>
        <w:rPr>
          <w:rFonts w:hint="eastAsia" w:ascii="宋体" w:hAnsi="宋体"/>
          <w:color w:val="auto"/>
          <w:spacing w:val="6"/>
          <w:sz w:val="28"/>
          <w:szCs w:val="28"/>
          <w:vertAlign w:val="superscript"/>
        </w:rPr>
        <w:t>*</w:t>
      </w:r>
      <w:r>
        <w:rPr>
          <w:rFonts w:hint="eastAsia" w:ascii="宋体" w:hAnsi="宋体"/>
          <w:color w:val="auto"/>
          <w:spacing w:val="6"/>
          <w:sz w:val="24"/>
          <w:szCs w:val="24"/>
        </w:rPr>
        <w:t>）</w:t>
      </w:r>
    </w:p>
    <w:p w14:paraId="33FBB552">
      <w:pPr>
        <w:spacing w:line="588" w:lineRule="exact"/>
        <w:rPr>
          <w:rFonts w:hint="eastAsia" w:ascii="宋体" w:hAnsi="宋体"/>
          <w:color w:val="auto"/>
          <w:spacing w:val="6"/>
          <w:sz w:val="24"/>
          <w:szCs w:val="24"/>
        </w:rPr>
      </w:pPr>
    </w:p>
    <w:p w14:paraId="5A67E141">
      <w:pPr>
        <w:spacing w:line="588" w:lineRule="exact"/>
        <w:ind w:firstLine="504" w:firstLineChars="200"/>
        <w:rPr>
          <w:rFonts w:hint="eastAsia" w:ascii="宋体" w:hAnsi="宋体"/>
          <w:color w:val="auto"/>
          <w:spacing w:val="6"/>
          <w:sz w:val="24"/>
          <w:szCs w:val="24"/>
        </w:rPr>
      </w:pPr>
      <w:r>
        <w:rPr>
          <w:rFonts w:hint="eastAsia" w:ascii="宋体" w:hAnsi="宋体"/>
          <w:color w:val="auto"/>
          <w:spacing w:val="6"/>
          <w:sz w:val="24"/>
          <w:szCs w:val="24"/>
        </w:rPr>
        <w:t>本单位郑重声明，根据《财政部 民政部 中国残疾人联合会关于促进残疾人就业政府采购政策的通知》（财库</w:t>
      </w:r>
      <w:r>
        <w:rPr>
          <w:rFonts w:hint="eastAsia" w:ascii="宋体" w:hAnsi="宋体"/>
          <w:color w:val="auto"/>
          <w:sz w:val="24"/>
          <w:szCs w:val="24"/>
        </w:rPr>
        <w:t>〔2017〕141</w:t>
      </w:r>
      <w:r>
        <w:rPr>
          <w:rFonts w:hint="eastAsia" w:ascii="宋体" w:hAnsi="宋体"/>
          <w:color w:val="auto"/>
          <w:spacing w:val="6"/>
          <w:sz w:val="24"/>
          <w:szCs w:val="24"/>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E396BFA">
      <w:pPr>
        <w:spacing w:line="588" w:lineRule="exact"/>
        <w:ind w:firstLine="504" w:firstLineChars="200"/>
        <w:rPr>
          <w:rFonts w:hint="eastAsia" w:ascii="宋体" w:hAnsi="宋体"/>
          <w:color w:val="auto"/>
          <w:spacing w:val="6"/>
          <w:sz w:val="24"/>
          <w:szCs w:val="24"/>
        </w:rPr>
      </w:pPr>
      <w:r>
        <w:rPr>
          <w:rFonts w:hint="eastAsia" w:ascii="宋体" w:hAnsi="宋体"/>
          <w:color w:val="auto"/>
          <w:spacing w:val="6"/>
          <w:sz w:val="24"/>
          <w:szCs w:val="24"/>
        </w:rPr>
        <w:t>本单位对上述声明的真实性负责。如有虚假，将依法承担相应责任。</w:t>
      </w:r>
    </w:p>
    <w:p w14:paraId="5BF04F34">
      <w:pPr>
        <w:spacing w:line="588" w:lineRule="exact"/>
        <w:ind w:firstLine="504" w:firstLineChars="200"/>
        <w:rPr>
          <w:rFonts w:hint="eastAsia" w:ascii="宋体" w:hAnsi="宋体"/>
          <w:color w:val="auto"/>
          <w:spacing w:val="6"/>
          <w:sz w:val="24"/>
          <w:szCs w:val="24"/>
        </w:rPr>
      </w:pPr>
    </w:p>
    <w:p w14:paraId="2D1B619F">
      <w:pPr>
        <w:spacing w:line="588" w:lineRule="exact"/>
        <w:ind w:firstLine="504" w:firstLineChars="200"/>
        <w:rPr>
          <w:rFonts w:hint="eastAsia" w:ascii="宋体" w:hAnsi="宋体"/>
          <w:color w:val="auto"/>
          <w:spacing w:val="6"/>
          <w:sz w:val="24"/>
          <w:szCs w:val="24"/>
        </w:rPr>
      </w:pPr>
    </w:p>
    <w:p w14:paraId="0E7CE18A">
      <w:pPr>
        <w:spacing w:line="588" w:lineRule="exact"/>
        <w:ind w:firstLine="504" w:firstLineChars="200"/>
        <w:rPr>
          <w:rFonts w:hint="eastAsia" w:ascii="宋体" w:hAnsi="宋体"/>
          <w:color w:val="auto"/>
          <w:spacing w:val="6"/>
          <w:sz w:val="24"/>
          <w:szCs w:val="24"/>
        </w:rPr>
      </w:pPr>
    </w:p>
    <w:p w14:paraId="67E51743">
      <w:pPr>
        <w:snapToGrid w:val="0"/>
        <w:spacing w:before="100" w:beforeAutospacing="1" w:after="100" w:afterAutospacing="1" w:line="700" w:lineRule="exact"/>
        <w:ind w:right="641" w:firstLine="4960" w:firstLineChars="2067"/>
        <w:rPr>
          <w:rFonts w:hint="eastAsia" w:ascii="宋体" w:hAnsi="宋体"/>
          <w:color w:val="auto"/>
          <w:sz w:val="24"/>
          <w:szCs w:val="24"/>
        </w:rPr>
      </w:pPr>
      <w:r>
        <w:rPr>
          <w:rFonts w:hint="eastAsia" w:ascii="宋体" w:hAnsi="宋体"/>
          <w:color w:val="auto"/>
          <w:sz w:val="24"/>
          <w:szCs w:val="24"/>
        </w:rPr>
        <w:t>单位名称</w:t>
      </w:r>
      <w:r>
        <w:rPr>
          <w:rFonts w:ascii="宋体" w:hAnsi="宋体"/>
          <w:color w:val="auto"/>
          <w:sz w:val="24"/>
          <w:szCs w:val="24"/>
        </w:rPr>
        <w:t>（盖章</w:t>
      </w:r>
      <w:r>
        <w:rPr>
          <w:rFonts w:ascii="宋体" w:hAnsi="宋体"/>
          <w:color w:val="auto"/>
          <w:sz w:val="24"/>
          <w:szCs w:val="24"/>
          <w:lang w:bidi="en-US"/>
        </w:rPr>
        <w:t>）</w:t>
      </w:r>
      <w:r>
        <w:rPr>
          <w:rFonts w:hint="eastAsia" w:ascii="宋体" w:hAnsi="宋体"/>
          <w:color w:val="auto"/>
          <w:sz w:val="24"/>
          <w:szCs w:val="24"/>
        </w:rPr>
        <w:t>：</w:t>
      </w:r>
    </w:p>
    <w:p w14:paraId="5ABA6504">
      <w:pPr>
        <w:snapToGrid w:val="0"/>
        <w:spacing w:before="100" w:beforeAutospacing="1" w:after="100" w:afterAutospacing="1" w:line="540" w:lineRule="exact"/>
        <w:ind w:right="85" w:firstLine="5016" w:firstLineChars="2090"/>
        <w:jc w:val="left"/>
        <w:textAlignment w:val="top"/>
        <w:rPr>
          <w:rFonts w:hint="eastAsia" w:ascii="宋体" w:hAnsi="宋体"/>
          <w:color w:val="auto"/>
          <w:sz w:val="24"/>
          <w:szCs w:val="24"/>
        </w:rPr>
      </w:pPr>
      <w:r>
        <w:rPr>
          <w:rFonts w:hint="eastAsia" w:ascii="宋体" w:hAnsi="宋体"/>
          <w:color w:val="auto"/>
          <w:sz w:val="24"/>
          <w:szCs w:val="24"/>
        </w:rPr>
        <w:t>日期：</w:t>
      </w:r>
    </w:p>
    <w:p w14:paraId="3BC23813">
      <w:pPr>
        <w:autoSpaceDE w:val="0"/>
        <w:autoSpaceDN w:val="0"/>
        <w:adjustRightInd w:val="0"/>
        <w:spacing w:line="360" w:lineRule="auto"/>
        <w:rPr>
          <w:rFonts w:ascii="宋体" w:cs="楷体_GB2312"/>
          <w:b/>
          <w:color w:val="auto"/>
          <w:sz w:val="30"/>
          <w:szCs w:val="30"/>
          <w:lang w:val="zh-CN"/>
        </w:rPr>
      </w:pPr>
    </w:p>
    <w:p w14:paraId="24EE00C7">
      <w:pPr>
        <w:autoSpaceDE w:val="0"/>
        <w:autoSpaceDN w:val="0"/>
        <w:adjustRightInd w:val="0"/>
        <w:spacing w:line="360" w:lineRule="auto"/>
        <w:jc w:val="center"/>
        <w:rPr>
          <w:rFonts w:ascii="宋体"/>
          <w:color w:val="auto"/>
          <w:sz w:val="24"/>
          <w:szCs w:val="24"/>
        </w:rPr>
      </w:pPr>
    </w:p>
    <w:p w14:paraId="59A09DE5">
      <w:pPr>
        <w:autoSpaceDE w:val="0"/>
        <w:autoSpaceDN w:val="0"/>
        <w:adjustRightInd w:val="0"/>
        <w:spacing w:line="360" w:lineRule="auto"/>
        <w:jc w:val="center"/>
        <w:rPr>
          <w:rFonts w:ascii="宋体"/>
          <w:color w:val="auto"/>
          <w:sz w:val="24"/>
          <w:szCs w:val="24"/>
        </w:rPr>
      </w:pPr>
    </w:p>
    <w:p w14:paraId="01D63E99">
      <w:pPr>
        <w:autoSpaceDE w:val="0"/>
        <w:autoSpaceDN w:val="0"/>
        <w:adjustRightInd w:val="0"/>
        <w:spacing w:line="360" w:lineRule="auto"/>
        <w:jc w:val="center"/>
        <w:rPr>
          <w:rFonts w:ascii="宋体"/>
          <w:color w:val="auto"/>
          <w:sz w:val="24"/>
          <w:szCs w:val="24"/>
        </w:rPr>
      </w:pPr>
    </w:p>
    <w:p w14:paraId="132C3659">
      <w:pPr>
        <w:spacing w:line="240" w:lineRule="auto"/>
        <w:ind w:firstLine="450" w:firstLineChars="250"/>
        <w:rPr>
          <w:rFonts w:hint="eastAsia" w:ascii="宋体" w:hAnsi="宋体"/>
          <w:color w:val="auto"/>
          <w:sz w:val="18"/>
          <w:szCs w:val="18"/>
        </w:rPr>
      </w:pPr>
      <w:r>
        <w:rPr>
          <w:rFonts w:hint="eastAsia" w:ascii="宋体" w:hAnsi="宋体"/>
          <w:color w:val="auto"/>
          <w:sz w:val="18"/>
          <w:szCs w:val="18"/>
        </w:rPr>
        <w:t>注：1、按政策规定：符合条件的残疾人福利性单位视同小型、微型企业。残疾人福利性单位属于小型、微型企业的，不重复享受政策。</w:t>
      </w:r>
    </w:p>
    <w:p w14:paraId="222DA1BE">
      <w:pPr>
        <w:spacing w:line="240" w:lineRule="auto"/>
        <w:ind w:firstLine="450" w:firstLineChars="250"/>
        <w:rPr>
          <w:rFonts w:hint="eastAsia" w:ascii="宋体" w:hAnsi="宋体"/>
          <w:color w:val="auto"/>
          <w:sz w:val="18"/>
          <w:szCs w:val="18"/>
        </w:rPr>
      </w:pPr>
      <w:r>
        <w:rPr>
          <w:rFonts w:hint="eastAsia" w:ascii="宋体" w:hAnsi="宋体"/>
          <w:color w:val="auto"/>
          <w:sz w:val="18"/>
          <w:szCs w:val="18"/>
        </w:rPr>
        <w:t>2、</w:t>
      </w:r>
      <w:r>
        <w:rPr>
          <w:rFonts w:hint="eastAsia" w:ascii="宋体" w:hAnsi="宋体"/>
          <w:b/>
          <w:color w:val="auto"/>
          <w:sz w:val="18"/>
          <w:szCs w:val="18"/>
          <w:vertAlign w:val="superscript"/>
        </w:rPr>
        <w:t>*</w:t>
      </w:r>
      <w:r>
        <w:rPr>
          <w:rFonts w:hint="eastAsia" w:ascii="宋体" w:hAnsi="宋体"/>
          <w:color w:val="auto"/>
          <w:sz w:val="18"/>
          <w:szCs w:val="18"/>
        </w:rPr>
        <w:t>本格式由符合促进残疾人就业政府采购政策条件的残疾人福利性单位填写，非残疾人福利性单位无需填写。本项目（专门面向中小企业采购）中，残疾人福利性单位属于</w:t>
      </w:r>
      <w:r>
        <w:rPr>
          <w:rFonts w:ascii="宋体" w:hAnsi="宋体"/>
          <w:color w:val="auto"/>
          <w:sz w:val="18"/>
          <w:szCs w:val="18"/>
        </w:rPr>
        <w:t>中型企业</w:t>
      </w:r>
      <w:r>
        <w:rPr>
          <w:rFonts w:hint="eastAsia" w:ascii="宋体" w:hAnsi="宋体"/>
          <w:color w:val="auto"/>
          <w:sz w:val="18"/>
          <w:szCs w:val="18"/>
        </w:rPr>
        <w:t>、小型、微型企业的，可只填写“</w:t>
      </w:r>
      <w:r>
        <w:rPr>
          <w:rFonts w:ascii="宋体" w:hAnsi="宋体"/>
          <w:color w:val="auto"/>
          <w:sz w:val="18"/>
          <w:szCs w:val="18"/>
        </w:rPr>
        <w:t xml:space="preserve"> 中小企业声明函</w:t>
      </w:r>
      <w:r>
        <w:rPr>
          <w:rFonts w:hint="eastAsia" w:ascii="宋体" w:hAnsi="宋体"/>
          <w:color w:val="auto"/>
          <w:sz w:val="18"/>
          <w:szCs w:val="18"/>
        </w:rPr>
        <w:t>”，不再填写“残疾人福利性单位</w:t>
      </w:r>
      <w:r>
        <w:rPr>
          <w:rFonts w:ascii="宋体" w:hAnsi="宋体"/>
          <w:color w:val="auto"/>
          <w:sz w:val="18"/>
          <w:szCs w:val="18"/>
        </w:rPr>
        <w:t>声明函</w:t>
      </w:r>
      <w:r>
        <w:rPr>
          <w:rFonts w:hint="eastAsia" w:ascii="宋体" w:hAnsi="宋体"/>
          <w:color w:val="auto"/>
          <w:sz w:val="18"/>
          <w:szCs w:val="18"/>
        </w:rPr>
        <w:t>”。</w:t>
      </w:r>
    </w:p>
    <w:p w14:paraId="4BA2C359">
      <w:pPr>
        <w:spacing w:line="240" w:lineRule="auto"/>
        <w:ind w:firstLine="450" w:firstLineChars="250"/>
        <w:rPr>
          <w:rFonts w:hint="eastAsia" w:ascii="宋体" w:hAnsi="宋体"/>
          <w:color w:val="auto"/>
          <w:sz w:val="18"/>
          <w:szCs w:val="18"/>
        </w:rPr>
      </w:pPr>
      <w:r>
        <w:rPr>
          <w:rFonts w:hint="eastAsia" w:ascii="宋体" w:hAnsi="宋体"/>
          <w:color w:val="auto"/>
          <w:sz w:val="18"/>
          <w:szCs w:val="18"/>
        </w:rPr>
        <w:t>3、残疾人福利性单位填写“残疾人福利性单位</w:t>
      </w:r>
      <w:r>
        <w:rPr>
          <w:rFonts w:ascii="宋体" w:hAnsi="宋体"/>
          <w:color w:val="auto"/>
          <w:sz w:val="18"/>
          <w:szCs w:val="18"/>
        </w:rPr>
        <w:t>声明函</w:t>
      </w:r>
      <w:r>
        <w:rPr>
          <w:rFonts w:hint="eastAsia" w:ascii="宋体" w:hAnsi="宋体"/>
          <w:color w:val="auto"/>
          <w:sz w:val="18"/>
          <w:szCs w:val="18"/>
        </w:rPr>
        <w:t>”后，仍需同时填写“</w:t>
      </w:r>
      <w:r>
        <w:rPr>
          <w:rFonts w:ascii="宋体" w:hAnsi="宋体"/>
          <w:color w:val="auto"/>
          <w:sz w:val="18"/>
          <w:szCs w:val="18"/>
        </w:rPr>
        <w:t>中小企业声明函</w:t>
      </w:r>
      <w:r>
        <w:rPr>
          <w:rFonts w:hint="eastAsia" w:ascii="宋体" w:hAnsi="宋体"/>
          <w:color w:val="auto"/>
          <w:sz w:val="18"/>
          <w:szCs w:val="18"/>
        </w:rPr>
        <w:t>”、可在“</w:t>
      </w:r>
      <w:r>
        <w:rPr>
          <w:rFonts w:ascii="宋体" w:hAnsi="宋体"/>
          <w:color w:val="auto"/>
          <w:sz w:val="18"/>
          <w:szCs w:val="18"/>
        </w:rPr>
        <w:t>中小企业声明函</w:t>
      </w:r>
      <w:r>
        <w:rPr>
          <w:rFonts w:hint="eastAsia" w:ascii="宋体" w:hAnsi="宋体"/>
          <w:color w:val="auto"/>
          <w:sz w:val="18"/>
          <w:szCs w:val="18"/>
        </w:rPr>
        <w:t>”注明“属于符合条件的残疾人福利性单位、视同小型、微型企业”。</w:t>
      </w:r>
    </w:p>
    <w:p w14:paraId="3E2D188E">
      <w:pPr>
        <w:widowControl w:val="0"/>
        <w:tabs>
          <w:tab w:val="left" w:pos="9365"/>
        </w:tabs>
        <w:snapToGrid w:val="0"/>
        <w:spacing w:after="56" w:line="560" w:lineRule="exact"/>
        <w:ind w:right="85"/>
        <w:jc w:val="center"/>
        <w:textAlignment w:val="top"/>
        <w:rPr>
          <w:rFonts w:ascii="宋体"/>
          <w:color w:val="auto"/>
          <w:sz w:val="24"/>
        </w:rPr>
      </w:pPr>
      <w:r>
        <w:rPr>
          <w:rFonts w:ascii="宋体" w:hAnsi="宋体"/>
          <w:color w:val="auto"/>
          <w:sz w:val="24"/>
        </w:rPr>
        <w:br w:type="page"/>
      </w:r>
    </w:p>
    <w:p w14:paraId="6313D6A7">
      <w:pPr>
        <w:widowControl w:val="0"/>
        <w:tabs>
          <w:tab w:val="left" w:pos="9365"/>
        </w:tabs>
        <w:snapToGrid w:val="0"/>
        <w:spacing w:after="56" w:line="560" w:lineRule="exact"/>
        <w:ind w:right="85"/>
        <w:jc w:val="center"/>
        <w:textAlignment w:val="top"/>
        <w:rPr>
          <w:rFonts w:hint="eastAsia" w:ascii="黑体" w:hAnsi="黑体" w:eastAsia="黑体"/>
          <w:b/>
          <w:color w:val="auto"/>
          <w:sz w:val="30"/>
          <w:szCs w:val="30"/>
        </w:rPr>
      </w:pPr>
      <w:r>
        <w:rPr>
          <w:rFonts w:hint="eastAsia" w:ascii="宋体"/>
          <w:color w:val="auto"/>
          <w:sz w:val="24"/>
          <w:szCs w:val="24"/>
        </w:rPr>
        <w:t xml:space="preserve">    </w:t>
      </w:r>
      <w:r>
        <w:rPr>
          <w:rFonts w:hint="eastAsia" w:ascii="黑体" w:hAnsi="黑体" w:eastAsia="黑体"/>
          <w:b/>
          <w:color w:val="auto"/>
          <w:sz w:val="30"/>
          <w:szCs w:val="30"/>
        </w:rPr>
        <w:t>近三年无重大违法记录的声明函</w:t>
      </w:r>
    </w:p>
    <w:p w14:paraId="0B1EA10F">
      <w:pPr>
        <w:tabs>
          <w:tab w:val="left" w:pos="9365"/>
        </w:tabs>
        <w:spacing w:before="57" w:after="57" w:line="586" w:lineRule="atLeast"/>
        <w:ind w:right="85"/>
        <w:jc w:val="left"/>
        <w:textAlignment w:val="top"/>
        <w:rPr>
          <w:rFonts w:hint="eastAsia" w:ascii="宋体" w:hAnsi="宋体"/>
          <w:color w:val="auto"/>
          <w:sz w:val="24"/>
          <w:szCs w:val="24"/>
        </w:rPr>
      </w:pPr>
    </w:p>
    <w:p w14:paraId="31156E81">
      <w:pPr>
        <w:tabs>
          <w:tab w:val="left" w:pos="9365"/>
        </w:tabs>
        <w:spacing w:before="57" w:after="57" w:line="586" w:lineRule="atLeast"/>
        <w:ind w:right="85"/>
        <w:jc w:val="left"/>
        <w:textAlignment w:val="top"/>
        <w:rPr>
          <w:rFonts w:hint="eastAsia" w:ascii="宋体" w:hAnsi="宋体"/>
          <w:color w:val="auto"/>
          <w:sz w:val="24"/>
          <w:szCs w:val="24"/>
        </w:rPr>
      </w:pPr>
      <w:r>
        <w:rPr>
          <w:rFonts w:hint="eastAsia" w:ascii="宋体" w:hAnsi="宋体"/>
          <w:color w:val="auto"/>
          <w:sz w:val="24"/>
        </w:rPr>
        <w:t>安阳市方正招标采购服务有限责任公司：</w:t>
      </w:r>
    </w:p>
    <w:p w14:paraId="1E3D0B3B">
      <w:pPr>
        <w:tabs>
          <w:tab w:val="left" w:pos="9365"/>
        </w:tabs>
        <w:spacing w:before="57" w:after="57" w:line="586" w:lineRule="atLeast"/>
        <w:ind w:right="85" w:firstLine="600" w:firstLineChars="250"/>
        <w:jc w:val="left"/>
        <w:textAlignment w:val="top"/>
        <w:rPr>
          <w:rFonts w:hint="eastAsia" w:ascii="宋体" w:hAnsi="宋体"/>
          <w:color w:val="auto"/>
          <w:sz w:val="24"/>
          <w:szCs w:val="24"/>
        </w:rPr>
      </w:pPr>
      <w:r>
        <w:rPr>
          <w:rFonts w:hint="eastAsia" w:ascii="宋体" w:hAnsi="宋体"/>
          <w:color w:val="auto"/>
          <w:sz w:val="24"/>
          <w:szCs w:val="24"/>
        </w:rPr>
        <w:t>我单位在参加政府采购活动前三年内，在经营活动中没有重大违法记录。</w:t>
      </w:r>
    </w:p>
    <w:p w14:paraId="26E48B09">
      <w:pPr>
        <w:tabs>
          <w:tab w:val="left" w:pos="9365"/>
        </w:tabs>
        <w:spacing w:before="57" w:after="57" w:line="586" w:lineRule="atLeast"/>
        <w:ind w:right="85" w:firstLine="600" w:firstLineChars="250"/>
        <w:jc w:val="left"/>
        <w:textAlignment w:val="top"/>
        <w:rPr>
          <w:rFonts w:hint="eastAsia" w:ascii="宋体" w:hAnsi="宋体"/>
          <w:color w:val="auto"/>
          <w:sz w:val="24"/>
          <w:szCs w:val="24"/>
        </w:rPr>
      </w:pPr>
      <w:r>
        <w:rPr>
          <w:rFonts w:hint="eastAsia" w:ascii="宋体" w:hAnsi="宋体"/>
          <w:color w:val="auto"/>
          <w:sz w:val="24"/>
          <w:szCs w:val="24"/>
        </w:rPr>
        <w:t>特此承诺。</w:t>
      </w:r>
    </w:p>
    <w:p w14:paraId="28B69F61">
      <w:pPr>
        <w:tabs>
          <w:tab w:val="left" w:pos="9365"/>
        </w:tabs>
        <w:spacing w:before="57" w:after="57" w:line="586" w:lineRule="atLeast"/>
        <w:ind w:right="85"/>
        <w:jc w:val="left"/>
        <w:textAlignment w:val="top"/>
        <w:rPr>
          <w:rFonts w:hint="eastAsia" w:ascii="宋体" w:hAnsi="宋体"/>
          <w:color w:val="auto"/>
          <w:sz w:val="24"/>
          <w:szCs w:val="24"/>
        </w:rPr>
      </w:pPr>
    </w:p>
    <w:p w14:paraId="010D0E2E">
      <w:pPr>
        <w:tabs>
          <w:tab w:val="left" w:pos="540"/>
        </w:tabs>
        <w:spacing w:line="440" w:lineRule="exact"/>
        <w:rPr>
          <w:rFonts w:ascii="宋体"/>
          <w:color w:val="auto"/>
          <w:sz w:val="24"/>
          <w:szCs w:val="24"/>
        </w:rPr>
      </w:pPr>
    </w:p>
    <w:p w14:paraId="6CE5A831">
      <w:pPr>
        <w:tabs>
          <w:tab w:val="left" w:pos="540"/>
        </w:tabs>
        <w:spacing w:line="440" w:lineRule="exact"/>
        <w:rPr>
          <w:rFonts w:ascii="宋体"/>
          <w:color w:val="auto"/>
          <w:sz w:val="24"/>
          <w:szCs w:val="24"/>
        </w:rPr>
      </w:pPr>
    </w:p>
    <w:p w14:paraId="41724375">
      <w:pPr>
        <w:tabs>
          <w:tab w:val="left" w:pos="540"/>
        </w:tabs>
        <w:spacing w:line="440" w:lineRule="exact"/>
        <w:rPr>
          <w:rFonts w:ascii="宋体"/>
          <w:color w:val="auto"/>
          <w:sz w:val="24"/>
          <w:szCs w:val="24"/>
        </w:rPr>
      </w:pPr>
    </w:p>
    <w:p w14:paraId="5792B4D9">
      <w:pPr>
        <w:tabs>
          <w:tab w:val="left" w:pos="540"/>
        </w:tabs>
        <w:spacing w:line="440" w:lineRule="exact"/>
        <w:rPr>
          <w:rFonts w:ascii="宋体"/>
          <w:color w:val="auto"/>
          <w:sz w:val="24"/>
          <w:szCs w:val="24"/>
        </w:rPr>
      </w:pPr>
    </w:p>
    <w:p w14:paraId="3230BE67">
      <w:pPr>
        <w:tabs>
          <w:tab w:val="left" w:pos="540"/>
        </w:tabs>
        <w:spacing w:line="440" w:lineRule="exact"/>
        <w:rPr>
          <w:rFonts w:ascii="宋体"/>
          <w:color w:val="auto"/>
          <w:sz w:val="24"/>
          <w:szCs w:val="24"/>
        </w:rPr>
      </w:pPr>
    </w:p>
    <w:p w14:paraId="13053988">
      <w:pPr>
        <w:tabs>
          <w:tab w:val="left" w:pos="540"/>
        </w:tabs>
        <w:spacing w:line="440" w:lineRule="exact"/>
        <w:rPr>
          <w:rFonts w:ascii="宋体"/>
          <w:color w:val="auto"/>
          <w:sz w:val="24"/>
          <w:szCs w:val="24"/>
        </w:rPr>
      </w:pPr>
    </w:p>
    <w:p w14:paraId="4A7CCE27">
      <w:pPr>
        <w:tabs>
          <w:tab w:val="left" w:pos="540"/>
        </w:tabs>
        <w:spacing w:line="440" w:lineRule="exact"/>
        <w:rPr>
          <w:rFonts w:ascii="宋体"/>
          <w:color w:val="auto"/>
          <w:sz w:val="24"/>
          <w:szCs w:val="24"/>
        </w:rPr>
      </w:pPr>
    </w:p>
    <w:p w14:paraId="30FD8D67">
      <w:pPr>
        <w:snapToGrid w:val="0"/>
        <w:spacing w:line="560" w:lineRule="atLeast"/>
        <w:jc w:val="center"/>
        <w:rPr>
          <w:rFonts w:ascii="宋体"/>
          <w:color w:val="auto"/>
          <w:sz w:val="24"/>
        </w:rPr>
      </w:pPr>
    </w:p>
    <w:p w14:paraId="0A267D17">
      <w:pPr>
        <w:widowControl w:val="0"/>
        <w:snapToGrid w:val="0"/>
        <w:spacing w:line="360" w:lineRule="auto"/>
        <w:textAlignment w:val="top"/>
        <w:rPr>
          <w:color w:val="auto"/>
          <w:sz w:val="24"/>
          <w:szCs w:val="24"/>
        </w:rPr>
      </w:pPr>
      <w:r>
        <w:rPr>
          <w:rFonts w:hint="eastAsia" w:ascii="宋体" w:hAnsi="宋体"/>
          <w:color w:val="auto"/>
          <w:sz w:val="24"/>
        </w:rPr>
        <w:t>供应商</w:t>
      </w:r>
      <w:r>
        <w:rPr>
          <w:rFonts w:hint="eastAsia"/>
          <w:color w:val="auto"/>
          <w:sz w:val="24"/>
          <w:szCs w:val="24"/>
        </w:rPr>
        <w:t>（电子签章）：</w:t>
      </w:r>
    </w:p>
    <w:p w14:paraId="01999893">
      <w:pPr>
        <w:widowControl w:val="0"/>
        <w:snapToGrid w:val="0"/>
        <w:spacing w:line="360" w:lineRule="auto"/>
        <w:textAlignment w:val="top"/>
        <w:rPr>
          <w:color w:val="auto"/>
          <w:sz w:val="24"/>
          <w:szCs w:val="24"/>
        </w:rPr>
      </w:pPr>
      <w:r>
        <w:rPr>
          <w:rFonts w:hint="eastAsia"/>
          <w:color w:val="auto"/>
          <w:sz w:val="24"/>
          <w:szCs w:val="24"/>
        </w:rPr>
        <w:t>法定代表人（电子签名或签章）：</w:t>
      </w:r>
    </w:p>
    <w:p w14:paraId="7C7F023C">
      <w:pPr>
        <w:widowControl w:val="0"/>
        <w:snapToGrid w:val="0"/>
        <w:spacing w:line="360" w:lineRule="auto"/>
        <w:textAlignment w:val="top"/>
        <w:rPr>
          <w:color w:val="auto"/>
          <w:sz w:val="24"/>
          <w:szCs w:val="24"/>
        </w:rPr>
      </w:pPr>
      <w:r>
        <w:rPr>
          <w:rFonts w:hint="eastAsia"/>
          <w:color w:val="auto"/>
          <w:sz w:val="24"/>
          <w:szCs w:val="24"/>
        </w:rPr>
        <w:t>日期：</w:t>
      </w:r>
      <w:r>
        <w:rPr>
          <w:color w:val="auto"/>
          <w:sz w:val="24"/>
          <w:szCs w:val="24"/>
        </w:rPr>
        <w:t xml:space="preserve">  </w:t>
      </w:r>
      <w:r>
        <w:rPr>
          <w:rFonts w:hint="eastAsia"/>
          <w:color w:val="auto"/>
          <w:sz w:val="24"/>
          <w:szCs w:val="24"/>
        </w:rPr>
        <w:t>年</w:t>
      </w:r>
      <w:r>
        <w:rPr>
          <w:color w:val="auto"/>
          <w:sz w:val="24"/>
          <w:szCs w:val="24"/>
        </w:rPr>
        <w:t xml:space="preserve">   </w:t>
      </w:r>
      <w:r>
        <w:rPr>
          <w:rFonts w:hint="eastAsia"/>
          <w:color w:val="auto"/>
          <w:sz w:val="24"/>
          <w:szCs w:val="24"/>
        </w:rPr>
        <w:t>月</w:t>
      </w:r>
      <w:r>
        <w:rPr>
          <w:color w:val="auto"/>
          <w:sz w:val="24"/>
          <w:szCs w:val="24"/>
        </w:rPr>
        <w:t xml:space="preserve">   </w:t>
      </w:r>
      <w:r>
        <w:rPr>
          <w:rFonts w:hint="eastAsia"/>
          <w:color w:val="auto"/>
          <w:sz w:val="24"/>
          <w:szCs w:val="24"/>
        </w:rPr>
        <w:t>日</w:t>
      </w:r>
    </w:p>
    <w:p w14:paraId="2F85B8E7">
      <w:pPr>
        <w:widowControl w:val="0"/>
        <w:tabs>
          <w:tab w:val="left" w:pos="9365"/>
        </w:tabs>
        <w:snapToGrid w:val="0"/>
        <w:spacing w:after="56" w:line="560" w:lineRule="exact"/>
        <w:ind w:right="85"/>
        <w:jc w:val="center"/>
        <w:textAlignment w:val="top"/>
        <w:rPr>
          <w:rFonts w:hint="eastAsia" w:ascii="黑体" w:hAnsi="黑体" w:eastAsia="黑体"/>
          <w:b/>
          <w:color w:val="auto"/>
          <w:sz w:val="30"/>
          <w:szCs w:val="30"/>
        </w:rPr>
      </w:pPr>
    </w:p>
    <w:p w14:paraId="381333BC">
      <w:pPr>
        <w:snapToGrid w:val="0"/>
        <w:spacing w:line="560" w:lineRule="exact"/>
        <w:ind w:firstLine="555"/>
        <w:rPr>
          <w:rFonts w:ascii="宋体"/>
          <w:color w:val="auto"/>
          <w:sz w:val="24"/>
        </w:rPr>
      </w:pPr>
      <w:r>
        <w:rPr>
          <w:rFonts w:ascii="宋体" w:hAnsi="宋体"/>
          <w:color w:val="auto"/>
          <w:sz w:val="24"/>
        </w:rPr>
        <w:t xml:space="preserve">        </w:t>
      </w:r>
    </w:p>
    <w:p w14:paraId="53B48784">
      <w:pPr>
        <w:snapToGrid w:val="0"/>
        <w:spacing w:line="560" w:lineRule="exact"/>
        <w:ind w:firstLine="555"/>
        <w:rPr>
          <w:rFonts w:ascii="宋体"/>
          <w:color w:val="auto"/>
          <w:sz w:val="24"/>
        </w:rPr>
      </w:pPr>
      <w:r>
        <w:rPr>
          <w:rFonts w:ascii="宋体" w:hAnsi="宋体"/>
          <w:color w:val="auto"/>
          <w:sz w:val="24"/>
        </w:rPr>
        <w:t xml:space="preserve">        </w:t>
      </w:r>
    </w:p>
    <w:p w14:paraId="4FBFB316">
      <w:pPr>
        <w:snapToGrid w:val="0"/>
        <w:spacing w:line="560" w:lineRule="atLeast"/>
        <w:jc w:val="center"/>
        <w:rPr>
          <w:rFonts w:ascii="宋体"/>
          <w:color w:val="auto"/>
          <w:sz w:val="24"/>
        </w:rPr>
      </w:pPr>
    </w:p>
    <w:p w14:paraId="08462E8F">
      <w:pPr>
        <w:snapToGrid w:val="0"/>
        <w:spacing w:line="560" w:lineRule="atLeast"/>
        <w:jc w:val="center"/>
        <w:rPr>
          <w:rFonts w:ascii="宋体"/>
          <w:color w:val="auto"/>
          <w:sz w:val="24"/>
        </w:rPr>
      </w:pPr>
    </w:p>
    <w:p w14:paraId="0774D614">
      <w:pPr>
        <w:snapToGrid w:val="0"/>
        <w:spacing w:line="560" w:lineRule="atLeast"/>
        <w:jc w:val="center"/>
        <w:rPr>
          <w:rFonts w:hint="eastAsia" w:ascii="黑体" w:hAnsi="黑体" w:eastAsia="黑体"/>
          <w:b/>
          <w:color w:val="auto"/>
          <w:sz w:val="30"/>
          <w:szCs w:val="30"/>
        </w:rPr>
      </w:pPr>
      <w:r>
        <w:rPr>
          <w:rFonts w:hint="eastAsia" w:ascii="黑体" w:hAnsi="黑体" w:eastAsia="黑体"/>
          <w:b/>
          <w:color w:val="auto"/>
          <w:sz w:val="30"/>
          <w:szCs w:val="30"/>
        </w:rPr>
        <w:br w:type="page"/>
      </w:r>
    </w:p>
    <w:p w14:paraId="28458499">
      <w:pPr>
        <w:snapToGrid w:val="0"/>
        <w:spacing w:line="560" w:lineRule="atLeast"/>
        <w:jc w:val="center"/>
        <w:rPr>
          <w:rFonts w:hint="eastAsia" w:ascii="黑体" w:hAnsi="黑体" w:eastAsia="黑体"/>
          <w:b/>
          <w:color w:val="auto"/>
          <w:sz w:val="30"/>
          <w:szCs w:val="30"/>
        </w:rPr>
      </w:pPr>
      <w:r>
        <w:rPr>
          <w:rFonts w:hint="eastAsia" w:ascii="黑体" w:hAnsi="黑体" w:eastAsia="黑体"/>
          <w:b/>
          <w:color w:val="auto"/>
          <w:sz w:val="30"/>
          <w:szCs w:val="30"/>
        </w:rPr>
        <w:t>供应商负责人控股、设计等相关承诺书</w:t>
      </w:r>
    </w:p>
    <w:p w14:paraId="0DFCB86D">
      <w:pPr>
        <w:tabs>
          <w:tab w:val="left" w:pos="9365"/>
        </w:tabs>
        <w:spacing w:before="360" w:after="360" w:line="586" w:lineRule="atLeast"/>
        <w:ind w:right="85"/>
        <w:jc w:val="left"/>
        <w:textAlignment w:val="top"/>
        <w:rPr>
          <w:rFonts w:hint="eastAsia" w:ascii="宋体" w:hAnsi="宋体"/>
          <w:color w:val="auto"/>
          <w:sz w:val="24"/>
          <w:szCs w:val="24"/>
        </w:rPr>
      </w:pPr>
      <w:r>
        <w:rPr>
          <w:rFonts w:hint="eastAsia" w:ascii="宋体" w:hAnsi="宋体"/>
          <w:color w:val="auto"/>
          <w:sz w:val="24"/>
          <w:szCs w:val="24"/>
        </w:rPr>
        <w:t>致：</w:t>
      </w:r>
      <w:r>
        <w:rPr>
          <w:rFonts w:hint="eastAsia" w:ascii="宋体" w:hAnsi="宋体"/>
          <w:color w:val="auto"/>
          <w:sz w:val="24"/>
          <w:szCs w:val="24"/>
          <w:u w:val="single"/>
        </w:rPr>
        <w:t xml:space="preserve">    </w:t>
      </w:r>
      <w:r>
        <w:rPr>
          <w:rFonts w:hint="eastAsia" w:ascii="宋体" w:hAnsi="宋体"/>
          <w:color w:val="auto"/>
          <w:spacing w:val="11"/>
          <w:sz w:val="24"/>
          <w:szCs w:val="24"/>
          <w:u w:val="single"/>
        </w:rPr>
        <w:t xml:space="preserve">(采购人名称）    </w:t>
      </w:r>
    </w:p>
    <w:p w14:paraId="333BF515">
      <w:pPr>
        <w:tabs>
          <w:tab w:val="left" w:pos="65"/>
        </w:tabs>
        <w:spacing w:line="740" w:lineRule="exact"/>
        <w:ind w:firstLine="480" w:firstLineChars="200"/>
        <w:rPr>
          <w:rFonts w:hint="eastAsia" w:ascii="宋体" w:hAnsi="宋体"/>
          <w:color w:val="auto"/>
          <w:sz w:val="24"/>
          <w:szCs w:val="24"/>
        </w:rPr>
      </w:pPr>
      <w:r>
        <w:rPr>
          <w:rFonts w:hint="eastAsia" w:ascii="宋体" w:hAnsi="宋体"/>
          <w:color w:val="auto"/>
          <w:sz w:val="24"/>
          <w:szCs w:val="24"/>
        </w:rPr>
        <w:t>在项目编号为</w:t>
      </w:r>
      <w:r>
        <w:rPr>
          <w:rFonts w:hint="eastAsia" w:ascii="宋体" w:hAnsi="宋体"/>
          <w:color w:val="auto"/>
          <w:sz w:val="24"/>
          <w:szCs w:val="24"/>
          <w:u w:val="single"/>
        </w:rPr>
        <w:t xml:space="preserve">                  </w:t>
      </w:r>
      <w:r>
        <w:rPr>
          <w:rFonts w:hint="eastAsia" w:ascii="宋体" w:hAnsi="宋体"/>
          <w:color w:val="auto"/>
          <w:sz w:val="24"/>
          <w:szCs w:val="24"/>
        </w:rPr>
        <w:t xml:space="preserve"> 的</w:t>
      </w:r>
      <w:r>
        <w:rPr>
          <w:rFonts w:hint="eastAsia" w:ascii="宋体" w:hAnsi="宋体"/>
          <w:color w:val="auto"/>
          <w:sz w:val="24"/>
          <w:szCs w:val="24"/>
          <w:u w:val="single"/>
        </w:rPr>
        <w:t xml:space="preserve">    （项目名称）  </w:t>
      </w:r>
      <w:r>
        <w:rPr>
          <w:rFonts w:hint="eastAsia" w:ascii="宋体" w:hAnsi="宋体"/>
          <w:color w:val="auto"/>
          <w:sz w:val="24"/>
          <w:szCs w:val="24"/>
        </w:rPr>
        <w:t xml:space="preserve"> 采购活动中，我单位承诺满足以下要求：</w:t>
      </w:r>
    </w:p>
    <w:p w14:paraId="1E35E50C">
      <w:pPr>
        <w:tabs>
          <w:tab w:val="left" w:pos="65"/>
        </w:tabs>
        <w:spacing w:line="740" w:lineRule="exact"/>
        <w:ind w:firstLine="480" w:firstLineChars="200"/>
        <w:rPr>
          <w:rFonts w:hint="eastAsia" w:ascii="宋体" w:hAnsi="宋体"/>
          <w:color w:val="auto"/>
          <w:sz w:val="24"/>
          <w:szCs w:val="24"/>
        </w:rPr>
      </w:pPr>
      <w:r>
        <w:rPr>
          <w:rFonts w:hint="eastAsia" w:ascii="宋体" w:hAnsi="宋体"/>
          <w:color w:val="auto"/>
          <w:sz w:val="24"/>
          <w:szCs w:val="24"/>
        </w:rPr>
        <w:t>一、单位负责人为同一人或者存在直接控股、管理关系的不同供应商，不参加同一合同项下的政府采购活动。</w:t>
      </w:r>
    </w:p>
    <w:p w14:paraId="14A0BC9A">
      <w:pPr>
        <w:tabs>
          <w:tab w:val="left" w:pos="65"/>
        </w:tabs>
        <w:spacing w:line="740" w:lineRule="exact"/>
        <w:ind w:firstLine="480" w:firstLineChars="200"/>
        <w:rPr>
          <w:rFonts w:hint="eastAsia" w:ascii="宋体" w:hAnsi="宋体"/>
          <w:color w:val="auto"/>
          <w:sz w:val="24"/>
          <w:szCs w:val="24"/>
        </w:rPr>
      </w:pPr>
      <w:r>
        <w:rPr>
          <w:rFonts w:hint="eastAsia" w:ascii="宋体" w:hAnsi="宋体"/>
          <w:color w:val="auto"/>
          <w:sz w:val="24"/>
          <w:szCs w:val="24"/>
        </w:rPr>
        <w:t>二、没有为本项目提供整体设计、规范编制或者项目管理、监理、检测等服务。</w:t>
      </w:r>
    </w:p>
    <w:p w14:paraId="75701F1B">
      <w:pPr>
        <w:tabs>
          <w:tab w:val="left" w:pos="9365"/>
        </w:tabs>
        <w:spacing w:before="57" w:after="57" w:line="586" w:lineRule="atLeast"/>
        <w:ind w:right="85" w:firstLine="480" w:firstLineChars="200"/>
        <w:jc w:val="left"/>
        <w:textAlignment w:val="top"/>
        <w:rPr>
          <w:rFonts w:hint="eastAsia" w:ascii="宋体" w:hAnsi="宋体"/>
          <w:color w:val="auto"/>
          <w:sz w:val="24"/>
          <w:szCs w:val="24"/>
        </w:rPr>
      </w:pPr>
      <w:r>
        <w:rPr>
          <w:rFonts w:hint="eastAsia" w:ascii="宋体" w:hAnsi="宋体"/>
          <w:color w:val="auto"/>
          <w:sz w:val="24"/>
          <w:szCs w:val="24"/>
        </w:rPr>
        <w:t>三、若出现上述行为，我单位确</w:t>
      </w:r>
      <w:r>
        <w:rPr>
          <w:rFonts w:ascii="宋体" w:hAnsi="宋体"/>
          <w:color w:val="auto"/>
          <w:sz w:val="24"/>
          <w:szCs w:val="24"/>
        </w:rPr>
        <w:t>认投标无</w:t>
      </w:r>
      <w:r>
        <w:rPr>
          <w:rFonts w:hint="eastAsia" w:ascii="宋体" w:hAnsi="宋体"/>
          <w:color w:val="auto"/>
          <w:sz w:val="24"/>
          <w:szCs w:val="24"/>
        </w:rPr>
        <w:t>效、</w:t>
      </w:r>
      <w:r>
        <w:rPr>
          <w:rFonts w:ascii="宋体" w:hAnsi="宋体"/>
          <w:color w:val="auto"/>
          <w:sz w:val="24"/>
          <w:szCs w:val="24"/>
        </w:rPr>
        <w:t>承诺</w:t>
      </w:r>
      <w:r>
        <w:rPr>
          <w:rFonts w:hint="eastAsia" w:ascii="宋体" w:hAnsi="宋体"/>
          <w:color w:val="auto"/>
          <w:sz w:val="24"/>
          <w:szCs w:val="24"/>
        </w:rPr>
        <w:t>书</w:t>
      </w:r>
      <w:r>
        <w:rPr>
          <w:rFonts w:ascii="宋体" w:hAnsi="宋体"/>
          <w:color w:val="auto"/>
          <w:sz w:val="24"/>
          <w:szCs w:val="24"/>
        </w:rPr>
        <w:t>虚假</w:t>
      </w:r>
      <w:r>
        <w:rPr>
          <w:rFonts w:hint="eastAsia" w:ascii="宋体" w:hAnsi="宋体"/>
          <w:color w:val="auto"/>
          <w:sz w:val="24"/>
          <w:szCs w:val="24"/>
        </w:rPr>
        <w:t>，接受相关部门按照国家法律法规等有关规定对</w:t>
      </w:r>
      <w:r>
        <w:rPr>
          <w:rFonts w:ascii="宋体" w:hAnsi="宋体"/>
          <w:color w:val="auto"/>
          <w:sz w:val="24"/>
          <w:szCs w:val="24"/>
        </w:rPr>
        <w:t>我单位虚假承诺所</w:t>
      </w:r>
      <w:r>
        <w:rPr>
          <w:rFonts w:hint="eastAsia" w:ascii="宋体" w:hAnsi="宋体"/>
          <w:color w:val="auto"/>
          <w:sz w:val="24"/>
          <w:szCs w:val="24"/>
        </w:rPr>
        <w:t>给予的处理。</w:t>
      </w:r>
    </w:p>
    <w:p w14:paraId="696653BB">
      <w:pPr>
        <w:tabs>
          <w:tab w:val="left" w:pos="9365"/>
        </w:tabs>
        <w:spacing w:before="57" w:after="57" w:line="586" w:lineRule="atLeast"/>
        <w:ind w:right="85"/>
        <w:jc w:val="left"/>
        <w:textAlignment w:val="top"/>
        <w:rPr>
          <w:rFonts w:hint="eastAsia" w:ascii="宋体" w:hAnsi="宋体"/>
          <w:color w:val="auto"/>
          <w:sz w:val="24"/>
          <w:szCs w:val="24"/>
        </w:rPr>
      </w:pPr>
      <w:r>
        <w:rPr>
          <w:rFonts w:ascii="宋体" w:hAnsi="宋体"/>
          <w:color w:val="auto"/>
          <w:sz w:val="24"/>
          <w:szCs w:val="24"/>
        </w:rPr>
        <w:t> </w:t>
      </w:r>
    </w:p>
    <w:p w14:paraId="15A70FC4">
      <w:pPr>
        <w:snapToGrid w:val="0"/>
        <w:spacing w:before="100" w:beforeAutospacing="1" w:after="100" w:afterAutospacing="1" w:line="700" w:lineRule="exact"/>
        <w:ind w:right="641"/>
        <w:rPr>
          <w:rFonts w:hint="eastAsia" w:ascii="宋体" w:hAnsi="宋体"/>
          <w:color w:val="auto"/>
          <w:sz w:val="24"/>
          <w:szCs w:val="24"/>
        </w:rPr>
      </w:pPr>
      <w:r>
        <w:rPr>
          <w:rFonts w:hint="eastAsia" w:ascii="宋体" w:hAnsi="宋体"/>
          <w:color w:val="auto"/>
          <w:sz w:val="24"/>
        </w:rPr>
        <w:t>供应商</w:t>
      </w:r>
      <w:r>
        <w:rPr>
          <w:rFonts w:hint="eastAsia" w:ascii="宋体" w:hAnsi="宋体"/>
          <w:color w:val="auto"/>
          <w:sz w:val="24"/>
          <w:szCs w:val="24"/>
        </w:rPr>
        <w:t>（电子签章）：</w:t>
      </w:r>
    </w:p>
    <w:p w14:paraId="45149C15">
      <w:pPr>
        <w:snapToGrid w:val="0"/>
        <w:spacing w:before="100" w:beforeAutospacing="1" w:after="100" w:afterAutospacing="1" w:line="700" w:lineRule="exact"/>
        <w:ind w:right="641"/>
        <w:rPr>
          <w:rFonts w:hint="eastAsia" w:ascii="宋体" w:hAnsi="宋体"/>
          <w:color w:val="auto"/>
          <w:sz w:val="24"/>
          <w:szCs w:val="24"/>
        </w:rPr>
      </w:pPr>
      <w:r>
        <w:rPr>
          <w:rFonts w:hint="eastAsia" w:ascii="宋体" w:hAnsi="宋体"/>
          <w:color w:val="auto"/>
          <w:sz w:val="24"/>
          <w:szCs w:val="24"/>
        </w:rPr>
        <w:t>法定代表人（电子签名或签章）：</w:t>
      </w:r>
    </w:p>
    <w:p w14:paraId="42B4AF37">
      <w:pPr>
        <w:widowControl w:val="0"/>
        <w:tabs>
          <w:tab w:val="left" w:pos="9365"/>
        </w:tabs>
        <w:snapToGrid w:val="0"/>
        <w:spacing w:after="56" w:line="560" w:lineRule="exact"/>
        <w:ind w:right="85"/>
        <w:jc w:val="left"/>
        <w:textAlignment w:val="top"/>
        <w:rPr>
          <w:color w:val="auto"/>
          <w:sz w:val="24"/>
          <w:szCs w:val="24"/>
        </w:rPr>
      </w:pPr>
      <w:r>
        <w:rPr>
          <w:rFonts w:hint="eastAsia" w:ascii="宋体" w:hAnsi="宋体"/>
          <w:color w:val="auto"/>
          <w:sz w:val="24"/>
          <w:szCs w:val="24"/>
        </w:rPr>
        <w:t>日期：</w:t>
      </w:r>
      <w:r>
        <w:rPr>
          <w:rFonts w:ascii="宋体" w:hAnsi="宋体" w:cs="楷体_GB2312"/>
          <w:color w:val="auto"/>
          <w:sz w:val="24"/>
          <w:lang w:val="zh-CN"/>
        </w:rPr>
        <w:t xml:space="preserve">  </w:t>
      </w:r>
      <w:r>
        <w:rPr>
          <w:rFonts w:hint="eastAsia" w:ascii="宋体" w:hAnsi="宋体" w:cs="楷体_GB2312"/>
          <w:color w:val="auto"/>
          <w:sz w:val="24"/>
          <w:lang w:val="zh-CN"/>
        </w:rPr>
        <w:t>年</w:t>
      </w:r>
      <w:r>
        <w:rPr>
          <w:rFonts w:ascii="宋体" w:hAnsi="宋体" w:cs="楷体_GB2312"/>
          <w:color w:val="auto"/>
          <w:sz w:val="24"/>
          <w:lang w:val="zh-CN"/>
        </w:rPr>
        <w:t xml:space="preserve">   </w:t>
      </w:r>
      <w:r>
        <w:rPr>
          <w:rFonts w:hint="eastAsia" w:ascii="宋体" w:hAnsi="宋体" w:cs="楷体_GB2312"/>
          <w:color w:val="auto"/>
          <w:sz w:val="24"/>
          <w:lang w:val="zh-CN"/>
        </w:rPr>
        <w:t>月</w:t>
      </w:r>
      <w:r>
        <w:rPr>
          <w:rFonts w:ascii="宋体" w:hAnsi="宋体" w:cs="楷体_GB2312"/>
          <w:color w:val="auto"/>
          <w:sz w:val="24"/>
          <w:lang w:val="zh-CN"/>
        </w:rPr>
        <w:t xml:space="preserve">   </w:t>
      </w:r>
      <w:r>
        <w:rPr>
          <w:rFonts w:hint="eastAsia" w:ascii="宋体" w:hAnsi="宋体" w:cs="楷体_GB2312"/>
          <w:color w:val="auto"/>
          <w:sz w:val="24"/>
          <w:lang w:val="zh-CN"/>
        </w:rPr>
        <w:t>日</w:t>
      </w:r>
    </w:p>
    <w:p w14:paraId="28B2A5CD">
      <w:pPr>
        <w:autoSpaceDE w:val="0"/>
        <w:autoSpaceDN w:val="0"/>
        <w:adjustRightInd w:val="0"/>
        <w:spacing w:line="360" w:lineRule="auto"/>
        <w:jc w:val="center"/>
        <w:rPr>
          <w:rFonts w:ascii="宋体"/>
          <w:color w:val="auto"/>
          <w:sz w:val="24"/>
          <w:szCs w:val="24"/>
        </w:rPr>
      </w:pPr>
    </w:p>
    <w:p w14:paraId="688F74A0">
      <w:pPr>
        <w:autoSpaceDE w:val="0"/>
        <w:autoSpaceDN w:val="0"/>
        <w:adjustRightInd w:val="0"/>
        <w:spacing w:line="360" w:lineRule="auto"/>
        <w:jc w:val="center"/>
        <w:rPr>
          <w:rFonts w:ascii="宋体"/>
          <w:color w:val="auto"/>
          <w:sz w:val="24"/>
          <w:szCs w:val="24"/>
        </w:rPr>
      </w:pPr>
    </w:p>
    <w:p w14:paraId="6279FF15">
      <w:pPr>
        <w:autoSpaceDE w:val="0"/>
        <w:autoSpaceDN w:val="0"/>
        <w:adjustRightInd w:val="0"/>
        <w:spacing w:line="360" w:lineRule="auto"/>
        <w:jc w:val="center"/>
        <w:rPr>
          <w:rFonts w:ascii="宋体"/>
          <w:color w:val="auto"/>
          <w:sz w:val="24"/>
          <w:szCs w:val="24"/>
        </w:rPr>
      </w:pPr>
    </w:p>
    <w:p w14:paraId="7D3BA41D">
      <w:pPr>
        <w:autoSpaceDE w:val="0"/>
        <w:autoSpaceDN w:val="0"/>
        <w:adjustRightInd w:val="0"/>
        <w:spacing w:line="360" w:lineRule="auto"/>
        <w:jc w:val="center"/>
        <w:rPr>
          <w:rFonts w:ascii="宋体"/>
          <w:color w:val="auto"/>
          <w:sz w:val="24"/>
          <w:szCs w:val="24"/>
        </w:rPr>
      </w:pPr>
    </w:p>
    <w:p w14:paraId="7413E46B">
      <w:pPr>
        <w:widowControl w:val="0"/>
        <w:snapToGrid w:val="0"/>
        <w:spacing w:line="560" w:lineRule="exact"/>
        <w:jc w:val="center"/>
        <w:rPr>
          <w:rFonts w:ascii="宋体"/>
          <w:color w:val="auto"/>
          <w:sz w:val="24"/>
          <w:szCs w:val="24"/>
        </w:rPr>
      </w:pPr>
      <w:r>
        <w:rPr>
          <w:rFonts w:ascii="宋体"/>
          <w:color w:val="auto"/>
          <w:sz w:val="24"/>
          <w:szCs w:val="24"/>
        </w:rPr>
        <w:br w:type="page"/>
      </w:r>
    </w:p>
    <w:p w14:paraId="3A2ECEB0">
      <w:pPr>
        <w:autoSpaceDE w:val="0"/>
        <w:autoSpaceDN w:val="0"/>
        <w:adjustRightInd w:val="0"/>
        <w:spacing w:line="360" w:lineRule="auto"/>
        <w:jc w:val="center"/>
        <w:rPr>
          <w:rFonts w:hint="eastAsia" w:ascii="黑体" w:hAnsi="黑体" w:eastAsia="黑体"/>
          <w:b/>
          <w:color w:val="auto"/>
          <w:sz w:val="30"/>
          <w:szCs w:val="30"/>
        </w:rPr>
      </w:pPr>
      <w:r>
        <w:rPr>
          <w:rFonts w:hint="eastAsia" w:ascii="黑体" w:hAnsi="黑体" w:eastAsia="黑体"/>
          <w:b/>
          <w:color w:val="auto"/>
          <w:sz w:val="30"/>
          <w:szCs w:val="30"/>
        </w:rPr>
        <w:t>投标承诺函</w:t>
      </w:r>
    </w:p>
    <w:p w14:paraId="30BC0C7B">
      <w:pPr>
        <w:widowControl w:val="0"/>
        <w:autoSpaceDE w:val="0"/>
        <w:autoSpaceDN w:val="0"/>
        <w:adjustRightInd w:val="0"/>
        <w:spacing w:line="240" w:lineRule="auto"/>
        <w:jc w:val="center"/>
        <w:textAlignment w:val="auto"/>
        <w:rPr>
          <w:rFonts w:hint="eastAsia" w:ascii="黑体" w:hAnsi="黑体" w:eastAsia="黑体"/>
          <w:b/>
          <w:color w:val="auto"/>
          <w:sz w:val="30"/>
          <w:szCs w:val="30"/>
        </w:rPr>
      </w:pPr>
      <w:r>
        <w:rPr>
          <w:rFonts w:hint="eastAsia" w:ascii="黑体" w:hAnsi="黑体" w:eastAsia="黑体"/>
          <w:b/>
          <w:color w:val="auto"/>
          <w:sz w:val="30"/>
          <w:szCs w:val="30"/>
        </w:rPr>
        <w:t>（以投标承诺函形式，替代投标保证金的相关承诺事项）</w:t>
      </w:r>
    </w:p>
    <w:p w14:paraId="39379CA8">
      <w:pPr>
        <w:widowControl w:val="0"/>
        <w:tabs>
          <w:tab w:val="left" w:pos="9365"/>
        </w:tabs>
        <w:spacing w:before="360" w:after="360" w:line="360" w:lineRule="auto"/>
        <w:ind w:right="85"/>
        <w:jc w:val="left"/>
        <w:textAlignment w:val="top"/>
        <w:rPr>
          <w:rFonts w:hint="eastAsia" w:ascii="宋体" w:hAnsi="宋体"/>
          <w:color w:val="auto"/>
          <w:sz w:val="24"/>
          <w:szCs w:val="24"/>
        </w:rPr>
      </w:pPr>
      <w:r>
        <w:rPr>
          <w:rFonts w:hint="eastAsia" w:ascii="宋体" w:hAnsi="宋体"/>
          <w:color w:val="auto"/>
          <w:sz w:val="24"/>
          <w:szCs w:val="24"/>
        </w:rPr>
        <w:t>致：</w:t>
      </w:r>
      <w:r>
        <w:rPr>
          <w:rFonts w:hint="eastAsia" w:ascii="宋体" w:hAnsi="宋体"/>
          <w:color w:val="auto"/>
          <w:sz w:val="24"/>
          <w:szCs w:val="24"/>
          <w:u w:val="single"/>
        </w:rPr>
        <w:t xml:space="preserve">    </w:t>
      </w:r>
      <w:r>
        <w:rPr>
          <w:rFonts w:hint="eastAsia" w:ascii="宋体" w:hAnsi="宋体"/>
          <w:color w:val="auto"/>
          <w:spacing w:val="11"/>
          <w:sz w:val="24"/>
          <w:szCs w:val="24"/>
          <w:u w:val="single"/>
        </w:rPr>
        <w:t>(采购人名称） 、</w:t>
      </w:r>
      <w:r>
        <w:rPr>
          <w:rFonts w:hint="eastAsia"/>
          <w:color w:val="auto"/>
          <w:sz w:val="24"/>
          <w:szCs w:val="24"/>
        </w:rPr>
        <w:t>安阳市方正招标采购服务有限责任公司</w:t>
      </w:r>
    </w:p>
    <w:p w14:paraId="2581A7EF">
      <w:pPr>
        <w:widowControl w:val="0"/>
        <w:tabs>
          <w:tab w:val="left" w:pos="65"/>
        </w:tabs>
        <w:spacing w:line="460" w:lineRule="atLeast"/>
        <w:ind w:firstLine="480" w:firstLineChars="200"/>
        <w:textAlignment w:val="auto"/>
        <w:rPr>
          <w:rFonts w:hint="eastAsia" w:ascii="宋体" w:hAnsi="宋体"/>
          <w:color w:val="auto"/>
          <w:sz w:val="24"/>
          <w:szCs w:val="24"/>
          <w:lang w:val="zh-CN"/>
        </w:rPr>
      </w:pPr>
      <w:r>
        <w:rPr>
          <w:rFonts w:hint="eastAsia" w:ascii="宋体" w:hAnsi="宋体"/>
          <w:color w:val="auto"/>
          <w:sz w:val="24"/>
          <w:szCs w:val="24"/>
        </w:rPr>
        <w:t>在项目编号为</w:t>
      </w:r>
      <w:r>
        <w:rPr>
          <w:rFonts w:hint="eastAsia" w:ascii="宋体" w:hAnsi="宋体"/>
          <w:color w:val="auto"/>
          <w:sz w:val="24"/>
          <w:szCs w:val="24"/>
          <w:u w:val="single"/>
        </w:rPr>
        <w:t xml:space="preserve">                  </w:t>
      </w:r>
      <w:r>
        <w:rPr>
          <w:rFonts w:hint="eastAsia" w:ascii="宋体" w:hAnsi="宋体"/>
          <w:color w:val="auto"/>
          <w:sz w:val="24"/>
          <w:szCs w:val="24"/>
        </w:rPr>
        <w:t xml:space="preserve"> 的</w:t>
      </w:r>
      <w:r>
        <w:rPr>
          <w:rFonts w:hint="eastAsia" w:ascii="宋体" w:hAnsi="宋体"/>
          <w:color w:val="auto"/>
          <w:sz w:val="24"/>
          <w:szCs w:val="24"/>
          <w:u w:val="single"/>
        </w:rPr>
        <w:t xml:space="preserve">    （项目名称）  </w:t>
      </w:r>
      <w:r>
        <w:rPr>
          <w:rFonts w:hint="eastAsia" w:ascii="宋体" w:hAnsi="宋体"/>
          <w:color w:val="auto"/>
          <w:sz w:val="24"/>
          <w:szCs w:val="24"/>
        </w:rPr>
        <w:t xml:space="preserve"> 采购活动中，我</w:t>
      </w:r>
      <w:r>
        <w:rPr>
          <w:rFonts w:hint="eastAsia"/>
          <w:color w:val="auto"/>
          <w:sz w:val="24"/>
        </w:rPr>
        <w:t>单位</w:t>
      </w:r>
      <w:r>
        <w:rPr>
          <w:rFonts w:hint="eastAsia" w:ascii="宋体" w:hAnsi="宋体"/>
          <w:color w:val="auto"/>
          <w:sz w:val="24"/>
          <w:szCs w:val="24"/>
        </w:rPr>
        <w:t>承诺：</w:t>
      </w:r>
    </w:p>
    <w:p w14:paraId="7A143990">
      <w:pPr>
        <w:widowControl w:val="0"/>
        <w:tabs>
          <w:tab w:val="left" w:pos="65"/>
        </w:tabs>
        <w:spacing w:line="460" w:lineRule="atLeast"/>
        <w:ind w:firstLine="480" w:firstLineChars="200"/>
        <w:textAlignment w:val="auto"/>
        <w:rPr>
          <w:rFonts w:hint="eastAsia" w:ascii="宋体" w:hAnsi="宋体"/>
          <w:color w:val="auto"/>
          <w:sz w:val="24"/>
          <w:szCs w:val="24"/>
        </w:rPr>
      </w:pPr>
      <w:r>
        <w:rPr>
          <w:rFonts w:hint="eastAsia" w:ascii="宋体" w:hAnsi="宋体"/>
          <w:color w:val="auto"/>
          <w:sz w:val="24"/>
          <w:szCs w:val="24"/>
        </w:rPr>
        <w:t>一、遵循公开、公平、公正和</w:t>
      </w:r>
      <w:r>
        <w:fldChar w:fldCharType="begin"/>
      </w:r>
      <w:r>
        <w:instrText xml:space="preserve"> HYPERLINK "http://www.so.com/s?q=%E8%AF%9A%E5%AE%9E%E4%BF%A1%E7%94%A8&amp;ie=utf-8&amp;src=internal_wenda_recommend_textn" \t "https://wenda.so.com/q/_blank" </w:instrText>
      </w:r>
      <w:r>
        <w:fldChar w:fldCharType="separate"/>
      </w:r>
      <w:r>
        <w:rPr>
          <w:rFonts w:hint="eastAsia" w:ascii="宋体" w:hAnsi="宋体"/>
          <w:color w:val="auto"/>
          <w:sz w:val="24"/>
          <w:szCs w:val="24"/>
        </w:rPr>
        <w:t>诚实信用</w:t>
      </w:r>
      <w:r>
        <w:rPr>
          <w:rFonts w:hint="eastAsia" w:ascii="宋体" w:hAnsi="宋体"/>
          <w:color w:val="auto"/>
          <w:sz w:val="24"/>
          <w:szCs w:val="24"/>
        </w:rPr>
        <w:fldChar w:fldCharType="end"/>
      </w:r>
      <w:r>
        <w:rPr>
          <w:rFonts w:hint="eastAsia" w:ascii="宋体" w:hAnsi="宋体"/>
          <w:color w:val="auto"/>
          <w:sz w:val="24"/>
          <w:szCs w:val="24"/>
        </w:rPr>
        <w:t>的原则自愿参加本项目投标；</w:t>
      </w:r>
      <w:r>
        <w:rPr>
          <w:rFonts w:hint="eastAsia" w:ascii="宋体" w:hAnsi="宋体"/>
          <w:color w:val="auto"/>
          <w:sz w:val="24"/>
          <w:szCs w:val="24"/>
        </w:rPr>
        <w:br w:type="textWrapping"/>
      </w:r>
      <w:r>
        <w:rPr>
          <w:rFonts w:hint="eastAsia" w:ascii="宋体" w:hAnsi="宋体"/>
          <w:color w:val="auto"/>
          <w:sz w:val="24"/>
          <w:szCs w:val="24"/>
        </w:rPr>
        <w:t xml:space="preserve">    二、在政府采购活动中提供真实、准确、有效、合法的材料，不</w:t>
      </w:r>
      <w:r>
        <w:rPr>
          <w:rFonts w:hint="eastAsia" w:ascii="宋体" w:hAnsi="宋体"/>
          <w:color w:val="auto"/>
          <w:sz w:val="24"/>
          <w:szCs w:val="24"/>
          <w:lang w:val="zh-CN"/>
        </w:rPr>
        <w:t>提供虚假材料；</w:t>
      </w:r>
    </w:p>
    <w:p w14:paraId="74F13CED">
      <w:pPr>
        <w:widowControl w:val="0"/>
        <w:tabs>
          <w:tab w:val="left" w:pos="65"/>
        </w:tabs>
        <w:spacing w:line="460" w:lineRule="atLeast"/>
        <w:ind w:firstLine="480" w:firstLineChars="200"/>
        <w:textAlignment w:val="auto"/>
        <w:rPr>
          <w:rFonts w:hint="eastAsia" w:ascii="宋体" w:hAnsi="宋体"/>
          <w:color w:val="auto"/>
          <w:sz w:val="24"/>
          <w:szCs w:val="24"/>
          <w:lang w:val="zh-CN"/>
        </w:rPr>
      </w:pPr>
      <w:r>
        <w:rPr>
          <w:rFonts w:hint="eastAsia" w:ascii="宋体" w:hAnsi="宋体"/>
          <w:color w:val="auto"/>
          <w:sz w:val="24"/>
          <w:szCs w:val="24"/>
        </w:rPr>
        <w:t>三、</w:t>
      </w:r>
      <w:r>
        <w:rPr>
          <w:rFonts w:hint="eastAsia" w:ascii="宋体" w:hAnsi="宋体"/>
          <w:color w:val="auto"/>
          <w:sz w:val="24"/>
          <w:szCs w:val="24"/>
          <w:lang w:val="zh-CN"/>
        </w:rPr>
        <w:t>按照</w:t>
      </w:r>
      <w:r>
        <w:rPr>
          <w:rFonts w:hint="eastAsia" w:ascii="宋体" w:hAnsi="宋体"/>
          <w:color w:val="auto"/>
          <w:sz w:val="24"/>
          <w:szCs w:val="24"/>
        </w:rPr>
        <w:t>磋商</w:t>
      </w:r>
      <w:r>
        <w:rPr>
          <w:rFonts w:hint="eastAsia" w:ascii="宋体" w:hAnsi="宋体"/>
          <w:color w:val="auto"/>
          <w:sz w:val="24"/>
          <w:szCs w:val="24"/>
          <w:lang w:val="zh-CN"/>
        </w:rPr>
        <w:t>文件规定，在提交响应文件截止时间后，在</w:t>
      </w:r>
      <w:r>
        <w:rPr>
          <w:rFonts w:hint="eastAsia" w:ascii="宋体" w:hAnsi="宋体"/>
          <w:color w:val="auto"/>
          <w:sz w:val="24"/>
          <w:szCs w:val="24"/>
        </w:rPr>
        <w:t>磋商</w:t>
      </w:r>
      <w:r>
        <w:rPr>
          <w:rFonts w:hint="eastAsia" w:ascii="宋体" w:hAnsi="宋体"/>
          <w:color w:val="auto"/>
          <w:sz w:val="24"/>
          <w:szCs w:val="24"/>
          <w:lang w:val="zh-CN"/>
        </w:rPr>
        <w:t>文件规定的投标有效期限内不撤回响应文件；</w:t>
      </w:r>
    </w:p>
    <w:p w14:paraId="65BB346D">
      <w:pPr>
        <w:widowControl w:val="0"/>
        <w:tabs>
          <w:tab w:val="left" w:pos="65"/>
        </w:tabs>
        <w:spacing w:line="460" w:lineRule="atLeast"/>
        <w:ind w:firstLine="480" w:firstLineChars="200"/>
        <w:textAlignment w:val="auto"/>
        <w:rPr>
          <w:rFonts w:hint="eastAsia" w:ascii="宋体" w:hAnsi="宋体"/>
          <w:color w:val="auto"/>
          <w:sz w:val="24"/>
          <w:szCs w:val="24"/>
          <w:lang w:val="zh-CN"/>
        </w:rPr>
      </w:pPr>
      <w:r>
        <w:rPr>
          <w:rFonts w:hint="eastAsia" w:ascii="宋体" w:hAnsi="宋体"/>
          <w:color w:val="auto"/>
          <w:sz w:val="24"/>
          <w:szCs w:val="24"/>
        </w:rPr>
        <w:t>四、不</w:t>
      </w:r>
      <w:r>
        <w:rPr>
          <w:rFonts w:hint="eastAsia" w:ascii="宋体" w:hAnsi="宋体"/>
          <w:color w:val="auto"/>
          <w:sz w:val="24"/>
          <w:szCs w:val="24"/>
          <w:lang w:val="zh-CN"/>
        </w:rPr>
        <w:t>与其他供应商、采购人或采购代理机构串通或恶意串通。</w:t>
      </w:r>
    </w:p>
    <w:p w14:paraId="59D71BD4">
      <w:pPr>
        <w:widowControl w:val="0"/>
        <w:tabs>
          <w:tab w:val="left" w:pos="65"/>
        </w:tabs>
        <w:spacing w:line="460" w:lineRule="atLeast"/>
        <w:ind w:firstLine="480" w:firstLineChars="200"/>
        <w:textAlignment w:val="auto"/>
        <w:rPr>
          <w:rFonts w:hint="eastAsia" w:ascii="宋体" w:hAnsi="宋体"/>
          <w:color w:val="auto"/>
          <w:sz w:val="24"/>
          <w:szCs w:val="24"/>
        </w:rPr>
      </w:pPr>
      <w:r>
        <w:rPr>
          <w:rFonts w:hint="eastAsia" w:ascii="宋体" w:hAnsi="宋体"/>
          <w:color w:val="auto"/>
          <w:sz w:val="24"/>
          <w:szCs w:val="24"/>
        </w:rPr>
        <w:t>五、如我单位中标，</w:t>
      </w:r>
      <w:r>
        <w:rPr>
          <w:rFonts w:hint="eastAsia" w:ascii="宋体" w:hAnsi="宋体"/>
          <w:color w:val="auto"/>
          <w:sz w:val="24"/>
          <w:szCs w:val="24"/>
          <w:lang w:val="zh-CN"/>
        </w:rPr>
        <w:t>除不可抗拒力或</w:t>
      </w:r>
      <w:r>
        <w:rPr>
          <w:rFonts w:hint="eastAsia" w:ascii="宋体" w:hAnsi="宋体"/>
          <w:color w:val="auto"/>
          <w:sz w:val="24"/>
          <w:szCs w:val="24"/>
        </w:rPr>
        <w:t>磋商</w:t>
      </w:r>
      <w:r>
        <w:rPr>
          <w:rFonts w:hint="eastAsia" w:ascii="宋体" w:hAnsi="宋体"/>
          <w:color w:val="auto"/>
          <w:sz w:val="24"/>
          <w:szCs w:val="24"/>
          <w:lang w:val="zh-CN"/>
        </w:rPr>
        <w:t>文件认可的情形外</w:t>
      </w:r>
      <w:r>
        <w:rPr>
          <w:rFonts w:hint="eastAsia" w:ascii="宋体" w:hAnsi="宋体"/>
          <w:color w:val="auto"/>
          <w:sz w:val="24"/>
          <w:szCs w:val="24"/>
        </w:rPr>
        <w:t>，我单位承诺及时领取中标通知书，</w:t>
      </w:r>
      <w:r>
        <w:rPr>
          <w:rFonts w:hint="eastAsia" w:ascii="宋体" w:hAnsi="宋体"/>
          <w:color w:val="auto"/>
          <w:sz w:val="24"/>
          <w:szCs w:val="24"/>
          <w:lang w:val="zh-CN"/>
        </w:rPr>
        <w:t>在成交通知书规定时间、地点与采购人签订合同；</w:t>
      </w:r>
      <w:r>
        <w:rPr>
          <w:rFonts w:hint="eastAsia" w:ascii="宋体" w:hAnsi="宋体"/>
          <w:color w:val="auto"/>
          <w:sz w:val="24"/>
          <w:szCs w:val="24"/>
        </w:rPr>
        <w:br w:type="textWrapping"/>
      </w:r>
      <w:r>
        <w:rPr>
          <w:rFonts w:hint="eastAsia" w:ascii="宋体" w:hAnsi="宋体"/>
          <w:color w:val="auto"/>
          <w:sz w:val="24"/>
          <w:szCs w:val="24"/>
        </w:rPr>
        <w:t xml:space="preserve">    六、</w:t>
      </w:r>
      <w:r>
        <w:rPr>
          <w:rFonts w:hint="eastAsia" w:ascii="宋体" w:hAnsi="宋体"/>
          <w:color w:val="auto"/>
          <w:sz w:val="24"/>
          <w:szCs w:val="24"/>
          <w:lang w:val="zh-CN"/>
        </w:rPr>
        <w:t>遵守法律法规及</w:t>
      </w:r>
      <w:r>
        <w:rPr>
          <w:rFonts w:hint="eastAsia" w:ascii="宋体" w:hAnsi="宋体"/>
          <w:color w:val="auto"/>
          <w:sz w:val="24"/>
          <w:szCs w:val="24"/>
        </w:rPr>
        <w:t>磋商</w:t>
      </w:r>
      <w:r>
        <w:rPr>
          <w:rFonts w:hint="eastAsia" w:ascii="宋体" w:hAnsi="宋体"/>
          <w:color w:val="auto"/>
          <w:sz w:val="24"/>
          <w:szCs w:val="24"/>
          <w:lang w:val="zh-CN"/>
        </w:rPr>
        <w:t>文件规定的其他情况；</w:t>
      </w:r>
    </w:p>
    <w:p w14:paraId="2C5372E0">
      <w:pPr>
        <w:widowControl w:val="0"/>
        <w:tabs>
          <w:tab w:val="left" w:pos="65"/>
        </w:tabs>
        <w:spacing w:line="460" w:lineRule="atLeast"/>
        <w:ind w:firstLine="480" w:firstLineChars="200"/>
        <w:textAlignment w:val="auto"/>
        <w:rPr>
          <w:rFonts w:hint="eastAsia" w:ascii="宋体" w:hAnsi="宋体"/>
          <w:color w:val="auto"/>
          <w:sz w:val="24"/>
          <w:szCs w:val="24"/>
        </w:rPr>
      </w:pPr>
      <w:r>
        <w:rPr>
          <w:rFonts w:hint="eastAsia" w:ascii="宋体" w:hAnsi="宋体"/>
          <w:color w:val="auto"/>
          <w:sz w:val="24"/>
          <w:szCs w:val="24"/>
        </w:rPr>
        <w:t>七、按磋商文件规定及时缴纳中标服务费。</w:t>
      </w:r>
    </w:p>
    <w:p w14:paraId="186AD391">
      <w:pPr>
        <w:widowControl w:val="0"/>
        <w:tabs>
          <w:tab w:val="left" w:pos="65"/>
        </w:tabs>
        <w:spacing w:line="460" w:lineRule="atLeast"/>
        <w:ind w:firstLine="480" w:firstLineChars="200"/>
        <w:textAlignment w:val="auto"/>
        <w:rPr>
          <w:rFonts w:hint="eastAsia" w:ascii="宋体" w:hAnsi="宋体"/>
          <w:color w:val="auto"/>
          <w:sz w:val="24"/>
          <w:szCs w:val="24"/>
        </w:rPr>
      </w:pPr>
      <w:r>
        <w:rPr>
          <w:rFonts w:hint="eastAsia" w:ascii="宋体" w:hAnsi="宋体"/>
          <w:color w:val="auto"/>
          <w:sz w:val="24"/>
          <w:szCs w:val="24"/>
        </w:rPr>
        <w:t>八、违背上述承诺事项的，我单位无条件接受以下责任追究：</w:t>
      </w:r>
    </w:p>
    <w:p w14:paraId="5543337F">
      <w:pPr>
        <w:widowControl w:val="0"/>
        <w:tabs>
          <w:tab w:val="left" w:pos="65"/>
        </w:tabs>
        <w:spacing w:line="460" w:lineRule="atLeast"/>
        <w:ind w:firstLine="480" w:firstLineChars="200"/>
        <w:textAlignment w:val="auto"/>
        <w:rPr>
          <w:rFonts w:hint="eastAsia" w:ascii="宋体" w:hAnsi="宋体"/>
          <w:color w:val="auto"/>
          <w:sz w:val="24"/>
          <w:szCs w:val="24"/>
          <w:lang w:val="zh-CN"/>
        </w:rPr>
      </w:pPr>
      <w:r>
        <w:rPr>
          <w:rFonts w:hint="eastAsia" w:ascii="宋体" w:hAnsi="宋体"/>
          <w:color w:val="auto"/>
          <w:sz w:val="24"/>
          <w:szCs w:val="24"/>
          <w:lang w:val="zh-CN"/>
        </w:rPr>
        <w:t>（一）法定责任：</w:t>
      </w:r>
      <w:r>
        <w:rPr>
          <w:rFonts w:hint="eastAsia" w:ascii="宋体" w:hAnsi="宋体"/>
          <w:color w:val="auto"/>
          <w:sz w:val="24"/>
          <w:szCs w:val="24"/>
        </w:rPr>
        <w:t>按照政府采购相关法规，</w:t>
      </w:r>
      <w:r>
        <w:rPr>
          <w:rFonts w:hint="eastAsia" w:ascii="宋体" w:hAnsi="宋体"/>
          <w:color w:val="auto"/>
          <w:sz w:val="24"/>
          <w:szCs w:val="24"/>
          <w:lang w:val="zh-CN"/>
        </w:rPr>
        <w:t>处以罚款，列入不良行为记录名单，在一至三年内禁止参加政府采购活动，有违法所得的，并处没收违法所得，情节严重的，由工商行政管理机关（市场监督机关）吊销营业执照；构成犯罪的，依法追究刑事责任。</w:t>
      </w:r>
    </w:p>
    <w:p w14:paraId="0E1B7677">
      <w:pPr>
        <w:widowControl w:val="0"/>
        <w:tabs>
          <w:tab w:val="left" w:pos="65"/>
        </w:tabs>
        <w:spacing w:line="460" w:lineRule="atLeast"/>
        <w:ind w:firstLine="480" w:firstLineChars="200"/>
        <w:textAlignment w:val="auto"/>
        <w:rPr>
          <w:rFonts w:hint="eastAsia" w:ascii="宋体" w:hAnsi="宋体"/>
          <w:color w:val="auto"/>
          <w:sz w:val="24"/>
          <w:szCs w:val="24"/>
          <w:lang w:val="zh-CN"/>
        </w:rPr>
      </w:pPr>
      <w:r>
        <w:rPr>
          <w:rFonts w:hint="eastAsia" w:ascii="宋体" w:hAnsi="宋体"/>
          <w:color w:val="auto"/>
          <w:sz w:val="24"/>
          <w:szCs w:val="24"/>
        </w:rPr>
        <w:t>给采购人及他人造成损失的，愿承担相应的赔偿责任。</w:t>
      </w:r>
    </w:p>
    <w:p w14:paraId="4E9C7937">
      <w:pPr>
        <w:widowControl w:val="0"/>
        <w:tabs>
          <w:tab w:val="left" w:pos="65"/>
        </w:tabs>
        <w:spacing w:line="460" w:lineRule="atLeast"/>
        <w:ind w:firstLine="480" w:firstLineChars="200"/>
        <w:textAlignment w:val="auto"/>
        <w:rPr>
          <w:rFonts w:hint="eastAsia" w:ascii="宋体" w:hAnsi="宋体"/>
          <w:color w:val="auto"/>
          <w:sz w:val="24"/>
          <w:szCs w:val="24"/>
        </w:rPr>
      </w:pPr>
      <w:r>
        <w:rPr>
          <w:rFonts w:hint="eastAsia" w:ascii="宋体" w:hAnsi="宋体"/>
          <w:color w:val="auto"/>
          <w:sz w:val="24"/>
          <w:szCs w:val="24"/>
          <w:lang w:val="zh-CN"/>
        </w:rPr>
        <w:t>（二）违约责任：</w:t>
      </w:r>
      <w:r>
        <w:rPr>
          <w:rFonts w:hint="eastAsia" w:ascii="宋体" w:hAnsi="宋体"/>
          <w:color w:val="auto"/>
          <w:sz w:val="24"/>
          <w:szCs w:val="24"/>
        </w:rPr>
        <w:t xml:space="preserve"> </w:t>
      </w:r>
    </w:p>
    <w:p w14:paraId="63E2FF7B">
      <w:pPr>
        <w:widowControl w:val="0"/>
        <w:tabs>
          <w:tab w:val="left" w:pos="65"/>
        </w:tabs>
        <w:spacing w:line="460" w:lineRule="atLeast"/>
        <w:ind w:firstLine="480" w:firstLineChars="200"/>
        <w:textAlignment w:val="auto"/>
        <w:rPr>
          <w:rFonts w:hint="eastAsia" w:ascii="宋体" w:hAnsi="宋体"/>
          <w:color w:val="auto"/>
          <w:sz w:val="24"/>
          <w:szCs w:val="24"/>
        </w:rPr>
      </w:pPr>
      <w:r>
        <w:rPr>
          <w:rFonts w:hint="eastAsia" w:ascii="宋体" w:hAnsi="宋体"/>
          <w:color w:val="auto"/>
          <w:sz w:val="24"/>
          <w:szCs w:val="24"/>
        </w:rPr>
        <w:t>1、已中标的，中标（成交）无效；</w:t>
      </w:r>
    </w:p>
    <w:p w14:paraId="166FFCFC">
      <w:pPr>
        <w:widowControl w:val="0"/>
        <w:tabs>
          <w:tab w:val="left" w:pos="65"/>
        </w:tabs>
        <w:spacing w:line="460" w:lineRule="atLeast"/>
        <w:ind w:firstLine="480" w:firstLineChars="200"/>
        <w:textAlignment w:val="auto"/>
        <w:rPr>
          <w:rFonts w:hint="eastAsia" w:ascii="宋体" w:hAnsi="宋体"/>
          <w:color w:val="auto"/>
          <w:sz w:val="24"/>
          <w:szCs w:val="24"/>
        </w:rPr>
      </w:pPr>
      <w:r>
        <w:rPr>
          <w:rFonts w:hint="eastAsia" w:ascii="宋体" w:hAnsi="宋体"/>
          <w:color w:val="auto"/>
          <w:sz w:val="24"/>
          <w:szCs w:val="24"/>
        </w:rPr>
        <w:t>2、支付采购人违约标的预算金额2%的</w:t>
      </w:r>
      <w:r>
        <w:rPr>
          <w:rFonts w:hint="eastAsia" w:ascii="宋体" w:hAnsi="宋体"/>
          <w:color w:val="auto"/>
          <w:sz w:val="24"/>
          <w:szCs w:val="24"/>
          <w:lang w:val="zh-CN"/>
        </w:rPr>
        <w:t>违约金</w:t>
      </w:r>
      <w:r>
        <w:rPr>
          <w:rFonts w:hint="eastAsia" w:ascii="宋体" w:hAnsi="宋体"/>
          <w:color w:val="auto"/>
          <w:sz w:val="24"/>
          <w:szCs w:val="24"/>
        </w:rPr>
        <w:t>；</w:t>
      </w:r>
    </w:p>
    <w:p w14:paraId="61490738">
      <w:pPr>
        <w:widowControl w:val="0"/>
        <w:tabs>
          <w:tab w:val="left" w:pos="65"/>
        </w:tabs>
        <w:spacing w:line="460" w:lineRule="atLeast"/>
        <w:ind w:firstLine="480" w:firstLineChars="200"/>
        <w:textAlignment w:val="auto"/>
        <w:rPr>
          <w:rFonts w:hint="eastAsia" w:ascii="宋体" w:hAnsi="宋体"/>
          <w:color w:val="auto"/>
          <w:sz w:val="24"/>
          <w:szCs w:val="24"/>
          <w:lang w:val="zh-CN"/>
        </w:rPr>
      </w:pPr>
      <w:r>
        <w:rPr>
          <w:rFonts w:hint="eastAsia" w:ascii="宋体" w:hAnsi="宋体"/>
          <w:color w:val="auto"/>
          <w:sz w:val="24"/>
          <w:szCs w:val="24"/>
        </w:rPr>
        <w:t>3、中标后未缴中标服务费的，作为违约及违背</w:t>
      </w:r>
      <w:r>
        <w:fldChar w:fldCharType="begin"/>
      </w:r>
      <w:r>
        <w:instrText xml:space="preserve"> HYPERLINK "http://www.so.com/s?q=%E8%AF%9A%E5%AE%9E%E4%BF%A1%E7%94%A8&amp;ie=utf-8&amp;src=internal_wenda_recommend_textn" \t "https://wenda.so.com/q/_blank" </w:instrText>
      </w:r>
      <w:r>
        <w:fldChar w:fldCharType="separate"/>
      </w:r>
      <w:r>
        <w:rPr>
          <w:rFonts w:hint="eastAsia" w:ascii="宋体" w:hAnsi="宋体"/>
          <w:color w:val="auto"/>
          <w:sz w:val="24"/>
          <w:szCs w:val="24"/>
        </w:rPr>
        <w:t>诚实信用</w:t>
      </w:r>
      <w:r>
        <w:rPr>
          <w:rFonts w:hint="eastAsia" w:ascii="宋体" w:hAnsi="宋体"/>
          <w:color w:val="auto"/>
          <w:sz w:val="24"/>
          <w:szCs w:val="24"/>
        </w:rPr>
        <w:fldChar w:fldCharType="end"/>
      </w:r>
      <w:r>
        <w:rPr>
          <w:rFonts w:hint="eastAsia" w:ascii="宋体" w:hAnsi="宋体"/>
          <w:color w:val="auto"/>
          <w:sz w:val="24"/>
          <w:szCs w:val="24"/>
        </w:rPr>
        <w:t>原则，在履行承诺前，代理机构将视我单位为失信企业、不予办理其后相关业务。</w:t>
      </w:r>
    </w:p>
    <w:p w14:paraId="49A6C79C">
      <w:pPr>
        <w:widowControl w:val="0"/>
        <w:autoSpaceDE w:val="0"/>
        <w:autoSpaceDN w:val="0"/>
        <w:adjustRightInd w:val="0"/>
        <w:spacing w:line="460" w:lineRule="atLeast"/>
        <w:ind w:left="-2" w:right="-817" w:hanging="149"/>
        <w:textAlignment w:val="auto"/>
        <w:rPr>
          <w:rFonts w:ascii="宋体" w:cs="楷体_GB2312"/>
          <w:color w:val="auto"/>
          <w:sz w:val="24"/>
          <w:lang w:val="zh-CN"/>
        </w:rPr>
      </w:pPr>
    </w:p>
    <w:p w14:paraId="1E448477">
      <w:pPr>
        <w:widowControl w:val="0"/>
        <w:autoSpaceDE w:val="0"/>
        <w:autoSpaceDN w:val="0"/>
        <w:adjustRightInd w:val="0"/>
        <w:spacing w:line="460" w:lineRule="atLeast"/>
        <w:ind w:left="-2" w:right="-817" w:hanging="149"/>
        <w:textAlignment w:val="auto"/>
        <w:rPr>
          <w:rFonts w:ascii="宋体" w:cs="楷体_GB2312"/>
          <w:color w:val="auto"/>
          <w:sz w:val="24"/>
          <w:lang w:val="zh-CN"/>
        </w:rPr>
      </w:pPr>
    </w:p>
    <w:p w14:paraId="459A8612">
      <w:pPr>
        <w:widowControl w:val="0"/>
        <w:tabs>
          <w:tab w:val="left" w:pos="9365"/>
        </w:tabs>
        <w:snapToGrid w:val="0"/>
        <w:spacing w:after="56" w:line="560" w:lineRule="exact"/>
        <w:ind w:right="85"/>
        <w:jc w:val="left"/>
        <w:textAlignment w:val="top"/>
        <w:rPr>
          <w:color w:val="auto"/>
          <w:sz w:val="24"/>
          <w:szCs w:val="24"/>
        </w:rPr>
      </w:pPr>
      <w:r>
        <w:rPr>
          <w:rFonts w:hint="eastAsia" w:ascii="宋体" w:hAnsi="宋体"/>
          <w:color w:val="auto"/>
          <w:sz w:val="24"/>
        </w:rPr>
        <w:t>供应商</w:t>
      </w:r>
      <w:r>
        <w:rPr>
          <w:rFonts w:hint="eastAsia"/>
          <w:color w:val="auto"/>
          <w:sz w:val="24"/>
          <w:szCs w:val="24"/>
        </w:rPr>
        <w:t>（电子签</w:t>
      </w:r>
      <w:r>
        <w:rPr>
          <w:rFonts w:hint="eastAsia" w:ascii="宋体" w:hAnsi="宋体"/>
          <w:color w:val="auto"/>
          <w:sz w:val="24"/>
          <w:szCs w:val="24"/>
        </w:rPr>
        <w:t>章</w:t>
      </w:r>
      <w:r>
        <w:rPr>
          <w:rFonts w:hint="eastAsia"/>
          <w:color w:val="auto"/>
          <w:sz w:val="24"/>
          <w:szCs w:val="24"/>
        </w:rPr>
        <w:t>）：</w:t>
      </w:r>
    </w:p>
    <w:p w14:paraId="54164D42">
      <w:pPr>
        <w:widowControl w:val="0"/>
        <w:tabs>
          <w:tab w:val="left" w:pos="9365"/>
        </w:tabs>
        <w:snapToGrid w:val="0"/>
        <w:spacing w:after="56" w:line="560" w:lineRule="exact"/>
        <w:ind w:right="85"/>
        <w:jc w:val="left"/>
        <w:textAlignment w:val="top"/>
        <w:rPr>
          <w:color w:val="auto"/>
          <w:sz w:val="24"/>
          <w:szCs w:val="24"/>
        </w:rPr>
      </w:pPr>
      <w:r>
        <w:rPr>
          <w:rFonts w:hint="eastAsia"/>
          <w:color w:val="auto"/>
          <w:sz w:val="24"/>
          <w:szCs w:val="24"/>
        </w:rPr>
        <w:t>法定代表人（电子签名或签章）：</w:t>
      </w:r>
    </w:p>
    <w:p w14:paraId="769ECC51">
      <w:pPr>
        <w:widowControl w:val="0"/>
        <w:autoSpaceDE w:val="0"/>
        <w:autoSpaceDN w:val="0"/>
        <w:adjustRightInd w:val="0"/>
        <w:spacing w:line="240" w:lineRule="auto"/>
        <w:ind w:right="-816"/>
        <w:textAlignment w:val="auto"/>
        <w:rPr>
          <w:color w:val="auto"/>
          <w:sz w:val="24"/>
          <w:szCs w:val="24"/>
          <w:lang w:val="zh-CN"/>
        </w:rPr>
      </w:pPr>
      <w:r>
        <w:rPr>
          <w:rFonts w:hint="eastAsia" w:ascii="宋体" w:hAnsi="宋体" w:cs="楷体_GB2312"/>
          <w:color w:val="auto"/>
          <w:sz w:val="24"/>
          <w:lang w:val="zh-CN"/>
        </w:rPr>
        <w:t>日期：</w:t>
      </w:r>
      <w:r>
        <w:rPr>
          <w:rFonts w:ascii="宋体" w:hAnsi="宋体" w:cs="楷体_GB2312"/>
          <w:color w:val="auto"/>
          <w:sz w:val="24"/>
          <w:lang w:val="zh-CN"/>
        </w:rPr>
        <w:t xml:space="preserve">   </w:t>
      </w:r>
      <w:r>
        <w:rPr>
          <w:rFonts w:hint="eastAsia" w:ascii="宋体" w:hAnsi="宋体" w:cs="楷体_GB2312"/>
          <w:color w:val="auto"/>
          <w:sz w:val="24"/>
          <w:lang w:val="zh-CN"/>
        </w:rPr>
        <w:t>年</w:t>
      </w:r>
      <w:r>
        <w:rPr>
          <w:rFonts w:ascii="宋体" w:hAnsi="宋体" w:cs="楷体_GB2312"/>
          <w:color w:val="auto"/>
          <w:sz w:val="24"/>
          <w:lang w:val="zh-CN"/>
        </w:rPr>
        <w:t xml:space="preserve">   </w:t>
      </w:r>
      <w:r>
        <w:rPr>
          <w:rFonts w:hint="eastAsia" w:ascii="宋体" w:hAnsi="宋体" w:cs="楷体_GB2312"/>
          <w:color w:val="auto"/>
          <w:sz w:val="24"/>
          <w:lang w:val="zh-CN"/>
        </w:rPr>
        <w:t>月</w:t>
      </w:r>
      <w:r>
        <w:rPr>
          <w:rFonts w:ascii="宋体" w:hAnsi="宋体" w:cs="楷体_GB2312"/>
          <w:color w:val="auto"/>
          <w:sz w:val="24"/>
          <w:lang w:val="zh-CN"/>
        </w:rPr>
        <w:t xml:space="preserve">   </w:t>
      </w:r>
      <w:r>
        <w:rPr>
          <w:rFonts w:hint="eastAsia" w:ascii="宋体" w:hAnsi="宋体" w:cs="楷体_GB2312"/>
          <w:color w:val="auto"/>
          <w:sz w:val="24"/>
          <w:lang w:val="zh-CN"/>
        </w:rPr>
        <w:t>日</w:t>
      </w:r>
    </w:p>
    <w:p w14:paraId="45113C7B">
      <w:pPr>
        <w:autoSpaceDE w:val="0"/>
        <w:autoSpaceDN w:val="0"/>
        <w:adjustRightInd w:val="0"/>
        <w:spacing w:line="360" w:lineRule="auto"/>
        <w:rPr>
          <w:rFonts w:ascii="宋体"/>
          <w:color w:val="auto"/>
          <w:sz w:val="24"/>
          <w:szCs w:val="24"/>
        </w:rPr>
      </w:pPr>
    </w:p>
    <w:p w14:paraId="414A1AAB">
      <w:pPr>
        <w:autoSpaceDE w:val="0"/>
        <w:autoSpaceDN w:val="0"/>
        <w:adjustRightInd w:val="0"/>
        <w:spacing w:line="360" w:lineRule="auto"/>
        <w:rPr>
          <w:rFonts w:hint="eastAsia" w:ascii="黑体" w:hAnsi="黑体" w:eastAsia="黑体"/>
          <w:b/>
          <w:color w:val="auto"/>
          <w:sz w:val="30"/>
          <w:szCs w:val="30"/>
        </w:rPr>
      </w:pPr>
      <w:r>
        <w:rPr>
          <w:rFonts w:hint="eastAsia" w:ascii="黑体" w:hAnsi="黑体" w:eastAsia="黑体"/>
          <w:b/>
          <w:color w:val="auto"/>
          <w:sz w:val="30"/>
          <w:szCs w:val="30"/>
        </w:rPr>
        <w:t>十二、采购项目及技术服务要求所需的其他材料</w:t>
      </w:r>
    </w:p>
    <w:p w14:paraId="52EDDFBF">
      <w:pPr>
        <w:widowControl w:val="0"/>
        <w:snapToGrid w:val="0"/>
        <w:spacing w:line="560" w:lineRule="exact"/>
        <w:ind w:firstLine="555"/>
        <w:rPr>
          <w:rFonts w:ascii="宋体"/>
          <w:color w:val="auto"/>
          <w:sz w:val="24"/>
          <w:szCs w:val="24"/>
        </w:rPr>
      </w:pPr>
      <w:r>
        <w:rPr>
          <w:rFonts w:hint="eastAsia" w:ascii="宋体" w:hAnsi="宋体"/>
          <w:color w:val="auto"/>
          <w:sz w:val="24"/>
          <w:szCs w:val="24"/>
        </w:rPr>
        <w:t>（按条款需要填列；并按条款要求</w:t>
      </w:r>
      <w:r>
        <w:rPr>
          <w:rFonts w:hint="eastAsia" w:ascii="宋体" w:hAnsi="宋体" w:cs="楷体_GB2312"/>
          <w:color w:val="auto"/>
          <w:sz w:val="24"/>
          <w:lang w:val="zh-CN"/>
        </w:rPr>
        <w:t>电子签名&lt;签</w:t>
      </w:r>
      <w:r>
        <w:rPr>
          <w:rFonts w:hint="eastAsia" w:ascii="宋体" w:hAnsi="宋体"/>
          <w:color w:val="auto"/>
          <w:sz w:val="24"/>
          <w:szCs w:val="24"/>
        </w:rPr>
        <w:t>章&gt;。条款中对</w:t>
      </w:r>
      <w:r>
        <w:rPr>
          <w:rFonts w:hint="eastAsia" w:ascii="宋体" w:hAnsi="宋体" w:cs="楷体_GB2312"/>
          <w:color w:val="auto"/>
          <w:sz w:val="24"/>
          <w:lang w:val="zh-CN"/>
        </w:rPr>
        <w:t>电子签名&lt;签</w:t>
      </w:r>
      <w:r>
        <w:rPr>
          <w:rFonts w:hint="eastAsia" w:ascii="宋体" w:hAnsi="宋体"/>
          <w:color w:val="auto"/>
          <w:sz w:val="24"/>
          <w:szCs w:val="24"/>
        </w:rPr>
        <w:t>章&gt;未作明确要求的，由法定代表人</w:t>
      </w:r>
      <w:r>
        <w:rPr>
          <w:rFonts w:hint="eastAsia" w:ascii="宋体" w:hAnsi="宋体" w:cs="楷体_GB2312"/>
          <w:color w:val="auto"/>
          <w:sz w:val="24"/>
          <w:lang w:val="zh-CN"/>
        </w:rPr>
        <w:t>电子签名&lt;签</w:t>
      </w:r>
      <w:r>
        <w:rPr>
          <w:rFonts w:hint="eastAsia" w:ascii="宋体" w:hAnsi="宋体"/>
          <w:color w:val="auto"/>
          <w:sz w:val="24"/>
          <w:szCs w:val="24"/>
        </w:rPr>
        <w:t>章&gt;或供应商</w:t>
      </w:r>
      <w:r>
        <w:rPr>
          <w:rFonts w:hint="eastAsia" w:ascii="宋体" w:hAnsi="宋体" w:cs="楷体_GB2312"/>
          <w:color w:val="auto"/>
          <w:sz w:val="24"/>
          <w:lang w:val="zh-CN"/>
        </w:rPr>
        <w:t>电子签</w:t>
      </w:r>
      <w:r>
        <w:rPr>
          <w:rFonts w:hint="eastAsia" w:ascii="宋体" w:hAnsi="宋体"/>
          <w:color w:val="auto"/>
          <w:sz w:val="24"/>
          <w:szCs w:val="24"/>
        </w:rPr>
        <w:t>章）</w:t>
      </w:r>
    </w:p>
    <w:p w14:paraId="0AAD831F">
      <w:pPr>
        <w:widowControl w:val="0"/>
        <w:snapToGrid w:val="0"/>
        <w:spacing w:line="560" w:lineRule="exact"/>
        <w:ind w:firstLine="555"/>
        <w:rPr>
          <w:rFonts w:ascii="宋体"/>
          <w:color w:val="auto"/>
          <w:sz w:val="24"/>
          <w:szCs w:val="24"/>
        </w:rPr>
      </w:pPr>
    </w:p>
    <w:p w14:paraId="3D8C02D8">
      <w:pPr>
        <w:widowControl w:val="0"/>
        <w:snapToGrid w:val="0"/>
        <w:spacing w:line="560" w:lineRule="exact"/>
        <w:ind w:firstLine="555"/>
        <w:rPr>
          <w:rFonts w:ascii="宋体"/>
          <w:color w:val="auto"/>
          <w:sz w:val="24"/>
          <w:szCs w:val="24"/>
        </w:rPr>
      </w:pPr>
    </w:p>
    <w:p w14:paraId="3F55F65B">
      <w:pPr>
        <w:widowControl w:val="0"/>
        <w:snapToGrid w:val="0"/>
        <w:spacing w:line="560" w:lineRule="exact"/>
        <w:ind w:firstLine="555"/>
        <w:rPr>
          <w:rFonts w:ascii="宋体"/>
          <w:color w:val="auto"/>
          <w:sz w:val="24"/>
          <w:szCs w:val="24"/>
        </w:rPr>
      </w:pPr>
    </w:p>
    <w:p w14:paraId="5FD8CB63">
      <w:pPr>
        <w:autoSpaceDE w:val="0"/>
        <w:autoSpaceDN w:val="0"/>
        <w:adjustRightInd w:val="0"/>
        <w:spacing w:line="360" w:lineRule="auto"/>
        <w:jc w:val="center"/>
        <w:rPr>
          <w:rFonts w:eastAsia="方正黑体简体"/>
          <w:b/>
          <w:color w:val="auto"/>
          <w:sz w:val="30"/>
          <w:szCs w:val="30"/>
        </w:rPr>
      </w:pPr>
    </w:p>
    <w:p w14:paraId="1AFF7600">
      <w:pPr>
        <w:autoSpaceDE w:val="0"/>
        <w:autoSpaceDN w:val="0"/>
        <w:adjustRightInd w:val="0"/>
        <w:spacing w:line="360" w:lineRule="auto"/>
        <w:rPr>
          <w:rFonts w:hint="eastAsia" w:ascii="黑体" w:hAnsi="黑体" w:eastAsia="黑体"/>
          <w:b/>
          <w:color w:val="auto"/>
          <w:sz w:val="30"/>
          <w:szCs w:val="30"/>
        </w:rPr>
      </w:pPr>
      <w:r>
        <w:rPr>
          <w:rFonts w:hint="eastAsia" w:ascii="黑体" w:hAnsi="黑体" w:eastAsia="黑体"/>
          <w:b/>
          <w:color w:val="auto"/>
          <w:sz w:val="30"/>
          <w:szCs w:val="30"/>
        </w:rPr>
        <w:t>十三、供应商须知所需的其他材料</w:t>
      </w:r>
    </w:p>
    <w:p w14:paraId="555E9A17">
      <w:pPr>
        <w:widowControl w:val="0"/>
        <w:snapToGrid w:val="0"/>
        <w:spacing w:line="560" w:lineRule="exact"/>
        <w:ind w:firstLine="555"/>
        <w:rPr>
          <w:rFonts w:ascii="宋体"/>
          <w:color w:val="auto"/>
          <w:sz w:val="24"/>
          <w:szCs w:val="24"/>
        </w:rPr>
      </w:pPr>
      <w:r>
        <w:rPr>
          <w:rFonts w:hint="eastAsia" w:ascii="宋体" w:hAnsi="宋体"/>
          <w:color w:val="auto"/>
          <w:sz w:val="24"/>
          <w:szCs w:val="24"/>
        </w:rPr>
        <w:t>（按条款需要填列；并按条款要求</w:t>
      </w:r>
      <w:r>
        <w:rPr>
          <w:rFonts w:hint="eastAsia" w:ascii="宋体" w:hAnsi="宋体" w:cs="楷体_GB2312"/>
          <w:color w:val="auto"/>
          <w:sz w:val="24"/>
          <w:lang w:val="zh-CN"/>
        </w:rPr>
        <w:t>电子签名&lt;签</w:t>
      </w:r>
      <w:r>
        <w:rPr>
          <w:rFonts w:hint="eastAsia" w:ascii="宋体" w:hAnsi="宋体"/>
          <w:color w:val="auto"/>
          <w:sz w:val="24"/>
          <w:szCs w:val="24"/>
        </w:rPr>
        <w:t>章&gt;。条款中对</w:t>
      </w:r>
      <w:r>
        <w:rPr>
          <w:rFonts w:hint="eastAsia" w:ascii="宋体" w:hAnsi="宋体" w:cs="楷体_GB2312"/>
          <w:color w:val="auto"/>
          <w:sz w:val="24"/>
          <w:lang w:val="zh-CN"/>
        </w:rPr>
        <w:t>电子签名&lt;签</w:t>
      </w:r>
      <w:r>
        <w:rPr>
          <w:rFonts w:hint="eastAsia" w:ascii="宋体" w:hAnsi="宋体"/>
          <w:color w:val="auto"/>
          <w:sz w:val="24"/>
          <w:szCs w:val="24"/>
        </w:rPr>
        <w:t>章&gt;未作明确要求的，由法定代表人</w:t>
      </w:r>
      <w:r>
        <w:rPr>
          <w:rFonts w:hint="eastAsia" w:ascii="宋体" w:hAnsi="宋体" w:cs="楷体_GB2312"/>
          <w:color w:val="auto"/>
          <w:sz w:val="24"/>
          <w:lang w:val="zh-CN"/>
        </w:rPr>
        <w:t>电子签名&lt;签</w:t>
      </w:r>
      <w:r>
        <w:rPr>
          <w:rFonts w:hint="eastAsia" w:ascii="宋体" w:hAnsi="宋体"/>
          <w:color w:val="auto"/>
          <w:sz w:val="24"/>
          <w:szCs w:val="24"/>
        </w:rPr>
        <w:t>章&gt;或供应商</w:t>
      </w:r>
      <w:r>
        <w:rPr>
          <w:rFonts w:hint="eastAsia" w:ascii="宋体" w:hAnsi="宋体" w:cs="楷体_GB2312"/>
          <w:color w:val="auto"/>
          <w:sz w:val="24"/>
          <w:lang w:val="zh-CN"/>
        </w:rPr>
        <w:t>电子签</w:t>
      </w:r>
      <w:r>
        <w:rPr>
          <w:rFonts w:hint="eastAsia" w:ascii="宋体" w:hAnsi="宋体"/>
          <w:color w:val="auto"/>
          <w:sz w:val="24"/>
          <w:szCs w:val="24"/>
        </w:rPr>
        <w:t>章）</w:t>
      </w:r>
    </w:p>
    <w:p w14:paraId="294A581F">
      <w:pPr>
        <w:autoSpaceDE w:val="0"/>
        <w:autoSpaceDN w:val="0"/>
        <w:adjustRightInd w:val="0"/>
        <w:spacing w:line="360" w:lineRule="auto"/>
        <w:jc w:val="center"/>
        <w:rPr>
          <w:rFonts w:ascii="宋体"/>
          <w:color w:val="auto"/>
          <w:sz w:val="24"/>
          <w:szCs w:val="24"/>
        </w:rPr>
      </w:pPr>
    </w:p>
    <w:p w14:paraId="24236917">
      <w:pPr>
        <w:autoSpaceDE w:val="0"/>
        <w:autoSpaceDN w:val="0"/>
        <w:adjustRightInd w:val="0"/>
        <w:spacing w:line="360" w:lineRule="auto"/>
        <w:jc w:val="center"/>
        <w:rPr>
          <w:rFonts w:ascii="宋体"/>
          <w:color w:val="auto"/>
          <w:sz w:val="24"/>
          <w:szCs w:val="24"/>
        </w:rPr>
      </w:pPr>
    </w:p>
    <w:p w14:paraId="7D836A4C">
      <w:pPr>
        <w:autoSpaceDE w:val="0"/>
        <w:autoSpaceDN w:val="0"/>
        <w:adjustRightInd w:val="0"/>
        <w:spacing w:line="360" w:lineRule="auto"/>
        <w:jc w:val="center"/>
        <w:rPr>
          <w:rFonts w:ascii="宋体"/>
          <w:color w:val="auto"/>
          <w:sz w:val="24"/>
          <w:szCs w:val="24"/>
        </w:rPr>
      </w:pPr>
    </w:p>
    <w:p w14:paraId="3591E8BC">
      <w:pPr>
        <w:autoSpaceDE w:val="0"/>
        <w:autoSpaceDN w:val="0"/>
        <w:adjustRightInd w:val="0"/>
        <w:spacing w:line="360" w:lineRule="auto"/>
        <w:jc w:val="center"/>
        <w:rPr>
          <w:rFonts w:eastAsia="方正黑体简体"/>
          <w:b/>
          <w:color w:val="auto"/>
          <w:sz w:val="30"/>
          <w:szCs w:val="30"/>
        </w:rPr>
      </w:pPr>
    </w:p>
    <w:p w14:paraId="399A4957">
      <w:pPr>
        <w:autoSpaceDE w:val="0"/>
        <w:autoSpaceDN w:val="0"/>
        <w:adjustRightInd w:val="0"/>
        <w:spacing w:line="360" w:lineRule="auto"/>
        <w:rPr>
          <w:rFonts w:hint="eastAsia" w:ascii="黑体" w:hAnsi="黑体" w:eastAsia="黑体"/>
          <w:b/>
          <w:color w:val="auto"/>
          <w:sz w:val="30"/>
          <w:szCs w:val="30"/>
        </w:rPr>
      </w:pPr>
      <w:r>
        <w:rPr>
          <w:rFonts w:hint="eastAsia" w:ascii="黑体" w:hAnsi="黑体" w:eastAsia="黑体"/>
          <w:b/>
          <w:color w:val="auto"/>
          <w:sz w:val="30"/>
          <w:szCs w:val="30"/>
        </w:rPr>
        <w:t>十四、评审办法所需的其他材料</w:t>
      </w:r>
    </w:p>
    <w:p w14:paraId="6EFC6EA9">
      <w:pPr>
        <w:widowControl w:val="0"/>
        <w:snapToGrid w:val="0"/>
        <w:spacing w:line="560" w:lineRule="exact"/>
        <w:ind w:firstLine="555"/>
        <w:rPr>
          <w:rFonts w:ascii="宋体"/>
          <w:color w:val="auto"/>
          <w:sz w:val="24"/>
          <w:szCs w:val="24"/>
        </w:rPr>
      </w:pPr>
      <w:r>
        <w:rPr>
          <w:rFonts w:hint="eastAsia" w:ascii="宋体" w:hAnsi="宋体"/>
          <w:color w:val="auto"/>
          <w:sz w:val="24"/>
          <w:szCs w:val="24"/>
        </w:rPr>
        <w:t>（按条款需要填列；并按条款要求</w:t>
      </w:r>
      <w:r>
        <w:rPr>
          <w:rFonts w:hint="eastAsia" w:ascii="宋体" w:hAnsi="宋体" w:cs="楷体_GB2312"/>
          <w:color w:val="auto"/>
          <w:sz w:val="24"/>
          <w:lang w:val="zh-CN"/>
        </w:rPr>
        <w:t>电子签名&lt;签</w:t>
      </w:r>
      <w:r>
        <w:rPr>
          <w:rFonts w:hint="eastAsia" w:ascii="宋体" w:hAnsi="宋体"/>
          <w:color w:val="auto"/>
          <w:sz w:val="24"/>
          <w:szCs w:val="24"/>
        </w:rPr>
        <w:t>章&gt;。条款中对</w:t>
      </w:r>
      <w:r>
        <w:rPr>
          <w:rFonts w:hint="eastAsia" w:ascii="宋体" w:hAnsi="宋体" w:cs="楷体_GB2312"/>
          <w:color w:val="auto"/>
          <w:sz w:val="24"/>
          <w:lang w:val="zh-CN"/>
        </w:rPr>
        <w:t>电子签名&lt;签</w:t>
      </w:r>
      <w:r>
        <w:rPr>
          <w:rFonts w:hint="eastAsia" w:ascii="宋体" w:hAnsi="宋体"/>
          <w:color w:val="auto"/>
          <w:sz w:val="24"/>
          <w:szCs w:val="24"/>
        </w:rPr>
        <w:t>章&gt;未作明确要求的，由法定代表人</w:t>
      </w:r>
      <w:r>
        <w:rPr>
          <w:rFonts w:hint="eastAsia" w:ascii="宋体" w:hAnsi="宋体" w:cs="楷体_GB2312"/>
          <w:color w:val="auto"/>
          <w:sz w:val="24"/>
          <w:lang w:val="zh-CN"/>
        </w:rPr>
        <w:t>电子签名&lt;签</w:t>
      </w:r>
      <w:r>
        <w:rPr>
          <w:rFonts w:hint="eastAsia" w:ascii="宋体" w:hAnsi="宋体"/>
          <w:color w:val="auto"/>
          <w:sz w:val="24"/>
          <w:szCs w:val="24"/>
        </w:rPr>
        <w:t>章&gt;或供应商</w:t>
      </w:r>
      <w:r>
        <w:rPr>
          <w:rFonts w:hint="eastAsia" w:ascii="宋体" w:hAnsi="宋体" w:cs="楷体_GB2312"/>
          <w:color w:val="auto"/>
          <w:sz w:val="24"/>
          <w:lang w:val="zh-CN"/>
        </w:rPr>
        <w:t>电子签</w:t>
      </w:r>
      <w:r>
        <w:rPr>
          <w:rFonts w:hint="eastAsia" w:ascii="宋体" w:hAnsi="宋体"/>
          <w:color w:val="auto"/>
          <w:sz w:val="24"/>
          <w:szCs w:val="24"/>
        </w:rPr>
        <w:t>章）</w:t>
      </w:r>
    </w:p>
    <w:p w14:paraId="652E445A">
      <w:pPr>
        <w:autoSpaceDE w:val="0"/>
        <w:autoSpaceDN w:val="0"/>
        <w:adjustRightInd w:val="0"/>
        <w:spacing w:line="360" w:lineRule="auto"/>
        <w:jc w:val="center"/>
        <w:rPr>
          <w:rFonts w:ascii="宋体"/>
          <w:color w:val="auto"/>
          <w:sz w:val="24"/>
          <w:szCs w:val="24"/>
        </w:rPr>
      </w:pPr>
    </w:p>
    <w:p w14:paraId="3B010D62">
      <w:pPr>
        <w:adjustRightInd w:val="0"/>
        <w:snapToGrid w:val="0"/>
        <w:spacing w:line="300" w:lineRule="auto"/>
        <w:textAlignment w:val="top"/>
        <w:rPr>
          <w:rFonts w:ascii="宋体"/>
          <w:color w:val="auto"/>
          <w:sz w:val="24"/>
          <w:szCs w:val="24"/>
        </w:rPr>
      </w:pPr>
    </w:p>
    <w:p w14:paraId="326B3687">
      <w:pPr>
        <w:widowControl w:val="0"/>
        <w:snapToGrid w:val="0"/>
        <w:spacing w:line="560" w:lineRule="exact"/>
        <w:rPr>
          <w:rFonts w:hint="eastAsia" w:ascii="黑体" w:hAnsi="黑体" w:eastAsia="黑体"/>
          <w:b/>
          <w:color w:val="auto"/>
          <w:sz w:val="30"/>
          <w:szCs w:val="30"/>
        </w:rPr>
      </w:pPr>
      <w:r>
        <w:rPr>
          <w:rFonts w:ascii="黑体" w:hAnsi="黑体" w:eastAsia="黑体"/>
          <w:b/>
          <w:color w:val="auto"/>
          <w:sz w:val="30"/>
          <w:szCs w:val="30"/>
        </w:rPr>
        <w:br w:type="page"/>
      </w:r>
      <w:r>
        <w:rPr>
          <w:rFonts w:hint="eastAsia" w:ascii="黑体" w:hAnsi="黑体" w:eastAsia="黑体"/>
          <w:b/>
          <w:color w:val="auto"/>
          <w:sz w:val="30"/>
          <w:szCs w:val="30"/>
        </w:rPr>
        <w:t>14</w:t>
      </w:r>
      <w:r>
        <w:rPr>
          <w:rFonts w:ascii="黑体" w:hAnsi="黑体" w:eastAsia="黑体"/>
          <w:b/>
          <w:color w:val="auto"/>
          <w:sz w:val="30"/>
          <w:szCs w:val="30"/>
        </w:rPr>
        <w:t>-</w:t>
      </w:r>
      <w:r>
        <w:rPr>
          <w:rFonts w:hint="eastAsia" w:ascii="黑体" w:hAnsi="黑体" w:eastAsia="黑体"/>
          <w:b/>
          <w:color w:val="auto"/>
          <w:sz w:val="30"/>
          <w:szCs w:val="30"/>
        </w:rPr>
        <w:t>1、附件</w:t>
      </w:r>
    </w:p>
    <w:p w14:paraId="5617AF49">
      <w:pPr>
        <w:widowControl w:val="0"/>
        <w:snapToGrid w:val="0"/>
        <w:spacing w:line="560" w:lineRule="exact"/>
        <w:rPr>
          <w:rFonts w:hint="eastAsia" w:ascii="黑体" w:hAnsi="黑体" w:eastAsia="黑体"/>
          <w:b/>
          <w:color w:val="auto"/>
          <w:sz w:val="30"/>
          <w:szCs w:val="30"/>
        </w:rPr>
      </w:pPr>
    </w:p>
    <w:p w14:paraId="65AC5FFB">
      <w:pPr>
        <w:widowControl w:val="0"/>
        <w:snapToGrid w:val="0"/>
        <w:spacing w:line="560" w:lineRule="exact"/>
        <w:jc w:val="center"/>
        <w:rPr>
          <w:rFonts w:hint="eastAsia" w:ascii="黑体" w:hAnsi="黑体" w:eastAsia="黑体"/>
          <w:b/>
          <w:color w:val="auto"/>
          <w:sz w:val="30"/>
          <w:szCs w:val="30"/>
        </w:rPr>
      </w:pPr>
      <w:r>
        <w:rPr>
          <w:rFonts w:hint="eastAsia" w:ascii="黑体" w:hAnsi="黑体" w:eastAsia="黑体"/>
          <w:b/>
          <w:color w:val="auto"/>
          <w:sz w:val="30"/>
          <w:szCs w:val="30"/>
        </w:rPr>
        <w:t>国家强制性产品认证承诺函</w:t>
      </w:r>
      <w:r>
        <w:rPr>
          <w:rFonts w:hint="eastAsia" w:ascii="宋体" w:hAnsi="宋体" w:cs="MingLiU"/>
          <w:color w:val="auto"/>
          <w:spacing w:val="30"/>
          <w:sz w:val="24"/>
          <w:szCs w:val="24"/>
        </w:rPr>
        <w:t>（如涉及）</w:t>
      </w:r>
    </w:p>
    <w:p w14:paraId="20EAFF92">
      <w:pPr>
        <w:widowControl w:val="0"/>
        <w:snapToGrid w:val="0"/>
        <w:spacing w:line="560" w:lineRule="exact"/>
        <w:jc w:val="center"/>
        <w:rPr>
          <w:rFonts w:hint="eastAsia" w:ascii="黑体" w:hAnsi="黑体" w:eastAsia="黑体"/>
          <w:b/>
          <w:color w:val="auto"/>
          <w:sz w:val="30"/>
          <w:szCs w:val="30"/>
        </w:rPr>
      </w:pPr>
      <w:r>
        <w:rPr>
          <w:rFonts w:ascii="黑体" w:hAnsi="黑体" w:eastAsia="黑体"/>
          <w:b/>
          <w:color w:val="auto"/>
          <w:sz w:val="30"/>
          <w:szCs w:val="30"/>
        </w:rPr>
        <w:t xml:space="preserve"> </w:t>
      </w:r>
    </w:p>
    <w:p w14:paraId="725B4047">
      <w:pPr>
        <w:widowControl w:val="0"/>
        <w:snapToGrid w:val="0"/>
        <w:spacing w:line="360" w:lineRule="auto"/>
        <w:ind w:firstLine="720" w:firstLineChars="300"/>
        <w:jc w:val="left"/>
        <w:rPr>
          <w:rFonts w:hint="eastAsia"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本单位承诺，</w:t>
      </w:r>
      <w:r>
        <w:rPr>
          <w:rFonts w:hint="eastAsia" w:asciiTheme="minorEastAsia" w:hAnsiTheme="minorEastAsia" w:eastAsiaTheme="minorEastAsia"/>
          <w:color w:val="auto"/>
          <w:sz w:val="24"/>
          <w:szCs w:val="24"/>
        </w:rPr>
        <w:t>遵循磋商文件第二章强制性认证规定，严格遵守国家各项强制性认证及市场监管法律法规，切实履行强制性产品认证（涉及CCC 国家强制性产品认证、SRRC无线电发射设备型号核准，及其他各类国家强制认证等），保障产品质量安全与合规性，现就本单位</w:t>
      </w:r>
      <w:r>
        <w:rPr>
          <w:rFonts w:hint="eastAsia" w:cs="宋体" w:asciiTheme="minorEastAsia" w:hAnsiTheme="minorEastAsia" w:eastAsiaTheme="minorEastAsia"/>
          <w:color w:val="auto"/>
          <w:sz w:val="24"/>
          <w:szCs w:val="24"/>
        </w:rPr>
        <w:t>提供的</w:t>
      </w:r>
      <w:r>
        <w:rPr>
          <w:rFonts w:hint="eastAsia" w:asciiTheme="minorEastAsia" w:hAnsiTheme="minorEastAsia" w:eastAsiaTheme="minorEastAsia"/>
          <w:color w:val="auto"/>
          <w:sz w:val="24"/>
          <w:szCs w:val="24"/>
        </w:rPr>
        <w:t>相关产品，郑重作出如下承诺：</w:t>
      </w:r>
    </w:p>
    <w:p w14:paraId="31BDE57F">
      <w:pPr>
        <w:widowControl w:val="0"/>
        <w:snapToGrid w:val="0"/>
        <w:spacing w:line="360" w:lineRule="auto"/>
        <w:ind w:firstLine="475" w:firstLineChars="198"/>
        <w:jc w:val="left"/>
        <w:rPr>
          <w:rFonts w:hint="eastAsia"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1、本单位严格遵守《中华人民共和国产品质量法》《中华人民共和国标准化法》《中华人民共和国无线电管理条例》《强制性产品认证管理规定》及国家各领域强制性认证相关法律法规、部门规章和强制性标准，自觉接受行业主管部门、认证机构的监督管理，坚决杜绝各类违法违规生产经营行为，切实履行产品质量安全主体责任。</w:t>
      </w:r>
    </w:p>
    <w:p w14:paraId="5D19FCCC">
      <w:pPr>
        <w:widowControl w:val="0"/>
        <w:snapToGrid w:val="0"/>
        <w:spacing w:line="360" w:lineRule="auto"/>
        <w:ind w:firstLine="475" w:firstLineChars="198"/>
        <w:jc w:val="left"/>
        <w:rPr>
          <w:rFonts w:hint="eastAsia"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2、本单位提供的相关产品，已全部依法取得强制性认证证书。</w:t>
      </w:r>
    </w:p>
    <w:p w14:paraId="4903F8C6">
      <w:pPr>
        <w:widowControl w:val="0"/>
        <w:snapToGrid w:val="0"/>
        <w:spacing w:line="360" w:lineRule="auto"/>
        <w:ind w:firstLine="475" w:firstLineChars="198"/>
        <w:jc w:val="left"/>
        <w:rPr>
          <w:rFonts w:hint="eastAsia"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本单位确认，本承诺函所述内容及提供的所有认证证书、产品资料均真实、准确、完整，无任何虚假、隐瞒、误导性陈述，若存在违反本承诺的行为，自愿承担由此产生的全部法律责任。</w:t>
      </w:r>
    </w:p>
    <w:p w14:paraId="386B9587">
      <w:pPr>
        <w:autoSpaceDE w:val="0"/>
        <w:autoSpaceDN w:val="0"/>
        <w:adjustRightInd w:val="0"/>
        <w:spacing w:line="360" w:lineRule="auto"/>
        <w:rPr>
          <w:rFonts w:ascii="宋体"/>
          <w:color w:val="auto"/>
          <w:sz w:val="24"/>
          <w:szCs w:val="24"/>
        </w:rPr>
      </w:pPr>
    </w:p>
    <w:p w14:paraId="12542E78">
      <w:pPr>
        <w:autoSpaceDE w:val="0"/>
        <w:autoSpaceDN w:val="0"/>
        <w:adjustRightInd w:val="0"/>
        <w:spacing w:line="360" w:lineRule="auto"/>
        <w:rPr>
          <w:rFonts w:ascii="宋体"/>
          <w:color w:val="auto"/>
          <w:sz w:val="24"/>
          <w:szCs w:val="24"/>
        </w:rPr>
      </w:pPr>
    </w:p>
    <w:p w14:paraId="42875D94">
      <w:pPr>
        <w:autoSpaceDE w:val="0"/>
        <w:autoSpaceDN w:val="0"/>
        <w:adjustRightInd w:val="0"/>
        <w:spacing w:line="360" w:lineRule="auto"/>
        <w:rPr>
          <w:rFonts w:ascii="宋体"/>
          <w:color w:val="auto"/>
          <w:sz w:val="24"/>
          <w:szCs w:val="24"/>
        </w:rPr>
      </w:pPr>
    </w:p>
    <w:p w14:paraId="5E1DC224">
      <w:pPr>
        <w:widowControl w:val="0"/>
        <w:tabs>
          <w:tab w:val="left" w:pos="9365"/>
        </w:tabs>
        <w:snapToGrid w:val="0"/>
        <w:spacing w:after="56" w:line="560" w:lineRule="exact"/>
        <w:ind w:right="85"/>
        <w:jc w:val="left"/>
        <w:textAlignment w:val="top"/>
        <w:rPr>
          <w:color w:val="auto"/>
          <w:sz w:val="24"/>
          <w:szCs w:val="24"/>
        </w:rPr>
      </w:pPr>
      <w:r>
        <w:rPr>
          <w:rFonts w:hint="eastAsia" w:ascii="宋体" w:hAnsi="宋体"/>
          <w:color w:val="auto"/>
          <w:sz w:val="24"/>
        </w:rPr>
        <w:t>供应商</w:t>
      </w:r>
      <w:r>
        <w:rPr>
          <w:rFonts w:hint="eastAsia"/>
          <w:color w:val="auto"/>
          <w:sz w:val="24"/>
          <w:szCs w:val="24"/>
        </w:rPr>
        <w:t>（电子签</w:t>
      </w:r>
      <w:r>
        <w:rPr>
          <w:rFonts w:hint="eastAsia" w:ascii="宋体" w:hAnsi="宋体"/>
          <w:color w:val="auto"/>
          <w:sz w:val="24"/>
          <w:szCs w:val="24"/>
        </w:rPr>
        <w:t>章</w:t>
      </w:r>
      <w:r>
        <w:rPr>
          <w:rFonts w:hint="eastAsia"/>
          <w:color w:val="auto"/>
          <w:sz w:val="24"/>
          <w:szCs w:val="24"/>
        </w:rPr>
        <w:t>）：</w:t>
      </w:r>
    </w:p>
    <w:p w14:paraId="36ADD4F1">
      <w:pPr>
        <w:widowControl w:val="0"/>
        <w:tabs>
          <w:tab w:val="left" w:pos="9365"/>
        </w:tabs>
        <w:snapToGrid w:val="0"/>
        <w:spacing w:after="56" w:line="560" w:lineRule="exact"/>
        <w:ind w:right="85"/>
        <w:jc w:val="left"/>
        <w:textAlignment w:val="top"/>
        <w:rPr>
          <w:color w:val="auto"/>
          <w:sz w:val="24"/>
          <w:szCs w:val="24"/>
        </w:rPr>
      </w:pPr>
      <w:r>
        <w:rPr>
          <w:rFonts w:hint="eastAsia"/>
          <w:color w:val="auto"/>
          <w:sz w:val="24"/>
          <w:szCs w:val="24"/>
        </w:rPr>
        <w:t>法定代表人（电子签名或签章）：</w:t>
      </w:r>
    </w:p>
    <w:p w14:paraId="45CEF0AD">
      <w:pPr>
        <w:widowControl w:val="0"/>
        <w:autoSpaceDE w:val="0"/>
        <w:autoSpaceDN w:val="0"/>
        <w:adjustRightInd w:val="0"/>
        <w:spacing w:line="240" w:lineRule="auto"/>
        <w:ind w:right="-816"/>
        <w:textAlignment w:val="auto"/>
        <w:rPr>
          <w:color w:val="auto"/>
          <w:sz w:val="24"/>
          <w:szCs w:val="24"/>
          <w:lang w:val="zh-CN"/>
        </w:rPr>
      </w:pPr>
      <w:r>
        <w:rPr>
          <w:rFonts w:hint="eastAsia" w:ascii="宋体" w:hAnsi="宋体" w:cs="楷体_GB2312"/>
          <w:color w:val="auto"/>
          <w:sz w:val="24"/>
          <w:lang w:val="zh-CN"/>
        </w:rPr>
        <w:t>日期：</w:t>
      </w:r>
      <w:r>
        <w:rPr>
          <w:rFonts w:ascii="宋体" w:hAnsi="宋体" w:cs="楷体_GB2312"/>
          <w:color w:val="auto"/>
          <w:sz w:val="24"/>
          <w:lang w:val="zh-CN"/>
        </w:rPr>
        <w:t xml:space="preserve">   </w:t>
      </w:r>
      <w:r>
        <w:rPr>
          <w:rFonts w:hint="eastAsia" w:ascii="宋体" w:hAnsi="宋体" w:cs="楷体_GB2312"/>
          <w:color w:val="auto"/>
          <w:sz w:val="24"/>
          <w:lang w:val="zh-CN"/>
        </w:rPr>
        <w:t>年</w:t>
      </w:r>
      <w:r>
        <w:rPr>
          <w:rFonts w:ascii="宋体" w:hAnsi="宋体" w:cs="楷体_GB2312"/>
          <w:color w:val="auto"/>
          <w:sz w:val="24"/>
          <w:lang w:val="zh-CN"/>
        </w:rPr>
        <w:t xml:space="preserve">   </w:t>
      </w:r>
      <w:r>
        <w:rPr>
          <w:rFonts w:hint="eastAsia" w:ascii="宋体" w:hAnsi="宋体" w:cs="楷体_GB2312"/>
          <w:color w:val="auto"/>
          <w:sz w:val="24"/>
          <w:lang w:val="zh-CN"/>
        </w:rPr>
        <w:t>月</w:t>
      </w:r>
      <w:r>
        <w:rPr>
          <w:rFonts w:ascii="宋体" w:hAnsi="宋体" w:cs="楷体_GB2312"/>
          <w:color w:val="auto"/>
          <w:sz w:val="24"/>
          <w:lang w:val="zh-CN"/>
        </w:rPr>
        <w:t xml:space="preserve">   </w:t>
      </w:r>
      <w:r>
        <w:rPr>
          <w:rFonts w:hint="eastAsia" w:ascii="宋体" w:hAnsi="宋体" w:cs="楷体_GB2312"/>
          <w:color w:val="auto"/>
          <w:sz w:val="24"/>
          <w:lang w:val="zh-CN"/>
        </w:rPr>
        <w:t>日</w:t>
      </w:r>
    </w:p>
    <w:p w14:paraId="2EF3EF7F">
      <w:pPr>
        <w:widowControl w:val="0"/>
        <w:snapToGrid w:val="0"/>
        <w:spacing w:line="560" w:lineRule="exact"/>
        <w:rPr>
          <w:rFonts w:hint="eastAsia" w:ascii="黑体" w:hAnsi="黑体" w:eastAsia="黑体"/>
          <w:b/>
          <w:color w:val="auto"/>
          <w:sz w:val="30"/>
          <w:szCs w:val="30"/>
        </w:rPr>
      </w:pPr>
      <w:r>
        <w:rPr>
          <w:rFonts w:ascii="黑体" w:hAnsi="黑体" w:eastAsia="黑体"/>
          <w:b/>
          <w:color w:val="auto"/>
          <w:sz w:val="30"/>
          <w:szCs w:val="30"/>
        </w:rPr>
        <w:br w:type="page"/>
      </w:r>
      <w:r>
        <w:rPr>
          <w:rFonts w:hint="eastAsia" w:ascii="黑体" w:hAnsi="黑体" w:eastAsia="黑体"/>
          <w:b/>
          <w:color w:val="auto"/>
          <w:sz w:val="30"/>
          <w:szCs w:val="30"/>
        </w:rPr>
        <w:t>14-2附件：</w:t>
      </w:r>
    </w:p>
    <w:p w14:paraId="5F379C06">
      <w:pPr>
        <w:spacing w:line="360" w:lineRule="auto"/>
        <w:ind w:firstLine="562" w:firstLineChars="200"/>
        <w:jc w:val="left"/>
        <w:rPr>
          <w:rFonts w:hint="eastAsia" w:ascii="宋体" w:hAnsi="宋体"/>
          <w:b/>
          <w:color w:val="auto"/>
          <w:sz w:val="28"/>
          <w:szCs w:val="28"/>
        </w:rPr>
      </w:pPr>
      <w:r>
        <w:rPr>
          <w:rFonts w:hint="eastAsia" w:ascii="宋体" w:hAnsi="宋体"/>
          <w:b/>
          <w:color w:val="auto"/>
          <w:sz w:val="28"/>
          <w:szCs w:val="28"/>
        </w:rPr>
        <w:t>供应商按照 “证明材料查询核验工作的清单及要求” （下述）提供核验材料。</w:t>
      </w:r>
    </w:p>
    <w:p w14:paraId="7369778E">
      <w:pPr>
        <w:spacing w:line="520" w:lineRule="exact"/>
        <w:rPr>
          <w:rFonts w:hint="eastAsia" w:ascii="宋体" w:hAnsi="宋体"/>
          <w:color w:val="auto"/>
          <w:sz w:val="28"/>
          <w:szCs w:val="28"/>
        </w:rPr>
      </w:pPr>
    </w:p>
    <w:p w14:paraId="301C7993">
      <w:pPr>
        <w:spacing w:line="520" w:lineRule="exact"/>
        <w:jc w:val="center"/>
        <w:rPr>
          <w:rFonts w:hint="eastAsia" w:ascii="宋体" w:hAnsi="宋体"/>
          <w:color w:val="auto"/>
          <w:sz w:val="28"/>
          <w:szCs w:val="28"/>
        </w:rPr>
      </w:pPr>
      <w:r>
        <w:rPr>
          <w:rFonts w:hint="eastAsia" w:ascii="宋体" w:hAnsi="宋体"/>
          <w:color w:val="auto"/>
          <w:sz w:val="28"/>
          <w:szCs w:val="28"/>
        </w:rPr>
        <w:t>（核验材料需加盖供应商电子签章）</w:t>
      </w:r>
    </w:p>
    <w:p w14:paraId="4F70C0F6">
      <w:pPr>
        <w:spacing w:line="520" w:lineRule="exact"/>
        <w:rPr>
          <w:rFonts w:hint="eastAsia" w:ascii="宋体" w:hAnsi="宋体"/>
          <w:color w:val="auto"/>
          <w:sz w:val="28"/>
          <w:szCs w:val="28"/>
        </w:rPr>
      </w:pPr>
    </w:p>
    <w:p w14:paraId="33A77EED">
      <w:pPr>
        <w:spacing w:line="520" w:lineRule="exact"/>
        <w:rPr>
          <w:rFonts w:hint="eastAsia" w:ascii="宋体" w:hAnsi="宋体"/>
          <w:color w:val="auto"/>
          <w:sz w:val="28"/>
          <w:szCs w:val="28"/>
        </w:rPr>
      </w:pPr>
    </w:p>
    <w:p w14:paraId="3BBD109B">
      <w:pPr>
        <w:spacing w:line="520" w:lineRule="exact"/>
        <w:rPr>
          <w:rFonts w:hint="eastAsia" w:ascii="宋体" w:hAnsi="宋体"/>
          <w:color w:val="auto"/>
          <w:sz w:val="28"/>
          <w:szCs w:val="28"/>
        </w:rPr>
      </w:pPr>
    </w:p>
    <w:p w14:paraId="5F32E139">
      <w:pPr>
        <w:spacing w:line="520" w:lineRule="exact"/>
        <w:rPr>
          <w:rFonts w:hint="eastAsia" w:ascii="宋体" w:hAnsi="宋体"/>
          <w:color w:val="auto"/>
          <w:sz w:val="28"/>
          <w:szCs w:val="28"/>
        </w:rPr>
      </w:pPr>
    </w:p>
    <w:p w14:paraId="3DF73C85">
      <w:pPr>
        <w:spacing w:line="520" w:lineRule="exact"/>
        <w:jc w:val="center"/>
        <w:rPr>
          <w:rFonts w:hint="eastAsia" w:ascii="黑体" w:hAnsi="黑体" w:eastAsia="黑体"/>
          <w:color w:val="auto"/>
          <w:sz w:val="36"/>
          <w:szCs w:val="36"/>
        </w:rPr>
      </w:pPr>
      <w:r>
        <w:rPr>
          <w:rFonts w:hint="eastAsia" w:ascii="黑体" w:hAnsi="黑体" w:eastAsia="黑体"/>
          <w:color w:val="auto"/>
          <w:sz w:val="36"/>
          <w:szCs w:val="36"/>
        </w:rPr>
        <w:t>证明材料查询核验工作的清单及要求</w:t>
      </w:r>
    </w:p>
    <w:p w14:paraId="50D99AF9">
      <w:pPr>
        <w:spacing w:line="360" w:lineRule="auto"/>
        <w:ind w:firstLine="560" w:firstLineChars="200"/>
        <w:jc w:val="left"/>
        <w:rPr>
          <w:rFonts w:hint="eastAsia" w:ascii="宋体" w:hAnsi="宋体"/>
          <w:color w:val="auto"/>
          <w:sz w:val="28"/>
          <w:szCs w:val="28"/>
        </w:rPr>
      </w:pPr>
    </w:p>
    <w:p w14:paraId="471B286F">
      <w:pPr>
        <w:spacing w:line="360" w:lineRule="auto"/>
        <w:ind w:firstLine="607" w:firstLineChars="253"/>
        <w:jc w:val="left"/>
        <w:rPr>
          <w:rFonts w:hint="eastAsia" w:ascii="宋体" w:hAnsi="宋体"/>
          <w:color w:val="auto"/>
          <w:sz w:val="24"/>
          <w:szCs w:val="24"/>
        </w:rPr>
      </w:pPr>
      <w:r>
        <w:rPr>
          <w:rFonts w:hint="eastAsia" w:ascii="宋体" w:hAnsi="宋体"/>
          <w:color w:val="auto"/>
          <w:sz w:val="24"/>
          <w:szCs w:val="24"/>
        </w:rPr>
        <w:t>一、响应文件所提供的证明材料中 、需网上公开查询核验的材料清单（依据2023年度监督检查工作指引网上公开查验网址）</w:t>
      </w:r>
    </w:p>
    <w:tbl>
      <w:tblPr>
        <w:tblStyle w:val="19"/>
        <w:tblW w:w="95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7"/>
        <w:gridCol w:w="3119"/>
        <w:gridCol w:w="5699"/>
      </w:tblGrid>
      <w:tr w14:paraId="17242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77EB0C54">
            <w:pPr>
              <w:spacing w:line="360" w:lineRule="auto"/>
              <w:jc w:val="center"/>
              <w:rPr>
                <w:rFonts w:hint="eastAsia" w:ascii="宋体" w:hAnsi="宋体"/>
                <w:b/>
                <w:color w:val="auto"/>
                <w:sz w:val="24"/>
                <w:szCs w:val="24"/>
              </w:rPr>
            </w:pPr>
            <w:r>
              <w:rPr>
                <w:rFonts w:hint="eastAsia" w:ascii="宋体" w:hAnsi="宋体"/>
                <w:b/>
                <w:color w:val="auto"/>
                <w:sz w:val="24"/>
                <w:szCs w:val="24"/>
              </w:rPr>
              <w:t>序号</w:t>
            </w:r>
          </w:p>
        </w:tc>
        <w:tc>
          <w:tcPr>
            <w:tcW w:w="3119" w:type="dxa"/>
            <w:vAlign w:val="center"/>
          </w:tcPr>
          <w:p w14:paraId="0F44E2D6">
            <w:pPr>
              <w:spacing w:line="360" w:lineRule="auto"/>
              <w:jc w:val="center"/>
              <w:rPr>
                <w:rFonts w:hint="eastAsia" w:ascii="宋体" w:hAnsi="宋体"/>
                <w:b/>
                <w:color w:val="auto"/>
                <w:sz w:val="24"/>
                <w:szCs w:val="24"/>
              </w:rPr>
            </w:pPr>
            <w:r>
              <w:rPr>
                <w:rFonts w:hint="eastAsia" w:ascii="宋体" w:hAnsi="宋体"/>
                <w:b/>
                <w:color w:val="auto"/>
                <w:sz w:val="24"/>
                <w:szCs w:val="24"/>
              </w:rPr>
              <w:t>名称</w:t>
            </w:r>
          </w:p>
        </w:tc>
        <w:tc>
          <w:tcPr>
            <w:tcW w:w="5699" w:type="dxa"/>
            <w:vAlign w:val="center"/>
          </w:tcPr>
          <w:p w14:paraId="60BEEA02">
            <w:pPr>
              <w:spacing w:line="360" w:lineRule="auto"/>
              <w:jc w:val="center"/>
              <w:rPr>
                <w:rFonts w:hint="eastAsia" w:ascii="宋体" w:hAnsi="宋体"/>
                <w:b/>
                <w:color w:val="auto"/>
                <w:sz w:val="24"/>
                <w:szCs w:val="24"/>
              </w:rPr>
            </w:pPr>
            <w:r>
              <w:rPr>
                <w:rFonts w:hint="eastAsia" w:ascii="宋体" w:hAnsi="宋体"/>
                <w:b/>
                <w:color w:val="auto"/>
                <w:sz w:val="24"/>
                <w:szCs w:val="24"/>
              </w:rPr>
              <w:t>查验网址</w:t>
            </w:r>
          </w:p>
        </w:tc>
      </w:tr>
      <w:tr w14:paraId="43935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60E1B819">
            <w:pPr>
              <w:spacing w:line="360" w:lineRule="auto"/>
              <w:jc w:val="center"/>
              <w:rPr>
                <w:rFonts w:hint="eastAsia" w:ascii="宋体" w:hAnsi="宋体"/>
                <w:color w:val="auto"/>
                <w:sz w:val="24"/>
                <w:szCs w:val="24"/>
              </w:rPr>
            </w:pPr>
            <w:r>
              <w:rPr>
                <w:rFonts w:hint="eastAsia" w:ascii="宋体" w:hAnsi="宋体"/>
                <w:color w:val="auto"/>
                <w:sz w:val="24"/>
                <w:szCs w:val="24"/>
              </w:rPr>
              <w:t>1</w:t>
            </w:r>
          </w:p>
        </w:tc>
        <w:tc>
          <w:tcPr>
            <w:tcW w:w="3119" w:type="dxa"/>
            <w:vAlign w:val="center"/>
          </w:tcPr>
          <w:p w14:paraId="4E6074E4">
            <w:pPr>
              <w:spacing w:line="360" w:lineRule="auto"/>
              <w:jc w:val="center"/>
              <w:rPr>
                <w:rFonts w:hint="eastAsia" w:ascii="宋体" w:hAnsi="宋体"/>
                <w:color w:val="auto"/>
                <w:sz w:val="24"/>
                <w:szCs w:val="24"/>
              </w:rPr>
            </w:pPr>
            <w:r>
              <w:rPr>
                <w:rFonts w:hint="eastAsia" w:ascii="宋体" w:hAnsi="宋体"/>
                <w:color w:val="auto"/>
                <w:sz w:val="24"/>
                <w:szCs w:val="24"/>
              </w:rPr>
              <w:t>建设工程类相关资质</w:t>
            </w:r>
          </w:p>
        </w:tc>
        <w:tc>
          <w:tcPr>
            <w:tcW w:w="5699" w:type="dxa"/>
            <w:vAlign w:val="center"/>
          </w:tcPr>
          <w:p w14:paraId="6571388D">
            <w:pPr>
              <w:spacing w:line="360" w:lineRule="auto"/>
              <w:rPr>
                <w:rFonts w:hint="eastAsia" w:ascii="宋体" w:hAnsi="宋体"/>
                <w:color w:val="auto"/>
                <w:sz w:val="24"/>
                <w:szCs w:val="24"/>
              </w:rPr>
            </w:pPr>
            <w:r>
              <w:fldChar w:fldCharType="begin"/>
            </w:r>
            <w:r>
              <w:instrText xml:space="preserve"> HYPERLINK "https://www.mohurd.gov.cn" </w:instrText>
            </w:r>
            <w:r>
              <w:fldChar w:fldCharType="separate"/>
            </w:r>
            <w:r>
              <w:rPr>
                <w:rStyle w:val="24"/>
                <w:rFonts w:ascii="宋体" w:hAnsi="宋体"/>
                <w:color w:val="auto"/>
                <w:sz w:val="24"/>
                <w:szCs w:val="24"/>
              </w:rPr>
              <w:t>https://</w:t>
            </w:r>
            <w:r>
              <w:rPr>
                <w:rStyle w:val="24"/>
                <w:rFonts w:hint="eastAsia" w:ascii="宋体" w:hAnsi="宋体"/>
                <w:color w:val="auto"/>
                <w:sz w:val="24"/>
                <w:szCs w:val="24"/>
              </w:rPr>
              <w:t>www</w:t>
            </w:r>
            <w:r>
              <w:rPr>
                <w:rStyle w:val="24"/>
                <w:rFonts w:ascii="宋体" w:hAnsi="宋体"/>
                <w:color w:val="auto"/>
                <w:sz w:val="24"/>
                <w:szCs w:val="24"/>
              </w:rPr>
              <w:t>.mohurd.gov.cn</w:t>
            </w:r>
            <w:r>
              <w:rPr>
                <w:rStyle w:val="24"/>
                <w:rFonts w:ascii="宋体" w:hAnsi="宋体"/>
                <w:color w:val="auto"/>
                <w:sz w:val="24"/>
                <w:szCs w:val="24"/>
              </w:rPr>
              <w:fldChar w:fldCharType="end"/>
            </w:r>
          </w:p>
        </w:tc>
      </w:tr>
      <w:tr w14:paraId="64E59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07986AF6">
            <w:pPr>
              <w:spacing w:line="360" w:lineRule="auto"/>
              <w:jc w:val="center"/>
              <w:rPr>
                <w:rFonts w:hint="eastAsia" w:ascii="宋体" w:hAnsi="宋体"/>
                <w:color w:val="auto"/>
                <w:sz w:val="24"/>
                <w:szCs w:val="24"/>
              </w:rPr>
            </w:pPr>
            <w:r>
              <w:rPr>
                <w:rFonts w:hint="eastAsia" w:ascii="宋体" w:hAnsi="宋体"/>
                <w:color w:val="auto"/>
                <w:sz w:val="24"/>
                <w:szCs w:val="24"/>
              </w:rPr>
              <w:t>2</w:t>
            </w:r>
          </w:p>
        </w:tc>
        <w:tc>
          <w:tcPr>
            <w:tcW w:w="3119" w:type="dxa"/>
            <w:vAlign w:val="center"/>
          </w:tcPr>
          <w:p w14:paraId="7D4C09EC">
            <w:pPr>
              <w:spacing w:line="360" w:lineRule="auto"/>
              <w:jc w:val="center"/>
              <w:rPr>
                <w:rFonts w:hint="eastAsia" w:ascii="宋体" w:hAnsi="宋体"/>
                <w:color w:val="auto"/>
                <w:sz w:val="24"/>
                <w:szCs w:val="24"/>
              </w:rPr>
            </w:pPr>
            <w:r>
              <w:rPr>
                <w:rFonts w:hint="eastAsia" w:ascii="宋体" w:hAnsi="宋体"/>
                <w:color w:val="auto"/>
                <w:sz w:val="24"/>
                <w:szCs w:val="24"/>
              </w:rPr>
              <w:t>社保缴费记录</w:t>
            </w:r>
          </w:p>
        </w:tc>
        <w:tc>
          <w:tcPr>
            <w:tcW w:w="5699" w:type="dxa"/>
            <w:vAlign w:val="center"/>
          </w:tcPr>
          <w:p w14:paraId="6925A987">
            <w:pPr>
              <w:spacing w:line="360" w:lineRule="auto"/>
              <w:rPr>
                <w:rFonts w:hint="eastAsia" w:ascii="宋体" w:hAnsi="宋体"/>
                <w:color w:val="auto"/>
                <w:sz w:val="24"/>
                <w:szCs w:val="24"/>
              </w:rPr>
            </w:pPr>
            <w:r>
              <w:rPr>
                <w:rFonts w:hint="eastAsia" w:ascii="宋体" w:hAnsi="宋体"/>
                <w:color w:val="auto"/>
                <w:sz w:val="24"/>
                <w:szCs w:val="24"/>
              </w:rPr>
              <w:t>缴费地人力资源和社会保障局官网。</w:t>
            </w:r>
          </w:p>
        </w:tc>
      </w:tr>
      <w:tr w14:paraId="031B4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56F3F18F">
            <w:pPr>
              <w:spacing w:line="360" w:lineRule="auto"/>
              <w:jc w:val="center"/>
              <w:rPr>
                <w:rFonts w:hint="eastAsia" w:ascii="宋体" w:hAnsi="宋体"/>
                <w:color w:val="auto"/>
                <w:sz w:val="24"/>
                <w:szCs w:val="24"/>
              </w:rPr>
            </w:pPr>
            <w:r>
              <w:rPr>
                <w:rFonts w:hint="eastAsia" w:ascii="宋体" w:hAnsi="宋体"/>
                <w:color w:val="auto"/>
                <w:sz w:val="24"/>
                <w:szCs w:val="24"/>
              </w:rPr>
              <w:t>3</w:t>
            </w:r>
          </w:p>
        </w:tc>
        <w:tc>
          <w:tcPr>
            <w:tcW w:w="3119" w:type="dxa"/>
            <w:vAlign w:val="center"/>
          </w:tcPr>
          <w:p w14:paraId="6786E605">
            <w:pPr>
              <w:spacing w:line="360" w:lineRule="auto"/>
              <w:jc w:val="center"/>
              <w:rPr>
                <w:rFonts w:hint="eastAsia" w:ascii="宋体" w:hAnsi="宋体"/>
                <w:color w:val="auto"/>
                <w:sz w:val="24"/>
                <w:szCs w:val="24"/>
              </w:rPr>
            </w:pPr>
            <w:r>
              <w:rPr>
                <w:rFonts w:hint="eastAsia" w:ascii="宋体" w:hAnsi="宋体"/>
                <w:color w:val="auto"/>
                <w:sz w:val="24"/>
                <w:szCs w:val="24"/>
              </w:rPr>
              <w:t>特种作业操作者</w:t>
            </w:r>
          </w:p>
          <w:p w14:paraId="3D333D4F">
            <w:pPr>
              <w:pStyle w:val="17"/>
              <w:ind w:firstLine="0" w:firstLineChars="0"/>
              <w:rPr>
                <w:color w:val="auto"/>
              </w:rPr>
            </w:pPr>
            <w:r>
              <w:rPr>
                <w:rFonts w:hint="eastAsia" w:ascii="宋体" w:hAnsi="宋体"/>
                <w:color w:val="auto"/>
                <w:sz w:val="24"/>
                <w:szCs w:val="24"/>
              </w:rPr>
              <w:t>（高空作业车操作证除外）</w:t>
            </w:r>
          </w:p>
        </w:tc>
        <w:tc>
          <w:tcPr>
            <w:tcW w:w="5699" w:type="dxa"/>
            <w:vAlign w:val="center"/>
          </w:tcPr>
          <w:p w14:paraId="71C3E453">
            <w:pPr>
              <w:spacing w:line="360" w:lineRule="auto"/>
              <w:rPr>
                <w:rFonts w:hint="eastAsia" w:ascii="宋体" w:hAnsi="宋体"/>
                <w:color w:val="auto"/>
                <w:sz w:val="24"/>
                <w:szCs w:val="24"/>
              </w:rPr>
            </w:pPr>
            <w:r>
              <w:fldChar w:fldCharType="begin"/>
            </w:r>
            <w:r>
              <w:instrText xml:space="preserve"> HYPERLINK "https://cx.mem.gov.cn/" </w:instrText>
            </w:r>
            <w:r>
              <w:fldChar w:fldCharType="separate"/>
            </w:r>
            <w:r>
              <w:rPr>
                <w:rStyle w:val="24"/>
                <w:rFonts w:ascii="宋体" w:hAnsi="宋体"/>
                <w:color w:val="auto"/>
                <w:sz w:val="24"/>
                <w:szCs w:val="24"/>
              </w:rPr>
              <w:t>https://cx.mem.gov.cn/</w:t>
            </w:r>
            <w:r>
              <w:rPr>
                <w:rStyle w:val="24"/>
                <w:rFonts w:ascii="宋体" w:hAnsi="宋体"/>
                <w:color w:val="auto"/>
                <w:sz w:val="24"/>
                <w:szCs w:val="24"/>
              </w:rPr>
              <w:fldChar w:fldCharType="end"/>
            </w:r>
          </w:p>
        </w:tc>
      </w:tr>
      <w:tr w14:paraId="4B057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vAlign w:val="center"/>
          </w:tcPr>
          <w:p w14:paraId="47C6CCA1">
            <w:pPr>
              <w:spacing w:line="360" w:lineRule="auto"/>
              <w:jc w:val="center"/>
              <w:rPr>
                <w:rFonts w:hint="eastAsia" w:ascii="宋体" w:hAnsi="宋体"/>
                <w:color w:val="auto"/>
                <w:sz w:val="24"/>
                <w:szCs w:val="24"/>
              </w:rPr>
            </w:pPr>
            <w:r>
              <w:rPr>
                <w:rFonts w:hint="eastAsia" w:ascii="宋体" w:hAnsi="宋体"/>
                <w:color w:val="auto"/>
                <w:sz w:val="24"/>
                <w:szCs w:val="24"/>
              </w:rPr>
              <w:t>4</w:t>
            </w:r>
          </w:p>
        </w:tc>
        <w:tc>
          <w:tcPr>
            <w:tcW w:w="8818" w:type="dxa"/>
            <w:gridSpan w:val="2"/>
            <w:vAlign w:val="center"/>
          </w:tcPr>
          <w:p w14:paraId="30A5283D">
            <w:pPr>
              <w:spacing w:line="360" w:lineRule="auto"/>
              <w:rPr>
                <w:rFonts w:hint="eastAsia" w:ascii="宋体" w:hAnsi="宋体"/>
                <w:color w:val="auto"/>
                <w:sz w:val="24"/>
                <w:szCs w:val="24"/>
              </w:rPr>
            </w:pPr>
            <w:r>
              <w:rPr>
                <w:rFonts w:hint="eastAsia" w:ascii="宋体" w:hAnsi="宋体"/>
                <w:color w:val="auto"/>
                <w:sz w:val="24"/>
                <w:szCs w:val="24"/>
              </w:rPr>
              <w:t>除上述外，投标人认为有必要的相关核实官方证明材料。（可选）</w:t>
            </w:r>
          </w:p>
        </w:tc>
      </w:tr>
    </w:tbl>
    <w:p w14:paraId="2CCA6CFE">
      <w:pPr>
        <w:spacing w:line="360" w:lineRule="auto"/>
        <w:ind w:firstLine="360" w:firstLineChars="150"/>
        <w:rPr>
          <w:rFonts w:hint="eastAsia" w:ascii="宋体" w:hAnsi="宋体"/>
          <w:color w:val="auto"/>
          <w:sz w:val="24"/>
          <w:szCs w:val="24"/>
        </w:rPr>
      </w:pPr>
    </w:p>
    <w:p w14:paraId="6CC42822">
      <w:pPr>
        <w:spacing w:line="360" w:lineRule="auto"/>
        <w:ind w:firstLine="480" w:firstLineChars="200"/>
        <w:rPr>
          <w:rFonts w:hint="eastAsia" w:ascii="宋体" w:hAnsi="宋体"/>
          <w:color w:val="auto"/>
          <w:sz w:val="24"/>
          <w:szCs w:val="24"/>
        </w:rPr>
      </w:pPr>
      <w:r>
        <w:rPr>
          <w:rFonts w:hint="eastAsia" w:ascii="宋体" w:hAnsi="宋体"/>
          <w:color w:val="auto"/>
          <w:sz w:val="24"/>
          <w:szCs w:val="24"/>
        </w:rPr>
        <w:t>二、本采购项目必要的其他核验证明材料（除监督检查工作指引网上公开查验网址外的）</w:t>
      </w:r>
    </w:p>
    <w:tbl>
      <w:tblPr>
        <w:tblStyle w:val="19"/>
        <w:tblW w:w="93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3119"/>
        <w:gridCol w:w="5699"/>
      </w:tblGrid>
      <w:tr w14:paraId="032A3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3C4494B7">
            <w:pPr>
              <w:spacing w:line="360" w:lineRule="auto"/>
              <w:jc w:val="center"/>
              <w:rPr>
                <w:rFonts w:hint="eastAsia" w:ascii="宋体" w:hAnsi="宋体"/>
                <w:b/>
                <w:color w:val="auto"/>
                <w:sz w:val="24"/>
                <w:szCs w:val="24"/>
              </w:rPr>
            </w:pPr>
            <w:r>
              <w:rPr>
                <w:rFonts w:hint="eastAsia" w:ascii="宋体" w:hAnsi="宋体"/>
                <w:b/>
                <w:color w:val="auto"/>
                <w:sz w:val="24"/>
                <w:szCs w:val="24"/>
              </w:rPr>
              <w:t>序号</w:t>
            </w:r>
          </w:p>
        </w:tc>
        <w:tc>
          <w:tcPr>
            <w:tcW w:w="3119" w:type="dxa"/>
            <w:vAlign w:val="center"/>
          </w:tcPr>
          <w:p w14:paraId="2E0A0DC5">
            <w:pPr>
              <w:spacing w:line="360" w:lineRule="auto"/>
              <w:jc w:val="center"/>
              <w:rPr>
                <w:rFonts w:hint="eastAsia" w:ascii="宋体" w:hAnsi="宋体"/>
                <w:b/>
                <w:color w:val="auto"/>
                <w:sz w:val="24"/>
                <w:szCs w:val="24"/>
              </w:rPr>
            </w:pPr>
            <w:r>
              <w:rPr>
                <w:rFonts w:hint="eastAsia" w:ascii="宋体" w:hAnsi="宋体"/>
                <w:b/>
                <w:color w:val="auto"/>
                <w:sz w:val="24"/>
                <w:szCs w:val="24"/>
              </w:rPr>
              <w:t>名称</w:t>
            </w:r>
          </w:p>
        </w:tc>
        <w:tc>
          <w:tcPr>
            <w:tcW w:w="5699" w:type="dxa"/>
            <w:vAlign w:val="center"/>
          </w:tcPr>
          <w:p w14:paraId="52BEF783">
            <w:pPr>
              <w:spacing w:line="360" w:lineRule="auto"/>
              <w:jc w:val="center"/>
              <w:rPr>
                <w:rFonts w:hint="eastAsia" w:ascii="宋体" w:hAnsi="宋体"/>
                <w:b/>
                <w:color w:val="auto"/>
                <w:sz w:val="24"/>
                <w:szCs w:val="24"/>
              </w:rPr>
            </w:pPr>
            <w:r>
              <w:rPr>
                <w:rFonts w:hint="eastAsia" w:ascii="宋体" w:hAnsi="宋体"/>
                <w:b/>
                <w:color w:val="auto"/>
                <w:sz w:val="24"/>
                <w:szCs w:val="24"/>
              </w:rPr>
              <w:t>查验网址</w:t>
            </w:r>
          </w:p>
        </w:tc>
      </w:tr>
      <w:tr w14:paraId="28F74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05BBE888">
            <w:pPr>
              <w:spacing w:line="360" w:lineRule="auto"/>
              <w:jc w:val="center"/>
              <w:rPr>
                <w:rFonts w:hint="eastAsia" w:ascii="宋体" w:hAnsi="宋体"/>
                <w:color w:val="auto"/>
                <w:sz w:val="24"/>
                <w:szCs w:val="24"/>
                <w:highlight w:val="cyan"/>
              </w:rPr>
            </w:pPr>
            <w:r>
              <w:rPr>
                <w:rFonts w:hint="eastAsia" w:ascii="宋体" w:hAnsi="宋体"/>
                <w:color w:val="auto"/>
                <w:sz w:val="24"/>
                <w:szCs w:val="24"/>
              </w:rPr>
              <w:t>1</w:t>
            </w:r>
          </w:p>
        </w:tc>
        <w:tc>
          <w:tcPr>
            <w:tcW w:w="3119" w:type="dxa"/>
            <w:vAlign w:val="center"/>
          </w:tcPr>
          <w:p w14:paraId="14D46C9F">
            <w:pPr>
              <w:spacing w:line="360" w:lineRule="auto"/>
              <w:jc w:val="center"/>
              <w:rPr>
                <w:rFonts w:hint="eastAsia" w:ascii="宋体" w:hAnsi="宋体"/>
                <w:color w:val="auto"/>
                <w:sz w:val="24"/>
                <w:szCs w:val="24"/>
              </w:rPr>
            </w:pPr>
            <w:r>
              <w:rPr>
                <w:rFonts w:hint="eastAsia" w:ascii="宋体" w:hAnsi="宋体"/>
                <w:color w:val="auto"/>
                <w:sz w:val="24"/>
                <w:szCs w:val="24"/>
              </w:rPr>
              <w:t>体系证书</w:t>
            </w:r>
          </w:p>
        </w:tc>
        <w:tc>
          <w:tcPr>
            <w:tcW w:w="5699" w:type="dxa"/>
          </w:tcPr>
          <w:p w14:paraId="3457D79C">
            <w:pPr>
              <w:spacing w:line="360" w:lineRule="auto"/>
              <w:jc w:val="left"/>
              <w:rPr>
                <w:rFonts w:hint="eastAsia" w:ascii="宋体" w:hAnsi="宋体"/>
                <w:color w:val="auto"/>
                <w:sz w:val="24"/>
                <w:szCs w:val="24"/>
              </w:rPr>
            </w:pPr>
            <w:r>
              <w:rPr>
                <w:rFonts w:hint="eastAsia" w:asciiTheme="minorEastAsia" w:hAnsiTheme="minorEastAsia"/>
                <w:color w:val="auto"/>
                <w:sz w:val="24"/>
                <w:szCs w:val="24"/>
              </w:rPr>
              <w:t>国家认证认可监督管理委员会“https://www.cnca.gov.cn/”</w:t>
            </w:r>
          </w:p>
        </w:tc>
      </w:tr>
    </w:tbl>
    <w:p w14:paraId="326BF1C7">
      <w:pPr>
        <w:spacing w:line="360" w:lineRule="auto"/>
        <w:ind w:firstLine="480" w:firstLineChars="200"/>
        <w:rPr>
          <w:rFonts w:hint="eastAsia" w:ascii="宋体" w:hAnsi="宋体"/>
          <w:color w:val="auto"/>
          <w:sz w:val="24"/>
          <w:szCs w:val="24"/>
        </w:rPr>
      </w:pPr>
    </w:p>
    <w:p w14:paraId="72272E27">
      <w:pPr>
        <w:spacing w:line="360" w:lineRule="auto"/>
        <w:ind w:firstLine="480" w:firstLineChars="200"/>
        <w:rPr>
          <w:rFonts w:hint="eastAsia" w:ascii="宋体" w:hAnsi="宋体"/>
          <w:color w:val="auto"/>
          <w:sz w:val="24"/>
          <w:szCs w:val="24"/>
        </w:rPr>
      </w:pPr>
      <w:r>
        <w:rPr>
          <w:rFonts w:hint="eastAsia" w:ascii="宋体" w:hAnsi="宋体"/>
          <w:color w:val="auto"/>
          <w:sz w:val="24"/>
          <w:szCs w:val="24"/>
        </w:rPr>
        <w:t>三、对响应文件所提供的证明材料中、需网上查询核验的说明及要求。</w:t>
      </w:r>
    </w:p>
    <w:p w14:paraId="642281F8">
      <w:pPr>
        <w:spacing w:line="360" w:lineRule="auto"/>
        <w:ind w:firstLine="532" w:firstLineChars="222"/>
        <w:rPr>
          <w:rFonts w:hint="eastAsia" w:ascii="宋体" w:hAnsi="宋体"/>
          <w:color w:val="auto"/>
          <w:sz w:val="24"/>
          <w:szCs w:val="24"/>
        </w:rPr>
      </w:pPr>
      <w:r>
        <w:rPr>
          <w:rFonts w:hint="eastAsia" w:ascii="宋体" w:hAnsi="宋体"/>
          <w:color w:val="auto"/>
          <w:sz w:val="24"/>
          <w:szCs w:val="24"/>
        </w:rPr>
        <w:t>（一）响应文件中</w:t>
      </w:r>
    </w:p>
    <w:p w14:paraId="1AE0E9A1">
      <w:pPr>
        <w:spacing w:line="360" w:lineRule="auto"/>
        <w:ind w:firstLine="532" w:firstLineChars="222"/>
        <w:rPr>
          <w:rFonts w:hint="eastAsia" w:ascii="宋体" w:hAnsi="宋体"/>
          <w:color w:val="auto"/>
          <w:sz w:val="24"/>
          <w:szCs w:val="24"/>
        </w:rPr>
      </w:pPr>
      <w:r>
        <w:rPr>
          <w:rFonts w:hint="eastAsia" w:ascii="宋体" w:hAnsi="宋体"/>
          <w:color w:val="auto"/>
          <w:sz w:val="24"/>
          <w:szCs w:val="24"/>
        </w:rPr>
        <w:t>1、基于当前监督检查工作要求，为防范虚假材料，供应商应按本14-2附件“证明材料查询核验工作的清单及要求”列示的证明材料及对应网址（监督检查工作指引列示的网上公开查询核验网址）、对响应文件中所提供证明材料进行核验，并将查询结果截图作为所提供证明材料的附件，以佐证所提供证明材料的真实性。</w:t>
      </w:r>
    </w:p>
    <w:p w14:paraId="416F737F">
      <w:pPr>
        <w:spacing w:line="360" w:lineRule="auto"/>
        <w:ind w:firstLine="532" w:firstLineChars="222"/>
        <w:rPr>
          <w:rFonts w:hint="eastAsia" w:ascii="宋体" w:hAnsi="宋体"/>
          <w:color w:val="auto"/>
          <w:sz w:val="24"/>
          <w:szCs w:val="24"/>
        </w:rPr>
      </w:pPr>
      <w:r>
        <w:rPr>
          <w:rFonts w:hint="eastAsia" w:ascii="宋体" w:hAnsi="宋体"/>
          <w:color w:val="auto"/>
          <w:sz w:val="24"/>
          <w:szCs w:val="24"/>
        </w:rPr>
        <w:t>响应文件中、对本14-2附件“证明材料查询核验工作的清单及要求”中的每份证明材料，均应在该证明材料后附对应的查询结果截图（并注明该截图的对应网址）、或查询异常情况说明资料。否则，磋商小组按缺少要件不予认可该份证明材料。</w:t>
      </w:r>
    </w:p>
    <w:p w14:paraId="6BAE96D7">
      <w:pPr>
        <w:spacing w:line="360" w:lineRule="auto"/>
        <w:ind w:firstLine="532" w:firstLineChars="222"/>
        <w:rPr>
          <w:rFonts w:hint="eastAsia" w:ascii="宋体" w:hAnsi="宋体"/>
          <w:color w:val="auto"/>
          <w:sz w:val="24"/>
          <w:szCs w:val="24"/>
        </w:rPr>
      </w:pPr>
      <w:r>
        <w:rPr>
          <w:rFonts w:ascii="宋体" w:hAnsi="宋体"/>
          <w:color w:val="auto"/>
          <w:sz w:val="24"/>
          <w:szCs w:val="24"/>
        </w:rPr>
        <w:t>2</w:t>
      </w:r>
      <w:r>
        <w:rPr>
          <w:rFonts w:hint="eastAsia" w:ascii="宋体" w:hAnsi="宋体"/>
          <w:color w:val="auto"/>
          <w:sz w:val="24"/>
          <w:szCs w:val="24"/>
        </w:rPr>
        <w:t>、供应商查询异常情况的处理</w:t>
      </w:r>
    </w:p>
    <w:p w14:paraId="23DDAFCB">
      <w:pPr>
        <w:spacing w:line="360" w:lineRule="auto"/>
        <w:ind w:firstLine="532" w:firstLineChars="222"/>
        <w:rPr>
          <w:rFonts w:hint="eastAsia" w:ascii="宋体" w:hAnsi="宋体"/>
          <w:color w:val="auto"/>
          <w:sz w:val="24"/>
          <w:szCs w:val="24"/>
        </w:rPr>
      </w:pPr>
      <w:r>
        <w:rPr>
          <w:rFonts w:hint="eastAsia" w:ascii="宋体" w:hAnsi="宋体"/>
          <w:color w:val="auto"/>
          <w:sz w:val="24"/>
          <w:szCs w:val="24"/>
        </w:rPr>
        <w:t>（1）供应商按本附件列示网址查询异常的，但供应商确保其真实性的，供应商应当单独对异常情况作出说明解释，并可提供同等及以上权威部门（政府职能部门或下属机构、或其公开的认可机构）的可公开验证的查询资料、以证实证明材料的真实性。</w:t>
      </w:r>
    </w:p>
    <w:p w14:paraId="0AADB1A0">
      <w:pPr>
        <w:spacing w:line="360" w:lineRule="auto"/>
        <w:ind w:firstLine="532" w:firstLineChars="222"/>
        <w:rPr>
          <w:rFonts w:hint="eastAsia" w:ascii="宋体" w:hAnsi="宋体"/>
          <w:color w:val="auto"/>
          <w:sz w:val="24"/>
          <w:szCs w:val="24"/>
        </w:rPr>
      </w:pPr>
      <w:r>
        <w:rPr>
          <w:rFonts w:hint="eastAsia" w:ascii="宋体" w:hAnsi="宋体"/>
          <w:color w:val="auto"/>
          <w:sz w:val="24"/>
          <w:szCs w:val="24"/>
        </w:rPr>
        <w:t>供应商无法按本附件列示网址（监督检查工作指引列示的网上公开查询核验网址）核验响应文件中所提供证明材料的真实性的，无法确保证明材料真实性的，不建议投标，以免中标（成交）后，在质疑处理、监督检查等工作中核验不一致、被视为虚假材料而承责。</w:t>
      </w:r>
    </w:p>
    <w:p w14:paraId="4484076A">
      <w:pPr>
        <w:spacing w:line="360" w:lineRule="auto"/>
        <w:ind w:firstLine="532" w:firstLineChars="222"/>
        <w:rPr>
          <w:rFonts w:hint="eastAsia" w:ascii="宋体" w:hAnsi="宋体"/>
          <w:color w:val="auto"/>
          <w:sz w:val="24"/>
          <w:szCs w:val="24"/>
        </w:rPr>
      </w:pPr>
      <w:r>
        <w:rPr>
          <w:rFonts w:hint="eastAsia" w:ascii="宋体" w:hAnsi="宋体"/>
          <w:color w:val="auto"/>
          <w:sz w:val="24"/>
          <w:szCs w:val="24"/>
        </w:rPr>
        <w:t>（2）网站异常</w:t>
      </w:r>
    </w:p>
    <w:p w14:paraId="181D4181">
      <w:pPr>
        <w:spacing w:line="360" w:lineRule="auto"/>
        <w:ind w:firstLine="532" w:firstLineChars="222"/>
        <w:rPr>
          <w:rFonts w:hint="eastAsia" w:ascii="宋体" w:hAnsi="宋体"/>
          <w:color w:val="auto"/>
          <w:sz w:val="24"/>
          <w:szCs w:val="24"/>
        </w:rPr>
      </w:pPr>
      <w:r>
        <w:rPr>
          <w:rFonts w:hint="eastAsia" w:ascii="宋体" w:hAnsi="宋体"/>
          <w:color w:val="auto"/>
          <w:sz w:val="24"/>
          <w:szCs w:val="24"/>
        </w:rPr>
        <w:t>基于全国政务持续发展、持续革新的大好局面，供应商在按本附件列示网址查询核验时，如遇部分网站更新等无法查询情况时，需及时书面反馈（请按第一章采购公告联系方式书面反馈）。经核实会商、将对此证明材料的查询核验事项发布澄清修改公告。</w:t>
      </w:r>
    </w:p>
    <w:p w14:paraId="3566BD18">
      <w:pPr>
        <w:spacing w:line="360" w:lineRule="auto"/>
        <w:ind w:firstLine="532" w:firstLineChars="222"/>
        <w:rPr>
          <w:rFonts w:hint="eastAsia" w:ascii="宋体" w:hAnsi="宋体"/>
          <w:color w:val="auto"/>
          <w:sz w:val="24"/>
          <w:szCs w:val="24"/>
        </w:rPr>
      </w:pPr>
      <w:r>
        <w:rPr>
          <w:rFonts w:hint="eastAsia" w:ascii="宋体" w:hAnsi="宋体"/>
          <w:color w:val="auto"/>
          <w:sz w:val="24"/>
          <w:szCs w:val="24"/>
        </w:rPr>
        <w:t>未发布查询核验事项的澄清修改公告的，为供应商自身原因的查询异常，请该供应商深入认真自查自身原因或向相应网站反馈解决。</w:t>
      </w:r>
    </w:p>
    <w:p w14:paraId="41710348">
      <w:pPr>
        <w:spacing w:line="360" w:lineRule="auto"/>
        <w:ind w:firstLine="532" w:firstLineChars="222"/>
        <w:rPr>
          <w:rFonts w:hint="eastAsia" w:ascii="宋体" w:hAnsi="宋体"/>
          <w:color w:val="auto"/>
          <w:sz w:val="24"/>
          <w:szCs w:val="24"/>
        </w:rPr>
      </w:pPr>
      <w:r>
        <w:rPr>
          <w:rFonts w:hint="eastAsia" w:ascii="宋体" w:hAnsi="宋体"/>
          <w:color w:val="auto"/>
          <w:sz w:val="24"/>
          <w:szCs w:val="24"/>
        </w:rPr>
        <w:t>（3）网站异常产生的外在投标风险由供应商自行承担。</w:t>
      </w:r>
    </w:p>
    <w:p w14:paraId="2797B886">
      <w:pPr>
        <w:spacing w:line="360" w:lineRule="auto"/>
        <w:ind w:firstLine="532" w:firstLineChars="222"/>
        <w:rPr>
          <w:rFonts w:hint="eastAsia" w:ascii="宋体" w:hAnsi="宋体"/>
          <w:color w:val="auto"/>
          <w:sz w:val="24"/>
          <w:szCs w:val="24"/>
        </w:rPr>
      </w:pPr>
      <w:r>
        <w:rPr>
          <w:rFonts w:hint="eastAsia" w:ascii="宋体" w:hAnsi="宋体"/>
          <w:color w:val="auto"/>
          <w:sz w:val="24"/>
          <w:szCs w:val="24"/>
        </w:rPr>
        <w:t>（二）评审时的要件审核</w:t>
      </w:r>
    </w:p>
    <w:p w14:paraId="028EBE95">
      <w:pPr>
        <w:spacing w:line="360" w:lineRule="auto"/>
        <w:ind w:firstLine="532" w:firstLineChars="222"/>
        <w:rPr>
          <w:rFonts w:hint="eastAsia" w:ascii="宋体" w:hAnsi="宋体"/>
          <w:color w:val="auto"/>
          <w:sz w:val="24"/>
          <w:szCs w:val="24"/>
        </w:rPr>
      </w:pPr>
      <w:r>
        <w:rPr>
          <w:rFonts w:hint="eastAsia" w:ascii="宋体" w:hAnsi="宋体"/>
          <w:color w:val="auto"/>
          <w:sz w:val="24"/>
          <w:szCs w:val="24"/>
        </w:rPr>
        <w:t>基于部分证明材料的查询核验需供应商（或个人）相关信息登录查询，基于评审工作保密性不具备查询条件等客观因素，评审中，磋商小组只对核验材料进行形式要件审核（评委对证明材料按采购文件要求进行详细评审），对核验材料的形式要件审核为：核对有无查询结果截图（或查询异常情况说明资料）、核对证明材料与查询结果截图的对应一致性。</w:t>
      </w:r>
    </w:p>
    <w:p w14:paraId="3931FBB3">
      <w:pPr>
        <w:spacing w:line="360" w:lineRule="auto"/>
        <w:ind w:firstLine="532" w:firstLineChars="222"/>
        <w:rPr>
          <w:rFonts w:hint="eastAsia" w:ascii="宋体" w:hAnsi="宋体"/>
          <w:color w:val="auto"/>
          <w:sz w:val="24"/>
          <w:szCs w:val="24"/>
        </w:rPr>
      </w:pPr>
      <w:r>
        <w:rPr>
          <w:rFonts w:hint="eastAsia" w:ascii="宋体" w:hAnsi="宋体"/>
          <w:color w:val="auto"/>
          <w:sz w:val="24"/>
          <w:szCs w:val="24"/>
        </w:rPr>
        <w:t>证明材料未附查询结果截图或查询异常情况说明资料的，磋商小组按缺少要件不予认可该份证明材料。</w:t>
      </w:r>
    </w:p>
    <w:p w14:paraId="4D91C3E4">
      <w:pPr>
        <w:spacing w:line="360" w:lineRule="auto"/>
        <w:ind w:firstLine="532" w:firstLineChars="222"/>
        <w:rPr>
          <w:rFonts w:hint="eastAsia" w:ascii="宋体" w:hAnsi="宋体"/>
          <w:color w:val="auto"/>
          <w:sz w:val="24"/>
          <w:szCs w:val="24"/>
        </w:rPr>
      </w:pPr>
      <w:r>
        <w:rPr>
          <w:rFonts w:hint="eastAsia" w:ascii="宋体" w:hAnsi="宋体"/>
          <w:color w:val="auto"/>
          <w:sz w:val="24"/>
          <w:szCs w:val="24"/>
        </w:rPr>
        <w:t>（三）在质疑处理（或其他工作要求）中，成交人（被质疑方）应当配合提供相应信息，以对响应文件中所提供证明材料进行核验工作（按照监督检查工作指引列示的网上公开查询核验网址进行核验）。如查询异常或虚假，均将上报监督部门按提供虚假材料规定给予处罚。</w:t>
      </w:r>
    </w:p>
    <w:p w14:paraId="6C14E5B5">
      <w:pPr>
        <w:spacing w:line="360" w:lineRule="auto"/>
        <w:ind w:firstLine="532" w:firstLineChars="222"/>
        <w:rPr>
          <w:rFonts w:hint="eastAsia" w:ascii="宋体" w:hAnsi="宋体"/>
          <w:color w:val="auto"/>
          <w:sz w:val="24"/>
          <w:szCs w:val="24"/>
        </w:rPr>
      </w:pPr>
      <w:r>
        <w:rPr>
          <w:rFonts w:hint="eastAsia" w:ascii="宋体" w:hAnsi="宋体"/>
          <w:color w:val="auto"/>
          <w:sz w:val="24"/>
          <w:szCs w:val="24"/>
        </w:rPr>
        <w:t>查询异常的，成交人如无其他权威证明，将视作提供虚假材料。</w:t>
      </w:r>
    </w:p>
    <w:p w14:paraId="78BD2F76">
      <w:pPr>
        <w:spacing w:line="360" w:lineRule="auto"/>
        <w:ind w:firstLine="532" w:firstLineChars="222"/>
        <w:rPr>
          <w:rFonts w:hint="eastAsia" w:ascii="宋体" w:hAnsi="宋体"/>
          <w:color w:val="auto"/>
          <w:sz w:val="24"/>
          <w:szCs w:val="24"/>
        </w:rPr>
      </w:pPr>
      <w:r>
        <w:rPr>
          <w:rFonts w:hint="eastAsia" w:ascii="宋体" w:hAnsi="宋体"/>
          <w:color w:val="auto"/>
          <w:sz w:val="24"/>
          <w:szCs w:val="24"/>
        </w:rPr>
        <w:t>四、除本14-2附件列示的网上公开查询核验的材料清单外，对其他证明材料，在质疑处理（或其他工作要求）中，成交人应当提供证明材料原件以证实证明材料的真实性。</w:t>
      </w:r>
    </w:p>
    <w:p w14:paraId="0CD2B27D">
      <w:pPr>
        <w:spacing w:line="360" w:lineRule="auto"/>
        <w:ind w:firstLine="480" w:firstLineChars="200"/>
        <w:rPr>
          <w:rFonts w:hint="eastAsia" w:ascii="宋体" w:hAnsi="宋体"/>
          <w:color w:val="auto"/>
          <w:sz w:val="24"/>
          <w:szCs w:val="24"/>
        </w:rPr>
      </w:pPr>
      <w:r>
        <w:rPr>
          <w:rFonts w:hint="eastAsia" w:ascii="宋体" w:hAnsi="宋体"/>
          <w:color w:val="auto"/>
          <w:sz w:val="24"/>
          <w:szCs w:val="24"/>
        </w:rPr>
        <w:t>除本14-2附件列示的网上公开查询核验的材料清单外，对其他证明材料，基于质疑处理（或其他工作要求）的法定时效，调查取证的权限，依据政府采购相关法规依据书面材料评审的规定，对没有提供发证机关（单位）等相应权威机构证伪书面材料的质疑，对怀疑猜测事项，经核对原件后、将视为缺乏事实依据处理。</w:t>
      </w:r>
    </w:p>
    <w:p w14:paraId="0A161930">
      <w:pPr>
        <w:spacing w:line="360" w:lineRule="auto"/>
        <w:ind w:firstLine="480" w:firstLineChars="200"/>
        <w:rPr>
          <w:rFonts w:hint="eastAsia" w:ascii="宋体" w:hAnsi="宋体"/>
          <w:color w:val="auto"/>
          <w:sz w:val="24"/>
          <w:szCs w:val="24"/>
        </w:rPr>
      </w:pPr>
      <w:r>
        <w:rPr>
          <w:rFonts w:hint="eastAsia" w:ascii="宋体" w:hAnsi="宋体"/>
          <w:color w:val="auto"/>
          <w:sz w:val="24"/>
          <w:szCs w:val="24"/>
        </w:rPr>
        <w:t>五、供应商对响应文件中所提供证明材料及核验证明材料的真实性负责、自行承担相应责任。</w:t>
      </w:r>
    </w:p>
    <w:p w14:paraId="0CD10D9F">
      <w:pPr>
        <w:spacing w:line="360" w:lineRule="auto"/>
        <w:ind w:firstLine="480" w:firstLineChars="200"/>
        <w:rPr>
          <w:rFonts w:hint="eastAsia" w:ascii="宋体" w:hAnsi="宋体"/>
          <w:color w:val="auto"/>
          <w:sz w:val="24"/>
          <w:szCs w:val="24"/>
        </w:rPr>
      </w:pPr>
      <w:r>
        <w:rPr>
          <w:rFonts w:hint="eastAsia" w:ascii="宋体" w:hAnsi="宋体"/>
          <w:color w:val="auto"/>
          <w:sz w:val="24"/>
          <w:szCs w:val="24"/>
        </w:rPr>
        <w:t>核验过程中涉及供应商（或个人）自身账号、密码等信息时，供应商（或个人）应积极配合核验工作。</w:t>
      </w:r>
    </w:p>
    <w:p w14:paraId="4B0455AB">
      <w:pPr>
        <w:widowControl w:val="0"/>
        <w:snapToGrid w:val="0"/>
        <w:spacing w:line="560" w:lineRule="exact"/>
        <w:jc w:val="center"/>
        <w:rPr>
          <w:rFonts w:eastAsia="方正黑体简体"/>
          <w:b/>
          <w:color w:val="auto"/>
          <w:sz w:val="30"/>
          <w:szCs w:val="30"/>
        </w:rPr>
      </w:pPr>
      <w:r>
        <w:rPr>
          <w:rFonts w:ascii="黑体" w:hAnsi="黑体" w:eastAsia="黑体"/>
          <w:b/>
          <w:color w:val="auto"/>
          <w:sz w:val="30"/>
          <w:szCs w:val="30"/>
        </w:rPr>
        <w:br w:type="page"/>
      </w:r>
    </w:p>
    <w:p w14:paraId="005750D9">
      <w:pPr>
        <w:widowControl w:val="0"/>
        <w:snapToGrid w:val="0"/>
        <w:spacing w:line="560" w:lineRule="exact"/>
        <w:jc w:val="center"/>
        <w:rPr>
          <w:rFonts w:hint="eastAsia" w:ascii="黑体" w:hAnsi="黑体" w:eastAsia="黑体"/>
          <w:b/>
          <w:color w:val="auto"/>
          <w:sz w:val="30"/>
          <w:szCs w:val="30"/>
        </w:rPr>
      </w:pPr>
      <w:r>
        <w:rPr>
          <w:rFonts w:hint="eastAsia" w:ascii="黑体" w:hAnsi="黑体" w:eastAsia="黑体"/>
          <w:b/>
          <w:color w:val="auto"/>
          <w:sz w:val="30"/>
          <w:szCs w:val="30"/>
        </w:rPr>
        <w:t>14</w:t>
      </w:r>
      <w:r>
        <w:rPr>
          <w:rFonts w:ascii="黑体" w:hAnsi="黑体" w:eastAsia="黑体"/>
          <w:b/>
          <w:color w:val="auto"/>
          <w:sz w:val="30"/>
          <w:szCs w:val="30"/>
        </w:rPr>
        <w:t>-</w:t>
      </w:r>
      <w:r>
        <w:rPr>
          <w:rFonts w:hint="eastAsia" w:ascii="黑体" w:hAnsi="黑体" w:eastAsia="黑体"/>
          <w:b/>
          <w:color w:val="auto"/>
          <w:sz w:val="30"/>
          <w:szCs w:val="30"/>
        </w:rPr>
        <w:t>3、其它材料</w:t>
      </w:r>
    </w:p>
    <w:p w14:paraId="30C55280">
      <w:pPr>
        <w:autoSpaceDE w:val="0"/>
        <w:autoSpaceDN w:val="0"/>
        <w:adjustRightInd w:val="0"/>
        <w:spacing w:line="360" w:lineRule="auto"/>
        <w:rPr>
          <w:rFonts w:hint="eastAsia" w:ascii="黑体" w:hAnsi="黑体" w:eastAsia="黑体"/>
          <w:b/>
          <w:color w:val="auto"/>
          <w:sz w:val="30"/>
          <w:szCs w:val="30"/>
        </w:rPr>
      </w:pPr>
      <w:r>
        <w:rPr>
          <w:rFonts w:hint="eastAsia" w:ascii="黑体" w:hAnsi="黑体" w:eastAsia="黑体"/>
          <w:b/>
          <w:color w:val="auto"/>
          <w:sz w:val="30"/>
          <w:szCs w:val="30"/>
        </w:rPr>
        <w:br w:type="page"/>
      </w:r>
      <w:r>
        <w:rPr>
          <w:rFonts w:hint="eastAsia" w:ascii="黑体" w:hAnsi="黑体" w:eastAsia="黑体"/>
          <w:b/>
          <w:color w:val="auto"/>
          <w:sz w:val="30"/>
          <w:szCs w:val="30"/>
        </w:rPr>
        <w:t>十五、供应商认为有必要提交的其它材料</w:t>
      </w:r>
    </w:p>
    <w:p w14:paraId="1CFABEC9">
      <w:pPr>
        <w:autoSpaceDE w:val="0"/>
        <w:autoSpaceDN w:val="0"/>
        <w:adjustRightInd w:val="0"/>
        <w:spacing w:line="360" w:lineRule="auto"/>
        <w:jc w:val="center"/>
        <w:rPr>
          <w:rFonts w:ascii="宋体"/>
          <w:color w:val="auto"/>
          <w:sz w:val="24"/>
          <w:szCs w:val="24"/>
        </w:rPr>
      </w:pPr>
      <w:r>
        <w:rPr>
          <w:rFonts w:hint="eastAsia" w:ascii="宋体" w:hAnsi="宋体"/>
          <w:color w:val="auto"/>
          <w:sz w:val="24"/>
          <w:szCs w:val="24"/>
        </w:rPr>
        <w:t>（由法定代表人</w:t>
      </w:r>
      <w:r>
        <w:rPr>
          <w:rFonts w:hint="eastAsia" w:ascii="宋体" w:hAnsi="宋体" w:cs="楷体_GB2312"/>
          <w:color w:val="auto"/>
          <w:sz w:val="24"/>
          <w:lang w:val="zh-CN"/>
        </w:rPr>
        <w:t>电子签名&lt;签</w:t>
      </w:r>
      <w:r>
        <w:rPr>
          <w:rFonts w:hint="eastAsia" w:ascii="宋体" w:hAnsi="宋体"/>
          <w:color w:val="auto"/>
          <w:sz w:val="24"/>
          <w:szCs w:val="24"/>
        </w:rPr>
        <w:t>章&gt;或供应商</w:t>
      </w:r>
      <w:r>
        <w:rPr>
          <w:rFonts w:hint="eastAsia" w:ascii="宋体" w:hAnsi="宋体" w:cs="楷体_GB2312"/>
          <w:color w:val="auto"/>
          <w:sz w:val="24"/>
          <w:lang w:val="zh-CN"/>
        </w:rPr>
        <w:t>电子签</w:t>
      </w:r>
      <w:r>
        <w:rPr>
          <w:rFonts w:hint="eastAsia" w:ascii="宋体" w:hAnsi="宋体"/>
          <w:color w:val="auto"/>
          <w:sz w:val="24"/>
          <w:szCs w:val="24"/>
        </w:rPr>
        <w:t>章）</w:t>
      </w:r>
    </w:p>
    <w:p w14:paraId="5A75F56B">
      <w:pPr>
        <w:autoSpaceDE w:val="0"/>
        <w:autoSpaceDN w:val="0"/>
        <w:adjustRightInd w:val="0"/>
        <w:spacing w:line="360" w:lineRule="auto"/>
        <w:ind w:left="-2" w:right="-817" w:hanging="149"/>
        <w:rPr>
          <w:rFonts w:ascii="宋体" w:cs="楷体_GB2312"/>
          <w:color w:val="auto"/>
          <w:sz w:val="24"/>
        </w:rPr>
      </w:pPr>
    </w:p>
    <w:p w14:paraId="7A54DFE3">
      <w:pPr>
        <w:autoSpaceDE w:val="0"/>
        <w:autoSpaceDN w:val="0"/>
        <w:adjustRightInd w:val="0"/>
        <w:spacing w:line="360" w:lineRule="auto"/>
        <w:rPr>
          <w:rFonts w:hint="eastAsia" w:ascii="黑体" w:hAnsi="黑体" w:eastAsia="黑体"/>
          <w:b/>
          <w:color w:val="auto"/>
          <w:sz w:val="30"/>
          <w:szCs w:val="30"/>
        </w:rPr>
      </w:pPr>
    </w:p>
    <w:sectPr>
      <w:pgSz w:w="11905" w:h="16837"/>
      <w:pgMar w:top="1091" w:right="1106" w:bottom="993" w:left="1418" w:header="567" w:footer="567" w:gutter="0"/>
      <w:pgNumType w:fmt="numberInDash"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MingLiU">
    <w:altName w:val="Microsoft JhengHei UI"/>
    <w:panose1 w:val="02010609000101010101"/>
    <w:charset w:val="88"/>
    <w:family w:val="moder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华文新魏">
    <w:altName w:val="宋体"/>
    <w:panose1 w:val="02010800040101010101"/>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黑体简体">
    <w:altName w:val="微软雅黑"/>
    <w:panose1 w:val="00000000000000000000"/>
    <w:charset w:val="86"/>
    <w:family w:val="auto"/>
    <w:pitch w:val="default"/>
    <w:sig w:usb0="00000000" w:usb1="00000000" w:usb2="00000000" w:usb3="00000000" w:csb0="00040000" w:csb1="00000000"/>
  </w:font>
  <w:font w:nam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dobe 宋体 Std L">
    <w:altName w:val="宋体"/>
    <w:panose1 w:val="00000000000000000000"/>
    <w:charset w:val="86"/>
    <w:family w:val="roman"/>
    <w:pitch w:val="default"/>
    <w:sig w:usb0="00000000" w:usb1="00000000" w:usb2="00000016"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EF291">
    <w:pPr>
      <w:widowControl w:val="0"/>
      <w:snapToGrid w:val="0"/>
      <w:spacing w:line="240" w:lineRule="atLeast"/>
      <w:ind w:right="21"/>
      <w:jc w:val="left"/>
      <w:rPr>
        <w:rFonts w:hint="eastAsia" w:ascii="宋体" w:hAnsi="宋体"/>
        <w:szCs w:val="21"/>
        <w:u w:val="single"/>
      </w:rPr>
    </w:pPr>
    <w:r>
      <w:rPr>
        <w:rFonts w:hint="eastAsia" w:ascii="宋体" w:hAnsi="宋体"/>
        <w:szCs w:val="21"/>
        <w:u w:val="single"/>
      </w:rPr>
      <w:t>《磋商文件》</w:t>
    </w:r>
    <w:r>
      <w:rPr>
        <w:rFonts w:ascii="宋体" w:hAnsi="宋体"/>
        <w:szCs w:val="21"/>
        <w:u w:val="single"/>
      </w:rPr>
      <w:t xml:space="preserve">                                                          </w:t>
    </w:r>
    <w:r>
      <w:rPr>
        <w:rFonts w:ascii="宋体" w:hAnsi="宋体"/>
        <w:szCs w:val="21"/>
        <w:u w:val="single"/>
      </w:rPr>
      <w:fldChar w:fldCharType="begin"/>
    </w:r>
    <w:r>
      <w:rPr>
        <w:rFonts w:ascii="宋体" w:hAnsi="宋体"/>
        <w:szCs w:val="21"/>
        <w:u w:val="single"/>
      </w:rPr>
      <w:instrText xml:space="preserve"> NUMPAGES-1 \* MERGEFORMAT </w:instrText>
    </w:r>
    <w:r>
      <w:rPr>
        <w:rFonts w:ascii="宋体" w:hAnsi="宋体"/>
        <w:szCs w:val="21"/>
        <w:u w:val="single"/>
      </w:rPr>
      <w:fldChar w:fldCharType="end"/>
    </w:r>
    <w:r>
      <w:rPr>
        <w:rFonts w:ascii="宋体" w:hAnsi="宋体"/>
        <w:szCs w:val="21"/>
        <w:u w:val="single"/>
      </w:rPr>
      <w:fldChar w:fldCharType="begin"/>
    </w:r>
    <w:r>
      <w:rPr>
        <w:rFonts w:ascii="宋体" w:hAnsi="宋体"/>
        <w:szCs w:val="21"/>
        <w:u w:val="single"/>
      </w:rPr>
      <w:instrText xml:space="preserve">NUMPAGES-1\* Arabic \* MERGEFORMAT</w:instrText>
    </w:r>
    <w:r>
      <w:rPr>
        <w:rFonts w:ascii="宋体" w:hAnsi="宋体"/>
        <w:szCs w:val="21"/>
        <w:u w:val="single"/>
      </w:rPr>
      <w:fldChar w:fldCharType="end"/>
    </w:r>
    <w:r>
      <w:rPr>
        <w:rFonts w:ascii="宋体" w:hAnsi="宋体"/>
        <w:szCs w:val="21"/>
        <w:u w:val="single"/>
      </w:rPr>
      <w:fldChar w:fldCharType="begin"/>
    </w:r>
    <w:r>
      <w:rPr>
        <w:rFonts w:ascii="宋体" w:hAnsi="宋体"/>
        <w:szCs w:val="21"/>
        <w:u w:val="single"/>
      </w:rPr>
      <w:instrText xml:space="preserve"> NUMPAGES-1   \* MERGEFORMAT </w:instrText>
    </w:r>
    <w:r>
      <w:rPr>
        <w:rFonts w:ascii="宋体" w:hAnsi="宋体"/>
        <w:szCs w:val="21"/>
        <w:u w:val="single"/>
      </w:rPr>
      <w:fldChar w:fldCharType="end"/>
    </w:r>
    <w:r>
      <w:rPr>
        <w:rStyle w:val="23"/>
        <w:rFonts w:ascii="宋体" w:hAnsi="宋体"/>
        <w:szCs w:val="21"/>
        <w:u w:val="single"/>
      </w:rPr>
      <w:fldChar w:fldCharType="begin"/>
    </w:r>
    <w:r>
      <w:rPr>
        <w:rStyle w:val="23"/>
        <w:rFonts w:ascii="宋体" w:hAnsi="宋体"/>
        <w:szCs w:val="21"/>
        <w:u w:val="single"/>
      </w:rPr>
      <w:instrText xml:space="preserve"> PAGE </w:instrText>
    </w:r>
    <w:r>
      <w:rPr>
        <w:rStyle w:val="23"/>
        <w:rFonts w:ascii="宋体" w:hAnsi="宋体"/>
        <w:szCs w:val="21"/>
        <w:u w:val="single"/>
      </w:rPr>
      <w:fldChar w:fldCharType="separate"/>
    </w:r>
    <w:r>
      <w:rPr>
        <w:rStyle w:val="23"/>
        <w:rFonts w:ascii="宋体" w:hAnsi="宋体"/>
        <w:szCs w:val="21"/>
        <w:u w:val="single"/>
      </w:rPr>
      <w:t>- 22 -</w:t>
    </w:r>
    <w:r>
      <w:rPr>
        <w:rStyle w:val="23"/>
        <w:rFonts w:ascii="宋体" w:hAnsi="宋体"/>
        <w:szCs w:val="21"/>
        <w:u w:val="single"/>
      </w:rPr>
      <w:fldChar w:fldCharType="end"/>
    </w:r>
    <w:r>
      <w:rPr>
        <w:rStyle w:val="23"/>
        <w:rFonts w:ascii="宋体" w:hAnsi="宋体"/>
        <w:szCs w:val="21"/>
        <w:u w:val="single"/>
      </w:rPr>
      <w:t xml:space="preserve"> </w:t>
    </w:r>
    <w:r>
      <w:rPr>
        <w:rStyle w:val="23"/>
        <w:rFonts w:hint="eastAsia" w:ascii="宋体" w:hAnsi="宋体"/>
        <w:szCs w:val="21"/>
        <w:u w:val="single"/>
      </w:rPr>
      <w:t>（</w:t>
    </w:r>
    <w:r>
      <w:rPr>
        <w:rFonts w:hint="eastAsia" w:ascii="宋体" w:hAnsi="宋体"/>
        <w:szCs w:val="21"/>
        <w:u w:val="single"/>
      </w:rPr>
      <w:t>共</w:t>
    </w:r>
    <w:r>
      <w:fldChar w:fldCharType="begin"/>
    </w:r>
    <w:r>
      <w:instrText xml:space="preserve"> SECTIONPAGES   \* MERGEFORMAT </w:instrText>
    </w:r>
    <w:r>
      <w:fldChar w:fldCharType="separate"/>
    </w:r>
    <w:r>
      <w:rPr>
        <w:rStyle w:val="23"/>
        <w:szCs w:val="21"/>
        <w:u w:val="single"/>
      </w:rPr>
      <w:t>77</w:t>
    </w:r>
    <w:r>
      <w:rPr>
        <w:rStyle w:val="23"/>
        <w:szCs w:val="21"/>
        <w:u w:val="single"/>
      </w:rPr>
      <w:fldChar w:fldCharType="end"/>
    </w:r>
    <w:r>
      <w:rPr>
        <w:rFonts w:hint="eastAsia" w:ascii="宋体" w:hAnsi="宋体"/>
        <w:szCs w:val="21"/>
        <w:u w:val="single"/>
      </w:rPr>
      <w:t>页</w:t>
    </w:r>
    <w:r>
      <w:rPr>
        <w:rFonts w:ascii="宋体" w:hAnsi="宋体"/>
        <w:szCs w:val="21"/>
        <w:u w:val="single"/>
      </w:rPr>
      <w:t>)</w:t>
    </w:r>
    <w:r>
      <w:rPr>
        <w:rFonts w:ascii="宋体" w:hAnsi="宋体"/>
      </w:rPr>
      <mc:AlternateContent>
        <mc:Choice Requires="wps">
          <w:drawing>
            <wp:anchor distT="0" distB="0" distL="114300" distR="114300" simplePos="0" relativeHeight="251660288" behindDoc="1" locked="0" layoutInCell="0" allowOverlap="1">
              <wp:simplePos x="0" y="0"/>
              <wp:positionH relativeFrom="page">
                <wp:posOffset>899795</wp:posOffset>
              </wp:positionH>
              <wp:positionV relativeFrom="page">
                <wp:posOffset>10151745</wp:posOffset>
              </wp:positionV>
              <wp:extent cx="5759450" cy="179705"/>
              <wp:effectExtent l="0" t="0" r="0" b="0"/>
              <wp:wrapNone/>
              <wp:docPr id="5" name="文本框 2"/>
              <wp:cNvGraphicFramePr/>
              <a:graphic xmlns:a="http://schemas.openxmlformats.org/drawingml/2006/main">
                <a:graphicData uri="http://schemas.microsoft.com/office/word/2010/wordprocessingShape">
                  <wps:wsp>
                    <wps:cNvSpPr txBox="1"/>
                    <wps:spPr>
                      <a:xfrm>
                        <a:off x="0" y="0"/>
                        <a:ext cx="5759450" cy="179705"/>
                      </a:xfrm>
                      <a:prstGeom prst="rect">
                        <a:avLst/>
                      </a:prstGeom>
                      <a:noFill/>
                      <a:ln>
                        <a:noFill/>
                      </a:ln>
                    </wps:spPr>
                    <wps:bodyPr lIns="0" tIns="0" rIns="0" bIns="0" upright="1"/>
                  </wps:wsp>
                </a:graphicData>
              </a:graphic>
            </wp:anchor>
          </w:drawing>
        </mc:Choice>
        <mc:Fallback>
          <w:pict>
            <v:shape id="文本框 2" o:spid="_x0000_s1026" o:spt="202" type="#_x0000_t202" style="position:absolute;left:0pt;margin-left:70.85pt;margin-top:799.35pt;height:14.15pt;width:453.5pt;mso-position-horizontal-relative:page;mso-position-vertical-relative:page;z-index:-251656192;mso-width-relative:page;mso-height-relative:page;" filled="f" stroked="f" coordsize="21600,21600" o:allowincell="f" o:gfxdata="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0ne5yNkAAAAOAQAADwAAAAAAAAABACAAAAAiAAAAZHJzL2Rvd25yZXYueG1sUEsBAhQAFAAA&#10;AAgAh07iQCJT3RG1AQAAZwMAAA4AAAAAAAAAAQAgAAAAKAEAAGRycy9lMm9Eb2MueG1sUEsFBgAA&#10;AAAGAAYAWQEAAE8FAAAAAA==&#10;">
              <v:fill on="f" focussize="0,0"/>
              <v:stroke on="f"/>
              <v:imagedata o:title=""/>
              <o:lock v:ext="edit" aspectratio="f"/>
              <v:textbox inset="0mm,0mm,0mm,0mm"/>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355CD">
    <w:pPr>
      <w:pStyle w:val="12"/>
      <w:framePr w:wrap="around" w:vAnchor="text" w:hAnchor="margin" w:xAlign="right" w:y="1"/>
      <w:rPr>
        <w:rStyle w:val="23"/>
      </w:rPr>
    </w:pPr>
    <w:r>
      <w:rPr>
        <w:rStyle w:val="23"/>
      </w:rPr>
      <w:fldChar w:fldCharType="begin"/>
    </w:r>
    <w:r>
      <w:rPr>
        <w:rStyle w:val="23"/>
      </w:rPr>
      <w:instrText xml:space="preserve">PAGE  </w:instrText>
    </w:r>
    <w:r>
      <w:rPr>
        <w:rStyle w:val="23"/>
      </w:rPr>
      <w:fldChar w:fldCharType="end"/>
    </w:r>
  </w:p>
  <w:p w14:paraId="6BFF40BC">
    <w:pPr>
      <w:pStyle w:val="1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52ED5">
    <w:pPr>
      <w:pStyle w:val="12"/>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21BDB">
    <w:pPr>
      <w:widowControl w:val="0"/>
      <w:snapToGrid w:val="0"/>
      <w:spacing w:line="240" w:lineRule="atLeast"/>
      <w:rPr>
        <w:rFonts w:hint="eastAsia" w:ascii="宋体" w:hAnsi="宋体"/>
        <w:szCs w:val="21"/>
      </w:rPr>
    </w:pPr>
    <w:r>
      <w:rPr>
        <w:rFonts w:hint="eastAsia" w:ascii="宋体" w:hAnsi="宋体"/>
        <w:szCs w:val="21"/>
        <w:u w:val="single"/>
      </w:rPr>
      <w:t>安阳市方正招标采购服务有限责任公司</w:t>
    </w:r>
    <w:r>
      <w:rPr>
        <w:rFonts w:ascii="宋体" w:hAnsi="宋体"/>
        <w:szCs w:val="21"/>
        <w:u w:val="single"/>
      </w:rPr>
      <w:t xml:space="preserve">        </w:t>
    </w:r>
    <w:r>
      <w:rPr>
        <w:rFonts w:hint="eastAsia" w:ascii="宋体" w:hAnsi="宋体"/>
        <w:szCs w:val="21"/>
        <w:u w:val="single"/>
      </w:rPr>
      <w:t>电话及传真：</w:t>
    </w:r>
    <w:r>
      <w:rPr>
        <w:rFonts w:ascii="宋体" w:hAnsi="宋体"/>
        <w:szCs w:val="21"/>
        <w:u w:val="single"/>
      </w:rPr>
      <w:t>0372—2283981</w:t>
    </w:r>
    <w:r>
      <w:rPr>
        <w:rFonts w:hint="eastAsia" w:ascii="宋体" w:hAnsi="宋体"/>
        <w:szCs w:val="21"/>
        <w:u w:val="single"/>
      </w:rPr>
      <w:t>、</w:t>
    </w:r>
    <w:r>
      <w:rPr>
        <w:rFonts w:ascii="宋体" w:hAnsi="宋体"/>
        <w:szCs w:val="21"/>
        <w:u w:val="single"/>
      </w:rPr>
      <w:t>2283982</w:t>
    </w:r>
    <w:r>
      <w:rPr>
        <w:rFonts w:hint="eastAsia" w:ascii="宋体" w:hAnsi="宋体"/>
        <w:szCs w:val="21"/>
        <w:u w:val="single"/>
      </w:rPr>
      <w:t>、</w:t>
    </w:r>
    <w:r>
      <w:rPr>
        <w:rFonts w:ascii="宋体" w:hAnsi="宋体"/>
        <w:szCs w:val="21"/>
        <w:u w:val="single"/>
      </w:rPr>
      <w:t>2283983 .</w:t>
    </w:r>
    <w:r>
      <w:rPr>
        <w:rFonts w:ascii="宋体" w:hAnsi="宋体"/>
      </w:rPr>
      <mc:AlternateContent>
        <mc:Choice Requires="wps">
          <w:drawing>
            <wp:anchor distT="0" distB="0" distL="114300" distR="114300" simplePos="0" relativeHeight="251659264" behindDoc="1" locked="0" layoutInCell="0" allowOverlap="1">
              <wp:simplePos x="0" y="0"/>
              <wp:positionH relativeFrom="page">
                <wp:posOffset>899795</wp:posOffset>
              </wp:positionH>
              <wp:positionV relativeFrom="page">
                <wp:posOffset>359410</wp:posOffset>
              </wp:positionV>
              <wp:extent cx="5759450" cy="179705"/>
              <wp:effectExtent l="0" t="0" r="0" b="0"/>
              <wp:wrapNone/>
              <wp:docPr id="4" name="Text Box 1"/>
              <wp:cNvGraphicFramePr/>
              <a:graphic xmlns:a="http://schemas.openxmlformats.org/drawingml/2006/main">
                <a:graphicData uri="http://schemas.microsoft.com/office/word/2010/wordprocessingShape">
                  <wps:wsp>
                    <wps:cNvSpPr txBox="1"/>
                    <wps:spPr>
                      <a:xfrm>
                        <a:off x="0" y="0"/>
                        <a:ext cx="5759450" cy="179705"/>
                      </a:xfrm>
                      <a:prstGeom prst="rect">
                        <a:avLst/>
                      </a:prstGeom>
                      <a:noFill/>
                      <a:ln>
                        <a:noFill/>
                      </a:ln>
                    </wps:spPr>
                    <wps:bodyPr lIns="0" tIns="0" rIns="0" bIns="0" upright="1"/>
                  </wps:wsp>
                </a:graphicData>
              </a:graphic>
            </wp:anchor>
          </w:drawing>
        </mc:Choice>
        <mc:Fallback>
          <w:pict>
            <v:shape id="Text Box 1" o:spid="_x0000_s1026" o:spt="202" type="#_x0000_t202" style="position:absolute;left:0pt;margin-left:70.85pt;margin-top:28.3pt;height:14.15pt;width:453.5pt;mso-position-horizontal-relative:page;mso-position-vertical-relative:page;z-index:-251657216;mso-width-relative:page;mso-height-relative:page;" filled="f" stroked="f" coordsize="21600,21600" o:allowincell="f" o:gfxdata="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dN05x2AAAAAoBAAAP&#10;AAAAAAAAAAEAIAAAACIAAABkcnMvZG93bnJldi54bWxQSwECFAAUAAAACACHTuJACEbdvqYBAABm&#10;AwAADgAAAAAAAAABACAAAAAnAQAAZHJzL2Uyb0RvYy54bWxQSwUGAAAAAAYABgBZAQAAPwUAAAAA&#10;">
              <v:fill on="f" focussize="0,0"/>
              <v:stroke on="f"/>
              <v:imagedata o:title=""/>
              <o:lock v:ext="edit" aspectratio="f"/>
              <v:textbox inset="0mm,0mm,0mm,0mm"/>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CDEC73"/>
    <w:multiLevelType w:val="singleLevel"/>
    <w:tmpl w:val="AFCDEC73"/>
    <w:lvl w:ilvl="0" w:tentative="0">
      <w:start w:val="2"/>
      <w:numFmt w:val="chineseCounting"/>
      <w:suff w:val="nothing"/>
      <w:lvlText w:val="%1、"/>
      <w:lvlJc w:val="left"/>
      <w:rPr>
        <w:rFonts w:hint="eastAsia"/>
      </w:rPr>
    </w:lvl>
  </w:abstractNum>
  <w:abstractNum w:abstractNumId="1">
    <w:nsid w:val="B3805C1B"/>
    <w:multiLevelType w:val="singleLevel"/>
    <w:tmpl w:val="B3805C1B"/>
    <w:lvl w:ilvl="0" w:tentative="0">
      <w:start w:val="1"/>
      <w:numFmt w:val="decimal"/>
      <w:suff w:val="space"/>
      <w:lvlText w:val="%1."/>
      <w:lvlJc w:val="left"/>
    </w:lvl>
  </w:abstractNum>
  <w:abstractNum w:abstractNumId="2">
    <w:nsid w:val="C9DD5142"/>
    <w:multiLevelType w:val="singleLevel"/>
    <w:tmpl w:val="C9DD5142"/>
    <w:lvl w:ilvl="0" w:tentative="0">
      <w:start w:val="4"/>
      <w:numFmt w:val="chineseCounting"/>
      <w:suff w:val="nothing"/>
      <w:lvlText w:val="（%1）"/>
      <w:lvlJc w:val="left"/>
      <w:rPr>
        <w:rFonts w:hint="eastAsia"/>
      </w:rPr>
    </w:lvl>
  </w:abstractNum>
  <w:abstractNum w:abstractNumId="3">
    <w:nsid w:val="CE2BD83A"/>
    <w:multiLevelType w:val="singleLevel"/>
    <w:tmpl w:val="CE2BD83A"/>
    <w:lvl w:ilvl="0" w:tentative="0">
      <w:start w:val="1"/>
      <w:numFmt w:val="lowerLetter"/>
      <w:lvlText w:val="%1)"/>
      <w:lvlJc w:val="left"/>
    </w:lvl>
  </w:abstractNum>
  <w:abstractNum w:abstractNumId="4">
    <w:nsid w:val="DDA049A4"/>
    <w:multiLevelType w:val="singleLevel"/>
    <w:tmpl w:val="DDA049A4"/>
    <w:lvl w:ilvl="0" w:tentative="0">
      <w:start w:val="1"/>
      <w:numFmt w:val="decimal"/>
      <w:suff w:val="nothing"/>
      <w:lvlText w:val="（%1）"/>
      <w:lvlJc w:val="left"/>
    </w:lvl>
  </w:abstractNum>
  <w:abstractNum w:abstractNumId="5">
    <w:nsid w:val="60FF176F"/>
    <w:multiLevelType w:val="singleLevel"/>
    <w:tmpl w:val="60FF176F"/>
    <w:lvl w:ilvl="0" w:tentative="0">
      <w:start w:val="3"/>
      <w:numFmt w:val="decimal"/>
      <w:suff w:val="nothing"/>
      <w:lvlText w:val="（%1）"/>
      <w:lvlJc w:val="left"/>
    </w:lvl>
  </w:abstractNum>
  <w:num w:numId="1">
    <w:abstractNumId w:val="5"/>
  </w:num>
  <w:num w:numId="2">
    <w:abstractNumId w:val="4"/>
  </w:num>
  <w:num w:numId="3">
    <w:abstractNumId w:val="0"/>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NotTrackMoves/>
  <w:documentProtection w:enforcement="0"/>
  <w:defaultTabStop w:val="420"/>
  <w:drawingGridVerticalSpacing w:val="156"/>
  <w:noPunctuationKerning w:val="1"/>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D7A"/>
    <w:rsid w:val="00004B3A"/>
    <w:rsid w:val="00007E7D"/>
    <w:rsid w:val="0001069F"/>
    <w:rsid w:val="0001105E"/>
    <w:rsid w:val="00013814"/>
    <w:rsid w:val="00013DB2"/>
    <w:rsid w:val="00017E1E"/>
    <w:rsid w:val="0002046F"/>
    <w:rsid w:val="00023676"/>
    <w:rsid w:val="00024608"/>
    <w:rsid w:val="000251A5"/>
    <w:rsid w:val="00025F1E"/>
    <w:rsid w:val="0002701F"/>
    <w:rsid w:val="0002739B"/>
    <w:rsid w:val="0003351F"/>
    <w:rsid w:val="000339BC"/>
    <w:rsid w:val="00033BB5"/>
    <w:rsid w:val="00035118"/>
    <w:rsid w:val="0003567F"/>
    <w:rsid w:val="00035BA8"/>
    <w:rsid w:val="00036AA4"/>
    <w:rsid w:val="00040BE7"/>
    <w:rsid w:val="00041891"/>
    <w:rsid w:val="00042CA8"/>
    <w:rsid w:val="00043821"/>
    <w:rsid w:val="00043CBA"/>
    <w:rsid w:val="0004440A"/>
    <w:rsid w:val="00044F84"/>
    <w:rsid w:val="00046A4B"/>
    <w:rsid w:val="00050113"/>
    <w:rsid w:val="00054E34"/>
    <w:rsid w:val="00055755"/>
    <w:rsid w:val="00055F94"/>
    <w:rsid w:val="00056832"/>
    <w:rsid w:val="000570E1"/>
    <w:rsid w:val="00057F78"/>
    <w:rsid w:val="000602CF"/>
    <w:rsid w:val="0006134B"/>
    <w:rsid w:val="00062821"/>
    <w:rsid w:val="00066B7E"/>
    <w:rsid w:val="00067307"/>
    <w:rsid w:val="000673ED"/>
    <w:rsid w:val="00070AA2"/>
    <w:rsid w:val="00070FA8"/>
    <w:rsid w:val="00072834"/>
    <w:rsid w:val="0007390E"/>
    <w:rsid w:val="00073A45"/>
    <w:rsid w:val="00073DBF"/>
    <w:rsid w:val="00074766"/>
    <w:rsid w:val="00077629"/>
    <w:rsid w:val="00077B42"/>
    <w:rsid w:val="00080AE9"/>
    <w:rsid w:val="00080F86"/>
    <w:rsid w:val="00081801"/>
    <w:rsid w:val="00081C6C"/>
    <w:rsid w:val="000823AD"/>
    <w:rsid w:val="000829A8"/>
    <w:rsid w:val="00083BD4"/>
    <w:rsid w:val="00086B70"/>
    <w:rsid w:val="00086B8A"/>
    <w:rsid w:val="00090D6B"/>
    <w:rsid w:val="00090EB6"/>
    <w:rsid w:val="00091C5E"/>
    <w:rsid w:val="0009203C"/>
    <w:rsid w:val="0009268E"/>
    <w:rsid w:val="00093A6B"/>
    <w:rsid w:val="00095619"/>
    <w:rsid w:val="000956CE"/>
    <w:rsid w:val="000A152E"/>
    <w:rsid w:val="000A1C72"/>
    <w:rsid w:val="000A23B3"/>
    <w:rsid w:val="000A3FE8"/>
    <w:rsid w:val="000A4640"/>
    <w:rsid w:val="000A55EE"/>
    <w:rsid w:val="000A6CD3"/>
    <w:rsid w:val="000A7CCE"/>
    <w:rsid w:val="000B0EC6"/>
    <w:rsid w:val="000B1334"/>
    <w:rsid w:val="000B4758"/>
    <w:rsid w:val="000B53BD"/>
    <w:rsid w:val="000B5412"/>
    <w:rsid w:val="000B5A9C"/>
    <w:rsid w:val="000B6571"/>
    <w:rsid w:val="000C2342"/>
    <w:rsid w:val="000C282D"/>
    <w:rsid w:val="000C2AA6"/>
    <w:rsid w:val="000C4BA5"/>
    <w:rsid w:val="000C540C"/>
    <w:rsid w:val="000D2631"/>
    <w:rsid w:val="000D69FD"/>
    <w:rsid w:val="000E02FC"/>
    <w:rsid w:val="000E54A0"/>
    <w:rsid w:val="000E68AE"/>
    <w:rsid w:val="000E6D5E"/>
    <w:rsid w:val="000F01A2"/>
    <w:rsid w:val="000F108C"/>
    <w:rsid w:val="000F1C87"/>
    <w:rsid w:val="000F3188"/>
    <w:rsid w:val="000F3D46"/>
    <w:rsid w:val="000F4146"/>
    <w:rsid w:val="000F71A3"/>
    <w:rsid w:val="000F7917"/>
    <w:rsid w:val="00101EAB"/>
    <w:rsid w:val="00107435"/>
    <w:rsid w:val="00110434"/>
    <w:rsid w:val="001118D4"/>
    <w:rsid w:val="001163D8"/>
    <w:rsid w:val="00117877"/>
    <w:rsid w:val="001215D2"/>
    <w:rsid w:val="00123128"/>
    <w:rsid w:val="001234C9"/>
    <w:rsid w:val="00125A47"/>
    <w:rsid w:val="00126132"/>
    <w:rsid w:val="001263CF"/>
    <w:rsid w:val="00131B13"/>
    <w:rsid w:val="00131CCB"/>
    <w:rsid w:val="00132364"/>
    <w:rsid w:val="001342A5"/>
    <w:rsid w:val="00135227"/>
    <w:rsid w:val="00136E35"/>
    <w:rsid w:val="001378C9"/>
    <w:rsid w:val="001401E4"/>
    <w:rsid w:val="001439BF"/>
    <w:rsid w:val="001443E8"/>
    <w:rsid w:val="00144E92"/>
    <w:rsid w:val="00145776"/>
    <w:rsid w:val="00147524"/>
    <w:rsid w:val="0015053C"/>
    <w:rsid w:val="001532B2"/>
    <w:rsid w:val="001537D5"/>
    <w:rsid w:val="00153A06"/>
    <w:rsid w:val="00154299"/>
    <w:rsid w:val="0016042E"/>
    <w:rsid w:val="001641D5"/>
    <w:rsid w:val="001667B4"/>
    <w:rsid w:val="00166938"/>
    <w:rsid w:val="0016693E"/>
    <w:rsid w:val="0016783C"/>
    <w:rsid w:val="001678FA"/>
    <w:rsid w:val="001708C3"/>
    <w:rsid w:val="00170AE1"/>
    <w:rsid w:val="00170E55"/>
    <w:rsid w:val="001719D7"/>
    <w:rsid w:val="00172A27"/>
    <w:rsid w:val="00172A7E"/>
    <w:rsid w:val="0017374F"/>
    <w:rsid w:val="00175E3A"/>
    <w:rsid w:val="00183C38"/>
    <w:rsid w:val="001863F6"/>
    <w:rsid w:val="00194076"/>
    <w:rsid w:val="00194451"/>
    <w:rsid w:val="0019593B"/>
    <w:rsid w:val="00195B76"/>
    <w:rsid w:val="001965C5"/>
    <w:rsid w:val="0019697C"/>
    <w:rsid w:val="00197925"/>
    <w:rsid w:val="001A1BB5"/>
    <w:rsid w:val="001A1D5B"/>
    <w:rsid w:val="001A2082"/>
    <w:rsid w:val="001A26B6"/>
    <w:rsid w:val="001A65F9"/>
    <w:rsid w:val="001A6EC8"/>
    <w:rsid w:val="001A733E"/>
    <w:rsid w:val="001B2A9F"/>
    <w:rsid w:val="001B4914"/>
    <w:rsid w:val="001B5626"/>
    <w:rsid w:val="001B6072"/>
    <w:rsid w:val="001B7C99"/>
    <w:rsid w:val="001C050D"/>
    <w:rsid w:val="001C2D34"/>
    <w:rsid w:val="001C3436"/>
    <w:rsid w:val="001C397C"/>
    <w:rsid w:val="001C3DAF"/>
    <w:rsid w:val="001C528B"/>
    <w:rsid w:val="001C6505"/>
    <w:rsid w:val="001D0DA4"/>
    <w:rsid w:val="001D14A1"/>
    <w:rsid w:val="001D17A7"/>
    <w:rsid w:val="001D181F"/>
    <w:rsid w:val="001D22C4"/>
    <w:rsid w:val="001D2F63"/>
    <w:rsid w:val="001D3921"/>
    <w:rsid w:val="001D3B0B"/>
    <w:rsid w:val="001D4345"/>
    <w:rsid w:val="001D6398"/>
    <w:rsid w:val="001D6640"/>
    <w:rsid w:val="001E04F2"/>
    <w:rsid w:val="001E0705"/>
    <w:rsid w:val="001E0A3F"/>
    <w:rsid w:val="001E1A46"/>
    <w:rsid w:val="001E1FAC"/>
    <w:rsid w:val="001E30AE"/>
    <w:rsid w:val="001E45BE"/>
    <w:rsid w:val="001E55A2"/>
    <w:rsid w:val="001E60A9"/>
    <w:rsid w:val="001F1D57"/>
    <w:rsid w:val="001F4C70"/>
    <w:rsid w:val="001F6921"/>
    <w:rsid w:val="001F6B5C"/>
    <w:rsid w:val="00200BFE"/>
    <w:rsid w:val="00203DFD"/>
    <w:rsid w:val="00204738"/>
    <w:rsid w:val="002052BF"/>
    <w:rsid w:val="00205670"/>
    <w:rsid w:val="00205DC9"/>
    <w:rsid w:val="0020635B"/>
    <w:rsid w:val="002064E1"/>
    <w:rsid w:val="00207A71"/>
    <w:rsid w:val="00210346"/>
    <w:rsid w:val="00212022"/>
    <w:rsid w:val="002146E7"/>
    <w:rsid w:val="00214DD7"/>
    <w:rsid w:val="00214F54"/>
    <w:rsid w:val="002155C5"/>
    <w:rsid w:val="00221964"/>
    <w:rsid w:val="002228C6"/>
    <w:rsid w:val="002238AE"/>
    <w:rsid w:val="0023012A"/>
    <w:rsid w:val="00231508"/>
    <w:rsid w:val="00231D21"/>
    <w:rsid w:val="0023255F"/>
    <w:rsid w:val="002341A2"/>
    <w:rsid w:val="00236A01"/>
    <w:rsid w:val="00237A15"/>
    <w:rsid w:val="00240733"/>
    <w:rsid w:val="002408FB"/>
    <w:rsid w:val="00241D3A"/>
    <w:rsid w:val="0024269B"/>
    <w:rsid w:val="00244532"/>
    <w:rsid w:val="0024502A"/>
    <w:rsid w:val="0024541C"/>
    <w:rsid w:val="002464A8"/>
    <w:rsid w:val="00247523"/>
    <w:rsid w:val="00247993"/>
    <w:rsid w:val="002511FE"/>
    <w:rsid w:val="00254F6E"/>
    <w:rsid w:val="002574D7"/>
    <w:rsid w:val="00257B22"/>
    <w:rsid w:val="002602F6"/>
    <w:rsid w:val="00262D1F"/>
    <w:rsid w:val="00262FC1"/>
    <w:rsid w:val="00264999"/>
    <w:rsid w:val="002665E4"/>
    <w:rsid w:val="002673AF"/>
    <w:rsid w:val="0027067C"/>
    <w:rsid w:val="00270FE1"/>
    <w:rsid w:val="00271ABB"/>
    <w:rsid w:val="00272B6B"/>
    <w:rsid w:val="00272CD3"/>
    <w:rsid w:val="00272DEC"/>
    <w:rsid w:val="00273FB6"/>
    <w:rsid w:val="00275945"/>
    <w:rsid w:val="002759A2"/>
    <w:rsid w:val="00276204"/>
    <w:rsid w:val="00276418"/>
    <w:rsid w:val="002766DD"/>
    <w:rsid w:val="00280E45"/>
    <w:rsid w:val="002810F8"/>
    <w:rsid w:val="0028181D"/>
    <w:rsid w:val="00281F3D"/>
    <w:rsid w:val="0028291D"/>
    <w:rsid w:val="00284EFC"/>
    <w:rsid w:val="00290D50"/>
    <w:rsid w:val="0029442F"/>
    <w:rsid w:val="00294947"/>
    <w:rsid w:val="00295642"/>
    <w:rsid w:val="0029595B"/>
    <w:rsid w:val="00295A34"/>
    <w:rsid w:val="00296060"/>
    <w:rsid w:val="00296501"/>
    <w:rsid w:val="002967EF"/>
    <w:rsid w:val="002968C0"/>
    <w:rsid w:val="002975BF"/>
    <w:rsid w:val="0029782F"/>
    <w:rsid w:val="002A0696"/>
    <w:rsid w:val="002A2037"/>
    <w:rsid w:val="002A2B5C"/>
    <w:rsid w:val="002A35F6"/>
    <w:rsid w:val="002A44D2"/>
    <w:rsid w:val="002A4898"/>
    <w:rsid w:val="002A4F6F"/>
    <w:rsid w:val="002A5411"/>
    <w:rsid w:val="002A6D86"/>
    <w:rsid w:val="002A7073"/>
    <w:rsid w:val="002A7814"/>
    <w:rsid w:val="002B1A64"/>
    <w:rsid w:val="002B3090"/>
    <w:rsid w:val="002B548A"/>
    <w:rsid w:val="002B5E0D"/>
    <w:rsid w:val="002C00FF"/>
    <w:rsid w:val="002C11FF"/>
    <w:rsid w:val="002C3330"/>
    <w:rsid w:val="002D1708"/>
    <w:rsid w:val="002D1EC7"/>
    <w:rsid w:val="002D2579"/>
    <w:rsid w:val="002D2CB8"/>
    <w:rsid w:val="002D40A9"/>
    <w:rsid w:val="002D6349"/>
    <w:rsid w:val="002D6B6F"/>
    <w:rsid w:val="002D7628"/>
    <w:rsid w:val="002D7A77"/>
    <w:rsid w:val="002D7BE8"/>
    <w:rsid w:val="002E098C"/>
    <w:rsid w:val="002E3E40"/>
    <w:rsid w:val="002E76EF"/>
    <w:rsid w:val="002E7E70"/>
    <w:rsid w:val="002F08C6"/>
    <w:rsid w:val="002F24F3"/>
    <w:rsid w:val="002F2754"/>
    <w:rsid w:val="002F37CB"/>
    <w:rsid w:val="002F4ADA"/>
    <w:rsid w:val="002F5465"/>
    <w:rsid w:val="002F7AD0"/>
    <w:rsid w:val="002F7EF3"/>
    <w:rsid w:val="002F7F3A"/>
    <w:rsid w:val="0030084A"/>
    <w:rsid w:val="0030169A"/>
    <w:rsid w:val="00306123"/>
    <w:rsid w:val="00307CF1"/>
    <w:rsid w:val="00307EEA"/>
    <w:rsid w:val="0031007D"/>
    <w:rsid w:val="00310C79"/>
    <w:rsid w:val="003110D4"/>
    <w:rsid w:val="00311B9B"/>
    <w:rsid w:val="003157D1"/>
    <w:rsid w:val="00316A48"/>
    <w:rsid w:val="00317222"/>
    <w:rsid w:val="00320DF9"/>
    <w:rsid w:val="003214B1"/>
    <w:rsid w:val="00321587"/>
    <w:rsid w:val="00322799"/>
    <w:rsid w:val="00322E11"/>
    <w:rsid w:val="003241F1"/>
    <w:rsid w:val="0032688F"/>
    <w:rsid w:val="00331D60"/>
    <w:rsid w:val="00332038"/>
    <w:rsid w:val="0033296D"/>
    <w:rsid w:val="00332C6F"/>
    <w:rsid w:val="00334CC7"/>
    <w:rsid w:val="003355B7"/>
    <w:rsid w:val="00336AAB"/>
    <w:rsid w:val="0034150B"/>
    <w:rsid w:val="0034187B"/>
    <w:rsid w:val="00342477"/>
    <w:rsid w:val="0034283D"/>
    <w:rsid w:val="00343634"/>
    <w:rsid w:val="00343968"/>
    <w:rsid w:val="00343A1D"/>
    <w:rsid w:val="00343D9C"/>
    <w:rsid w:val="0035121B"/>
    <w:rsid w:val="00351B2F"/>
    <w:rsid w:val="003521AC"/>
    <w:rsid w:val="00352D4E"/>
    <w:rsid w:val="00354452"/>
    <w:rsid w:val="00356193"/>
    <w:rsid w:val="00356631"/>
    <w:rsid w:val="00356A9C"/>
    <w:rsid w:val="00357F64"/>
    <w:rsid w:val="0036067C"/>
    <w:rsid w:val="0036276F"/>
    <w:rsid w:val="003634F4"/>
    <w:rsid w:val="00363B02"/>
    <w:rsid w:val="003642B6"/>
    <w:rsid w:val="003655E9"/>
    <w:rsid w:val="00365BD8"/>
    <w:rsid w:val="00367D22"/>
    <w:rsid w:val="00370C68"/>
    <w:rsid w:val="00371760"/>
    <w:rsid w:val="003719EB"/>
    <w:rsid w:val="00371CE6"/>
    <w:rsid w:val="003767F0"/>
    <w:rsid w:val="00376869"/>
    <w:rsid w:val="00377AE0"/>
    <w:rsid w:val="00380598"/>
    <w:rsid w:val="003814FB"/>
    <w:rsid w:val="00381B01"/>
    <w:rsid w:val="003829D9"/>
    <w:rsid w:val="00383B17"/>
    <w:rsid w:val="00384A92"/>
    <w:rsid w:val="003854F3"/>
    <w:rsid w:val="00386518"/>
    <w:rsid w:val="003875CD"/>
    <w:rsid w:val="00387709"/>
    <w:rsid w:val="00387BD5"/>
    <w:rsid w:val="00387FBB"/>
    <w:rsid w:val="00391A61"/>
    <w:rsid w:val="003924FE"/>
    <w:rsid w:val="00397B1C"/>
    <w:rsid w:val="00397E86"/>
    <w:rsid w:val="003A0C28"/>
    <w:rsid w:val="003A1388"/>
    <w:rsid w:val="003A1D20"/>
    <w:rsid w:val="003A258C"/>
    <w:rsid w:val="003A3330"/>
    <w:rsid w:val="003A37AB"/>
    <w:rsid w:val="003A40E7"/>
    <w:rsid w:val="003A4472"/>
    <w:rsid w:val="003A78B7"/>
    <w:rsid w:val="003B4A06"/>
    <w:rsid w:val="003B5604"/>
    <w:rsid w:val="003B5D7B"/>
    <w:rsid w:val="003B5F19"/>
    <w:rsid w:val="003B67A0"/>
    <w:rsid w:val="003B72E5"/>
    <w:rsid w:val="003C0859"/>
    <w:rsid w:val="003C0E0B"/>
    <w:rsid w:val="003C1220"/>
    <w:rsid w:val="003C5626"/>
    <w:rsid w:val="003C6339"/>
    <w:rsid w:val="003C6B76"/>
    <w:rsid w:val="003C7129"/>
    <w:rsid w:val="003D3B92"/>
    <w:rsid w:val="003D4056"/>
    <w:rsid w:val="003D415D"/>
    <w:rsid w:val="003D46D1"/>
    <w:rsid w:val="003D7EC2"/>
    <w:rsid w:val="003E1BD5"/>
    <w:rsid w:val="003E3AC3"/>
    <w:rsid w:val="003E58E5"/>
    <w:rsid w:val="003E58FF"/>
    <w:rsid w:val="003E5EE1"/>
    <w:rsid w:val="003E7C9B"/>
    <w:rsid w:val="003E7D25"/>
    <w:rsid w:val="003F0082"/>
    <w:rsid w:val="003F0417"/>
    <w:rsid w:val="003F0C7E"/>
    <w:rsid w:val="003F688C"/>
    <w:rsid w:val="00400DD3"/>
    <w:rsid w:val="00403958"/>
    <w:rsid w:val="004073DB"/>
    <w:rsid w:val="004137F3"/>
    <w:rsid w:val="00414F84"/>
    <w:rsid w:val="00415470"/>
    <w:rsid w:val="00415CFA"/>
    <w:rsid w:val="00416388"/>
    <w:rsid w:val="004173CF"/>
    <w:rsid w:val="00417D4F"/>
    <w:rsid w:val="00421975"/>
    <w:rsid w:val="004223F4"/>
    <w:rsid w:val="004223F7"/>
    <w:rsid w:val="004237AF"/>
    <w:rsid w:val="00426990"/>
    <w:rsid w:val="004300B5"/>
    <w:rsid w:val="0043036E"/>
    <w:rsid w:val="004342C9"/>
    <w:rsid w:val="00440412"/>
    <w:rsid w:val="00440804"/>
    <w:rsid w:val="0044324B"/>
    <w:rsid w:val="00443935"/>
    <w:rsid w:val="00443963"/>
    <w:rsid w:val="004442B3"/>
    <w:rsid w:val="00444D59"/>
    <w:rsid w:val="00446551"/>
    <w:rsid w:val="00447654"/>
    <w:rsid w:val="00447D75"/>
    <w:rsid w:val="004513F9"/>
    <w:rsid w:val="00451DAE"/>
    <w:rsid w:val="00452F36"/>
    <w:rsid w:val="00453130"/>
    <w:rsid w:val="0045394E"/>
    <w:rsid w:val="004543C3"/>
    <w:rsid w:val="00454535"/>
    <w:rsid w:val="00454B5D"/>
    <w:rsid w:val="00455B44"/>
    <w:rsid w:val="00456230"/>
    <w:rsid w:val="00456FA3"/>
    <w:rsid w:val="0045754E"/>
    <w:rsid w:val="00460E98"/>
    <w:rsid w:val="00461626"/>
    <w:rsid w:val="004640E1"/>
    <w:rsid w:val="00464AB4"/>
    <w:rsid w:val="00465462"/>
    <w:rsid w:val="00471684"/>
    <w:rsid w:val="0047294B"/>
    <w:rsid w:val="0047305B"/>
    <w:rsid w:val="0047493D"/>
    <w:rsid w:val="00475717"/>
    <w:rsid w:val="00475A0F"/>
    <w:rsid w:val="004771A7"/>
    <w:rsid w:val="00477DF1"/>
    <w:rsid w:val="004805E1"/>
    <w:rsid w:val="0048194E"/>
    <w:rsid w:val="00481D33"/>
    <w:rsid w:val="00481EFC"/>
    <w:rsid w:val="0048481A"/>
    <w:rsid w:val="00486D4E"/>
    <w:rsid w:val="00487F50"/>
    <w:rsid w:val="00490DEF"/>
    <w:rsid w:val="0049352F"/>
    <w:rsid w:val="00497B97"/>
    <w:rsid w:val="004A28E9"/>
    <w:rsid w:val="004A4443"/>
    <w:rsid w:val="004A465C"/>
    <w:rsid w:val="004A537B"/>
    <w:rsid w:val="004A5A5E"/>
    <w:rsid w:val="004A647D"/>
    <w:rsid w:val="004A6BB2"/>
    <w:rsid w:val="004A7816"/>
    <w:rsid w:val="004A791C"/>
    <w:rsid w:val="004B0A0E"/>
    <w:rsid w:val="004B10CD"/>
    <w:rsid w:val="004B23B3"/>
    <w:rsid w:val="004B2765"/>
    <w:rsid w:val="004B6984"/>
    <w:rsid w:val="004C05F2"/>
    <w:rsid w:val="004C1E04"/>
    <w:rsid w:val="004C1EBB"/>
    <w:rsid w:val="004C2ABE"/>
    <w:rsid w:val="004C407E"/>
    <w:rsid w:val="004C506F"/>
    <w:rsid w:val="004C7A15"/>
    <w:rsid w:val="004D11B7"/>
    <w:rsid w:val="004D57A0"/>
    <w:rsid w:val="004D5993"/>
    <w:rsid w:val="004D5F36"/>
    <w:rsid w:val="004D638A"/>
    <w:rsid w:val="004E0791"/>
    <w:rsid w:val="004E44CC"/>
    <w:rsid w:val="004E50CC"/>
    <w:rsid w:val="004E587A"/>
    <w:rsid w:val="004E5CA5"/>
    <w:rsid w:val="004E6804"/>
    <w:rsid w:val="004E6F0E"/>
    <w:rsid w:val="004F02F2"/>
    <w:rsid w:val="004F16A1"/>
    <w:rsid w:val="004F1918"/>
    <w:rsid w:val="004F2DDA"/>
    <w:rsid w:val="004F47FD"/>
    <w:rsid w:val="004F4B65"/>
    <w:rsid w:val="004F6370"/>
    <w:rsid w:val="00502DF4"/>
    <w:rsid w:val="005034FC"/>
    <w:rsid w:val="00503795"/>
    <w:rsid w:val="00503F67"/>
    <w:rsid w:val="005044B9"/>
    <w:rsid w:val="005055E2"/>
    <w:rsid w:val="00507AFA"/>
    <w:rsid w:val="005106D5"/>
    <w:rsid w:val="005112F3"/>
    <w:rsid w:val="00517BF1"/>
    <w:rsid w:val="00520645"/>
    <w:rsid w:val="00520920"/>
    <w:rsid w:val="0052426A"/>
    <w:rsid w:val="00524C98"/>
    <w:rsid w:val="00524D6D"/>
    <w:rsid w:val="005252C0"/>
    <w:rsid w:val="00530CE7"/>
    <w:rsid w:val="005316A8"/>
    <w:rsid w:val="00535C65"/>
    <w:rsid w:val="005361F9"/>
    <w:rsid w:val="0053682D"/>
    <w:rsid w:val="00540388"/>
    <w:rsid w:val="00540FEC"/>
    <w:rsid w:val="005414D6"/>
    <w:rsid w:val="00541B9D"/>
    <w:rsid w:val="00541F83"/>
    <w:rsid w:val="00542766"/>
    <w:rsid w:val="005430C7"/>
    <w:rsid w:val="00543809"/>
    <w:rsid w:val="00543CB6"/>
    <w:rsid w:val="00543EC9"/>
    <w:rsid w:val="005446B0"/>
    <w:rsid w:val="00546DF7"/>
    <w:rsid w:val="00547386"/>
    <w:rsid w:val="005475A9"/>
    <w:rsid w:val="00547E4F"/>
    <w:rsid w:val="00551DFC"/>
    <w:rsid w:val="0055211A"/>
    <w:rsid w:val="005532E3"/>
    <w:rsid w:val="00554187"/>
    <w:rsid w:val="00555958"/>
    <w:rsid w:val="00560522"/>
    <w:rsid w:val="005605F8"/>
    <w:rsid w:val="005615D4"/>
    <w:rsid w:val="005650C2"/>
    <w:rsid w:val="00565A8C"/>
    <w:rsid w:val="00573012"/>
    <w:rsid w:val="005731AA"/>
    <w:rsid w:val="00574068"/>
    <w:rsid w:val="00575709"/>
    <w:rsid w:val="005773BE"/>
    <w:rsid w:val="005804F3"/>
    <w:rsid w:val="00580954"/>
    <w:rsid w:val="005824F8"/>
    <w:rsid w:val="00583A5C"/>
    <w:rsid w:val="00584C19"/>
    <w:rsid w:val="005850D6"/>
    <w:rsid w:val="0058643C"/>
    <w:rsid w:val="005866BD"/>
    <w:rsid w:val="00586EDA"/>
    <w:rsid w:val="005927CD"/>
    <w:rsid w:val="0059343A"/>
    <w:rsid w:val="00593E5C"/>
    <w:rsid w:val="005964EC"/>
    <w:rsid w:val="005A0661"/>
    <w:rsid w:val="005A1FDF"/>
    <w:rsid w:val="005A2BEB"/>
    <w:rsid w:val="005A39AF"/>
    <w:rsid w:val="005A4F1F"/>
    <w:rsid w:val="005A61BC"/>
    <w:rsid w:val="005A6732"/>
    <w:rsid w:val="005A7272"/>
    <w:rsid w:val="005A72CE"/>
    <w:rsid w:val="005A7EC2"/>
    <w:rsid w:val="005B19C2"/>
    <w:rsid w:val="005B330F"/>
    <w:rsid w:val="005B334E"/>
    <w:rsid w:val="005B3FB5"/>
    <w:rsid w:val="005C3B65"/>
    <w:rsid w:val="005C71EA"/>
    <w:rsid w:val="005D248A"/>
    <w:rsid w:val="005D2C74"/>
    <w:rsid w:val="005D2CB5"/>
    <w:rsid w:val="005D386F"/>
    <w:rsid w:val="005D511D"/>
    <w:rsid w:val="005D72C1"/>
    <w:rsid w:val="005E00FD"/>
    <w:rsid w:val="005E344A"/>
    <w:rsid w:val="005E3DC5"/>
    <w:rsid w:val="005E4813"/>
    <w:rsid w:val="005E6E82"/>
    <w:rsid w:val="005F2B98"/>
    <w:rsid w:val="005F450F"/>
    <w:rsid w:val="005F6167"/>
    <w:rsid w:val="005F756B"/>
    <w:rsid w:val="006031DC"/>
    <w:rsid w:val="006035CB"/>
    <w:rsid w:val="006039CE"/>
    <w:rsid w:val="00604122"/>
    <w:rsid w:val="00604630"/>
    <w:rsid w:val="0060535C"/>
    <w:rsid w:val="00606709"/>
    <w:rsid w:val="00611E40"/>
    <w:rsid w:val="00613D71"/>
    <w:rsid w:val="00614174"/>
    <w:rsid w:val="00615523"/>
    <w:rsid w:val="00615DBE"/>
    <w:rsid w:val="006161C5"/>
    <w:rsid w:val="00624E86"/>
    <w:rsid w:val="00625C51"/>
    <w:rsid w:val="00626E6E"/>
    <w:rsid w:val="006313EC"/>
    <w:rsid w:val="00633872"/>
    <w:rsid w:val="0063507E"/>
    <w:rsid w:val="006350D6"/>
    <w:rsid w:val="0063554A"/>
    <w:rsid w:val="006356A9"/>
    <w:rsid w:val="006369CC"/>
    <w:rsid w:val="006374EF"/>
    <w:rsid w:val="00643CAC"/>
    <w:rsid w:val="00643E16"/>
    <w:rsid w:val="00646631"/>
    <w:rsid w:val="00647F26"/>
    <w:rsid w:val="006536D6"/>
    <w:rsid w:val="00654B00"/>
    <w:rsid w:val="00655415"/>
    <w:rsid w:val="006555FF"/>
    <w:rsid w:val="006560FF"/>
    <w:rsid w:val="00657569"/>
    <w:rsid w:val="00662875"/>
    <w:rsid w:val="00663399"/>
    <w:rsid w:val="006635A7"/>
    <w:rsid w:val="006649C6"/>
    <w:rsid w:val="006656A2"/>
    <w:rsid w:val="00665738"/>
    <w:rsid w:val="00666247"/>
    <w:rsid w:val="006679EB"/>
    <w:rsid w:val="00671EF7"/>
    <w:rsid w:val="00672684"/>
    <w:rsid w:val="00674F5E"/>
    <w:rsid w:val="006763B3"/>
    <w:rsid w:val="00681985"/>
    <w:rsid w:val="00681D31"/>
    <w:rsid w:val="00682ADC"/>
    <w:rsid w:val="00682F0F"/>
    <w:rsid w:val="00683222"/>
    <w:rsid w:val="00685F1B"/>
    <w:rsid w:val="00686A7A"/>
    <w:rsid w:val="00686F46"/>
    <w:rsid w:val="00687A76"/>
    <w:rsid w:val="00687B51"/>
    <w:rsid w:val="006900BC"/>
    <w:rsid w:val="00690176"/>
    <w:rsid w:val="006907CD"/>
    <w:rsid w:val="00692DDF"/>
    <w:rsid w:val="0069376A"/>
    <w:rsid w:val="00694554"/>
    <w:rsid w:val="00695074"/>
    <w:rsid w:val="00695664"/>
    <w:rsid w:val="006A077D"/>
    <w:rsid w:val="006A1725"/>
    <w:rsid w:val="006A211F"/>
    <w:rsid w:val="006A4311"/>
    <w:rsid w:val="006A5EAE"/>
    <w:rsid w:val="006A63AB"/>
    <w:rsid w:val="006A76FE"/>
    <w:rsid w:val="006B1C52"/>
    <w:rsid w:val="006B2BCC"/>
    <w:rsid w:val="006B46DC"/>
    <w:rsid w:val="006B5CB6"/>
    <w:rsid w:val="006B666A"/>
    <w:rsid w:val="006B7F89"/>
    <w:rsid w:val="006C3846"/>
    <w:rsid w:val="006C3A7A"/>
    <w:rsid w:val="006C3BF0"/>
    <w:rsid w:val="006C4725"/>
    <w:rsid w:val="006D221B"/>
    <w:rsid w:val="006D4845"/>
    <w:rsid w:val="006D7839"/>
    <w:rsid w:val="006E02B1"/>
    <w:rsid w:val="006E1181"/>
    <w:rsid w:val="006E157D"/>
    <w:rsid w:val="006E3615"/>
    <w:rsid w:val="006E6DDB"/>
    <w:rsid w:val="006F0AC4"/>
    <w:rsid w:val="006F147F"/>
    <w:rsid w:val="006F2CEE"/>
    <w:rsid w:val="006F5195"/>
    <w:rsid w:val="006F5426"/>
    <w:rsid w:val="006F61C3"/>
    <w:rsid w:val="006F65DD"/>
    <w:rsid w:val="006F7546"/>
    <w:rsid w:val="00700495"/>
    <w:rsid w:val="00702286"/>
    <w:rsid w:val="0070375B"/>
    <w:rsid w:val="00705060"/>
    <w:rsid w:val="00705F0C"/>
    <w:rsid w:val="007064D1"/>
    <w:rsid w:val="007069AD"/>
    <w:rsid w:val="00710F95"/>
    <w:rsid w:val="007132C1"/>
    <w:rsid w:val="00714445"/>
    <w:rsid w:val="0072283F"/>
    <w:rsid w:val="00722DD9"/>
    <w:rsid w:val="0072306E"/>
    <w:rsid w:val="007269A4"/>
    <w:rsid w:val="00733E60"/>
    <w:rsid w:val="00734BF0"/>
    <w:rsid w:val="007358D4"/>
    <w:rsid w:val="007362E1"/>
    <w:rsid w:val="00736827"/>
    <w:rsid w:val="007375A2"/>
    <w:rsid w:val="00737D3F"/>
    <w:rsid w:val="00741AD7"/>
    <w:rsid w:val="00742808"/>
    <w:rsid w:val="00743133"/>
    <w:rsid w:val="00745330"/>
    <w:rsid w:val="00745FC7"/>
    <w:rsid w:val="00746653"/>
    <w:rsid w:val="0075061D"/>
    <w:rsid w:val="007506CA"/>
    <w:rsid w:val="00753442"/>
    <w:rsid w:val="00754000"/>
    <w:rsid w:val="0075584E"/>
    <w:rsid w:val="00760447"/>
    <w:rsid w:val="00760C76"/>
    <w:rsid w:val="007616E0"/>
    <w:rsid w:val="007623A6"/>
    <w:rsid w:val="0076316B"/>
    <w:rsid w:val="007702DD"/>
    <w:rsid w:val="00771BDB"/>
    <w:rsid w:val="0077232F"/>
    <w:rsid w:val="007830DD"/>
    <w:rsid w:val="00784AE6"/>
    <w:rsid w:val="00784CA4"/>
    <w:rsid w:val="00784D51"/>
    <w:rsid w:val="0078521D"/>
    <w:rsid w:val="00787769"/>
    <w:rsid w:val="0079060C"/>
    <w:rsid w:val="007910EF"/>
    <w:rsid w:val="00791384"/>
    <w:rsid w:val="00792569"/>
    <w:rsid w:val="0079403D"/>
    <w:rsid w:val="00796D05"/>
    <w:rsid w:val="00797162"/>
    <w:rsid w:val="00797A49"/>
    <w:rsid w:val="007A0227"/>
    <w:rsid w:val="007A1908"/>
    <w:rsid w:val="007A31E6"/>
    <w:rsid w:val="007A3201"/>
    <w:rsid w:val="007A3523"/>
    <w:rsid w:val="007A4951"/>
    <w:rsid w:val="007A69E3"/>
    <w:rsid w:val="007A7D92"/>
    <w:rsid w:val="007B1A60"/>
    <w:rsid w:val="007B1D8C"/>
    <w:rsid w:val="007B2424"/>
    <w:rsid w:val="007B39B5"/>
    <w:rsid w:val="007B59F8"/>
    <w:rsid w:val="007B62B0"/>
    <w:rsid w:val="007B677B"/>
    <w:rsid w:val="007B76CF"/>
    <w:rsid w:val="007C06DB"/>
    <w:rsid w:val="007C07F2"/>
    <w:rsid w:val="007C35AA"/>
    <w:rsid w:val="007C442F"/>
    <w:rsid w:val="007C4873"/>
    <w:rsid w:val="007C6E2F"/>
    <w:rsid w:val="007C7F1C"/>
    <w:rsid w:val="007D0693"/>
    <w:rsid w:val="007D26D0"/>
    <w:rsid w:val="007D2F6E"/>
    <w:rsid w:val="007D502C"/>
    <w:rsid w:val="007D53D2"/>
    <w:rsid w:val="007D542C"/>
    <w:rsid w:val="007D5FB6"/>
    <w:rsid w:val="007D6337"/>
    <w:rsid w:val="007D71B9"/>
    <w:rsid w:val="007E03DA"/>
    <w:rsid w:val="007E0E19"/>
    <w:rsid w:val="007E21C1"/>
    <w:rsid w:val="007E6B47"/>
    <w:rsid w:val="007E7CC7"/>
    <w:rsid w:val="007F12B7"/>
    <w:rsid w:val="007F2018"/>
    <w:rsid w:val="007F25A9"/>
    <w:rsid w:val="007F33A7"/>
    <w:rsid w:val="007F35ED"/>
    <w:rsid w:val="00800944"/>
    <w:rsid w:val="00801036"/>
    <w:rsid w:val="00801575"/>
    <w:rsid w:val="00801B7A"/>
    <w:rsid w:val="0080418D"/>
    <w:rsid w:val="00804A64"/>
    <w:rsid w:val="00804F81"/>
    <w:rsid w:val="00810E4C"/>
    <w:rsid w:val="00811C1B"/>
    <w:rsid w:val="00813D5B"/>
    <w:rsid w:val="00815D71"/>
    <w:rsid w:val="00820836"/>
    <w:rsid w:val="00821591"/>
    <w:rsid w:val="008231BA"/>
    <w:rsid w:val="008236C3"/>
    <w:rsid w:val="00824005"/>
    <w:rsid w:val="00824E2B"/>
    <w:rsid w:val="00826779"/>
    <w:rsid w:val="00826980"/>
    <w:rsid w:val="008306DE"/>
    <w:rsid w:val="008313B2"/>
    <w:rsid w:val="00831E17"/>
    <w:rsid w:val="00832B98"/>
    <w:rsid w:val="00835E18"/>
    <w:rsid w:val="00837F0A"/>
    <w:rsid w:val="00840199"/>
    <w:rsid w:val="008405A7"/>
    <w:rsid w:val="00840CF1"/>
    <w:rsid w:val="00842423"/>
    <w:rsid w:val="0084319C"/>
    <w:rsid w:val="00850A83"/>
    <w:rsid w:val="00853B0C"/>
    <w:rsid w:val="00853B1B"/>
    <w:rsid w:val="00854838"/>
    <w:rsid w:val="00856A7E"/>
    <w:rsid w:val="00857361"/>
    <w:rsid w:val="008577D4"/>
    <w:rsid w:val="00860BCB"/>
    <w:rsid w:val="00860C75"/>
    <w:rsid w:val="00860DDC"/>
    <w:rsid w:val="00861136"/>
    <w:rsid w:val="00862065"/>
    <w:rsid w:val="00862400"/>
    <w:rsid w:val="00863DB6"/>
    <w:rsid w:val="00863FD0"/>
    <w:rsid w:val="00866415"/>
    <w:rsid w:val="00867539"/>
    <w:rsid w:val="008675E3"/>
    <w:rsid w:val="008720D8"/>
    <w:rsid w:val="0087367F"/>
    <w:rsid w:val="00873A06"/>
    <w:rsid w:val="008743C8"/>
    <w:rsid w:val="00874D70"/>
    <w:rsid w:val="00875555"/>
    <w:rsid w:val="00876C81"/>
    <w:rsid w:val="0087789D"/>
    <w:rsid w:val="008778A3"/>
    <w:rsid w:val="008838C7"/>
    <w:rsid w:val="00883E6C"/>
    <w:rsid w:val="008862B5"/>
    <w:rsid w:val="0088721E"/>
    <w:rsid w:val="0088740B"/>
    <w:rsid w:val="00887544"/>
    <w:rsid w:val="008908F5"/>
    <w:rsid w:val="00890A4C"/>
    <w:rsid w:val="00890DDA"/>
    <w:rsid w:val="00891914"/>
    <w:rsid w:val="00892FA5"/>
    <w:rsid w:val="008945FD"/>
    <w:rsid w:val="00894A72"/>
    <w:rsid w:val="008951AC"/>
    <w:rsid w:val="008961B7"/>
    <w:rsid w:val="0089677E"/>
    <w:rsid w:val="00897483"/>
    <w:rsid w:val="008978CC"/>
    <w:rsid w:val="00897A55"/>
    <w:rsid w:val="008A072A"/>
    <w:rsid w:val="008A1053"/>
    <w:rsid w:val="008A1FED"/>
    <w:rsid w:val="008A227F"/>
    <w:rsid w:val="008A2418"/>
    <w:rsid w:val="008A2E28"/>
    <w:rsid w:val="008A6931"/>
    <w:rsid w:val="008B41F6"/>
    <w:rsid w:val="008B5987"/>
    <w:rsid w:val="008C1F86"/>
    <w:rsid w:val="008C2A3C"/>
    <w:rsid w:val="008C2DAD"/>
    <w:rsid w:val="008C2E65"/>
    <w:rsid w:val="008C37C8"/>
    <w:rsid w:val="008C7F13"/>
    <w:rsid w:val="008D0652"/>
    <w:rsid w:val="008D0BF5"/>
    <w:rsid w:val="008D114B"/>
    <w:rsid w:val="008D2E88"/>
    <w:rsid w:val="008D45D9"/>
    <w:rsid w:val="008D7DDB"/>
    <w:rsid w:val="008E08F8"/>
    <w:rsid w:val="008E1F19"/>
    <w:rsid w:val="008E2631"/>
    <w:rsid w:val="008F11E2"/>
    <w:rsid w:val="008F3660"/>
    <w:rsid w:val="008F3F09"/>
    <w:rsid w:val="008F7B87"/>
    <w:rsid w:val="00902C55"/>
    <w:rsid w:val="00905989"/>
    <w:rsid w:val="00906098"/>
    <w:rsid w:val="00907206"/>
    <w:rsid w:val="0090744F"/>
    <w:rsid w:val="0090749A"/>
    <w:rsid w:val="00907611"/>
    <w:rsid w:val="00910208"/>
    <w:rsid w:val="00910DFD"/>
    <w:rsid w:val="009114C3"/>
    <w:rsid w:val="00911C69"/>
    <w:rsid w:val="00911E72"/>
    <w:rsid w:val="009129DD"/>
    <w:rsid w:val="00912DEC"/>
    <w:rsid w:val="0091364C"/>
    <w:rsid w:val="009149A9"/>
    <w:rsid w:val="00914C10"/>
    <w:rsid w:val="00915D80"/>
    <w:rsid w:val="00916C5B"/>
    <w:rsid w:val="00917556"/>
    <w:rsid w:val="00917CE6"/>
    <w:rsid w:val="009205BD"/>
    <w:rsid w:val="009209E2"/>
    <w:rsid w:val="00924B22"/>
    <w:rsid w:val="009258F6"/>
    <w:rsid w:val="00927F3E"/>
    <w:rsid w:val="00930A46"/>
    <w:rsid w:val="00930D8F"/>
    <w:rsid w:val="00934A69"/>
    <w:rsid w:val="00936103"/>
    <w:rsid w:val="00936722"/>
    <w:rsid w:val="009376A3"/>
    <w:rsid w:val="009405F0"/>
    <w:rsid w:val="00941B51"/>
    <w:rsid w:val="00943EF1"/>
    <w:rsid w:val="00945087"/>
    <w:rsid w:val="009451C2"/>
    <w:rsid w:val="0094695C"/>
    <w:rsid w:val="0095018E"/>
    <w:rsid w:val="0095022F"/>
    <w:rsid w:val="00950C28"/>
    <w:rsid w:val="009528ED"/>
    <w:rsid w:val="009548FE"/>
    <w:rsid w:val="00954B36"/>
    <w:rsid w:val="00963473"/>
    <w:rsid w:val="00964509"/>
    <w:rsid w:val="00965A62"/>
    <w:rsid w:val="00965A8D"/>
    <w:rsid w:val="00966C54"/>
    <w:rsid w:val="009678FD"/>
    <w:rsid w:val="0097037F"/>
    <w:rsid w:val="009706DE"/>
    <w:rsid w:val="00972CB3"/>
    <w:rsid w:val="00975828"/>
    <w:rsid w:val="00975DA4"/>
    <w:rsid w:val="0097649D"/>
    <w:rsid w:val="00976EC3"/>
    <w:rsid w:val="00977466"/>
    <w:rsid w:val="00977987"/>
    <w:rsid w:val="0098169D"/>
    <w:rsid w:val="0098287F"/>
    <w:rsid w:val="00984F86"/>
    <w:rsid w:val="009853EE"/>
    <w:rsid w:val="009862FF"/>
    <w:rsid w:val="00986463"/>
    <w:rsid w:val="009872D8"/>
    <w:rsid w:val="00990627"/>
    <w:rsid w:val="00990D29"/>
    <w:rsid w:val="009916C7"/>
    <w:rsid w:val="00991914"/>
    <w:rsid w:val="009937E4"/>
    <w:rsid w:val="009944E0"/>
    <w:rsid w:val="009946A0"/>
    <w:rsid w:val="009A3216"/>
    <w:rsid w:val="009A32F5"/>
    <w:rsid w:val="009A4397"/>
    <w:rsid w:val="009A5462"/>
    <w:rsid w:val="009A58EC"/>
    <w:rsid w:val="009A5BBB"/>
    <w:rsid w:val="009A7DF7"/>
    <w:rsid w:val="009B0310"/>
    <w:rsid w:val="009B09C6"/>
    <w:rsid w:val="009B13D3"/>
    <w:rsid w:val="009B1ACA"/>
    <w:rsid w:val="009B31FA"/>
    <w:rsid w:val="009B4A2A"/>
    <w:rsid w:val="009B6EF7"/>
    <w:rsid w:val="009C0A02"/>
    <w:rsid w:val="009C3782"/>
    <w:rsid w:val="009C4B02"/>
    <w:rsid w:val="009D0CFF"/>
    <w:rsid w:val="009D182C"/>
    <w:rsid w:val="009D4ED5"/>
    <w:rsid w:val="009D5869"/>
    <w:rsid w:val="009D7CE9"/>
    <w:rsid w:val="009E0EE1"/>
    <w:rsid w:val="009E3979"/>
    <w:rsid w:val="009E40DD"/>
    <w:rsid w:val="009E56B5"/>
    <w:rsid w:val="009E6BFC"/>
    <w:rsid w:val="009E74C5"/>
    <w:rsid w:val="009E776F"/>
    <w:rsid w:val="009E7D0D"/>
    <w:rsid w:val="009F0DB1"/>
    <w:rsid w:val="009F11A1"/>
    <w:rsid w:val="009F1A5D"/>
    <w:rsid w:val="009F2104"/>
    <w:rsid w:val="009F2584"/>
    <w:rsid w:val="009F2800"/>
    <w:rsid w:val="009F28F8"/>
    <w:rsid w:val="009F6808"/>
    <w:rsid w:val="009F775D"/>
    <w:rsid w:val="00A00951"/>
    <w:rsid w:val="00A00B8C"/>
    <w:rsid w:val="00A034E8"/>
    <w:rsid w:val="00A03BF8"/>
    <w:rsid w:val="00A048F1"/>
    <w:rsid w:val="00A06688"/>
    <w:rsid w:val="00A10327"/>
    <w:rsid w:val="00A10F43"/>
    <w:rsid w:val="00A11CB0"/>
    <w:rsid w:val="00A13326"/>
    <w:rsid w:val="00A17418"/>
    <w:rsid w:val="00A179C6"/>
    <w:rsid w:val="00A21A67"/>
    <w:rsid w:val="00A22797"/>
    <w:rsid w:val="00A2594E"/>
    <w:rsid w:val="00A2690A"/>
    <w:rsid w:val="00A26A38"/>
    <w:rsid w:val="00A3056D"/>
    <w:rsid w:val="00A30F8F"/>
    <w:rsid w:val="00A32C0E"/>
    <w:rsid w:val="00A32EFD"/>
    <w:rsid w:val="00A3358B"/>
    <w:rsid w:val="00A34FE8"/>
    <w:rsid w:val="00A35F40"/>
    <w:rsid w:val="00A4131F"/>
    <w:rsid w:val="00A44B4B"/>
    <w:rsid w:val="00A453B1"/>
    <w:rsid w:val="00A52609"/>
    <w:rsid w:val="00A52796"/>
    <w:rsid w:val="00A52E90"/>
    <w:rsid w:val="00A53D36"/>
    <w:rsid w:val="00A603FA"/>
    <w:rsid w:val="00A605D2"/>
    <w:rsid w:val="00A60D25"/>
    <w:rsid w:val="00A6285B"/>
    <w:rsid w:val="00A63BEB"/>
    <w:rsid w:val="00A6519F"/>
    <w:rsid w:val="00A6575E"/>
    <w:rsid w:val="00A65E12"/>
    <w:rsid w:val="00A66FC6"/>
    <w:rsid w:val="00A67467"/>
    <w:rsid w:val="00A71215"/>
    <w:rsid w:val="00A7196F"/>
    <w:rsid w:val="00A74B2E"/>
    <w:rsid w:val="00A758F4"/>
    <w:rsid w:val="00A75B86"/>
    <w:rsid w:val="00A8327B"/>
    <w:rsid w:val="00A8393C"/>
    <w:rsid w:val="00A866E0"/>
    <w:rsid w:val="00A93155"/>
    <w:rsid w:val="00A93B9A"/>
    <w:rsid w:val="00A9411B"/>
    <w:rsid w:val="00A943CA"/>
    <w:rsid w:val="00A94A12"/>
    <w:rsid w:val="00A95911"/>
    <w:rsid w:val="00AA07EE"/>
    <w:rsid w:val="00AA347C"/>
    <w:rsid w:val="00AA51FF"/>
    <w:rsid w:val="00AA66A4"/>
    <w:rsid w:val="00AA6CAA"/>
    <w:rsid w:val="00AB3041"/>
    <w:rsid w:val="00AB3D2E"/>
    <w:rsid w:val="00AB4415"/>
    <w:rsid w:val="00AB6C79"/>
    <w:rsid w:val="00AB7B74"/>
    <w:rsid w:val="00AC1289"/>
    <w:rsid w:val="00AC298F"/>
    <w:rsid w:val="00AD067A"/>
    <w:rsid w:val="00AD5870"/>
    <w:rsid w:val="00AD5C4D"/>
    <w:rsid w:val="00AD5E53"/>
    <w:rsid w:val="00AD73D2"/>
    <w:rsid w:val="00AD7497"/>
    <w:rsid w:val="00AE35E2"/>
    <w:rsid w:val="00AE407C"/>
    <w:rsid w:val="00AE4B00"/>
    <w:rsid w:val="00AE4E6C"/>
    <w:rsid w:val="00AE5259"/>
    <w:rsid w:val="00AE5F33"/>
    <w:rsid w:val="00AE68AF"/>
    <w:rsid w:val="00AE6B15"/>
    <w:rsid w:val="00AE6FD6"/>
    <w:rsid w:val="00AF0B6C"/>
    <w:rsid w:val="00AF23EA"/>
    <w:rsid w:val="00AF2763"/>
    <w:rsid w:val="00AF27C9"/>
    <w:rsid w:val="00AF3745"/>
    <w:rsid w:val="00AF4175"/>
    <w:rsid w:val="00B0328B"/>
    <w:rsid w:val="00B03E26"/>
    <w:rsid w:val="00B04132"/>
    <w:rsid w:val="00B0583F"/>
    <w:rsid w:val="00B0652F"/>
    <w:rsid w:val="00B0669C"/>
    <w:rsid w:val="00B06911"/>
    <w:rsid w:val="00B07FCB"/>
    <w:rsid w:val="00B10D13"/>
    <w:rsid w:val="00B11C68"/>
    <w:rsid w:val="00B11E69"/>
    <w:rsid w:val="00B12E1D"/>
    <w:rsid w:val="00B13366"/>
    <w:rsid w:val="00B13F72"/>
    <w:rsid w:val="00B15809"/>
    <w:rsid w:val="00B15AE4"/>
    <w:rsid w:val="00B20DFF"/>
    <w:rsid w:val="00B222C9"/>
    <w:rsid w:val="00B231E1"/>
    <w:rsid w:val="00B2438A"/>
    <w:rsid w:val="00B26011"/>
    <w:rsid w:val="00B308A3"/>
    <w:rsid w:val="00B31161"/>
    <w:rsid w:val="00B31DA0"/>
    <w:rsid w:val="00B33815"/>
    <w:rsid w:val="00B347DC"/>
    <w:rsid w:val="00B35E7F"/>
    <w:rsid w:val="00B36561"/>
    <w:rsid w:val="00B400EA"/>
    <w:rsid w:val="00B40306"/>
    <w:rsid w:val="00B41904"/>
    <w:rsid w:val="00B46129"/>
    <w:rsid w:val="00B46ADD"/>
    <w:rsid w:val="00B4704C"/>
    <w:rsid w:val="00B50649"/>
    <w:rsid w:val="00B535E8"/>
    <w:rsid w:val="00B536E6"/>
    <w:rsid w:val="00B54FC2"/>
    <w:rsid w:val="00B57631"/>
    <w:rsid w:val="00B57DB6"/>
    <w:rsid w:val="00B60106"/>
    <w:rsid w:val="00B60169"/>
    <w:rsid w:val="00B630CF"/>
    <w:rsid w:val="00B63F49"/>
    <w:rsid w:val="00B644F7"/>
    <w:rsid w:val="00B65358"/>
    <w:rsid w:val="00B65ACE"/>
    <w:rsid w:val="00B65C97"/>
    <w:rsid w:val="00B65EC2"/>
    <w:rsid w:val="00B6616F"/>
    <w:rsid w:val="00B66FE1"/>
    <w:rsid w:val="00B67904"/>
    <w:rsid w:val="00B7007B"/>
    <w:rsid w:val="00B71560"/>
    <w:rsid w:val="00B72A03"/>
    <w:rsid w:val="00B73982"/>
    <w:rsid w:val="00B73D85"/>
    <w:rsid w:val="00B73ECE"/>
    <w:rsid w:val="00B75D74"/>
    <w:rsid w:val="00B77029"/>
    <w:rsid w:val="00B77183"/>
    <w:rsid w:val="00B817E0"/>
    <w:rsid w:val="00B81C32"/>
    <w:rsid w:val="00B81DA2"/>
    <w:rsid w:val="00B83416"/>
    <w:rsid w:val="00B843CD"/>
    <w:rsid w:val="00B85B62"/>
    <w:rsid w:val="00B86909"/>
    <w:rsid w:val="00B86B09"/>
    <w:rsid w:val="00B86B7A"/>
    <w:rsid w:val="00B86BB3"/>
    <w:rsid w:val="00B876EF"/>
    <w:rsid w:val="00B909FE"/>
    <w:rsid w:val="00B92014"/>
    <w:rsid w:val="00B94616"/>
    <w:rsid w:val="00B96979"/>
    <w:rsid w:val="00B9704A"/>
    <w:rsid w:val="00BA0D6D"/>
    <w:rsid w:val="00BA19EC"/>
    <w:rsid w:val="00BA2225"/>
    <w:rsid w:val="00BA39C4"/>
    <w:rsid w:val="00BA3BB4"/>
    <w:rsid w:val="00BA474B"/>
    <w:rsid w:val="00BA60A8"/>
    <w:rsid w:val="00BB3AEE"/>
    <w:rsid w:val="00BB5EC0"/>
    <w:rsid w:val="00BB6334"/>
    <w:rsid w:val="00BB7050"/>
    <w:rsid w:val="00BB7973"/>
    <w:rsid w:val="00BC08FD"/>
    <w:rsid w:val="00BC1CEE"/>
    <w:rsid w:val="00BC2AA4"/>
    <w:rsid w:val="00BC375A"/>
    <w:rsid w:val="00BC4621"/>
    <w:rsid w:val="00BC55A1"/>
    <w:rsid w:val="00BC5BE9"/>
    <w:rsid w:val="00BC7A6D"/>
    <w:rsid w:val="00BD25BF"/>
    <w:rsid w:val="00BD2C8D"/>
    <w:rsid w:val="00BD32FA"/>
    <w:rsid w:val="00BD47D3"/>
    <w:rsid w:val="00BE0054"/>
    <w:rsid w:val="00BE0F2C"/>
    <w:rsid w:val="00BE0F82"/>
    <w:rsid w:val="00BE11EF"/>
    <w:rsid w:val="00BE309E"/>
    <w:rsid w:val="00BE50AE"/>
    <w:rsid w:val="00BE51FD"/>
    <w:rsid w:val="00BE5D49"/>
    <w:rsid w:val="00BE7CAC"/>
    <w:rsid w:val="00BF0778"/>
    <w:rsid w:val="00BF13A5"/>
    <w:rsid w:val="00BF243B"/>
    <w:rsid w:val="00BF2441"/>
    <w:rsid w:val="00BF2689"/>
    <w:rsid w:val="00BF2EFF"/>
    <w:rsid w:val="00BF3213"/>
    <w:rsid w:val="00BF44BF"/>
    <w:rsid w:val="00BF6C00"/>
    <w:rsid w:val="00BF760E"/>
    <w:rsid w:val="00BF7F06"/>
    <w:rsid w:val="00C00872"/>
    <w:rsid w:val="00C04816"/>
    <w:rsid w:val="00C0489E"/>
    <w:rsid w:val="00C04E48"/>
    <w:rsid w:val="00C0725D"/>
    <w:rsid w:val="00C10437"/>
    <w:rsid w:val="00C116D2"/>
    <w:rsid w:val="00C11CFA"/>
    <w:rsid w:val="00C126FA"/>
    <w:rsid w:val="00C12952"/>
    <w:rsid w:val="00C12F61"/>
    <w:rsid w:val="00C14230"/>
    <w:rsid w:val="00C167AC"/>
    <w:rsid w:val="00C203A0"/>
    <w:rsid w:val="00C216A6"/>
    <w:rsid w:val="00C22776"/>
    <w:rsid w:val="00C2476B"/>
    <w:rsid w:val="00C250DA"/>
    <w:rsid w:val="00C25E5D"/>
    <w:rsid w:val="00C27F5E"/>
    <w:rsid w:val="00C3000A"/>
    <w:rsid w:val="00C32997"/>
    <w:rsid w:val="00C333C8"/>
    <w:rsid w:val="00C349DE"/>
    <w:rsid w:val="00C3697F"/>
    <w:rsid w:val="00C37494"/>
    <w:rsid w:val="00C374B1"/>
    <w:rsid w:val="00C374F3"/>
    <w:rsid w:val="00C42C0F"/>
    <w:rsid w:val="00C430E3"/>
    <w:rsid w:val="00C43CD6"/>
    <w:rsid w:val="00C45F57"/>
    <w:rsid w:val="00C46500"/>
    <w:rsid w:val="00C465FA"/>
    <w:rsid w:val="00C50250"/>
    <w:rsid w:val="00C51BF2"/>
    <w:rsid w:val="00C51EDF"/>
    <w:rsid w:val="00C5250C"/>
    <w:rsid w:val="00C56AAF"/>
    <w:rsid w:val="00C62CB0"/>
    <w:rsid w:val="00C65011"/>
    <w:rsid w:val="00C66105"/>
    <w:rsid w:val="00C666E3"/>
    <w:rsid w:val="00C671F1"/>
    <w:rsid w:val="00C67644"/>
    <w:rsid w:val="00C67E09"/>
    <w:rsid w:val="00C700AE"/>
    <w:rsid w:val="00C72DC4"/>
    <w:rsid w:val="00C81411"/>
    <w:rsid w:val="00C8145D"/>
    <w:rsid w:val="00C8592B"/>
    <w:rsid w:val="00C94481"/>
    <w:rsid w:val="00C9508F"/>
    <w:rsid w:val="00C96E35"/>
    <w:rsid w:val="00CA279F"/>
    <w:rsid w:val="00CA4E5B"/>
    <w:rsid w:val="00CA536F"/>
    <w:rsid w:val="00CA63E8"/>
    <w:rsid w:val="00CA652B"/>
    <w:rsid w:val="00CA6FFD"/>
    <w:rsid w:val="00CA7199"/>
    <w:rsid w:val="00CB290E"/>
    <w:rsid w:val="00CB2E26"/>
    <w:rsid w:val="00CB2F0D"/>
    <w:rsid w:val="00CB303B"/>
    <w:rsid w:val="00CB4DAD"/>
    <w:rsid w:val="00CB54BF"/>
    <w:rsid w:val="00CB6EAC"/>
    <w:rsid w:val="00CB7F74"/>
    <w:rsid w:val="00CC14C1"/>
    <w:rsid w:val="00CC157B"/>
    <w:rsid w:val="00CC17AE"/>
    <w:rsid w:val="00CC25EB"/>
    <w:rsid w:val="00CC4269"/>
    <w:rsid w:val="00CC550F"/>
    <w:rsid w:val="00CC56A1"/>
    <w:rsid w:val="00CC7A70"/>
    <w:rsid w:val="00CC7CE2"/>
    <w:rsid w:val="00CD1819"/>
    <w:rsid w:val="00CD2896"/>
    <w:rsid w:val="00CD4E39"/>
    <w:rsid w:val="00CD5611"/>
    <w:rsid w:val="00CD57D3"/>
    <w:rsid w:val="00CD6149"/>
    <w:rsid w:val="00CD688D"/>
    <w:rsid w:val="00CD69B2"/>
    <w:rsid w:val="00CD6FD1"/>
    <w:rsid w:val="00CD7D98"/>
    <w:rsid w:val="00CE06EC"/>
    <w:rsid w:val="00CE1EEB"/>
    <w:rsid w:val="00CE3598"/>
    <w:rsid w:val="00CE45C2"/>
    <w:rsid w:val="00CE6A45"/>
    <w:rsid w:val="00CF0E0A"/>
    <w:rsid w:val="00CF23E3"/>
    <w:rsid w:val="00CF328E"/>
    <w:rsid w:val="00CF6310"/>
    <w:rsid w:val="00CF7A4C"/>
    <w:rsid w:val="00D00C66"/>
    <w:rsid w:val="00D01398"/>
    <w:rsid w:val="00D0357C"/>
    <w:rsid w:val="00D03688"/>
    <w:rsid w:val="00D06DA1"/>
    <w:rsid w:val="00D07A67"/>
    <w:rsid w:val="00D132C7"/>
    <w:rsid w:val="00D14D5C"/>
    <w:rsid w:val="00D14E9B"/>
    <w:rsid w:val="00D1593D"/>
    <w:rsid w:val="00D16C39"/>
    <w:rsid w:val="00D20263"/>
    <w:rsid w:val="00D21F09"/>
    <w:rsid w:val="00D24A23"/>
    <w:rsid w:val="00D250A8"/>
    <w:rsid w:val="00D25CA2"/>
    <w:rsid w:val="00D268CF"/>
    <w:rsid w:val="00D27F87"/>
    <w:rsid w:val="00D33262"/>
    <w:rsid w:val="00D363F6"/>
    <w:rsid w:val="00D37B8E"/>
    <w:rsid w:val="00D404F4"/>
    <w:rsid w:val="00D4118C"/>
    <w:rsid w:val="00D419A2"/>
    <w:rsid w:val="00D42C0D"/>
    <w:rsid w:val="00D44FF9"/>
    <w:rsid w:val="00D450BB"/>
    <w:rsid w:val="00D4654C"/>
    <w:rsid w:val="00D46DF1"/>
    <w:rsid w:val="00D47520"/>
    <w:rsid w:val="00D51C9A"/>
    <w:rsid w:val="00D52418"/>
    <w:rsid w:val="00D534A9"/>
    <w:rsid w:val="00D541DC"/>
    <w:rsid w:val="00D54F3E"/>
    <w:rsid w:val="00D56035"/>
    <w:rsid w:val="00D56AFD"/>
    <w:rsid w:val="00D6015C"/>
    <w:rsid w:val="00D619EB"/>
    <w:rsid w:val="00D6227C"/>
    <w:rsid w:val="00D62745"/>
    <w:rsid w:val="00D63C60"/>
    <w:rsid w:val="00D64231"/>
    <w:rsid w:val="00D651DD"/>
    <w:rsid w:val="00D70BC5"/>
    <w:rsid w:val="00D70D37"/>
    <w:rsid w:val="00D72001"/>
    <w:rsid w:val="00D727D0"/>
    <w:rsid w:val="00D73D97"/>
    <w:rsid w:val="00D75E58"/>
    <w:rsid w:val="00D7649C"/>
    <w:rsid w:val="00D82AD9"/>
    <w:rsid w:val="00D82B09"/>
    <w:rsid w:val="00D83165"/>
    <w:rsid w:val="00D8376F"/>
    <w:rsid w:val="00D87E6F"/>
    <w:rsid w:val="00D90AE0"/>
    <w:rsid w:val="00D90DDE"/>
    <w:rsid w:val="00D9279B"/>
    <w:rsid w:val="00D94630"/>
    <w:rsid w:val="00D9472B"/>
    <w:rsid w:val="00D94E6E"/>
    <w:rsid w:val="00D96227"/>
    <w:rsid w:val="00D96679"/>
    <w:rsid w:val="00D97347"/>
    <w:rsid w:val="00DA123A"/>
    <w:rsid w:val="00DA19BC"/>
    <w:rsid w:val="00DA2952"/>
    <w:rsid w:val="00DA469F"/>
    <w:rsid w:val="00DA5380"/>
    <w:rsid w:val="00DA5B16"/>
    <w:rsid w:val="00DA6ACF"/>
    <w:rsid w:val="00DB0246"/>
    <w:rsid w:val="00DB11F4"/>
    <w:rsid w:val="00DB4E9C"/>
    <w:rsid w:val="00DB5437"/>
    <w:rsid w:val="00DB6523"/>
    <w:rsid w:val="00DB6685"/>
    <w:rsid w:val="00DB6C15"/>
    <w:rsid w:val="00DB7435"/>
    <w:rsid w:val="00DB74DE"/>
    <w:rsid w:val="00DC1CA3"/>
    <w:rsid w:val="00DC25CB"/>
    <w:rsid w:val="00DC26C4"/>
    <w:rsid w:val="00DC393D"/>
    <w:rsid w:val="00DC3DF5"/>
    <w:rsid w:val="00DC4C3D"/>
    <w:rsid w:val="00DC511E"/>
    <w:rsid w:val="00DC5DD9"/>
    <w:rsid w:val="00DC6423"/>
    <w:rsid w:val="00DC72D6"/>
    <w:rsid w:val="00DD091C"/>
    <w:rsid w:val="00DD2292"/>
    <w:rsid w:val="00DD427D"/>
    <w:rsid w:val="00DD4D95"/>
    <w:rsid w:val="00DD50E4"/>
    <w:rsid w:val="00DD6880"/>
    <w:rsid w:val="00DE2EF4"/>
    <w:rsid w:val="00DE3DFD"/>
    <w:rsid w:val="00DE584B"/>
    <w:rsid w:val="00DE6583"/>
    <w:rsid w:val="00DE6A19"/>
    <w:rsid w:val="00DE78FA"/>
    <w:rsid w:val="00DF6A98"/>
    <w:rsid w:val="00E03529"/>
    <w:rsid w:val="00E0520E"/>
    <w:rsid w:val="00E054BB"/>
    <w:rsid w:val="00E05DE6"/>
    <w:rsid w:val="00E06CC8"/>
    <w:rsid w:val="00E07501"/>
    <w:rsid w:val="00E107B3"/>
    <w:rsid w:val="00E10F19"/>
    <w:rsid w:val="00E1181B"/>
    <w:rsid w:val="00E11E49"/>
    <w:rsid w:val="00E1282D"/>
    <w:rsid w:val="00E14D21"/>
    <w:rsid w:val="00E15791"/>
    <w:rsid w:val="00E159B3"/>
    <w:rsid w:val="00E16F68"/>
    <w:rsid w:val="00E1750C"/>
    <w:rsid w:val="00E200B1"/>
    <w:rsid w:val="00E20CA3"/>
    <w:rsid w:val="00E20D90"/>
    <w:rsid w:val="00E22AC9"/>
    <w:rsid w:val="00E22DB9"/>
    <w:rsid w:val="00E23D18"/>
    <w:rsid w:val="00E240A5"/>
    <w:rsid w:val="00E245B2"/>
    <w:rsid w:val="00E247F0"/>
    <w:rsid w:val="00E25817"/>
    <w:rsid w:val="00E25E6E"/>
    <w:rsid w:val="00E266D4"/>
    <w:rsid w:val="00E30624"/>
    <w:rsid w:val="00E34393"/>
    <w:rsid w:val="00E353C8"/>
    <w:rsid w:val="00E36C86"/>
    <w:rsid w:val="00E36F05"/>
    <w:rsid w:val="00E37305"/>
    <w:rsid w:val="00E37B70"/>
    <w:rsid w:val="00E449A7"/>
    <w:rsid w:val="00E45EEA"/>
    <w:rsid w:val="00E465EC"/>
    <w:rsid w:val="00E523EB"/>
    <w:rsid w:val="00E530DB"/>
    <w:rsid w:val="00E63CFB"/>
    <w:rsid w:val="00E644E0"/>
    <w:rsid w:val="00E64B8A"/>
    <w:rsid w:val="00E65E72"/>
    <w:rsid w:val="00E668D2"/>
    <w:rsid w:val="00E66938"/>
    <w:rsid w:val="00E679D7"/>
    <w:rsid w:val="00E67E2E"/>
    <w:rsid w:val="00E70F72"/>
    <w:rsid w:val="00E73F53"/>
    <w:rsid w:val="00E756F8"/>
    <w:rsid w:val="00E7663B"/>
    <w:rsid w:val="00E76C6F"/>
    <w:rsid w:val="00E77246"/>
    <w:rsid w:val="00E80091"/>
    <w:rsid w:val="00E80344"/>
    <w:rsid w:val="00E80B46"/>
    <w:rsid w:val="00E818AD"/>
    <w:rsid w:val="00E84974"/>
    <w:rsid w:val="00E84E7B"/>
    <w:rsid w:val="00E85EB4"/>
    <w:rsid w:val="00E917E6"/>
    <w:rsid w:val="00E92D1B"/>
    <w:rsid w:val="00EA0960"/>
    <w:rsid w:val="00EA1510"/>
    <w:rsid w:val="00EA3FCF"/>
    <w:rsid w:val="00EA499B"/>
    <w:rsid w:val="00EA4F20"/>
    <w:rsid w:val="00EA4F5A"/>
    <w:rsid w:val="00EA562E"/>
    <w:rsid w:val="00EA6050"/>
    <w:rsid w:val="00EA6552"/>
    <w:rsid w:val="00EA73DB"/>
    <w:rsid w:val="00EA77E5"/>
    <w:rsid w:val="00EB0C2C"/>
    <w:rsid w:val="00EB0E5E"/>
    <w:rsid w:val="00EB1EBB"/>
    <w:rsid w:val="00EB23AB"/>
    <w:rsid w:val="00EB39AD"/>
    <w:rsid w:val="00EB4133"/>
    <w:rsid w:val="00EB4D7D"/>
    <w:rsid w:val="00EB5E0E"/>
    <w:rsid w:val="00EB6BC3"/>
    <w:rsid w:val="00EB6F2E"/>
    <w:rsid w:val="00EC5B6B"/>
    <w:rsid w:val="00ED0213"/>
    <w:rsid w:val="00ED08B7"/>
    <w:rsid w:val="00ED0F2D"/>
    <w:rsid w:val="00ED1498"/>
    <w:rsid w:val="00ED1FF5"/>
    <w:rsid w:val="00ED42CE"/>
    <w:rsid w:val="00ED763C"/>
    <w:rsid w:val="00EE28AB"/>
    <w:rsid w:val="00EE47B2"/>
    <w:rsid w:val="00EE5CB2"/>
    <w:rsid w:val="00EF141F"/>
    <w:rsid w:val="00EF22DB"/>
    <w:rsid w:val="00EF3529"/>
    <w:rsid w:val="00EF5D3F"/>
    <w:rsid w:val="00EF712B"/>
    <w:rsid w:val="00EF7D01"/>
    <w:rsid w:val="00EF7D5A"/>
    <w:rsid w:val="00F018F3"/>
    <w:rsid w:val="00F020DD"/>
    <w:rsid w:val="00F02505"/>
    <w:rsid w:val="00F03617"/>
    <w:rsid w:val="00F0421C"/>
    <w:rsid w:val="00F04EF2"/>
    <w:rsid w:val="00F05FA7"/>
    <w:rsid w:val="00F0672A"/>
    <w:rsid w:val="00F06801"/>
    <w:rsid w:val="00F06EAB"/>
    <w:rsid w:val="00F06F54"/>
    <w:rsid w:val="00F112EA"/>
    <w:rsid w:val="00F13519"/>
    <w:rsid w:val="00F16AC7"/>
    <w:rsid w:val="00F16C66"/>
    <w:rsid w:val="00F17711"/>
    <w:rsid w:val="00F17781"/>
    <w:rsid w:val="00F25C21"/>
    <w:rsid w:val="00F25F07"/>
    <w:rsid w:val="00F2626E"/>
    <w:rsid w:val="00F262FE"/>
    <w:rsid w:val="00F26B4C"/>
    <w:rsid w:val="00F31EA1"/>
    <w:rsid w:val="00F34DA5"/>
    <w:rsid w:val="00F35EC8"/>
    <w:rsid w:val="00F377A4"/>
    <w:rsid w:val="00F400A5"/>
    <w:rsid w:val="00F41368"/>
    <w:rsid w:val="00F41834"/>
    <w:rsid w:val="00F42D14"/>
    <w:rsid w:val="00F44420"/>
    <w:rsid w:val="00F45CFC"/>
    <w:rsid w:val="00F469BA"/>
    <w:rsid w:val="00F46B66"/>
    <w:rsid w:val="00F46E7C"/>
    <w:rsid w:val="00F474F2"/>
    <w:rsid w:val="00F52628"/>
    <w:rsid w:val="00F532D4"/>
    <w:rsid w:val="00F55401"/>
    <w:rsid w:val="00F55FA6"/>
    <w:rsid w:val="00F5774B"/>
    <w:rsid w:val="00F60480"/>
    <w:rsid w:val="00F60AEB"/>
    <w:rsid w:val="00F61EEE"/>
    <w:rsid w:val="00F64D99"/>
    <w:rsid w:val="00F6590C"/>
    <w:rsid w:val="00F678E0"/>
    <w:rsid w:val="00F703CA"/>
    <w:rsid w:val="00F70A20"/>
    <w:rsid w:val="00F715E6"/>
    <w:rsid w:val="00F7263B"/>
    <w:rsid w:val="00F72EE9"/>
    <w:rsid w:val="00F73563"/>
    <w:rsid w:val="00F743FE"/>
    <w:rsid w:val="00F768F9"/>
    <w:rsid w:val="00F76B51"/>
    <w:rsid w:val="00F774B6"/>
    <w:rsid w:val="00F779CD"/>
    <w:rsid w:val="00F77A06"/>
    <w:rsid w:val="00F80A6A"/>
    <w:rsid w:val="00F837B8"/>
    <w:rsid w:val="00F838CE"/>
    <w:rsid w:val="00F84D96"/>
    <w:rsid w:val="00F91422"/>
    <w:rsid w:val="00F9167A"/>
    <w:rsid w:val="00F91DBB"/>
    <w:rsid w:val="00F92FAB"/>
    <w:rsid w:val="00F955B1"/>
    <w:rsid w:val="00F961B9"/>
    <w:rsid w:val="00FA1256"/>
    <w:rsid w:val="00FA1D28"/>
    <w:rsid w:val="00FA208A"/>
    <w:rsid w:val="00FA3EAA"/>
    <w:rsid w:val="00FB2B62"/>
    <w:rsid w:val="00FB3398"/>
    <w:rsid w:val="00FB37AA"/>
    <w:rsid w:val="00FB38B9"/>
    <w:rsid w:val="00FB3EF3"/>
    <w:rsid w:val="00FB45D9"/>
    <w:rsid w:val="00FB4683"/>
    <w:rsid w:val="00FB4FC4"/>
    <w:rsid w:val="00FB50D6"/>
    <w:rsid w:val="00FB665C"/>
    <w:rsid w:val="00FB668B"/>
    <w:rsid w:val="00FC072E"/>
    <w:rsid w:val="00FC4B3F"/>
    <w:rsid w:val="00FC5F55"/>
    <w:rsid w:val="00FD0ACF"/>
    <w:rsid w:val="00FD32A7"/>
    <w:rsid w:val="00FD4F49"/>
    <w:rsid w:val="00FD5E24"/>
    <w:rsid w:val="00FE02E7"/>
    <w:rsid w:val="00FE1080"/>
    <w:rsid w:val="00FE133D"/>
    <w:rsid w:val="00FE1A74"/>
    <w:rsid w:val="00FE206C"/>
    <w:rsid w:val="00FE2FAF"/>
    <w:rsid w:val="00FE4D17"/>
    <w:rsid w:val="00FE5427"/>
    <w:rsid w:val="00FE5508"/>
    <w:rsid w:val="00FE5DE6"/>
    <w:rsid w:val="00FE63A1"/>
    <w:rsid w:val="00FE71C5"/>
    <w:rsid w:val="00FF21FA"/>
    <w:rsid w:val="00FF23BD"/>
    <w:rsid w:val="00FF33F5"/>
    <w:rsid w:val="00FF536D"/>
    <w:rsid w:val="00FF5408"/>
    <w:rsid w:val="00FF623A"/>
    <w:rsid w:val="00FF6240"/>
    <w:rsid w:val="00FF680E"/>
    <w:rsid w:val="010C1F2E"/>
    <w:rsid w:val="033527A4"/>
    <w:rsid w:val="03640FDC"/>
    <w:rsid w:val="048C4B81"/>
    <w:rsid w:val="05AB2747"/>
    <w:rsid w:val="06345736"/>
    <w:rsid w:val="07E027FB"/>
    <w:rsid w:val="0B776EC0"/>
    <w:rsid w:val="0BEF6ED8"/>
    <w:rsid w:val="0C142961"/>
    <w:rsid w:val="0E537D4A"/>
    <w:rsid w:val="0EBC1367"/>
    <w:rsid w:val="116E6670"/>
    <w:rsid w:val="128B4FFF"/>
    <w:rsid w:val="129F4311"/>
    <w:rsid w:val="152F25BA"/>
    <w:rsid w:val="16545918"/>
    <w:rsid w:val="18381785"/>
    <w:rsid w:val="183C74C7"/>
    <w:rsid w:val="1AED74DF"/>
    <w:rsid w:val="209636CD"/>
    <w:rsid w:val="20FA1CCE"/>
    <w:rsid w:val="22B1221A"/>
    <w:rsid w:val="231E3CEC"/>
    <w:rsid w:val="235D6544"/>
    <w:rsid w:val="23CB27AD"/>
    <w:rsid w:val="24295BA6"/>
    <w:rsid w:val="25A70DD8"/>
    <w:rsid w:val="281F64BE"/>
    <w:rsid w:val="28D51027"/>
    <w:rsid w:val="28DD7CC7"/>
    <w:rsid w:val="2B1B4372"/>
    <w:rsid w:val="2DB1273B"/>
    <w:rsid w:val="2E132CAC"/>
    <w:rsid w:val="2E3F2F4B"/>
    <w:rsid w:val="2EA907E8"/>
    <w:rsid w:val="30CB169B"/>
    <w:rsid w:val="30DA5678"/>
    <w:rsid w:val="318949A1"/>
    <w:rsid w:val="33727DEA"/>
    <w:rsid w:val="35410BA6"/>
    <w:rsid w:val="371A19C3"/>
    <w:rsid w:val="374E6478"/>
    <w:rsid w:val="376E7BF5"/>
    <w:rsid w:val="37AC1BBE"/>
    <w:rsid w:val="39311BAD"/>
    <w:rsid w:val="394311A5"/>
    <w:rsid w:val="39EDE4F9"/>
    <w:rsid w:val="3BF515B8"/>
    <w:rsid w:val="3DFDFD30"/>
    <w:rsid w:val="3E6C6C6F"/>
    <w:rsid w:val="3EFF17C4"/>
    <w:rsid w:val="3F866E17"/>
    <w:rsid w:val="3FCF4A8E"/>
    <w:rsid w:val="40384C9A"/>
    <w:rsid w:val="407707ED"/>
    <w:rsid w:val="435851BE"/>
    <w:rsid w:val="44DC5472"/>
    <w:rsid w:val="468E71DB"/>
    <w:rsid w:val="46B2552F"/>
    <w:rsid w:val="4AB27CAF"/>
    <w:rsid w:val="4B685902"/>
    <w:rsid w:val="4CCE0B80"/>
    <w:rsid w:val="4D21045F"/>
    <w:rsid w:val="4D5B50B3"/>
    <w:rsid w:val="4DE3B65D"/>
    <w:rsid w:val="4EF667BF"/>
    <w:rsid w:val="50625682"/>
    <w:rsid w:val="50632B3C"/>
    <w:rsid w:val="51CF1D01"/>
    <w:rsid w:val="51DA565B"/>
    <w:rsid w:val="527B0A46"/>
    <w:rsid w:val="554B32A8"/>
    <w:rsid w:val="557430F6"/>
    <w:rsid w:val="565A40BC"/>
    <w:rsid w:val="577FD97B"/>
    <w:rsid w:val="5821345F"/>
    <w:rsid w:val="5B487976"/>
    <w:rsid w:val="5BBC1F12"/>
    <w:rsid w:val="5BC61BBC"/>
    <w:rsid w:val="5C396E81"/>
    <w:rsid w:val="5CA20C21"/>
    <w:rsid w:val="5D077594"/>
    <w:rsid w:val="5DA56BD3"/>
    <w:rsid w:val="5E053485"/>
    <w:rsid w:val="5ED60B85"/>
    <w:rsid w:val="622E2AD0"/>
    <w:rsid w:val="62451542"/>
    <w:rsid w:val="62EA2C49"/>
    <w:rsid w:val="637B3374"/>
    <w:rsid w:val="65805F59"/>
    <w:rsid w:val="66F463D0"/>
    <w:rsid w:val="69903FC9"/>
    <w:rsid w:val="6A4E52F8"/>
    <w:rsid w:val="6ACA3A8C"/>
    <w:rsid w:val="6EED5211"/>
    <w:rsid w:val="70FA044A"/>
    <w:rsid w:val="749549B0"/>
    <w:rsid w:val="75A414BE"/>
    <w:rsid w:val="77763CAD"/>
    <w:rsid w:val="793A3EAB"/>
    <w:rsid w:val="79BD37A5"/>
    <w:rsid w:val="7A0A656F"/>
    <w:rsid w:val="7A477FA3"/>
    <w:rsid w:val="7BDB3FFB"/>
    <w:rsid w:val="7C321491"/>
    <w:rsid w:val="7C5FF7F2"/>
    <w:rsid w:val="7D66343F"/>
    <w:rsid w:val="7E3F8ACC"/>
    <w:rsid w:val="7EA8299C"/>
    <w:rsid w:val="7EB78214"/>
    <w:rsid w:val="7F2E59FC"/>
    <w:rsid w:val="7F4F16FA"/>
    <w:rsid w:val="99FFAB53"/>
    <w:rsid w:val="B59D7326"/>
    <w:rsid w:val="BB3F275B"/>
    <w:rsid w:val="BBFFC79F"/>
    <w:rsid w:val="BFCBAEB8"/>
    <w:rsid w:val="BFFE13EA"/>
    <w:rsid w:val="BFFF0C47"/>
    <w:rsid w:val="C7D72FD0"/>
    <w:rsid w:val="CFFFB38D"/>
    <w:rsid w:val="DB5F4B4D"/>
    <w:rsid w:val="DFFF2386"/>
    <w:rsid w:val="EB3A506C"/>
    <w:rsid w:val="F2FA8CDF"/>
    <w:rsid w:val="F4BF67EF"/>
    <w:rsid w:val="F6DD7CB5"/>
    <w:rsid w:val="F97D6339"/>
    <w:rsid w:val="F9FC81C1"/>
    <w:rsid w:val="FBFFE3DE"/>
    <w:rsid w:val="FEDC4C92"/>
    <w:rsid w:val="FEFFA87B"/>
    <w:rsid w:val="FF23C213"/>
    <w:rsid w:val="FF9F5868"/>
    <w:rsid w:val="FFDDA5A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ocked="1"/>
    <w:lsdException w:qFormat="1" w:unhideWhenUsed="0" w:uiPriority="99" w:semiHidden="0" w:name="heading 3"/>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39" w:semiHidden="0" w:name="toc 1"/>
    <w:lsdException w:qFormat="1" w:unhideWhenUsed="0" w:uiPriority="39" w:semiHidden="0" w:name="toc 2"/>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qFormat="1"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qFormat="1" w:unhideWhenUsed="0" w:uiPriority="0" w:semiHidden="0"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name="Default Paragraph Font"/>
    <w:lsdException w:qFormat="1" w:uiPriority="99" w:name="Body Text" w:locked="1"/>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qFormat="1" w:unhideWhenUsed="0" w:uiPriority="99" w:semiHidden="0" w:name="Date"/>
    <w:lsdException w:qFormat="1" w:uiPriority="99" w:name="Body Text First Indent" w:locked="1"/>
    <w:lsdException w:qFormat="1" w:unhideWhenUsed="0" w:uiPriority="0" w:semiHidden="0" w:name="Body Text First Indent 2" w:locked="1"/>
    <w:lsdException w:uiPriority="99" w:name="Note Heading" w:locked="1"/>
    <w:lsdException w:qFormat="1" w:unhideWhenUsed="0" w:uiPriority="99" w:semiHidden="0" w:name="Body Text 2"/>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99" w:semiHidden="0" w:name="Strong"/>
    <w:lsdException w:qFormat="1" w:unhideWhenUsed="0" w:uiPriority="20" w:semiHidden="0" w:name="Emphasis" w:locked="1"/>
    <w:lsdException w:uiPriority="99" w:name="Document Map" w:locked="1"/>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57" w:lineRule="atLeast"/>
      <w:jc w:val="both"/>
      <w:textAlignment w:val="baseline"/>
    </w:pPr>
    <w:rPr>
      <w:rFonts w:ascii="Times New Roman" w:hAnsi="Times New Roman" w:eastAsia="宋体" w:cs="Times New Roman"/>
      <w:color w:val="000000"/>
      <w:sz w:val="21"/>
      <w:u w:color="000000"/>
      <w:lang w:val="en-US" w:eastAsia="zh-CN" w:bidi="ar-SA"/>
    </w:rPr>
  </w:style>
  <w:style w:type="paragraph" w:styleId="2">
    <w:name w:val="heading 1"/>
    <w:basedOn w:val="1"/>
    <w:next w:val="1"/>
    <w:link w:val="25"/>
    <w:qFormat/>
    <w:uiPriority w:val="99"/>
    <w:pPr>
      <w:keepNext/>
      <w:keepLines/>
      <w:widowControl w:val="0"/>
      <w:spacing w:before="340" w:after="330" w:line="576" w:lineRule="auto"/>
      <w:textAlignment w:val="auto"/>
      <w:outlineLvl w:val="0"/>
    </w:pPr>
    <w:rPr>
      <w:b/>
      <w:bCs/>
      <w:kern w:val="44"/>
      <w:sz w:val="44"/>
      <w:szCs w:val="44"/>
    </w:rPr>
  </w:style>
  <w:style w:type="paragraph" w:styleId="3">
    <w:name w:val="heading 3"/>
    <w:basedOn w:val="1"/>
    <w:next w:val="1"/>
    <w:link w:val="26"/>
    <w:qFormat/>
    <w:uiPriority w:val="99"/>
    <w:pPr>
      <w:keepNext/>
      <w:keepLines/>
      <w:spacing w:before="260" w:after="260" w:line="416" w:lineRule="atLeast"/>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locked/>
    <w:uiPriority w:val="99"/>
    <w:pPr>
      <w:jc w:val="left"/>
    </w:pPr>
  </w:style>
  <w:style w:type="paragraph" w:styleId="5">
    <w:name w:val="Body Text"/>
    <w:basedOn w:val="1"/>
    <w:next w:val="6"/>
    <w:link w:val="63"/>
    <w:semiHidden/>
    <w:unhideWhenUsed/>
    <w:qFormat/>
    <w:locked/>
    <w:uiPriority w:val="99"/>
    <w:pPr>
      <w:spacing w:after="120"/>
    </w:pPr>
  </w:style>
  <w:style w:type="paragraph" w:styleId="6">
    <w:name w:val="Body Text 2"/>
    <w:basedOn w:val="1"/>
    <w:next w:val="5"/>
    <w:link w:val="33"/>
    <w:qFormat/>
    <w:uiPriority w:val="99"/>
    <w:pPr>
      <w:spacing w:after="120" w:line="480" w:lineRule="auto"/>
    </w:pPr>
    <w:rPr>
      <w:sz w:val="20"/>
    </w:rPr>
  </w:style>
  <w:style w:type="paragraph" w:styleId="7">
    <w:name w:val="Body Text Indent"/>
    <w:basedOn w:val="1"/>
    <w:next w:val="8"/>
    <w:link w:val="27"/>
    <w:qFormat/>
    <w:uiPriority w:val="99"/>
    <w:pPr>
      <w:widowControl w:val="0"/>
      <w:snapToGrid w:val="0"/>
      <w:spacing w:before="283" w:line="560" w:lineRule="exact"/>
      <w:ind w:firstLine="510"/>
    </w:pPr>
    <w:rPr>
      <w:sz w:val="20"/>
    </w:rPr>
  </w:style>
  <w:style w:type="paragraph" w:styleId="8">
    <w:name w:val="envelope return"/>
    <w:basedOn w:val="1"/>
    <w:qFormat/>
    <w:locked/>
    <w:uiPriority w:val="0"/>
    <w:pPr>
      <w:snapToGrid w:val="0"/>
      <w:spacing w:after="160"/>
    </w:pPr>
    <w:rPr>
      <w:rFonts w:ascii="Arial" w:hAnsi="Arial" w:cs="Arial"/>
    </w:rPr>
  </w:style>
  <w:style w:type="paragraph" w:styleId="9">
    <w:name w:val="Plain Text"/>
    <w:basedOn w:val="1"/>
    <w:link w:val="28"/>
    <w:qFormat/>
    <w:uiPriority w:val="99"/>
    <w:pPr>
      <w:widowControl w:val="0"/>
      <w:spacing w:line="240" w:lineRule="auto"/>
      <w:textAlignment w:val="auto"/>
    </w:pPr>
    <w:rPr>
      <w:rFonts w:ascii="宋体" w:hAnsi="Courier New"/>
      <w:color w:val="auto"/>
      <w:kern w:val="2"/>
    </w:rPr>
  </w:style>
  <w:style w:type="paragraph" w:styleId="10">
    <w:name w:val="Date"/>
    <w:basedOn w:val="1"/>
    <w:next w:val="1"/>
    <w:link w:val="29"/>
    <w:qFormat/>
    <w:uiPriority w:val="99"/>
    <w:pPr>
      <w:ind w:left="100" w:leftChars="2500"/>
    </w:pPr>
  </w:style>
  <w:style w:type="paragraph" w:styleId="11">
    <w:name w:val="Balloon Text"/>
    <w:basedOn w:val="1"/>
    <w:link w:val="30"/>
    <w:qFormat/>
    <w:uiPriority w:val="99"/>
    <w:pPr>
      <w:spacing w:line="240" w:lineRule="auto"/>
    </w:pPr>
    <w:rPr>
      <w:sz w:val="18"/>
      <w:szCs w:val="18"/>
    </w:rPr>
  </w:style>
  <w:style w:type="paragraph" w:styleId="12">
    <w:name w:val="footer"/>
    <w:basedOn w:val="1"/>
    <w:link w:val="31"/>
    <w:qFormat/>
    <w:uiPriority w:val="99"/>
    <w:pPr>
      <w:tabs>
        <w:tab w:val="center" w:pos="4153"/>
        <w:tab w:val="right" w:pos="8306"/>
      </w:tabs>
      <w:snapToGrid w:val="0"/>
      <w:spacing w:line="240" w:lineRule="atLeast"/>
      <w:jc w:val="left"/>
    </w:pPr>
    <w:rPr>
      <w:sz w:val="18"/>
      <w:szCs w:val="18"/>
    </w:rPr>
  </w:style>
  <w:style w:type="paragraph" w:styleId="13">
    <w:name w:val="header"/>
    <w:basedOn w:val="1"/>
    <w:link w:val="32"/>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14">
    <w:name w:val="toc 1"/>
    <w:basedOn w:val="1"/>
    <w:next w:val="1"/>
    <w:qFormat/>
    <w:uiPriority w:val="39"/>
  </w:style>
  <w:style w:type="paragraph" w:styleId="15">
    <w:name w:val="toc 2"/>
    <w:basedOn w:val="1"/>
    <w:next w:val="1"/>
    <w:qFormat/>
    <w:uiPriority w:val="39"/>
    <w:pPr>
      <w:ind w:left="420" w:leftChars="200"/>
    </w:pPr>
  </w:style>
  <w:style w:type="paragraph" w:styleId="16">
    <w:name w:val="Normal (Web)"/>
    <w:basedOn w:val="1"/>
    <w:qFormat/>
    <w:uiPriority w:val="99"/>
    <w:pPr>
      <w:spacing w:before="100" w:beforeAutospacing="1" w:after="100" w:afterAutospacing="1" w:line="240" w:lineRule="auto"/>
      <w:jc w:val="left"/>
      <w:textAlignment w:val="auto"/>
    </w:pPr>
    <w:rPr>
      <w:rFonts w:ascii="宋体" w:hAnsi="宋体" w:cs="宋体"/>
      <w:sz w:val="24"/>
      <w:szCs w:val="24"/>
    </w:rPr>
  </w:style>
  <w:style w:type="paragraph" w:styleId="17">
    <w:name w:val="Body Text First Indent"/>
    <w:basedOn w:val="5"/>
    <w:next w:val="18"/>
    <w:link w:val="64"/>
    <w:semiHidden/>
    <w:unhideWhenUsed/>
    <w:qFormat/>
    <w:locked/>
    <w:uiPriority w:val="99"/>
    <w:pPr>
      <w:ind w:firstLine="420" w:firstLineChars="100"/>
    </w:pPr>
  </w:style>
  <w:style w:type="paragraph" w:styleId="18">
    <w:name w:val="Body Text First Indent 2"/>
    <w:basedOn w:val="7"/>
    <w:next w:val="1"/>
    <w:qFormat/>
    <w:locked/>
    <w:uiPriority w:val="0"/>
    <w:pPr>
      <w:tabs>
        <w:tab w:val="left" w:pos="0"/>
      </w:tabs>
      <w:spacing w:after="160"/>
      <w:ind w:firstLine="420" w:firstLineChars="200"/>
    </w:pPr>
    <w:rPr>
      <w:sz w:val="24"/>
    </w:rPr>
  </w:style>
  <w:style w:type="table" w:styleId="20">
    <w:name w:val="Table Grid"/>
    <w:basedOn w:val="19"/>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qFormat/>
    <w:uiPriority w:val="99"/>
    <w:rPr>
      <w:rFonts w:cs="Times New Roman"/>
      <w:b/>
    </w:rPr>
  </w:style>
  <w:style w:type="character" w:styleId="23">
    <w:name w:val="page number"/>
    <w:qFormat/>
    <w:uiPriority w:val="99"/>
    <w:rPr>
      <w:rFonts w:cs="Times New Roman"/>
    </w:rPr>
  </w:style>
  <w:style w:type="character" w:styleId="24">
    <w:name w:val="Hyperlink"/>
    <w:qFormat/>
    <w:uiPriority w:val="99"/>
    <w:rPr>
      <w:rFonts w:cs="Times New Roman"/>
      <w:color w:val="0368A8"/>
      <w:u w:val="none"/>
    </w:rPr>
  </w:style>
  <w:style w:type="character" w:customStyle="1" w:styleId="25">
    <w:name w:val="标题 1 字符"/>
    <w:link w:val="2"/>
    <w:qFormat/>
    <w:locked/>
    <w:uiPriority w:val="99"/>
    <w:rPr>
      <w:rFonts w:cs="Times New Roman"/>
      <w:b/>
      <w:color w:val="000000"/>
      <w:kern w:val="44"/>
      <w:sz w:val="44"/>
      <w:u w:val="none" w:color="000000"/>
    </w:rPr>
  </w:style>
  <w:style w:type="character" w:customStyle="1" w:styleId="26">
    <w:name w:val="标题 3 字符"/>
    <w:link w:val="3"/>
    <w:semiHidden/>
    <w:qFormat/>
    <w:locked/>
    <w:uiPriority w:val="99"/>
    <w:rPr>
      <w:rFonts w:cs="Times New Roman"/>
      <w:b/>
      <w:color w:val="000000"/>
      <w:sz w:val="32"/>
      <w:u w:val="none" w:color="000000"/>
    </w:rPr>
  </w:style>
  <w:style w:type="character" w:customStyle="1" w:styleId="27">
    <w:name w:val="正文文本缩进 字符"/>
    <w:link w:val="7"/>
    <w:semiHidden/>
    <w:qFormat/>
    <w:locked/>
    <w:uiPriority w:val="99"/>
    <w:rPr>
      <w:rFonts w:cs="Times New Roman"/>
      <w:color w:val="000000"/>
      <w:kern w:val="0"/>
      <w:sz w:val="20"/>
      <w:u w:val="none" w:color="000000"/>
    </w:rPr>
  </w:style>
  <w:style w:type="character" w:customStyle="1" w:styleId="28">
    <w:name w:val="纯文本 字符"/>
    <w:link w:val="9"/>
    <w:qFormat/>
    <w:locked/>
    <w:uiPriority w:val="99"/>
    <w:rPr>
      <w:rFonts w:ascii="宋体" w:hAnsi="Courier New" w:cs="Times New Roman"/>
      <w:color w:val="000000"/>
      <w:kern w:val="0"/>
      <w:sz w:val="21"/>
      <w:u w:val="none" w:color="000000"/>
    </w:rPr>
  </w:style>
  <w:style w:type="character" w:customStyle="1" w:styleId="29">
    <w:name w:val="日期 字符"/>
    <w:link w:val="10"/>
    <w:qFormat/>
    <w:locked/>
    <w:uiPriority w:val="99"/>
    <w:rPr>
      <w:rFonts w:cs="Times New Roman"/>
      <w:color w:val="000000"/>
      <w:sz w:val="21"/>
      <w:u w:val="none" w:color="000000"/>
    </w:rPr>
  </w:style>
  <w:style w:type="character" w:customStyle="1" w:styleId="30">
    <w:name w:val="批注框文本 字符"/>
    <w:link w:val="11"/>
    <w:qFormat/>
    <w:locked/>
    <w:uiPriority w:val="99"/>
    <w:rPr>
      <w:rFonts w:cs="Times New Roman"/>
      <w:color w:val="000000"/>
      <w:sz w:val="18"/>
      <w:u w:val="none" w:color="000000"/>
    </w:rPr>
  </w:style>
  <w:style w:type="character" w:customStyle="1" w:styleId="31">
    <w:name w:val="页脚 字符"/>
    <w:link w:val="12"/>
    <w:semiHidden/>
    <w:qFormat/>
    <w:locked/>
    <w:uiPriority w:val="99"/>
    <w:rPr>
      <w:rFonts w:cs="Times New Roman"/>
      <w:color w:val="000000"/>
      <w:kern w:val="0"/>
      <w:sz w:val="18"/>
      <w:u w:val="none" w:color="000000"/>
    </w:rPr>
  </w:style>
  <w:style w:type="character" w:customStyle="1" w:styleId="32">
    <w:name w:val="页眉 字符"/>
    <w:link w:val="13"/>
    <w:semiHidden/>
    <w:qFormat/>
    <w:locked/>
    <w:uiPriority w:val="99"/>
    <w:rPr>
      <w:rFonts w:cs="Times New Roman"/>
      <w:color w:val="000000"/>
      <w:kern w:val="0"/>
      <w:sz w:val="18"/>
      <w:u w:val="none" w:color="000000"/>
    </w:rPr>
  </w:style>
  <w:style w:type="character" w:customStyle="1" w:styleId="33">
    <w:name w:val="正文文本 2 字符"/>
    <w:link w:val="6"/>
    <w:semiHidden/>
    <w:qFormat/>
    <w:locked/>
    <w:uiPriority w:val="99"/>
    <w:rPr>
      <w:rFonts w:cs="Times New Roman"/>
      <w:color w:val="000000"/>
      <w:kern w:val="0"/>
      <w:sz w:val="20"/>
      <w:u w:val="none" w:color="000000"/>
    </w:rPr>
  </w:style>
  <w:style w:type="paragraph" w:customStyle="1" w:styleId="34">
    <w:name w:val="目录1"/>
    <w:basedOn w:val="1"/>
    <w:next w:val="1"/>
    <w:qFormat/>
    <w:uiPriority w:val="99"/>
    <w:pPr>
      <w:tabs>
        <w:tab w:val="left" w:leader="dot" w:pos="8503"/>
      </w:tabs>
      <w:spacing w:after="136" w:line="289" w:lineRule="atLeast"/>
      <w:jc w:val="left"/>
    </w:pPr>
    <w:rPr>
      <w:rFonts w:ascii="Arial" w:eastAsia="黑体"/>
      <w:sz w:val="28"/>
    </w:rPr>
  </w:style>
  <w:style w:type="paragraph" w:customStyle="1" w:styleId="35">
    <w:name w:val="章标题"/>
    <w:basedOn w:val="1"/>
    <w:next w:val="36"/>
    <w:qFormat/>
    <w:uiPriority w:val="99"/>
    <w:pPr>
      <w:spacing w:before="158" w:after="153" w:line="323" w:lineRule="atLeast"/>
      <w:jc w:val="center"/>
    </w:pPr>
    <w:rPr>
      <w:rFonts w:ascii="Arial" w:eastAsia="黑体"/>
      <w:sz w:val="31"/>
    </w:rPr>
  </w:style>
  <w:style w:type="paragraph" w:customStyle="1" w:styleId="36">
    <w:name w:val="节标题"/>
    <w:basedOn w:val="1"/>
    <w:next w:val="37"/>
    <w:qFormat/>
    <w:uiPriority w:val="99"/>
    <w:pPr>
      <w:spacing w:line="289" w:lineRule="atLeast"/>
      <w:jc w:val="center"/>
    </w:pPr>
    <w:rPr>
      <w:sz w:val="28"/>
    </w:rPr>
  </w:style>
  <w:style w:type="paragraph" w:customStyle="1" w:styleId="37">
    <w:name w:val="小节标题"/>
    <w:basedOn w:val="1"/>
    <w:next w:val="1"/>
    <w:qFormat/>
    <w:uiPriority w:val="99"/>
    <w:pPr>
      <w:spacing w:before="175" w:after="102" w:line="351" w:lineRule="atLeast"/>
    </w:pPr>
    <w:rPr>
      <w:rFonts w:eastAsia="黑体"/>
    </w:rPr>
  </w:style>
  <w:style w:type="paragraph" w:customStyle="1" w:styleId="38">
    <w:name w:val="目录2"/>
    <w:basedOn w:val="1"/>
    <w:next w:val="1"/>
    <w:qFormat/>
    <w:uiPriority w:val="99"/>
    <w:pPr>
      <w:tabs>
        <w:tab w:val="left" w:leader="dot" w:pos="8503"/>
      </w:tabs>
      <w:spacing w:line="317" w:lineRule="atLeast"/>
      <w:ind w:firstLine="209"/>
    </w:pPr>
  </w:style>
  <w:style w:type="paragraph" w:customStyle="1" w:styleId="39">
    <w:name w:val="目录4"/>
    <w:basedOn w:val="1"/>
    <w:next w:val="1"/>
    <w:qFormat/>
    <w:uiPriority w:val="99"/>
    <w:pPr>
      <w:tabs>
        <w:tab w:val="left" w:leader="dot" w:pos="8503"/>
      </w:tabs>
      <w:spacing w:line="317" w:lineRule="atLeast"/>
      <w:ind w:firstLine="629"/>
    </w:pPr>
  </w:style>
  <w:style w:type="paragraph" w:customStyle="1" w:styleId="40">
    <w:name w:val="1 Char Char Char Char"/>
    <w:basedOn w:val="1"/>
    <w:qFormat/>
    <w:uiPriority w:val="99"/>
    <w:pPr>
      <w:widowControl w:val="0"/>
      <w:spacing w:line="240" w:lineRule="auto"/>
      <w:textAlignment w:val="auto"/>
    </w:pPr>
    <w:rPr>
      <w:rFonts w:ascii="Tahoma" w:hAnsi="Tahoma" w:cs="Tahoma"/>
      <w:color w:val="auto"/>
      <w:kern w:val="2"/>
      <w:sz w:val="24"/>
      <w:szCs w:val="24"/>
    </w:rPr>
  </w:style>
  <w:style w:type="paragraph" w:customStyle="1" w:styleId="41">
    <w:name w:val="Char Char Char"/>
    <w:basedOn w:val="1"/>
    <w:qFormat/>
    <w:uiPriority w:val="99"/>
    <w:pPr>
      <w:widowControl w:val="0"/>
      <w:spacing w:line="240" w:lineRule="auto"/>
      <w:textAlignment w:val="auto"/>
    </w:pPr>
    <w:rPr>
      <w:rFonts w:ascii="Tahoma" w:hAnsi="Tahoma"/>
      <w:color w:val="auto"/>
      <w:kern w:val="2"/>
      <w:sz w:val="24"/>
    </w:rPr>
  </w:style>
  <w:style w:type="paragraph" w:customStyle="1" w:styleId="42">
    <w:name w:val="目录3"/>
    <w:basedOn w:val="1"/>
    <w:next w:val="1"/>
    <w:qFormat/>
    <w:uiPriority w:val="99"/>
    <w:pPr>
      <w:tabs>
        <w:tab w:val="left" w:leader="dot" w:pos="8503"/>
      </w:tabs>
      <w:spacing w:line="317" w:lineRule="atLeast"/>
      <w:ind w:firstLine="419"/>
    </w:pPr>
  </w:style>
  <w:style w:type="paragraph" w:customStyle="1" w:styleId="43">
    <w:name w:val="目录标题"/>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44">
    <w:name w:val="文章总标题"/>
    <w:basedOn w:val="1"/>
    <w:next w:val="45"/>
    <w:qFormat/>
    <w:uiPriority w:val="99"/>
    <w:pPr>
      <w:spacing w:before="566" w:after="544" w:line="566" w:lineRule="atLeast"/>
      <w:jc w:val="center"/>
    </w:pPr>
    <w:rPr>
      <w:rFonts w:ascii="Arial" w:eastAsia="黑体"/>
      <w:sz w:val="54"/>
    </w:rPr>
  </w:style>
  <w:style w:type="paragraph" w:customStyle="1" w:styleId="45">
    <w:name w:val="文章附标题"/>
    <w:basedOn w:val="1"/>
    <w:next w:val="35"/>
    <w:qFormat/>
    <w:uiPriority w:val="99"/>
    <w:pPr>
      <w:spacing w:before="187" w:after="175" w:line="374" w:lineRule="atLeast"/>
      <w:jc w:val="center"/>
    </w:pPr>
    <w:rPr>
      <w:sz w:val="36"/>
    </w:rPr>
  </w:style>
  <w:style w:type="paragraph" w:customStyle="1" w:styleId="46">
    <w:name w:val="Char1"/>
    <w:basedOn w:val="1"/>
    <w:qFormat/>
    <w:uiPriority w:val="99"/>
    <w:pPr>
      <w:widowControl w:val="0"/>
      <w:spacing w:line="240" w:lineRule="auto"/>
      <w:textAlignment w:val="auto"/>
    </w:pPr>
    <w:rPr>
      <w:rFonts w:ascii="Tahoma" w:hAnsi="Tahoma"/>
      <w:color w:val="auto"/>
      <w:kern w:val="2"/>
      <w:sz w:val="24"/>
    </w:rPr>
  </w:style>
  <w:style w:type="paragraph" w:customStyle="1" w:styleId="47">
    <w:name w:val="Char11"/>
    <w:basedOn w:val="1"/>
    <w:qFormat/>
    <w:uiPriority w:val="99"/>
    <w:pPr>
      <w:widowControl w:val="0"/>
      <w:spacing w:line="240" w:lineRule="auto"/>
      <w:textAlignment w:val="auto"/>
    </w:pPr>
    <w:rPr>
      <w:rFonts w:ascii="Tahoma" w:hAnsi="Tahoma"/>
      <w:color w:val="auto"/>
      <w:kern w:val="2"/>
      <w:sz w:val="24"/>
    </w:rPr>
  </w:style>
  <w:style w:type="paragraph" w:customStyle="1" w:styleId="48">
    <w:name w:val="Char Char Char Char Char Char Char"/>
    <w:basedOn w:val="1"/>
    <w:qFormat/>
    <w:uiPriority w:val="99"/>
    <w:pPr>
      <w:widowControl w:val="0"/>
      <w:spacing w:line="240" w:lineRule="auto"/>
      <w:textAlignment w:val="auto"/>
    </w:pPr>
    <w:rPr>
      <w:rFonts w:ascii="Tahoma" w:hAnsi="Tahoma"/>
      <w:color w:val="auto"/>
      <w:kern w:val="2"/>
      <w:sz w:val="24"/>
    </w:rPr>
  </w:style>
  <w:style w:type="paragraph" w:customStyle="1" w:styleId="49">
    <w:name w:val="WPS Plain"/>
    <w:qFormat/>
    <w:uiPriority w:val="99"/>
    <w:rPr>
      <w:rFonts w:ascii="Times New Roman" w:hAnsi="Times New Roman" w:eastAsia="宋体" w:cs="Times New Roman"/>
      <w:lang w:val="en-US" w:eastAsia="zh-CN" w:bidi="ar-SA"/>
    </w:rPr>
  </w:style>
  <w:style w:type="paragraph" w:customStyle="1" w:styleId="50">
    <w:name w:val="cjk"/>
    <w:basedOn w:val="1"/>
    <w:qFormat/>
    <w:uiPriority w:val="99"/>
    <w:pPr>
      <w:spacing w:before="100" w:beforeAutospacing="1" w:after="100" w:afterAutospacing="1" w:line="240" w:lineRule="auto"/>
      <w:jc w:val="left"/>
      <w:textAlignment w:val="auto"/>
    </w:pPr>
    <w:rPr>
      <w:rFonts w:ascii="宋体" w:hAnsi="宋体" w:cs="宋体"/>
      <w:color w:val="auto"/>
      <w:sz w:val="18"/>
      <w:szCs w:val="18"/>
    </w:rPr>
  </w:style>
  <w:style w:type="paragraph" w:customStyle="1" w:styleId="51">
    <w:name w:val="Default"/>
    <w:qFormat/>
    <w:uiPriority w:val="99"/>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52">
    <w:name w:val="TOC 标题1"/>
    <w:basedOn w:val="2"/>
    <w:next w:val="1"/>
    <w:qFormat/>
    <w:uiPriority w:val="99"/>
    <w:pPr>
      <w:widowControl/>
      <w:spacing w:before="480" w:after="0" w:line="276" w:lineRule="auto"/>
      <w:jc w:val="left"/>
      <w:outlineLvl w:val="9"/>
    </w:pPr>
    <w:rPr>
      <w:rFonts w:ascii="Cambria" w:hAnsi="Cambria"/>
      <w:color w:val="365F91"/>
      <w:kern w:val="0"/>
      <w:sz w:val="28"/>
      <w:szCs w:val="28"/>
    </w:rPr>
  </w:style>
  <w:style w:type="character" w:customStyle="1" w:styleId="53">
    <w:name w:val="链接"/>
    <w:qFormat/>
    <w:uiPriority w:val="99"/>
    <w:rPr>
      <w:rFonts w:ascii="Times New Roman" w:eastAsia="宋体"/>
      <w:color w:val="0000FF"/>
      <w:sz w:val="21"/>
      <w:u w:val="single" w:color="0000FF"/>
      <w:lang w:val="en-US" w:eastAsia="zh-CN"/>
    </w:rPr>
  </w:style>
  <w:style w:type="character" w:customStyle="1" w:styleId="54">
    <w:name w:val="超级链接"/>
    <w:qFormat/>
    <w:uiPriority w:val="99"/>
    <w:rPr>
      <w:rFonts w:ascii="Times New Roman" w:eastAsia="宋体"/>
      <w:color w:val="0000FF"/>
      <w:sz w:val="21"/>
      <w:u w:val="single" w:color="0000FF"/>
      <w:lang w:val="en-US" w:eastAsia="zh-CN"/>
    </w:rPr>
  </w:style>
  <w:style w:type="character" w:customStyle="1" w:styleId="55">
    <w:name w:val="param_td12"/>
    <w:qFormat/>
    <w:uiPriority w:val="99"/>
  </w:style>
  <w:style w:type="character" w:customStyle="1" w:styleId="56">
    <w:name w:val="纯文本 Char"/>
    <w:qFormat/>
    <w:locked/>
    <w:uiPriority w:val="99"/>
    <w:rPr>
      <w:rFonts w:ascii="宋体" w:hAnsi="Courier New" w:eastAsia="宋体"/>
      <w:kern w:val="2"/>
      <w:sz w:val="21"/>
      <w:lang w:val="en-US" w:eastAsia="zh-CN"/>
    </w:rPr>
  </w:style>
  <w:style w:type="character" w:customStyle="1" w:styleId="57">
    <w:name w:val="纯文本 Char Char"/>
    <w:qFormat/>
    <w:uiPriority w:val="99"/>
    <w:rPr>
      <w:rFonts w:ascii="宋体" w:hAnsi="Courier New" w:eastAsia="宋体"/>
      <w:kern w:val="2"/>
      <w:sz w:val="21"/>
      <w:lang w:val="en-US" w:eastAsia="zh-CN"/>
    </w:rPr>
  </w:style>
  <w:style w:type="character" w:customStyle="1" w:styleId="58">
    <w:name w:val="Char Char4"/>
    <w:qFormat/>
    <w:uiPriority w:val="99"/>
    <w:rPr>
      <w:rFonts w:ascii="宋体" w:eastAsia="宋体"/>
      <w:kern w:val="2"/>
      <w:sz w:val="28"/>
    </w:rPr>
  </w:style>
  <w:style w:type="character" w:customStyle="1" w:styleId="59">
    <w:name w:val="Plain Text Char1"/>
    <w:semiHidden/>
    <w:qFormat/>
    <w:locked/>
    <w:uiPriority w:val="99"/>
    <w:rPr>
      <w:rFonts w:ascii="宋体" w:hAnsi="Courier New" w:cs="Courier New"/>
      <w:color w:val="000000"/>
      <w:kern w:val="0"/>
      <w:sz w:val="21"/>
      <w:szCs w:val="21"/>
      <w:u w:val="none" w:color="000000"/>
    </w:rPr>
  </w:style>
  <w:style w:type="character" w:customStyle="1" w:styleId="60">
    <w:name w:val="15"/>
    <w:basedOn w:val="21"/>
    <w:qFormat/>
    <w:uiPriority w:val="0"/>
  </w:style>
  <w:style w:type="character" w:customStyle="1" w:styleId="61">
    <w:name w:val="样式 首行缩进:  0 字符 Char"/>
    <w:link w:val="62"/>
    <w:qFormat/>
    <w:locked/>
    <w:uiPriority w:val="0"/>
    <w:rPr>
      <w:sz w:val="24"/>
    </w:rPr>
  </w:style>
  <w:style w:type="paragraph" w:customStyle="1" w:styleId="62">
    <w:name w:val="样式 首行缩进:  0 字符"/>
    <w:basedOn w:val="1"/>
    <w:link w:val="61"/>
    <w:qFormat/>
    <w:uiPriority w:val="0"/>
    <w:pPr>
      <w:widowControl w:val="0"/>
      <w:spacing w:line="360" w:lineRule="auto"/>
      <w:ind w:firstLine="200" w:firstLineChars="200"/>
      <w:textAlignment w:val="auto"/>
    </w:pPr>
    <w:rPr>
      <w:color w:val="auto"/>
      <w:sz w:val="24"/>
    </w:rPr>
  </w:style>
  <w:style w:type="character" w:customStyle="1" w:styleId="63">
    <w:name w:val="正文文本 字符"/>
    <w:link w:val="5"/>
    <w:semiHidden/>
    <w:qFormat/>
    <w:uiPriority w:val="99"/>
    <w:rPr>
      <w:color w:val="000000"/>
      <w:sz w:val="21"/>
      <w:u w:color="000000"/>
    </w:rPr>
  </w:style>
  <w:style w:type="character" w:customStyle="1" w:styleId="64">
    <w:name w:val="正文文本首行缩进 字符"/>
    <w:link w:val="17"/>
    <w:semiHidden/>
    <w:qFormat/>
    <w:uiPriority w:val="99"/>
    <w:rPr>
      <w:color w:val="000000"/>
      <w:sz w:val="21"/>
      <w:u w:color="000000"/>
    </w:rPr>
  </w:style>
  <w:style w:type="paragraph" w:customStyle="1" w:styleId="65">
    <w:name w:val="无间隔1"/>
    <w:qFormat/>
    <w:uiPriority w:val="0"/>
    <w:pPr>
      <w:widowControl w:val="0"/>
      <w:spacing w:after="200" w:line="276" w:lineRule="auto"/>
      <w:jc w:val="both"/>
    </w:pPr>
    <w:rPr>
      <w:rFonts w:ascii="Calibri" w:hAnsi="Calibri" w:eastAsia="宋体" w:cs="Times New Roman"/>
      <w:kern w:val="2"/>
      <w:sz w:val="21"/>
      <w:szCs w:val="22"/>
      <w:lang w:val="en-US" w:eastAsia="zh-CN" w:bidi="ar-SA"/>
    </w:rPr>
  </w:style>
  <w:style w:type="character" w:customStyle="1" w:styleId="66">
    <w:name w:val="正文文本 (2)_"/>
    <w:link w:val="67"/>
    <w:qFormat/>
    <w:uiPriority w:val="0"/>
    <w:rPr>
      <w:rFonts w:ascii="MingLiU" w:hAnsi="MingLiU" w:eastAsia="MingLiU" w:cs="MingLiU"/>
      <w:spacing w:val="30"/>
      <w:sz w:val="30"/>
      <w:szCs w:val="30"/>
      <w:shd w:val="clear" w:color="auto" w:fill="FFFFFF"/>
    </w:rPr>
  </w:style>
  <w:style w:type="paragraph" w:customStyle="1" w:styleId="67">
    <w:name w:val="正文文本 (2)"/>
    <w:basedOn w:val="1"/>
    <w:link w:val="66"/>
    <w:qFormat/>
    <w:uiPriority w:val="0"/>
    <w:pPr>
      <w:widowControl w:val="0"/>
      <w:shd w:val="clear" w:color="auto" w:fill="FFFFFF"/>
      <w:spacing w:after="660" w:line="0" w:lineRule="atLeast"/>
      <w:jc w:val="left"/>
      <w:textAlignment w:val="auto"/>
    </w:pPr>
    <w:rPr>
      <w:rFonts w:ascii="MingLiU" w:hAnsi="MingLiU" w:eastAsia="MingLiU" w:cs="MingLiU"/>
      <w:color w:val="auto"/>
      <w:spacing w:val="30"/>
      <w:sz w:val="30"/>
      <w:szCs w:val="30"/>
    </w:rPr>
  </w:style>
  <w:style w:type="character" w:customStyle="1" w:styleId="68">
    <w:name w:val="正文文本 (2) + 斜体"/>
    <w:qFormat/>
    <w:uiPriority w:val="0"/>
    <w:rPr>
      <w:rFonts w:ascii="MingLiU" w:hAnsi="MingLiU" w:eastAsia="MingLiU" w:cs="MingLiU"/>
      <w:i/>
      <w:iCs/>
      <w:color w:val="000000"/>
      <w:spacing w:val="0"/>
      <w:w w:val="100"/>
      <w:position w:val="0"/>
      <w:sz w:val="30"/>
      <w:szCs w:val="30"/>
      <w:u w:val="none"/>
      <w:lang w:val="zh-CN" w:eastAsia="zh-CN" w:bidi="zh-CN"/>
    </w:rPr>
  </w:style>
  <w:style w:type="character" w:customStyle="1" w:styleId="69">
    <w:name w:val="页眉或页脚 + Calibri"/>
    <w:qFormat/>
    <w:uiPriority w:val="0"/>
    <w:rPr>
      <w:rFonts w:ascii="Calibri" w:hAnsi="Calibri" w:eastAsia="Calibri" w:cs="Calibri"/>
      <w:color w:val="000000"/>
      <w:spacing w:val="0"/>
      <w:w w:val="100"/>
      <w:position w:val="0"/>
      <w:sz w:val="20"/>
      <w:szCs w:val="20"/>
      <w:u w:val="none"/>
      <w:lang w:val="zh-CN" w:eastAsia="zh-CN" w:bidi="zh-CN"/>
    </w:rPr>
  </w:style>
  <w:style w:type="character" w:customStyle="1" w:styleId="70">
    <w:name w:val="页眉或页脚"/>
    <w:qFormat/>
    <w:uiPriority w:val="0"/>
    <w:rPr>
      <w:rFonts w:ascii="MingLiU" w:hAnsi="MingLiU" w:eastAsia="MingLiU" w:cs="MingLiU"/>
      <w:color w:val="000000"/>
      <w:spacing w:val="0"/>
      <w:w w:val="100"/>
      <w:position w:val="0"/>
      <w:sz w:val="18"/>
      <w:szCs w:val="18"/>
      <w:u w:val="none"/>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79</Pages>
  <Words>6797</Words>
  <Characters>8149</Characters>
  <Lines>381</Lines>
  <Paragraphs>107</Paragraphs>
  <TotalTime>56</TotalTime>
  <ScaleCrop>false</ScaleCrop>
  <LinksUpToDate>false</LinksUpToDate>
  <CharactersWithSpaces>8321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2015-09-14T13:42:00Z</dcterms:created>
  <dc:creator>ZM</dc:creator>
  <cp:lastModifiedBy>Administrator</cp:lastModifiedBy>
  <cp:lastPrinted>2026-08-13T09:55:00Z</cp:lastPrinted>
  <dcterms:modified xsi:type="dcterms:W3CDTF">2026-09-28T02:18:52Z</dcterms:modified>
  <cp:revision>384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eyJoZGlkIjoiYzRlYzE4NmFkNWE4NGFlNjlkMjJmNTIzODdmN2JjZGIiLCJ1c2VySWQiOiI0Mjg5NzQzNDUifQ==</vt:lpwstr>
  </property>
  <property fmtid="{D5CDD505-2E9C-101B-9397-08002B2CF9AE}" pid="4" name="ICV">
    <vt:lpwstr>69DF2AEF4BD14B849B0CB9B68CC7225A_13</vt:lpwstr>
  </property>
</Properties>
</file>