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79B68">
      <w:pPr>
        <w:spacing w:before="570" w:beforeLines="200" w:after="570" w:afterLines="200" w:line="360" w:lineRule="auto"/>
        <w:jc w:val="center"/>
        <w:rPr>
          <w:rFonts w:hint="eastAsia" w:ascii="仿宋" w:hAnsi="仿宋" w:eastAsia="仿宋" w:cs="仿宋"/>
          <w:b/>
          <w:bCs/>
          <w:spacing w:val="100"/>
          <w:sz w:val="96"/>
          <w:szCs w:val="96"/>
          <w:highlight w:val="none"/>
        </w:rPr>
      </w:pPr>
    </w:p>
    <w:p w14:paraId="39B87211">
      <w:pPr>
        <w:keepNext w:val="0"/>
        <w:keepLines w:val="0"/>
        <w:pageBreakBefore w:val="0"/>
        <w:widowControl w:val="0"/>
        <w:kinsoku/>
        <w:wordWrap w:val="0"/>
        <w:overflowPunct w:val="0"/>
        <w:topLinePunct/>
        <w:autoSpaceDE/>
        <w:autoSpaceDN/>
        <w:bidi w:val="0"/>
        <w:adjustRightInd/>
        <w:snapToGrid/>
        <w:spacing w:before="318" w:beforeLines="100" w:after="318" w:afterLines="100" w:line="360" w:lineRule="auto"/>
        <w:jc w:val="center"/>
        <w:textAlignment w:val="auto"/>
        <w:rPr>
          <w:rFonts w:hint="eastAsia" w:ascii="仿宋" w:hAnsi="仿宋" w:eastAsia="仿宋" w:cs="仿宋"/>
          <w:b/>
          <w:bCs/>
          <w:snapToGrid w:val="0"/>
          <w:spacing w:val="0"/>
          <w:kern w:val="0"/>
          <w:sz w:val="60"/>
          <w:szCs w:val="60"/>
          <w:highlight w:val="none"/>
          <w:lang w:val="en-US" w:eastAsia="zh-CN"/>
        </w:rPr>
      </w:pPr>
      <w:r>
        <w:rPr>
          <w:rFonts w:hint="eastAsia" w:ascii="仿宋" w:hAnsi="仿宋" w:eastAsia="仿宋" w:cs="仿宋"/>
          <w:b/>
          <w:bCs/>
          <w:snapToGrid w:val="0"/>
          <w:spacing w:val="0"/>
          <w:kern w:val="0"/>
          <w:sz w:val="60"/>
          <w:szCs w:val="60"/>
          <w:highlight w:val="none"/>
          <w:lang w:val="en-US" w:eastAsia="zh-CN"/>
        </w:rPr>
        <w:t>安阳市政府采购</w:t>
      </w:r>
    </w:p>
    <w:p w14:paraId="76953A31">
      <w:pPr>
        <w:keepNext w:val="0"/>
        <w:keepLines w:val="0"/>
        <w:pageBreakBefore w:val="0"/>
        <w:widowControl w:val="0"/>
        <w:kinsoku/>
        <w:wordWrap w:val="0"/>
        <w:overflowPunct w:val="0"/>
        <w:topLinePunct/>
        <w:autoSpaceDE/>
        <w:autoSpaceDN/>
        <w:bidi w:val="0"/>
        <w:adjustRightInd/>
        <w:snapToGrid/>
        <w:spacing w:before="318" w:beforeLines="100" w:after="318" w:afterLines="100" w:line="360" w:lineRule="auto"/>
        <w:jc w:val="center"/>
        <w:textAlignment w:val="auto"/>
        <w:rPr>
          <w:rFonts w:hint="eastAsia" w:ascii="仿宋" w:hAnsi="仿宋" w:eastAsia="仿宋" w:cs="仿宋"/>
          <w:b/>
          <w:bCs/>
          <w:snapToGrid w:val="0"/>
          <w:spacing w:val="0"/>
          <w:kern w:val="0"/>
          <w:sz w:val="60"/>
          <w:szCs w:val="60"/>
          <w:highlight w:val="none"/>
          <w:lang w:val="en-US" w:eastAsia="zh-CN"/>
        </w:rPr>
      </w:pPr>
      <w:r>
        <w:rPr>
          <w:rFonts w:hint="eastAsia" w:ascii="仿宋" w:hAnsi="仿宋" w:eastAsia="仿宋" w:cs="仿宋"/>
          <w:b/>
          <w:bCs/>
          <w:snapToGrid w:val="0"/>
          <w:spacing w:val="0"/>
          <w:kern w:val="0"/>
          <w:sz w:val="60"/>
          <w:szCs w:val="60"/>
          <w:highlight w:val="none"/>
          <w:lang w:val="en-US" w:eastAsia="zh-CN"/>
        </w:rPr>
        <w:t>竞争性磋商文件</w:t>
      </w:r>
    </w:p>
    <w:p w14:paraId="3D3779BF">
      <w:pPr>
        <w:keepNext w:val="0"/>
        <w:keepLines w:val="0"/>
        <w:pageBreakBefore w:val="0"/>
        <w:widowControl w:val="0"/>
        <w:kinsoku/>
        <w:wordWrap w:val="0"/>
        <w:overflowPunct w:val="0"/>
        <w:topLinePunct/>
        <w:autoSpaceDE/>
        <w:autoSpaceDN/>
        <w:bidi w:val="0"/>
        <w:adjustRightInd/>
        <w:snapToGrid/>
        <w:spacing w:before="318" w:beforeLines="100" w:after="318" w:afterLines="100" w:line="360" w:lineRule="auto"/>
        <w:jc w:val="center"/>
        <w:textAlignment w:val="auto"/>
        <w:rPr>
          <w:rFonts w:hint="eastAsia" w:ascii="仿宋" w:hAnsi="仿宋" w:eastAsia="仿宋" w:cs="仿宋"/>
          <w:b/>
          <w:bCs/>
          <w:snapToGrid w:val="0"/>
          <w:spacing w:val="0"/>
          <w:kern w:val="0"/>
          <w:sz w:val="60"/>
          <w:szCs w:val="60"/>
          <w:highlight w:val="none"/>
          <w:lang w:val="en-US" w:eastAsia="zh-CN"/>
        </w:rPr>
      </w:pPr>
      <w:r>
        <w:rPr>
          <w:rFonts w:hint="eastAsia" w:ascii="仿宋" w:hAnsi="仿宋" w:eastAsia="仿宋" w:cs="仿宋"/>
          <w:b/>
          <w:bCs/>
          <w:snapToGrid w:val="0"/>
          <w:spacing w:val="0"/>
          <w:kern w:val="0"/>
          <w:sz w:val="60"/>
          <w:szCs w:val="60"/>
          <w:highlight w:val="none"/>
          <w:lang w:val="en-US" w:eastAsia="zh-CN"/>
        </w:rPr>
        <w:t>（服务类）</w:t>
      </w:r>
    </w:p>
    <w:p w14:paraId="795E32C8">
      <w:pPr>
        <w:spacing w:line="360" w:lineRule="auto"/>
        <w:ind w:left="2335" w:leftChars="299" w:hanging="1677" w:hangingChars="466"/>
        <w:rPr>
          <w:rFonts w:hint="eastAsia" w:ascii="仿宋" w:hAnsi="仿宋" w:eastAsia="仿宋" w:cs="仿宋"/>
          <w:sz w:val="36"/>
          <w:szCs w:val="36"/>
          <w:highlight w:val="none"/>
        </w:rPr>
      </w:pPr>
    </w:p>
    <w:p w14:paraId="43AA807F">
      <w:pPr>
        <w:spacing w:line="360" w:lineRule="auto"/>
        <w:ind w:left="2335" w:leftChars="299" w:hanging="1677" w:hangingChars="466"/>
        <w:rPr>
          <w:rFonts w:hint="eastAsia" w:ascii="仿宋" w:hAnsi="仿宋" w:eastAsia="仿宋" w:cs="仿宋"/>
          <w:sz w:val="36"/>
          <w:szCs w:val="36"/>
          <w:highlight w:val="none"/>
        </w:rPr>
      </w:pPr>
    </w:p>
    <w:p w14:paraId="7C14C3CE">
      <w:pPr>
        <w:spacing w:line="360" w:lineRule="auto"/>
        <w:rPr>
          <w:rFonts w:hint="eastAsia" w:ascii="仿宋" w:hAnsi="仿宋" w:eastAsia="仿宋" w:cs="仿宋"/>
          <w:sz w:val="36"/>
          <w:szCs w:val="36"/>
          <w:highlight w:val="none"/>
        </w:rPr>
      </w:pPr>
    </w:p>
    <w:p w14:paraId="47FCA60D">
      <w:pPr>
        <w:pStyle w:val="22"/>
        <w:ind w:left="0" w:leftChars="0" w:firstLine="0" w:firstLineChars="0"/>
        <w:jc w:val="left"/>
        <w:rPr>
          <w:rFonts w:hint="eastAsia" w:ascii="仿宋" w:hAnsi="仿宋" w:eastAsia="仿宋" w:cs="仿宋"/>
          <w:b/>
          <w:sz w:val="32"/>
          <w:szCs w:val="32"/>
          <w:highlight w:val="none"/>
          <w:u w:val="single"/>
          <w:lang w:val="en-US" w:eastAsia="zh-CN"/>
        </w:rPr>
      </w:pPr>
      <w:r>
        <w:rPr>
          <w:rFonts w:hint="eastAsia" w:ascii="仿宋" w:hAnsi="仿宋" w:eastAsia="仿宋" w:cs="仿宋"/>
          <w:b/>
          <w:sz w:val="32"/>
          <w:szCs w:val="32"/>
          <w:highlight w:val="none"/>
        </w:rPr>
        <w:t>项目名称：</w:t>
      </w:r>
      <w:r>
        <w:rPr>
          <w:rFonts w:hint="eastAsia" w:ascii="仿宋" w:hAnsi="仿宋" w:eastAsia="仿宋" w:cs="仿宋"/>
          <w:b/>
          <w:color w:val="auto"/>
          <w:sz w:val="32"/>
          <w:szCs w:val="32"/>
          <w:highlight w:val="none"/>
          <w:u w:val="single"/>
          <w:lang w:eastAsia="zh-CN"/>
        </w:rPr>
        <w:t>汤阴县林业发展中心安阳市汤阴县五陵镇旱塔河村绿化美化示范项目</w:t>
      </w:r>
    </w:p>
    <w:p w14:paraId="56110B58">
      <w:pPr>
        <w:spacing w:before="142" w:beforeLines="50" w:after="142" w:afterLines="50" w:line="360" w:lineRule="auto"/>
        <w:rPr>
          <w:rFonts w:hint="eastAsia" w:ascii="仿宋" w:hAnsi="仿宋" w:eastAsia="仿宋" w:cs="仿宋"/>
          <w:b/>
          <w:sz w:val="32"/>
          <w:szCs w:val="32"/>
          <w:highlight w:val="none"/>
          <w:u w:val="single"/>
          <w:lang w:val="en-US" w:eastAsia="zh-CN"/>
        </w:rPr>
      </w:pPr>
      <w:r>
        <w:rPr>
          <w:rFonts w:hint="eastAsia" w:ascii="仿宋" w:hAnsi="仿宋" w:eastAsia="仿宋" w:cs="仿宋"/>
          <w:b/>
          <w:sz w:val="32"/>
          <w:szCs w:val="32"/>
          <w:highlight w:val="none"/>
        </w:rPr>
        <w:t>采</w:t>
      </w:r>
      <w:r>
        <w:rPr>
          <w:rFonts w:hint="eastAsia" w:ascii="仿宋" w:hAnsi="仿宋" w:eastAsia="仿宋" w:cs="仿宋"/>
          <w:b/>
          <w:color w:val="auto"/>
          <w:sz w:val="32"/>
          <w:szCs w:val="32"/>
          <w:highlight w:val="none"/>
          <w:u w:val="none"/>
          <w:lang w:val="en-US" w:eastAsia="zh-CN" w:bidi="ar-SA"/>
        </w:rPr>
        <w:t>购编号：</w:t>
      </w:r>
      <w:r>
        <w:rPr>
          <w:rFonts w:hint="eastAsia" w:ascii="仿宋" w:hAnsi="仿宋" w:eastAsia="仿宋" w:cs="仿宋"/>
          <w:b/>
          <w:color w:val="auto"/>
          <w:sz w:val="32"/>
          <w:szCs w:val="32"/>
          <w:highlight w:val="none"/>
          <w:u w:val="single"/>
          <w:lang w:val="en-US" w:eastAsia="zh-CN" w:bidi="ar-SA"/>
        </w:rPr>
        <w:t xml:space="preserve"> 安汤磋商采购-2026-24      </w:t>
      </w:r>
    </w:p>
    <w:p w14:paraId="1DD193E1">
      <w:pPr>
        <w:spacing w:before="142" w:beforeLines="50" w:after="142" w:afterLines="50" w:line="360" w:lineRule="auto"/>
        <w:rPr>
          <w:rFonts w:hint="default" w:ascii="仿宋" w:hAnsi="仿宋" w:eastAsia="仿宋" w:cs="仿宋"/>
          <w:b/>
          <w:sz w:val="32"/>
          <w:szCs w:val="32"/>
          <w:highlight w:val="none"/>
          <w:u w:val="single"/>
          <w:lang w:val="en-US" w:eastAsia="zh-CN"/>
        </w:rPr>
      </w:pPr>
      <w:r>
        <w:rPr>
          <w:rFonts w:hint="eastAsia" w:ascii="仿宋" w:hAnsi="仿宋" w:eastAsia="仿宋" w:cs="仿宋"/>
          <w:b/>
          <w:sz w:val="32"/>
          <w:szCs w:val="32"/>
          <w:highlight w:val="none"/>
        </w:rPr>
        <w:t>采购人</w:t>
      </w:r>
      <w:r>
        <w:rPr>
          <w:rFonts w:hint="eastAsia" w:ascii="仿宋" w:hAnsi="仿宋" w:eastAsia="仿宋" w:cs="仿宋"/>
          <w:b/>
          <w:sz w:val="32"/>
          <w:szCs w:val="32"/>
          <w:highlight w:val="none"/>
          <w:lang w:val="en-US" w:eastAsia="zh-CN"/>
        </w:rPr>
        <w:t>名称</w:t>
      </w:r>
      <w:r>
        <w:rPr>
          <w:rFonts w:hint="eastAsia" w:ascii="仿宋" w:hAnsi="仿宋" w:eastAsia="仿宋" w:cs="仿宋"/>
          <w:b/>
          <w:sz w:val="32"/>
          <w:szCs w:val="32"/>
          <w:highlight w:val="none"/>
        </w:rPr>
        <w:t>：</w:t>
      </w:r>
      <w:r>
        <w:rPr>
          <w:rFonts w:hint="eastAsia" w:ascii="仿宋" w:hAnsi="仿宋" w:eastAsia="仿宋" w:cs="仿宋"/>
          <w:b/>
          <w:bCs/>
          <w:i w:val="0"/>
          <w:color w:val="auto"/>
          <w:sz w:val="32"/>
          <w:szCs w:val="32"/>
          <w:highlight w:val="none"/>
          <w:u w:val="single"/>
          <w:lang w:val="en-US" w:eastAsia="zh-CN" w:bidi="zh-CN"/>
        </w:rPr>
        <w:t xml:space="preserve">汤阴县林业发展中心 </w:t>
      </w:r>
    </w:p>
    <w:p w14:paraId="59B025DC">
      <w:pPr>
        <w:spacing w:before="142" w:beforeLines="50" w:after="142" w:afterLines="50" w:line="360" w:lineRule="auto"/>
        <w:rPr>
          <w:rFonts w:hint="eastAsia" w:ascii="仿宋" w:hAnsi="仿宋" w:eastAsia="仿宋" w:cs="仿宋"/>
          <w:b/>
          <w:sz w:val="36"/>
          <w:szCs w:val="36"/>
          <w:highlight w:val="none"/>
          <w:u w:val="single"/>
          <w:lang w:val="en-US" w:eastAsia="zh-CN"/>
        </w:rPr>
      </w:pPr>
      <w:r>
        <w:rPr>
          <w:rFonts w:hint="eastAsia" w:ascii="仿宋" w:hAnsi="仿宋" w:eastAsia="仿宋" w:cs="仿宋"/>
          <w:b/>
          <w:sz w:val="32"/>
          <w:szCs w:val="32"/>
          <w:highlight w:val="none"/>
          <w:lang w:eastAsia="zh-CN"/>
        </w:rPr>
        <w:t>采购代理机构：</w:t>
      </w:r>
      <w:r>
        <w:rPr>
          <w:rFonts w:hint="eastAsia" w:ascii="仿宋" w:hAnsi="仿宋" w:eastAsia="仿宋" w:cs="仿宋"/>
          <w:b/>
          <w:bCs/>
          <w:i w:val="0"/>
          <w:color w:val="auto"/>
          <w:sz w:val="32"/>
          <w:szCs w:val="32"/>
          <w:highlight w:val="none"/>
          <w:u w:val="single"/>
          <w:lang w:val="en-US" w:eastAsia="zh-CN" w:bidi="zh-CN"/>
        </w:rPr>
        <w:t>河南申创建筑工程有限公司</w:t>
      </w:r>
    </w:p>
    <w:p w14:paraId="596F6BB0">
      <w:pPr>
        <w:spacing w:before="317" w:beforeLines="100" w:after="317" w:afterLines="100" w:line="360" w:lineRule="auto"/>
        <w:jc w:val="center"/>
        <w:rPr>
          <w:rFonts w:hint="eastAsia" w:ascii="仿宋" w:hAnsi="仿宋" w:eastAsia="仿宋" w:cs="仿宋"/>
          <w:b/>
          <w:color w:val="auto"/>
          <w:sz w:val="32"/>
          <w:szCs w:val="48"/>
          <w:highlight w:val="none"/>
          <w:lang w:val="en-US" w:eastAsia="zh-CN"/>
        </w:rPr>
      </w:pPr>
      <w:r>
        <w:rPr>
          <w:rFonts w:hint="eastAsia" w:ascii="仿宋" w:hAnsi="仿宋" w:eastAsia="仿宋" w:cs="仿宋"/>
          <w:b/>
          <w:color w:val="auto"/>
          <w:sz w:val="32"/>
          <w:szCs w:val="48"/>
          <w:highlight w:val="none"/>
          <w:lang w:val="en-US" w:eastAsia="zh-CN"/>
        </w:rPr>
        <w:t>二0二六 年 十 月</w:t>
      </w:r>
    </w:p>
    <w:sdt>
      <w:sdtPr>
        <w:rPr>
          <w:rFonts w:hint="eastAsia" w:ascii="仿宋" w:hAnsi="仿宋" w:eastAsia="仿宋" w:cs="仿宋"/>
          <w:b/>
          <w:bCs/>
          <w:color w:val="auto"/>
          <w:sz w:val="21"/>
          <w:szCs w:val="22"/>
          <w:highlight w:val="none"/>
          <w:lang w:val="en-US" w:eastAsia="zh-CN" w:bidi="ar-SA"/>
        </w:rPr>
        <w:id w:val="147464214"/>
        <w15:color w:val="DBDBDB"/>
        <w:docPartObj>
          <w:docPartGallery w:val="Table of Contents"/>
          <w:docPartUnique/>
        </w:docPartObj>
      </w:sdtPr>
      <w:sdtEndPr>
        <w:rPr>
          <w:rFonts w:hint="eastAsia" w:ascii="仿宋" w:hAnsi="仿宋" w:eastAsia="仿宋" w:cs="仿宋"/>
          <w:b/>
          <w:bCs/>
          <w:color w:val="auto"/>
          <w:sz w:val="21"/>
          <w:szCs w:val="22"/>
          <w:highlight w:val="none"/>
          <w:lang w:val="en-US" w:eastAsia="en-US" w:bidi="ar-SA"/>
        </w:rPr>
      </w:sdtEndPr>
      <w:sdtContent>
        <w:p w14:paraId="61398D63">
          <w:pPr>
            <w:spacing w:before="0" w:beforeLines="0" w:after="0" w:afterLines="0" w:line="240" w:lineRule="auto"/>
            <w:ind w:left="0" w:leftChars="0" w:right="0" w:rightChars="0" w:firstLine="0" w:firstLineChars="0"/>
            <w:jc w:val="center"/>
            <w:rPr>
              <w:rFonts w:hint="eastAsia" w:ascii="仿宋" w:hAnsi="仿宋" w:eastAsia="仿宋" w:cs="仿宋"/>
              <w:b/>
              <w:bCs/>
              <w:color w:val="auto"/>
              <w:sz w:val="32"/>
              <w:szCs w:val="36"/>
              <w:highlight w:val="none"/>
            </w:rPr>
          </w:pPr>
          <w:bookmarkStart w:id="0" w:name="_Toc22904_WPSOffice_Type1"/>
          <w:r>
            <w:rPr>
              <w:rFonts w:hint="eastAsia" w:ascii="仿宋" w:hAnsi="仿宋" w:eastAsia="仿宋" w:cs="仿宋"/>
              <w:b/>
              <w:bCs/>
              <w:color w:val="auto"/>
              <w:sz w:val="32"/>
              <w:szCs w:val="36"/>
              <w:highlight w:val="none"/>
            </w:rPr>
            <w:t>目</w:t>
          </w:r>
          <w:r>
            <w:rPr>
              <w:rFonts w:hint="eastAsia" w:ascii="仿宋" w:hAnsi="仿宋" w:eastAsia="仿宋" w:cs="仿宋"/>
              <w:b/>
              <w:bCs/>
              <w:color w:val="auto"/>
              <w:sz w:val="32"/>
              <w:szCs w:val="36"/>
              <w:highlight w:val="none"/>
              <w:lang w:val="en-US" w:eastAsia="zh-CN"/>
            </w:rPr>
            <w:t xml:space="preserve">  </w:t>
          </w:r>
          <w:r>
            <w:rPr>
              <w:rFonts w:hint="eastAsia" w:ascii="仿宋" w:hAnsi="仿宋" w:eastAsia="仿宋" w:cs="仿宋"/>
              <w:b/>
              <w:bCs/>
              <w:color w:val="auto"/>
              <w:sz w:val="32"/>
              <w:szCs w:val="36"/>
              <w:highlight w:val="none"/>
            </w:rPr>
            <w:t>录</w:t>
          </w:r>
        </w:p>
        <w:p w14:paraId="029F1762">
          <w:pPr>
            <w:rPr>
              <w:rFonts w:hint="eastAsia" w:ascii="仿宋" w:hAnsi="仿宋" w:eastAsia="仿宋" w:cs="仿宋"/>
              <w:color w:val="auto"/>
              <w:highlight w:val="none"/>
            </w:rPr>
          </w:pPr>
        </w:p>
        <w:p w14:paraId="04962A51">
          <w:pPr>
            <w:pStyle w:val="56"/>
            <w:tabs>
              <w:tab w:val="right" w:leader="dot" w:pos="9740"/>
            </w:tabs>
            <w:rPr>
              <w:rFonts w:hint="eastAsia" w:ascii="仿宋" w:hAnsi="仿宋" w:eastAsia="仿宋" w:cs="仿宋"/>
              <w:b/>
              <w:bCs/>
              <w:color w:val="auto"/>
              <w:sz w:val="28"/>
              <w:szCs w:val="28"/>
              <w:highlight w:val="none"/>
            </w:rPr>
          </w:pPr>
          <w:r>
            <w:rPr>
              <w:rFonts w:hint="eastAsia" w:ascii="仿宋" w:hAnsi="仿宋" w:eastAsia="仿宋" w:cs="仿宋"/>
              <w:b/>
              <w:bCs/>
              <w:color w:val="auto"/>
              <w:highlight w:val="none"/>
            </w:rPr>
            <w:fldChar w:fldCharType="begin"/>
          </w:r>
          <w:r>
            <w:rPr>
              <w:rFonts w:hint="eastAsia" w:ascii="仿宋" w:hAnsi="仿宋" w:eastAsia="仿宋" w:cs="仿宋"/>
              <w:b/>
              <w:bCs/>
              <w:color w:val="auto"/>
              <w:highlight w:val="none"/>
            </w:rPr>
            <w:instrText xml:space="preserve"> HYPERLINK \l "_Toc26924_WPSOffice_Level1" </w:instrText>
          </w:r>
          <w:r>
            <w:rPr>
              <w:rFonts w:hint="eastAsia" w:ascii="仿宋" w:hAnsi="仿宋" w:eastAsia="仿宋" w:cs="仿宋"/>
              <w:b/>
              <w:bCs/>
              <w:color w:val="auto"/>
              <w:highlight w:val="none"/>
            </w:rPr>
            <w:fldChar w:fldCharType="separate"/>
          </w:r>
          <w:sdt>
            <w:sdtPr>
              <w:rPr>
                <w:rFonts w:hint="eastAsia" w:ascii="仿宋" w:hAnsi="仿宋" w:eastAsia="仿宋" w:cs="仿宋"/>
                <w:b/>
                <w:bCs/>
                <w:color w:val="auto"/>
                <w:sz w:val="28"/>
                <w:szCs w:val="28"/>
                <w:highlight w:val="none"/>
                <w:lang w:val="en-US" w:eastAsia="zh-CN" w:bidi="ar-SA"/>
              </w:rPr>
              <w:id w:val="1653711163"/>
              <w:placeholder>
                <w:docPart w:val="{b6e23086-8c9a-4c11-a8a6-662e041af4d6}"/>
              </w:placeholder>
              <w15:color w:val="509DF3"/>
            </w:sdtPr>
            <w:sdtEndPr>
              <w:rPr>
                <w:rFonts w:hint="eastAsia" w:ascii="仿宋" w:hAnsi="仿宋" w:eastAsia="仿宋" w:cs="仿宋"/>
                <w:b/>
                <w:bCs/>
                <w:color w:val="auto"/>
                <w:sz w:val="28"/>
                <w:szCs w:val="28"/>
                <w:highlight w:val="none"/>
                <w:lang w:val="en-US" w:eastAsia="zh-CN" w:bidi="ar-SA"/>
              </w:rPr>
            </w:sdtEndPr>
            <w:sdtContent>
              <w:r>
                <w:rPr>
                  <w:rFonts w:hint="eastAsia" w:ascii="仿宋" w:hAnsi="仿宋" w:eastAsia="仿宋" w:cs="仿宋"/>
                  <w:b/>
                  <w:bCs/>
                  <w:color w:val="auto"/>
                  <w:sz w:val="28"/>
                  <w:szCs w:val="28"/>
                  <w:highlight w:val="none"/>
                </w:rPr>
                <w:t>第一章 竞争性磋商公告</w:t>
              </w:r>
            </w:sdtContent>
          </w:sdt>
          <w:r>
            <w:rPr>
              <w:rFonts w:hint="eastAsia" w:ascii="仿宋" w:hAnsi="仿宋" w:eastAsia="仿宋" w:cs="仿宋"/>
              <w:b/>
              <w:bCs/>
              <w:color w:val="auto"/>
              <w:sz w:val="28"/>
              <w:szCs w:val="28"/>
              <w:highlight w:val="none"/>
            </w:rPr>
            <w:tab/>
          </w:r>
          <w:bookmarkStart w:id="1" w:name="_Toc26924_WPSOffice_Level1Page"/>
          <w:r>
            <w:rPr>
              <w:rFonts w:hint="eastAsia" w:ascii="仿宋" w:hAnsi="仿宋" w:eastAsia="仿宋" w:cs="仿宋"/>
              <w:b/>
              <w:bCs/>
              <w:color w:val="auto"/>
              <w:sz w:val="28"/>
              <w:szCs w:val="28"/>
              <w:highlight w:val="none"/>
            </w:rPr>
            <w:t>1</w:t>
          </w:r>
          <w:bookmarkEnd w:id="1"/>
          <w:r>
            <w:rPr>
              <w:rFonts w:hint="eastAsia" w:ascii="仿宋" w:hAnsi="仿宋" w:eastAsia="仿宋" w:cs="仿宋"/>
              <w:b/>
              <w:bCs/>
              <w:color w:val="auto"/>
              <w:sz w:val="28"/>
              <w:szCs w:val="28"/>
              <w:highlight w:val="none"/>
            </w:rPr>
            <w:fldChar w:fldCharType="end"/>
          </w:r>
        </w:p>
        <w:p w14:paraId="1441D87F">
          <w:pPr>
            <w:pStyle w:val="56"/>
            <w:tabs>
              <w:tab w:val="right" w:leader="dot" w:pos="9740"/>
            </w:tabs>
            <w:rPr>
              <w:rFonts w:hint="eastAsia" w:ascii="仿宋" w:hAnsi="仿宋" w:eastAsia="仿宋" w:cs="仿宋"/>
              <w:b/>
              <w:bCs/>
              <w:color w:val="auto"/>
              <w:sz w:val="28"/>
              <w:szCs w:val="28"/>
              <w:highlight w:val="none"/>
            </w:rPr>
          </w:pPr>
          <w:r>
            <w:rPr>
              <w:rFonts w:hint="eastAsia" w:ascii="仿宋" w:hAnsi="仿宋" w:eastAsia="仿宋" w:cs="仿宋"/>
              <w:b/>
              <w:bCs/>
              <w:color w:val="auto"/>
              <w:highlight w:val="none"/>
            </w:rPr>
            <w:fldChar w:fldCharType="begin"/>
          </w:r>
          <w:r>
            <w:rPr>
              <w:rFonts w:hint="eastAsia" w:ascii="仿宋" w:hAnsi="仿宋" w:eastAsia="仿宋" w:cs="仿宋"/>
              <w:b/>
              <w:bCs/>
              <w:color w:val="auto"/>
              <w:highlight w:val="none"/>
            </w:rPr>
            <w:instrText xml:space="preserve"> HYPERLINK \l "_Toc22904_WPSOffice_Level1" </w:instrText>
          </w:r>
          <w:r>
            <w:rPr>
              <w:rFonts w:hint="eastAsia" w:ascii="仿宋" w:hAnsi="仿宋" w:eastAsia="仿宋" w:cs="仿宋"/>
              <w:b/>
              <w:bCs/>
              <w:color w:val="auto"/>
              <w:highlight w:val="none"/>
            </w:rPr>
            <w:fldChar w:fldCharType="separate"/>
          </w:r>
          <w:sdt>
            <w:sdtPr>
              <w:rPr>
                <w:rFonts w:hint="eastAsia" w:ascii="仿宋" w:hAnsi="仿宋" w:eastAsia="仿宋" w:cs="仿宋"/>
                <w:b/>
                <w:bCs/>
                <w:color w:val="auto"/>
                <w:sz w:val="28"/>
                <w:szCs w:val="28"/>
                <w:highlight w:val="none"/>
                <w:lang w:val="en-US" w:eastAsia="zh-CN" w:bidi="ar-SA"/>
              </w:rPr>
              <w:id w:val="1953023080"/>
              <w:placeholder>
                <w:docPart w:val="{e117c76c-5c5a-42b5-9749-126ec3f270e5}"/>
              </w:placeholder>
              <w15:color w:val="509DF3"/>
            </w:sdtPr>
            <w:sdtEndPr>
              <w:rPr>
                <w:rFonts w:hint="eastAsia" w:ascii="仿宋" w:hAnsi="仿宋" w:eastAsia="仿宋" w:cs="仿宋"/>
                <w:b/>
                <w:bCs/>
                <w:color w:val="auto"/>
                <w:sz w:val="28"/>
                <w:szCs w:val="28"/>
                <w:highlight w:val="none"/>
                <w:lang w:val="en-US" w:eastAsia="zh-CN" w:bidi="ar-SA"/>
              </w:rPr>
            </w:sdtEndPr>
            <w:sdtContent>
              <w:r>
                <w:rPr>
                  <w:rFonts w:hint="eastAsia" w:ascii="仿宋" w:hAnsi="仿宋" w:eastAsia="仿宋" w:cs="仿宋"/>
                  <w:b/>
                  <w:bCs/>
                  <w:color w:val="auto"/>
                  <w:sz w:val="28"/>
                  <w:szCs w:val="28"/>
                  <w:highlight w:val="none"/>
                </w:rPr>
                <w:t>第二章 供应商须知</w:t>
              </w:r>
            </w:sdtContent>
          </w:sdt>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lang w:val="en-US" w:eastAsia="zh-CN"/>
            </w:rPr>
            <w:t>7</w:t>
          </w:r>
          <w:r>
            <w:rPr>
              <w:rFonts w:hint="eastAsia" w:ascii="仿宋" w:hAnsi="仿宋" w:eastAsia="仿宋" w:cs="仿宋"/>
              <w:b/>
              <w:bCs/>
              <w:color w:val="auto"/>
              <w:sz w:val="28"/>
              <w:szCs w:val="28"/>
              <w:highlight w:val="none"/>
            </w:rPr>
            <w:fldChar w:fldCharType="end"/>
          </w:r>
        </w:p>
        <w:p w14:paraId="6BBBA1AA">
          <w:pPr>
            <w:pStyle w:val="56"/>
            <w:tabs>
              <w:tab w:val="right" w:leader="dot" w:pos="9740"/>
            </w:tabs>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highlight w:val="none"/>
            </w:rPr>
            <w:fldChar w:fldCharType="begin"/>
          </w:r>
          <w:r>
            <w:rPr>
              <w:rFonts w:hint="eastAsia" w:ascii="仿宋" w:hAnsi="仿宋" w:eastAsia="仿宋" w:cs="仿宋"/>
              <w:b/>
              <w:bCs/>
              <w:color w:val="auto"/>
              <w:highlight w:val="none"/>
            </w:rPr>
            <w:instrText xml:space="preserve"> HYPERLINK \l "_Toc24921_WPSOffice_Level1" </w:instrText>
          </w:r>
          <w:r>
            <w:rPr>
              <w:rFonts w:hint="eastAsia" w:ascii="仿宋" w:hAnsi="仿宋" w:eastAsia="仿宋" w:cs="仿宋"/>
              <w:b/>
              <w:bCs/>
              <w:color w:val="auto"/>
              <w:highlight w:val="none"/>
            </w:rPr>
            <w:fldChar w:fldCharType="separate"/>
          </w:r>
          <w:sdt>
            <w:sdtPr>
              <w:rPr>
                <w:rFonts w:hint="eastAsia" w:ascii="仿宋" w:hAnsi="仿宋" w:eastAsia="仿宋" w:cs="仿宋"/>
                <w:b/>
                <w:bCs/>
                <w:color w:val="auto"/>
                <w:sz w:val="28"/>
                <w:szCs w:val="28"/>
                <w:highlight w:val="none"/>
                <w:lang w:val="en-US" w:eastAsia="zh-CN" w:bidi="ar-SA"/>
              </w:rPr>
              <w:id w:val="1857221728"/>
              <w:placeholder>
                <w:docPart w:val="{40a875ad-3b01-4252-93b0-5b1dada79be7}"/>
              </w:placeholder>
              <w15:color w:val="509DF3"/>
            </w:sdtPr>
            <w:sdtEndPr>
              <w:rPr>
                <w:rFonts w:hint="eastAsia" w:ascii="仿宋" w:hAnsi="仿宋" w:eastAsia="仿宋" w:cs="仿宋"/>
                <w:b/>
                <w:bCs/>
                <w:color w:val="auto"/>
                <w:sz w:val="28"/>
                <w:szCs w:val="28"/>
                <w:highlight w:val="none"/>
                <w:lang w:val="en-US" w:eastAsia="zh-CN" w:bidi="ar-SA"/>
              </w:rPr>
            </w:sdtEndPr>
            <w:sdtContent>
              <w:r>
                <w:rPr>
                  <w:rFonts w:hint="eastAsia" w:ascii="仿宋" w:hAnsi="仿宋" w:eastAsia="仿宋" w:cs="仿宋"/>
                  <w:b/>
                  <w:bCs/>
                  <w:color w:val="auto"/>
                  <w:sz w:val="28"/>
                  <w:szCs w:val="28"/>
                  <w:highlight w:val="none"/>
                </w:rPr>
                <w:t xml:space="preserve">第三章 </w:t>
              </w:r>
              <w:r>
                <w:rPr>
                  <w:rFonts w:hint="eastAsia" w:ascii="仿宋" w:hAnsi="仿宋" w:eastAsia="仿宋" w:cs="仿宋"/>
                  <w:b/>
                  <w:bCs/>
                  <w:color w:val="auto"/>
                  <w:sz w:val="28"/>
                  <w:szCs w:val="28"/>
                  <w:highlight w:val="none"/>
                  <w:lang w:val="en-US" w:eastAsia="zh-CN"/>
                </w:rPr>
                <w:t>采购人需求</w:t>
              </w:r>
            </w:sdtContent>
          </w:sdt>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lang w:val="en-US" w:eastAsia="zh-CN"/>
            </w:rPr>
            <w:t>2</w:t>
          </w:r>
          <w:r>
            <w:rPr>
              <w:rFonts w:hint="eastAsia" w:ascii="仿宋" w:hAnsi="仿宋" w:eastAsia="仿宋" w:cs="仿宋"/>
              <w:b/>
              <w:bCs/>
              <w:color w:val="auto"/>
              <w:sz w:val="28"/>
              <w:szCs w:val="28"/>
              <w:highlight w:val="none"/>
              <w:lang w:val="en-US" w:eastAsia="zh-CN"/>
            </w:rPr>
            <w:fldChar w:fldCharType="end"/>
          </w:r>
          <w:r>
            <w:rPr>
              <w:rFonts w:hint="eastAsia" w:ascii="仿宋" w:hAnsi="仿宋" w:eastAsia="仿宋" w:cs="仿宋"/>
              <w:b/>
              <w:bCs/>
              <w:color w:val="auto"/>
              <w:sz w:val="28"/>
              <w:szCs w:val="28"/>
              <w:highlight w:val="none"/>
              <w:lang w:val="en-US" w:eastAsia="zh-CN"/>
            </w:rPr>
            <w:t>2</w:t>
          </w:r>
        </w:p>
        <w:p w14:paraId="6FBD258E">
          <w:pPr>
            <w:pStyle w:val="56"/>
            <w:tabs>
              <w:tab w:val="right" w:leader="dot" w:pos="9740"/>
            </w:tabs>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highlight w:val="none"/>
            </w:rPr>
            <w:fldChar w:fldCharType="begin"/>
          </w:r>
          <w:r>
            <w:rPr>
              <w:rFonts w:hint="eastAsia" w:ascii="仿宋" w:hAnsi="仿宋" w:eastAsia="仿宋" w:cs="仿宋"/>
              <w:b/>
              <w:bCs/>
              <w:color w:val="auto"/>
              <w:highlight w:val="none"/>
            </w:rPr>
            <w:instrText xml:space="preserve"> HYPERLINK \l "_Toc18680_WPSOffice_Level1" </w:instrText>
          </w:r>
          <w:r>
            <w:rPr>
              <w:rFonts w:hint="eastAsia" w:ascii="仿宋" w:hAnsi="仿宋" w:eastAsia="仿宋" w:cs="仿宋"/>
              <w:b/>
              <w:bCs/>
              <w:color w:val="auto"/>
              <w:highlight w:val="none"/>
            </w:rPr>
            <w:fldChar w:fldCharType="separate"/>
          </w:r>
          <w:sdt>
            <w:sdtPr>
              <w:rPr>
                <w:rFonts w:hint="eastAsia" w:ascii="仿宋" w:hAnsi="仿宋" w:eastAsia="仿宋" w:cs="仿宋"/>
                <w:b/>
                <w:bCs/>
                <w:color w:val="auto"/>
                <w:sz w:val="28"/>
                <w:szCs w:val="28"/>
                <w:highlight w:val="none"/>
                <w:lang w:val="en-US" w:eastAsia="zh-CN" w:bidi="ar-SA"/>
              </w:rPr>
              <w:id w:val="1774727442"/>
              <w:placeholder>
                <w:docPart w:val="{2df530c5-c0c1-471c-bba3-ad68dee91d19}"/>
              </w:placeholder>
              <w15:color w:val="509DF3"/>
            </w:sdtPr>
            <w:sdtEndPr>
              <w:rPr>
                <w:rFonts w:hint="eastAsia" w:ascii="仿宋" w:hAnsi="仿宋" w:eastAsia="仿宋" w:cs="仿宋"/>
                <w:b/>
                <w:bCs/>
                <w:color w:val="auto"/>
                <w:sz w:val="28"/>
                <w:szCs w:val="28"/>
                <w:highlight w:val="none"/>
                <w:lang w:val="en-US" w:eastAsia="zh-CN" w:bidi="ar-SA"/>
              </w:rPr>
            </w:sdtEndPr>
            <w:sdtContent>
              <w:r>
                <w:rPr>
                  <w:rFonts w:hint="eastAsia" w:ascii="仿宋" w:hAnsi="仿宋" w:eastAsia="仿宋" w:cs="仿宋"/>
                  <w:b/>
                  <w:bCs/>
                  <w:color w:val="auto"/>
                  <w:sz w:val="28"/>
                  <w:szCs w:val="28"/>
                  <w:highlight w:val="none"/>
                </w:rPr>
                <w:t xml:space="preserve">第四章 </w:t>
              </w:r>
              <w:r>
                <w:rPr>
                  <w:rFonts w:hint="eastAsia" w:ascii="仿宋" w:hAnsi="仿宋" w:eastAsia="仿宋" w:cs="仿宋"/>
                  <w:b/>
                  <w:bCs/>
                  <w:color w:val="auto"/>
                  <w:sz w:val="28"/>
                  <w:szCs w:val="28"/>
                  <w:highlight w:val="none"/>
                  <w:lang w:eastAsia="zh-CN"/>
                </w:rPr>
                <w:t>评审标准和评审办法</w:t>
              </w:r>
            </w:sdtContent>
          </w:sdt>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lang w:val="en-US" w:eastAsia="zh-CN"/>
            </w:rPr>
            <w:t>4</w:t>
          </w:r>
          <w:r>
            <w:rPr>
              <w:rFonts w:hint="eastAsia" w:ascii="仿宋" w:hAnsi="仿宋" w:eastAsia="仿宋" w:cs="仿宋"/>
              <w:b/>
              <w:bCs/>
              <w:color w:val="auto"/>
              <w:sz w:val="28"/>
              <w:szCs w:val="28"/>
              <w:highlight w:val="none"/>
              <w:lang w:val="en-US" w:eastAsia="zh-CN"/>
            </w:rPr>
            <w:fldChar w:fldCharType="end"/>
          </w:r>
          <w:r>
            <w:rPr>
              <w:rFonts w:hint="eastAsia" w:ascii="仿宋" w:hAnsi="仿宋" w:eastAsia="仿宋" w:cs="仿宋"/>
              <w:b/>
              <w:bCs/>
              <w:color w:val="auto"/>
              <w:sz w:val="28"/>
              <w:szCs w:val="28"/>
              <w:highlight w:val="none"/>
              <w:lang w:val="en-US" w:eastAsia="zh-CN"/>
            </w:rPr>
            <w:t>1</w:t>
          </w:r>
        </w:p>
        <w:p w14:paraId="4283A646">
          <w:pPr>
            <w:pStyle w:val="56"/>
            <w:tabs>
              <w:tab w:val="right" w:leader="dot" w:pos="9740"/>
            </w:tabs>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highlight w:val="none"/>
            </w:rPr>
            <w:fldChar w:fldCharType="begin"/>
          </w:r>
          <w:r>
            <w:rPr>
              <w:rFonts w:hint="eastAsia" w:ascii="仿宋" w:hAnsi="仿宋" w:eastAsia="仿宋" w:cs="仿宋"/>
              <w:b/>
              <w:bCs/>
              <w:color w:val="auto"/>
              <w:highlight w:val="none"/>
            </w:rPr>
            <w:instrText xml:space="preserve"> HYPERLINK \l "_Toc8583_WPSOffice_Level1" </w:instrText>
          </w:r>
          <w:r>
            <w:rPr>
              <w:rFonts w:hint="eastAsia" w:ascii="仿宋" w:hAnsi="仿宋" w:eastAsia="仿宋" w:cs="仿宋"/>
              <w:b/>
              <w:bCs/>
              <w:color w:val="auto"/>
              <w:highlight w:val="none"/>
            </w:rPr>
            <w:fldChar w:fldCharType="separate"/>
          </w:r>
          <w:sdt>
            <w:sdtPr>
              <w:rPr>
                <w:rFonts w:hint="eastAsia" w:ascii="仿宋" w:hAnsi="仿宋" w:eastAsia="仿宋" w:cs="仿宋"/>
                <w:b/>
                <w:bCs/>
                <w:color w:val="auto"/>
                <w:sz w:val="28"/>
                <w:szCs w:val="28"/>
                <w:highlight w:val="none"/>
                <w:lang w:val="en-US" w:eastAsia="zh-CN" w:bidi="ar-SA"/>
              </w:rPr>
              <w:id w:val="1890704201"/>
              <w:placeholder>
                <w:docPart w:val="{1a51e5e9-a6f9-48b7-a070-4f30ed9096a7}"/>
              </w:placeholder>
              <w15:color w:val="509DF3"/>
            </w:sdtPr>
            <w:sdtEndPr>
              <w:rPr>
                <w:rFonts w:hint="eastAsia" w:ascii="仿宋" w:hAnsi="仿宋" w:eastAsia="仿宋" w:cs="仿宋"/>
                <w:b/>
                <w:bCs/>
                <w:color w:val="auto"/>
                <w:sz w:val="28"/>
                <w:szCs w:val="28"/>
                <w:highlight w:val="none"/>
                <w:lang w:val="en-US" w:eastAsia="zh-CN" w:bidi="ar-SA"/>
              </w:rPr>
            </w:sdtEndPr>
            <w:sdtContent>
              <w:r>
                <w:rPr>
                  <w:rFonts w:hint="eastAsia" w:ascii="仿宋" w:hAnsi="仿宋" w:eastAsia="仿宋" w:cs="仿宋"/>
                  <w:b/>
                  <w:bCs/>
                  <w:color w:val="auto"/>
                  <w:sz w:val="28"/>
                  <w:szCs w:val="28"/>
                  <w:highlight w:val="none"/>
                </w:rPr>
                <w:t>第五章 合同格式</w:t>
              </w:r>
            </w:sdtContent>
          </w:sdt>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lang w:val="en-US" w:eastAsia="zh-CN"/>
            </w:rPr>
            <w:t>5</w:t>
          </w:r>
          <w:r>
            <w:rPr>
              <w:rFonts w:hint="eastAsia" w:ascii="仿宋" w:hAnsi="仿宋" w:eastAsia="仿宋" w:cs="仿宋"/>
              <w:b/>
              <w:bCs/>
              <w:color w:val="auto"/>
              <w:sz w:val="28"/>
              <w:szCs w:val="28"/>
              <w:highlight w:val="none"/>
              <w:lang w:val="en-US" w:eastAsia="zh-CN"/>
            </w:rPr>
            <w:fldChar w:fldCharType="end"/>
          </w:r>
          <w:r>
            <w:rPr>
              <w:rFonts w:hint="eastAsia" w:ascii="仿宋" w:hAnsi="仿宋" w:eastAsia="仿宋" w:cs="仿宋"/>
              <w:b/>
              <w:bCs/>
              <w:color w:val="auto"/>
              <w:sz w:val="28"/>
              <w:szCs w:val="28"/>
              <w:highlight w:val="none"/>
              <w:lang w:val="en-US" w:eastAsia="zh-CN"/>
            </w:rPr>
            <w:t>2</w:t>
          </w:r>
        </w:p>
        <w:p w14:paraId="408C9BE1">
          <w:pPr>
            <w:pStyle w:val="56"/>
            <w:tabs>
              <w:tab w:val="right" w:leader="dot" w:pos="9740"/>
            </w:tabs>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highlight w:val="none"/>
            </w:rPr>
            <w:fldChar w:fldCharType="begin"/>
          </w:r>
          <w:r>
            <w:rPr>
              <w:rFonts w:hint="eastAsia" w:ascii="仿宋" w:hAnsi="仿宋" w:eastAsia="仿宋" w:cs="仿宋"/>
              <w:b/>
              <w:bCs/>
              <w:color w:val="auto"/>
              <w:highlight w:val="none"/>
            </w:rPr>
            <w:instrText xml:space="preserve"> HYPERLINK \l "_Toc6315_WPSOffice_Level1" </w:instrText>
          </w:r>
          <w:r>
            <w:rPr>
              <w:rFonts w:hint="eastAsia" w:ascii="仿宋" w:hAnsi="仿宋" w:eastAsia="仿宋" w:cs="仿宋"/>
              <w:b/>
              <w:bCs/>
              <w:color w:val="auto"/>
              <w:highlight w:val="none"/>
            </w:rPr>
            <w:fldChar w:fldCharType="separate"/>
          </w:r>
          <w:sdt>
            <w:sdtPr>
              <w:rPr>
                <w:rFonts w:hint="eastAsia" w:ascii="仿宋" w:hAnsi="仿宋" w:eastAsia="仿宋" w:cs="仿宋"/>
                <w:b/>
                <w:bCs/>
                <w:color w:val="auto"/>
                <w:sz w:val="28"/>
                <w:szCs w:val="28"/>
                <w:highlight w:val="none"/>
                <w:lang w:val="en-US" w:eastAsia="zh-CN" w:bidi="ar-SA"/>
              </w:rPr>
              <w:id w:val="898807887"/>
              <w:placeholder>
                <w:docPart w:val="{47ff0ac5-f344-4f08-b0bc-f79bf52e98b9}"/>
              </w:placeholder>
              <w15:color w:val="509DF3"/>
            </w:sdtPr>
            <w:sdtEndPr>
              <w:rPr>
                <w:rFonts w:hint="eastAsia" w:ascii="仿宋" w:hAnsi="仿宋" w:eastAsia="仿宋" w:cs="仿宋"/>
                <w:b/>
                <w:bCs/>
                <w:color w:val="auto"/>
                <w:sz w:val="28"/>
                <w:szCs w:val="28"/>
                <w:highlight w:val="none"/>
                <w:lang w:val="en-US" w:eastAsia="zh-CN" w:bidi="ar-SA"/>
              </w:rPr>
            </w:sdtEndPr>
            <w:sdtContent>
              <w:r>
                <w:rPr>
                  <w:rFonts w:hint="eastAsia" w:ascii="仿宋" w:hAnsi="仿宋" w:eastAsia="仿宋" w:cs="仿宋"/>
                  <w:b/>
                  <w:bCs/>
                  <w:color w:val="auto"/>
                  <w:sz w:val="28"/>
                  <w:szCs w:val="28"/>
                  <w:highlight w:val="none"/>
                </w:rPr>
                <w:t>第</w:t>
              </w:r>
              <w:r>
                <w:rPr>
                  <w:rFonts w:hint="eastAsia" w:ascii="仿宋" w:hAnsi="仿宋" w:eastAsia="仿宋" w:cs="仿宋"/>
                  <w:b/>
                  <w:bCs/>
                  <w:color w:val="auto"/>
                  <w:sz w:val="28"/>
                  <w:szCs w:val="28"/>
                  <w:highlight w:val="none"/>
                  <w:lang w:val="en-US" w:eastAsia="zh-CN"/>
                </w:rPr>
                <w:t>六</w:t>
              </w:r>
              <w:r>
                <w:rPr>
                  <w:rFonts w:hint="eastAsia" w:ascii="仿宋" w:hAnsi="仿宋" w:eastAsia="仿宋" w:cs="仿宋"/>
                  <w:b/>
                  <w:bCs/>
                  <w:color w:val="auto"/>
                  <w:sz w:val="28"/>
                  <w:szCs w:val="28"/>
                  <w:highlight w:val="none"/>
                </w:rPr>
                <w:t>章 响应文件格式</w:t>
              </w:r>
            </w:sdtContent>
          </w:sdt>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lang w:val="en-US" w:eastAsia="zh-CN"/>
            </w:rPr>
            <w:t>6</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color w:val="auto"/>
              <w:sz w:val="28"/>
              <w:szCs w:val="28"/>
              <w:highlight w:val="none"/>
              <w:lang w:val="en-US" w:eastAsia="zh-CN"/>
            </w:rPr>
            <w:t>5</w:t>
          </w:r>
        </w:p>
        <w:bookmarkEnd w:id="0"/>
        <w:p w14:paraId="08C4DDC6">
          <w:pPr>
            <w:spacing w:after="0"/>
            <w:rPr>
              <w:rFonts w:hint="eastAsia" w:ascii="仿宋" w:hAnsi="仿宋" w:eastAsia="仿宋" w:cs="仿宋"/>
              <w:color w:val="auto"/>
              <w:kern w:val="36"/>
              <w:sz w:val="24"/>
              <w:szCs w:val="24"/>
              <w:highlight w:val="none"/>
            </w:rPr>
            <w:sectPr>
              <w:headerReference r:id="rId5" w:type="default"/>
              <w:footerReference r:id="rId6" w:type="default"/>
              <w:pgSz w:w="11900" w:h="16838"/>
              <w:pgMar w:top="1440" w:right="1080" w:bottom="1440" w:left="1080" w:header="850" w:footer="992" w:gutter="0"/>
              <w:pgNumType w:fmt="decimal" w:start="1"/>
              <w:cols w:space="708" w:num="1"/>
              <w:docGrid w:type="lines" w:linePitch="317" w:charSpace="0"/>
            </w:sectPr>
          </w:pPr>
        </w:p>
      </w:sdtContent>
    </w:sdt>
    <w:p w14:paraId="7AC5040F">
      <w:pPr>
        <w:pStyle w:val="2"/>
        <w:numPr>
          <w:ilvl w:val="0"/>
          <w:numId w:val="0"/>
        </w:numPr>
        <w:spacing w:line="360" w:lineRule="auto"/>
        <w:ind w:right="118" w:rightChars="0"/>
        <w:jc w:val="center"/>
        <w:rPr>
          <w:rFonts w:hint="eastAsia" w:ascii="仿宋" w:hAnsi="仿宋" w:eastAsia="仿宋" w:cs="仿宋"/>
          <w:color w:val="auto"/>
          <w:sz w:val="24"/>
          <w:szCs w:val="24"/>
          <w:highlight w:val="none"/>
          <w:lang w:eastAsia="zh-CN"/>
        </w:rPr>
      </w:pPr>
      <w:bookmarkStart w:id="2" w:name="_Toc22454"/>
      <w:bookmarkStart w:id="3" w:name="_Toc26924_WPSOffice_Level1"/>
      <w:bookmarkStart w:id="4" w:name="_Toc1537"/>
      <w:bookmarkStart w:id="5" w:name="_Toc27950"/>
      <w:r>
        <w:rPr>
          <w:rFonts w:hint="eastAsia" w:ascii="仿宋" w:hAnsi="仿宋" w:eastAsia="仿宋" w:cs="仿宋"/>
          <w:color w:val="auto"/>
          <w:sz w:val="24"/>
          <w:szCs w:val="24"/>
          <w:highlight w:val="none"/>
          <w:lang w:eastAsia="zh-CN"/>
        </w:rPr>
        <w:t>第一</w:t>
      </w:r>
      <w:r>
        <w:rPr>
          <w:rFonts w:hint="eastAsia" w:ascii="仿宋" w:hAnsi="仿宋" w:eastAsia="仿宋" w:cs="仿宋"/>
          <w:color w:val="auto"/>
          <w:sz w:val="24"/>
          <w:szCs w:val="24"/>
          <w:highlight w:val="none"/>
          <w:lang w:val="en-US" w:eastAsia="zh-CN"/>
        </w:rPr>
        <w:t xml:space="preserve">章 </w:t>
      </w:r>
      <w:r>
        <w:rPr>
          <w:rFonts w:hint="eastAsia" w:ascii="仿宋" w:hAnsi="仿宋" w:eastAsia="仿宋" w:cs="仿宋"/>
          <w:color w:val="auto"/>
          <w:sz w:val="24"/>
          <w:szCs w:val="24"/>
          <w:highlight w:val="none"/>
        </w:rPr>
        <w:t>竞争性磋商公告</w:t>
      </w:r>
      <w:bookmarkEnd w:id="2"/>
      <w:bookmarkEnd w:id="3"/>
      <w:bookmarkEnd w:id="4"/>
      <w:bookmarkEnd w:id="5"/>
    </w:p>
    <w:p w14:paraId="244DBFC6">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项目概况</w:t>
      </w:r>
    </w:p>
    <w:p w14:paraId="785DB4F7">
      <w:pPr>
        <w:keepNext w:val="0"/>
        <w:keepLines w:val="0"/>
        <w:pageBreakBefore w:val="0"/>
        <w:widowControl w:val="0"/>
        <w:numPr>
          <w:ilvl w:val="0"/>
          <w:numId w:val="0"/>
        </w:numPr>
        <w:kinsoku/>
        <w:wordWrap w:val="0"/>
        <w:overflowPunct/>
        <w:topLinePunct/>
        <w:autoSpaceDE/>
        <w:autoSpaceDN/>
        <w:bidi w:val="0"/>
        <w:adjustRightInd/>
        <w:snapToGrid/>
        <w:spacing w:after="0" w:line="360" w:lineRule="auto"/>
        <w:ind w:firstLine="482" w:firstLineChars="20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汤阴县林业发展中心安阳市汤阴县五陵镇旱塔河村绿化美化示范项目</w:t>
      </w:r>
      <w:r>
        <w:rPr>
          <w:rFonts w:hint="eastAsia" w:ascii="仿宋" w:hAnsi="仿宋" w:eastAsia="仿宋" w:cs="仿宋"/>
          <w:b w:val="0"/>
          <w:bCs w:val="0"/>
          <w:color w:val="auto"/>
          <w:sz w:val="24"/>
          <w:szCs w:val="24"/>
          <w:highlight w:val="none"/>
          <w:lang w:val="en-US" w:eastAsia="zh-CN" w:bidi="ar-SA"/>
        </w:rPr>
        <w:t>的潜在供应商应在全国公共资源交易平台（河南省˙汤阴县）（https://ggzy.anyang.gov.cn/tyggzy/）获取磋商文件，并于</w:t>
      </w:r>
      <w:r>
        <w:rPr>
          <w:rFonts w:hint="eastAsia" w:ascii="仿宋" w:hAnsi="仿宋" w:eastAsia="仿宋" w:cs="仿宋"/>
          <w:b/>
          <w:bCs/>
          <w:color w:val="auto"/>
          <w:sz w:val="24"/>
          <w:szCs w:val="24"/>
          <w:highlight w:val="none"/>
          <w:lang w:val="en-US" w:eastAsia="zh-CN" w:bidi="ar-SA"/>
        </w:rPr>
        <w:t>2026年10 月 27日9时00分（北京时间）前递交响应文件。</w:t>
      </w:r>
    </w:p>
    <w:p w14:paraId="7D701FBA">
      <w:pPr>
        <w:keepNext w:val="0"/>
        <w:keepLines w:val="0"/>
        <w:pageBreakBefore w:val="0"/>
        <w:widowControl w:val="0"/>
        <w:kinsoku/>
        <w:wordWrap/>
        <w:overflowPunct/>
        <w:topLinePunct w:val="0"/>
        <w:bidi w:val="0"/>
        <w:adjustRightInd/>
        <w:snapToGrid/>
        <w:spacing w:after="0" w:line="360" w:lineRule="auto"/>
        <w:ind w:firstLine="482" w:firstLineChars="20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一、项目基本情况</w:t>
      </w:r>
    </w:p>
    <w:p w14:paraId="367D0747">
      <w:pPr>
        <w:spacing w:line="360" w:lineRule="auto"/>
        <w:ind w:firstLine="482" w:firstLineChars="200"/>
        <w:rPr>
          <w:rFonts w:hint="default"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 xml:space="preserve">1、采购编号：安汤磋商采购-2026-24  </w:t>
      </w:r>
    </w:p>
    <w:p w14:paraId="284EDE76">
      <w:pPr>
        <w:ind w:firstLine="482" w:firstLineChars="200"/>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2、项目名称：汤阴县林业发展中心安阳市汤阴县五陵镇旱塔河村绿化美化示范项目</w:t>
      </w:r>
    </w:p>
    <w:p w14:paraId="6ECB48D1">
      <w:pPr>
        <w:ind w:firstLine="482" w:firstLineChars="200"/>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3、采购方式：竞争性磋商</w:t>
      </w:r>
    </w:p>
    <w:p w14:paraId="13A94CB3">
      <w:pPr>
        <w:pStyle w:val="16"/>
        <w:ind w:left="0" w:leftChars="0" w:firstLine="482" w:firstLineChars="200"/>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4、预算金额：765000.00元     最高限价：765000.00元</w:t>
      </w:r>
    </w:p>
    <w:tbl>
      <w:tblPr>
        <w:tblStyle w:val="32"/>
        <w:tblpPr w:leftFromText="180" w:rightFromText="180" w:vertAnchor="text" w:horzAnchor="page" w:tblpX="1037" w:tblpY="91"/>
        <w:tblOverlap w:val="never"/>
        <w:tblW w:w="102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2"/>
        <w:gridCol w:w="2549"/>
        <w:gridCol w:w="3621"/>
        <w:gridCol w:w="1694"/>
        <w:gridCol w:w="1704"/>
      </w:tblGrid>
      <w:tr w14:paraId="2EABA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682" w:type="dxa"/>
            <w:vAlign w:val="center"/>
          </w:tcPr>
          <w:p w14:paraId="74D59F57">
            <w:pPr>
              <w:pStyle w:val="59"/>
              <w:keepNext w:val="0"/>
              <w:keepLines w:val="0"/>
              <w:pageBreakBefore w:val="0"/>
              <w:widowControl w:val="0"/>
              <w:kinsoku/>
              <w:wordWrap/>
              <w:overflowPunct/>
              <w:topLinePunct w:val="0"/>
              <w:autoSpaceDE w:val="0"/>
              <w:autoSpaceDN w:val="0"/>
              <w:bidi w:val="0"/>
              <w:adjustRightInd/>
              <w:snapToGrid/>
              <w:spacing w:before="65" w:line="360" w:lineRule="auto"/>
              <w:ind w:right="0"/>
              <w:jc w:val="center"/>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序号</w:t>
            </w:r>
          </w:p>
        </w:tc>
        <w:tc>
          <w:tcPr>
            <w:tcW w:w="2549" w:type="dxa"/>
            <w:vAlign w:val="center"/>
          </w:tcPr>
          <w:p w14:paraId="779444E9">
            <w:pPr>
              <w:pStyle w:val="59"/>
              <w:keepNext w:val="0"/>
              <w:keepLines w:val="0"/>
              <w:pageBreakBefore w:val="0"/>
              <w:widowControl w:val="0"/>
              <w:kinsoku/>
              <w:wordWrap/>
              <w:overflowPunct/>
              <w:topLinePunct w:val="0"/>
              <w:autoSpaceDE w:val="0"/>
              <w:autoSpaceDN w:val="0"/>
              <w:bidi w:val="0"/>
              <w:adjustRightInd/>
              <w:snapToGrid/>
              <w:spacing w:before="65" w:line="360" w:lineRule="auto"/>
              <w:ind w:right="0" w:rightChars="0"/>
              <w:jc w:val="center"/>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包号</w:t>
            </w:r>
          </w:p>
        </w:tc>
        <w:tc>
          <w:tcPr>
            <w:tcW w:w="3621" w:type="dxa"/>
            <w:vAlign w:val="center"/>
          </w:tcPr>
          <w:p w14:paraId="044A25E5">
            <w:pPr>
              <w:pStyle w:val="59"/>
              <w:keepNext w:val="0"/>
              <w:keepLines w:val="0"/>
              <w:pageBreakBefore w:val="0"/>
              <w:widowControl w:val="0"/>
              <w:kinsoku/>
              <w:wordWrap/>
              <w:overflowPunct/>
              <w:topLinePunct w:val="0"/>
              <w:autoSpaceDE w:val="0"/>
              <w:autoSpaceDN w:val="0"/>
              <w:bidi w:val="0"/>
              <w:adjustRightInd/>
              <w:snapToGrid/>
              <w:spacing w:before="65" w:line="360" w:lineRule="auto"/>
              <w:ind w:right="0" w:rightChars="0"/>
              <w:jc w:val="center"/>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包段名称</w:t>
            </w:r>
          </w:p>
        </w:tc>
        <w:tc>
          <w:tcPr>
            <w:tcW w:w="1694" w:type="dxa"/>
            <w:vAlign w:val="center"/>
          </w:tcPr>
          <w:p w14:paraId="70211B35">
            <w:pPr>
              <w:pStyle w:val="59"/>
              <w:keepNext w:val="0"/>
              <w:keepLines w:val="0"/>
              <w:pageBreakBefore w:val="0"/>
              <w:widowControl w:val="0"/>
              <w:kinsoku/>
              <w:wordWrap/>
              <w:overflowPunct/>
              <w:topLinePunct w:val="0"/>
              <w:autoSpaceDE w:val="0"/>
              <w:autoSpaceDN w:val="0"/>
              <w:bidi w:val="0"/>
              <w:adjustRightInd/>
              <w:snapToGrid/>
              <w:spacing w:before="65" w:line="360" w:lineRule="auto"/>
              <w:ind w:right="0" w:rightChars="0"/>
              <w:jc w:val="center"/>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包预算</w:t>
            </w:r>
          </w:p>
        </w:tc>
        <w:tc>
          <w:tcPr>
            <w:tcW w:w="1704" w:type="dxa"/>
            <w:vAlign w:val="center"/>
          </w:tcPr>
          <w:p w14:paraId="3479302A">
            <w:pPr>
              <w:pStyle w:val="59"/>
              <w:keepNext w:val="0"/>
              <w:keepLines w:val="0"/>
              <w:pageBreakBefore w:val="0"/>
              <w:widowControl w:val="0"/>
              <w:kinsoku/>
              <w:wordWrap/>
              <w:overflowPunct/>
              <w:topLinePunct w:val="0"/>
              <w:autoSpaceDE w:val="0"/>
              <w:autoSpaceDN w:val="0"/>
              <w:bidi w:val="0"/>
              <w:adjustRightInd/>
              <w:snapToGrid/>
              <w:spacing w:before="65" w:line="360" w:lineRule="auto"/>
              <w:ind w:right="0" w:rightChars="0"/>
              <w:jc w:val="center"/>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包最高限价</w:t>
            </w:r>
          </w:p>
        </w:tc>
      </w:tr>
      <w:tr w14:paraId="51DDA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atLeast"/>
        </w:trPr>
        <w:tc>
          <w:tcPr>
            <w:tcW w:w="682" w:type="dxa"/>
            <w:vAlign w:val="center"/>
          </w:tcPr>
          <w:p w14:paraId="3FA96A78">
            <w:pPr>
              <w:pStyle w:val="59"/>
              <w:keepNext w:val="0"/>
              <w:keepLines w:val="0"/>
              <w:pageBreakBefore w:val="0"/>
              <w:widowControl w:val="0"/>
              <w:kinsoku/>
              <w:wordWrap/>
              <w:overflowPunct/>
              <w:topLinePunct w:val="0"/>
              <w:autoSpaceDE w:val="0"/>
              <w:autoSpaceDN w:val="0"/>
              <w:bidi w:val="0"/>
              <w:adjustRightInd/>
              <w:snapToGrid/>
              <w:spacing w:before="1" w:line="360" w:lineRule="auto"/>
              <w:ind w:right="0"/>
              <w:jc w:val="center"/>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1</w:t>
            </w:r>
          </w:p>
        </w:tc>
        <w:tc>
          <w:tcPr>
            <w:tcW w:w="2549" w:type="dxa"/>
            <w:vAlign w:val="center"/>
          </w:tcPr>
          <w:p w14:paraId="7A0505D3">
            <w:pPr>
              <w:pStyle w:val="59"/>
              <w:keepNext w:val="0"/>
              <w:keepLines w:val="0"/>
              <w:pageBreakBefore w:val="0"/>
              <w:widowControl w:val="0"/>
              <w:kinsoku/>
              <w:wordWrap/>
              <w:overflowPunct/>
              <w:topLinePunct w:val="0"/>
              <w:autoSpaceDE w:val="0"/>
              <w:autoSpaceDN w:val="0"/>
              <w:bidi w:val="0"/>
              <w:adjustRightInd/>
              <w:snapToGrid/>
              <w:spacing w:before="1" w:line="360" w:lineRule="auto"/>
              <w:ind w:right="0" w:rightChars="0"/>
              <w:jc w:val="center"/>
              <w:textAlignment w:val="auto"/>
              <w:outlineLvl w:val="9"/>
              <w:rPr>
                <w:rFonts w:hint="eastAsia" w:ascii="仿宋" w:hAnsi="仿宋" w:eastAsia="仿宋" w:cs="仿宋"/>
                <w:color w:val="auto"/>
                <w:sz w:val="24"/>
                <w:szCs w:val="24"/>
                <w:highlight w:val="none"/>
                <w:lang w:val="en-US"/>
              </w:rPr>
            </w:pPr>
            <w:r>
              <w:rPr>
                <w:rFonts w:hint="eastAsia" w:ascii="仿宋" w:hAnsi="仿宋" w:eastAsia="仿宋" w:cs="仿宋"/>
                <w:b/>
                <w:bCs/>
                <w:color w:val="auto"/>
                <w:sz w:val="24"/>
                <w:szCs w:val="24"/>
                <w:highlight w:val="none"/>
                <w:lang w:val="en-US" w:eastAsia="zh-CN" w:bidi="ar-SA"/>
              </w:rPr>
              <w:t>安汤磋商采购-2026-24    -1</w:t>
            </w:r>
          </w:p>
        </w:tc>
        <w:tc>
          <w:tcPr>
            <w:tcW w:w="3621" w:type="dxa"/>
            <w:vAlign w:val="bottom"/>
          </w:tcPr>
          <w:p w14:paraId="29EF7709">
            <w:pPr>
              <w:pStyle w:val="59"/>
              <w:keepNext w:val="0"/>
              <w:keepLines w:val="0"/>
              <w:pageBreakBefore w:val="0"/>
              <w:widowControl w:val="0"/>
              <w:kinsoku/>
              <w:wordWrap/>
              <w:overflowPunct/>
              <w:topLinePunct w:val="0"/>
              <w:autoSpaceDE w:val="0"/>
              <w:autoSpaceDN w:val="0"/>
              <w:bidi w:val="0"/>
              <w:adjustRightInd/>
              <w:snapToGrid/>
              <w:spacing w:line="360" w:lineRule="auto"/>
              <w:ind w:right="0" w:rightChars="0"/>
              <w:jc w:val="both"/>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bidi="ar-SA"/>
              </w:rPr>
              <w:t>汤阴县林业发展中心安阳市汤阴县五陵镇旱塔河村绿化美化示范项目</w:t>
            </w:r>
          </w:p>
        </w:tc>
        <w:tc>
          <w:tcPr>
            <w:tcW w:w="1694" w:type="dxa"/>
            <w:vAlign w:val="center"/>
          </w:tcPr>
          <w:p w14:paraId="777D5698">
            <w:pPr>
              <w:pStyle w:val="59"/>
              <w:keepNext w:val="0"/>
              <w:keepLines w:val="0"/>
              <w:pageBreakBefore w:val="0"/>
              <w:widowControl w:val="0"/>
              <w:kinsoku/>
              <w:wordWrap/>
              <w:overflowPunct/>
              <w:topLinePunct w:val="0"/>
              <w:autoSpaceDE w:val="0"/>
              <w:autoSpaceDN w:val="0"/>
              <w:bidi w:val="0"/>
              <w:adjustRightInd/>
              <w:snapToGrid/>
              <w:spacing w:line="360" w:lineRule="auto"/>
              <w:ind w:right="0" w:rightChars="0"/>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bidi="ar-SA"/>
              </w:rPr>
              <w:t>765000.00元</w:t>
            </w:r>
          </w:p>
        </w:tc>
        <w:tc>
          <w:tcPr>
            <w:tcW w:w="1704" w:type="dxa"/>
            <w:vAlign w:val="center"/>
          </w:tcPr>
          <w:p w14:paraId="09D2BDF4">
            <w:pPr>
              <w:pStyle w:val="59"/>
              <w:keepNext w:val="0"/>
              <w:keepLines w:val="0"/>
              <w:pageBreakBefore w:val="0"/>
              <w:widowControl w:val="0"/>
              <w:kinsoku/>
              <w:wordWrap/>
              <w:overflowPunct/>
              <w:topLinePunct w:val="0"/>
              <w:autoSpaceDE w:val="0"/>
              <w:autoSpaceDN w:val="0"/>
              <w:bidi w:val="0"/>
              <w:adjustRightInd/>
              <w:snapToGrid/>
              <w:spacing w:line="360" w:lineRule="auto"/>
              <w:ind w:right="0" w:rightChars="0"/>
              <w:jc w:val="center"/>
              <w:textAlignment w:val="auto"/>
              <w:outlineLvl w:val="9"/>
              <w:rPr>
                <w:rFonts w:hint="eastAsia" w:ascii="仿宋" w:hAnsi="仿宋" w:eastAsia="仿宋" w:cs="仿宋"/>
                <w:b/>
                <w:color w:val="auto"/>
                <w:sz w:val="24"/>
                <w:szCs w:val="24"/>
                <w:highlight w:val="none"/>
                <w:lang w:val="en-US"/>
              </w:rPr>
            </w:pPr>
            <w:r>
              <w:rPr>
                <w:rFonts w:hint="eastAsia" w:ascii="仿宋" w:hAnsi="仿宋" w:eastAsia="仿宋" w:cs="仿宋"/>
                <w:b/>
                <w:bCs/>
                <w:color w:val="auto"/>
                <w:sz w:val="24"/>
                <w:szCs w:val="24"/>
                <w:highlight w:val="none"/>
                <w:lang w:val="en-US" w:eastAsia="zh-CN" w:bidi="ar-SA"/>
              </w:rPr>
              <w:t>765000.00元</w:t>
            </w:r>
          </w:p>
        </w:tc>
      </w:tr>
    </w:tbl>
    <w:p w14:paraId="62825E2B">
      <w:pPr>
        <w:pStyle w:val="16"/>
        <w:keepNext w:val="0"/>
        <w:keepLines w:val="0"/>
        <w:pageBreakBefore w:val="0"/>
        <w:widowControl w:val="0"/>
        <w:kinsoku/>
        <w:wordWrap/>
        <w:overflowPunct/>
        <w:topLinePunct/>
        <w:autoSpaceDE/>
        <w:autoSpaceDN/>
        <w:bidi w:val="0"/>
        <w:adjustRightInd/>
        <w:snapToGrid/>
        <w:spacing w:beforeAutospacing="0" w:after="0" w:line="360" w:lineRule="auto"/>
        <w:ind w:left="0" w:leftChars="0" w:firstLine="482" w:firstLineChars="20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5、采购需求（包括但不限于标的的名称、数量、简要技术需求或服务要求等）</w:t>
      </w:r>
    </w:p>
    <w:p w14:paraId="2398686D">
      <w:pPr>
        <w:pStyle w:val="16"/>
        <w:keepNext w:val="0"/>
        <w:keepLines w:val="0"/>
        <w:pageBreakBefore w:val="0"/>
        <w:widowControl w:val="0"/>
        <w:kinsoku/>
        <w:wordWrap/>
        <w:overflowPunct/>
        <w:topLinePunct/>
        <w:autoSpaceDE/>
        <w:autoSpaceDN/>
        <w:bidi w:val="0"/>
        <w:adjustRightInd/>
        <w:snapToGrid/>
        <w:spacing w:beforeAutospacing="0" w:after="0" w:line="360" w:lineRule="auto"/>
        <w:ind w:left="0" w:leftChars="0" w:firstLine="482" w:firstLineChars="20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5.1 磋商内容及范围：汤阴县五陵镇旱塔河村绿化美化（包含栽(补)植、浇水、中耕除草、修剪、病虫害防治等。） （具体内容详见磋商文件）</w:t>
      </w:r>
    </w:p>
    <w:p w14:paraId="11678D5E">
      <w:pPr>
        <w:pStyle w:val="16"/>
        <w:keepNext w:val="0"/>
        <w:keepLines w:val="0"/>
        <w:pageBreakBefore w:val="0"/>
        <w:widowControl w:val="0"/>
        <w:kinsoku/>
        <w:wordWrap/>
        <w:overflowPunct/>
        <w:topLinePunct/>
        <w:autoSpaceDE/>
        <w:autoSpaceDN/>
        <w:bidi w:val="0"/>
        <w:adjustRightInd/>
        <w:snapToGrid/>
        <w:spacing w:beforeAutospacing="0" w:after="0" w:line="360" w:lineRule="auto"/>
        <w:ind w:left="0" w:leftChars="0" w:firstLine="482" w:firstLineChars="20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5.2 服务质量要求：所承担的服务工作应符合国家及行业现行相关规范和标准，并符合采购人的相关要求。</w:t>
      </w:r>
    </w:p>
    <w:p w14:paraId="453E52FF">
      <w:pPr>
        <w:pStyle w:val="16"/>
        <w:keepNext w:val="0"/>
        <w:keepLines w:val="0"/>
        <w:pageBreakBefore w:val="0"/>
        <w:widowControl w:val="0"/>
        <w:kinsoku/>
        <w:wordWrap/>
        <w:overflowPunct/>
        <w:topLinePunct/>
        <w:autoSpaceDE/>
        <w:autoSpaceDN/>
        <w:bidi w:val="0"/>
        <w:adjustRightInd/>
        <w:snapToGrid/>
        <w:spacing w:beforeAutospacing="0" w:after="0" w:line="360" w:lineRule="auto"/>
        <w:ind w:left="0" w:leftChars="0" w:firstLine="482" w:firstLineChars="20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5.3 服务地点：汤阴县五陵镇旱塔河村。</w:t>
      </w:r>
    </w:p>
    <w:p w14:paraId="098776C5">
      <w:pPr>
        <w:pStyle w:val="16"/>
        <w:keepNext w:val="0"/>
        <w:keepLines w:val="0"/>
        <w:pageBreakBefore w:val="0"/>
        <w:widowControl w:val="0"/>
        <w:kinsoku/>
        <w:wordWrap/>
        <w:overflowPunct/>
        <w:topLinePunct/>
        <w:autoSpaceDE/>
        <w:autoSpaceDN/>
        <w:bidi w:val="0"/>
        <w:adjustRightInd/>
        <w:snapToGrid/>
        <w:spacing w:beforeAutospacing="0" w:after="0" w:line="360" w:lineRule="auto"/>
        <w:ind w:left="0" w:leftChars="0" w:firstLine="482" w:firstLineChars="20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 xml:space="preserve">5.4 </w:t>
      </w:r>
      <w:bookmarkStart w:id="6" w:name="OLE_LINK2"/>
      <w:r>
        <w:rPr>
          <w:rFonts w:hint="eastAsia" w:ascii="仿宋" w:hAnsi="仿宋" w:eastAsia="仿宋" w:cs="仿宋"/>
          <w:b/>
          <w:bCs/>
          <w:color w:val="auto"/>
          <w:sz w:val="24"/>
          <w:szCs w:val="24"/>
          <w:highlight w:val="none"/>
          <w:lang w:val="en-US" w:eastAsia="zh-CN" w:bidi="ar-SA"/>
        </w:rPr>
        <w:t>合同履行期限：</w:t>
      </w:r>
      <w:bookmarkEnd w:id="6"/>
      <w:r>
        <w:rPr>
          <w:rFonts w:hint="eastAsia" w:ascii="仿宋" w:hAnsi="仿宋" w:eastAsia="仿宋" w:cs="仿宋"/>
          <w:b/>
          <w:bCs/>
          <w:color w:val="auto"/>
          <w:sz w:val="24"/>
          <w:szCs w:val="24"/>
          <w:highlight w:val="none"/>
          <w:lang w:val="en-US" w:eastAsia="zh-CN" w:bidi="ar-SA"/>
        </w:rPr>
        <w:t>建设周期1年，养护期1年。</w:t>
      </w:r>
    </w:p>
    <w:p w14:paraId="0A21FA29">
      <w:pPr>
        <w:pStyle w:val="16"/>
        <w:keepNext w:val="0"/>
        <w:keepLines w:val="0"/>
        <w:pageBreakBefore w:val="0"/>
        <w:widowControl w:val="0"/>
        <w:kinsoku/>
        <w:wordWrap/>
        <w:overflowPunct/>
        <w:topLinePunct/>
        <w:autoSpaceDE/>
        <w:autoSpaceDN/>
        <w:bidi w:val="0"/>
        <w:adjustRightInd/>
        <w:snapToGrid/>
        <w:spacing w:beforeAutospacing="0" w:after="0" w:line="360" w:lineRule="auto"/>
        <w:ind w:left="0" w:leftChars="0" w:firstLine="482" w:firstLineChars="20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5.5 本项目是否接受联合体投标：否</w:t>
      </w:r>
    </w:p>
    <w:p w14:paraId="1982F4DA">
      <w:pPr>
        <w:pStyle w:val="16"/>
        <w:keepNext w:val="0"/>
        <w:keepLines w:val="0"/>
        <w:pageBreakBefore w:val="0"/>
        <w:widowControl w:val="0"/>
        <w:kinsoku/>
        <w:wordWrap/>
        <w:overflowPunct/>
        <w:topLinePunct/>
        <w:autoSpaceDE/>
        <w:autoSpaceDN/>
        <w:bidi w:val="0"/>
        <w:adjustRightInd/>
        <w:snapToGrid/>
        <w:spacing w:beforeAutospacing="0" w:after="0" w:line="360" w:lineRule="auto"/>
        <w:ind w:left="0" w:leftChars="0" w:firstLine="482" w:firstLineChars="20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5.6 包段划分：本次采购项目划分为 1个包段</w:t>
      </w:r>
    </w:p>
    <w:p w14:paraId="73AA2277">
      <w:pPr>
        <w:pStyle w:val="16"/>
        <w:keepNext w:val="0"/>
        <w:keepLines w:val="0"/>
        <w:pageBreakBefore w:val="0"/>
        <w:widowControl w:val="0"/>
        <w:kinsoku/>
        <w:wordWrap/>
        <w:overflowPunct/>
        <w:topLinePunct/>
        <w:autoSpaceDE/>
        <w:autoSpaceDN/>
        <w:bidi w:val="0"/>
        <w:adjustRightInd/>
        <w:snapToGrid/>
        <w:spacing w:beforeAutospacing="0" w:after="0" w:line="360" w:lineRule="auto"/>
        <w:ind w:left="0" w:leftChars="0" w:firstLine="482" w:firstLineChars="20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5.7 是否接受进口产品：否</w:t>
      </w:r>
    </w:p>
    <w:p w14:paraId="081AB7D4">
      <w:pPr>
        <w:pStyle w:val="16"/>
        <w:keepNext w:val="0"/>
        <w:keepLines w:val="0"/>
        <w:pageBreakBefore w:val="0"/>
        <w:widowControl w:val="0"/>
        <w:kinsoku/>
        <w:wordWrap/>
        <w:overflowPunct/>
        <w:topLinePunct/>
        <w:autoSpaceDE/>
        <w:autoSpaceDN/>
        <w:bidi w:val="0"/>
        <w:adjustRightInd/>
        <w:snapToGrid/>
        <w:spacing w:beforeAutospacing="0" w:after="0" w:line="360" w:lineRule="auto"/>
        <w:ind w:left="0" w:leftChars="0" w:firstLine="482" w:firstLineChars="20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5.8 是否专门面向中小企业：是</w:t>
      </w:r>
    </w:p>
    <w:p w14:paraId="68018E54">
      <w:pPr>
        <w:pStyle w:val="16"/>
        <w:keepNext w:val="0"/>
        <w:keepLines w:val="0"/>
        <w:pageBreakBefore w:val="0"/>
        <w:widowControl w:val="0"/>
        <w:kinsoku/>
        <w:wordWrap/>
        <w:overflowPunct/>
        <w:topLinePunct/>
        <w:autoSpaceDE/>
        <w:autoSpaceDN/>
        <w:bidi w:val="0"/>
        <w:adjustRightInd/>
        <w:snapToGrid/>
        <w:spacing w:beforeAutospacing="0" w:after="0" w:line="360" w:lineRule="auto"/>
        <w:ind w:left="0" w:leftChars="0" w:firstLine="482" w:firstLineChars="20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 xml:space="preserve">二、采购项目需要落实的政府采购政策： </w:t>
      </w:r>
    </w:p>
    <w:p w14:paraId="20078480">
      <w:pPr>
        <w:pStyle w:val="16"/>
        <w:keepNext w:val="0"/>
        <w:keepLines w:val="0"/>
        <w:pageBreakBefore w:val="0"/>
        <w:widowControl w:val="0"/>
        <w:kinsoku/>
        <w:wordWrap/>
        <w:overflowPunct/>
        <w:topLinePunct/>
        <w:autoSpaceDE/>
        <w:autoSpaceDN/>
        <w:bidi w:val="0"/>
        <w:adjustRightInd/>
        <w:snapToGrid/>
        <w:spacing w:beforeAutospacing="0" w:after="0" w:line="360" w:lineRule="auto"/>
        <w:ind w:left="0" w:leftChars="0" w:firstLine="482" w:firstLineChars="20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1.节能产品强制采购、节能产品及环境标志产品优先采购、促进中小企业发展扶持政策、进口产品政策、信息安全产品、社会信用体系建设、促进残疾人就业等。</w:t>
      </w:r>
    </w:p>
    <w:p w14:paraId="2939A1A7">
      <w:pPr>
        <w:pStyle w:val="16"/>
        <w:keepNext w:val="0"/>
        <w:keepLines w:val="0"/>
        <w:pageBreakBefore w:val="0"/>
        <w:widowControl w:val="0"/>
        <w:kinsoku/>
        <w:wordWrap/>
        <w:overflowPunct/>
        <w:topLinePunct/>
        <w:autoSpaceDE/>
        <w:autoSpaceDN/>
        <w:bidi w:val="0"/>
        <w:adjustRightInd/>
        <w:snapToGrid/>
        <w:spacing w:beforeAutospacing="0" w:after="0" w:line="360" w:lineRule="auto"/>
        <w:ind w:left="0" w:leftChars="0" w:firstLine="482" w:firstLineChars="200"/>
        <w:textAlignment w:val="auto"/>
        <w:rPr>
          <w:rFonts w:hint="eastAsia" w:ascii="仿宋" w:hAnsi="仿宋" w:eastAsia="仿宋" w:cs="仿宋"/>
          <w:b/>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政府采购合同融资：根据豫财购【2017】10号和安财购【2017】7号文件要求，参加政府采购项目的中小微企业供应商，持中标（成交）</w:t>
      </w:r>
      <w:r>
        <w:rPr>
          <w:rFonts w:hint="eastAsia" w:ascii="仿宋" w:hAnsi="仿宋" w:eastAsia="仿宋" w:cs="仿宋"/>
          <w:b/>
          <w:color w:val="auto"/>
          <w:sz w:val="24"/>
          <w:szCs w:val="24"/>
          <w:highlight w:val="none"/>
          <w:lang w:val="en-US" w:eastAsia="zh-CN" w:bidi="ar-SA"/>
        </w:rPr>
        <w:t xml:space="preserve">通知书可向金融机构申请合同融资。详情请登录安阳市政府采购网,进入网站飘窗或业务指南窗口了解金融机构提供的融资服务内容。 </w:t>
      </w:r>
    </w:p>
    <w:p w14:paraId="232568D7">
      <w:pPr>
        <w:keepNext w:val="0"/>
        <w:keepLines w:val="0"/>
        <w:pageBreakBefore w:val="0"/>
        <w:widowControl w:val="0"/>
        <w:kinsoku/>
        <w:wordWrap/>
        <w:overflowPunct/>
        <w:topLinePunct w:val="0"/>
        <w:bidi w:val="0"/>
        <w:adjustRightInd/>
        <w:snapToGrid/>
        <w:spacing w:after="0" w:line="42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三</w:t>
      </w:r>
      <w:r>
        <w:rPr>
          <w:rFonts w:hint="eastAsia" w:ascii="仿宋" w:hAnsi="仿宋" w:eastAsia="仿宋" w:cs="仿宋"/>
          <w:b/>
          <w:color w:val="auto"/>
          <w:sz w:val="24"/>
          <w:szCs w:val="24"/>
          <w:highlight w:val="none"/>
        </w:rPr>
        <w:t xml:space="preserve">、申请人资格要求： </w:t>
      </w:r>
    </w:p>
    <w:p w14:paraId="05861798">
      <w:pPr>
        <w:pStyle w:val="20"/>
        <w:keepNext w:val="0"/>
        <w:keepLines w:val="0"/>
        <w:pageBreakBefore w:val="0"/>
        <w:widowControl w:val="0"/>
        <w:kinsoku/>
        <w:wordWrap/>
        <w:overflowPunct/>
        <w:topLinePunct w:val="0"/>
        <w:autoSpaceDE w:val="0"/>
        <w:autoSpaceDN w:val="0"/>
        <w:bidi w:val="0"/>
        <w:adjustRightInd/>
        <w:snapToGrid/>
        <w:spacing w:beforeAutospacing="0" w:afterAutospacing="0" w:line="360" w:lineRule="auto"/>
        <w:ind w:left="0" w:leftChars="0" w:firstLine="480" w:firstLineChars="200"/>
        <w:jc w:val="left"/>
        <w:textAlignment w:val="auto"/>
        <w:rPr>
          <w:rFonts w:hint="eastAsia" w:ascii="仿宋" w:hAnsi="仿宋" w:eastAsia="仿宋" w:cs="仿宋"/>
          <w:b w:val="0"/>
          <w:bCs/>
          <w:color w:val="auto"/>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bidi="ar-SA"/>
        </w:rPr>
        <w:t>1.满足《中华人民共和国政府采购法》第二十二条第一款规定的供应商基础性资格要求；供应商自行承诺并承担后果，承诺书不实的，按《政府采购法》有关提供虚假材料的有关规定给予处罚。</w:t>
      </w:r>
    </w:p>
    <w:p w14:paraId="0D0B4DC9">
      <w:pPr>
        <w:pStyle w:val="20"/>
        <w:keepNext w:val="0"/>
        <w:keepLines w:val="0"/>
        <w:pageBreakBefore w:val="0"/>
        <w:widowControl w:val="0"/>
        <w:kinsoku/>
        <w:wordWrap/>
        <w:overflowPunct/>
        <w:topLinePunct w:val="0"/>
        <w:autoSpaceDE w:val="0"/>
        <w:autoSpaceDN w:val="0"/>
        <w:bidi w:val="0"/>
        <w:adjustRightInd/>
        <w:snapToGrid/>
        <w:spacing w:beforeAutospacing="0" w:afterAutospacing="0" w:line="360" w:lineRule="auto"/>
        <w:ind w:left="0" w:leftChars="0" w:firstLine="480" w:firstLineChars="200"/>
        <w:jc w:val="left"/>
        <w:textAlignment w:val="auto"/>
        <w:rPr>
          <w:rFonts w:hint="eastAsia" w:ascii="仿宋" w:hAnsi="仿宋" w:eastAsia="仿宋" w:cs="仿宋"/>
          <w:b w:val="0"/>
          <w:bCs/>
          <w:color w:val="auto"/>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bidi="ar-SA"/>
        </w:rPr>
        <w:t>2.落实政府采购政策满足的资格要求：</w:t>
      </w:r>
    </w:p>
    <w:p w14:paraId="1909CB4B">
      <w:pPr>
        <w:pStyle w:val="83"/>
        <w:spacing w:line="360" w:lineRule="auto"/>
        <w:ind w:firstLine="482" w:firstLineChars="200"/>
        <w:jc w:val="left"/>
        <w:rPr>
          <w:rFonts w:hint="eastAsia" w:ascii="仿宋" w:hAnsi="仿宋" w:eastAsia="仿宋" w:cs="仿宋"/>
          <w:b/>
          <w:bCs w:val="0"/>
          <w:color w:val="auto"/>
          <w:sz w:val="24"/>
          <w:szCs w:val="24"/>
          <w:highlight w:val="none"/>
          <w:lang w:val="en-US" w:eastAsia="zh-CN" w:bidi="ar-SA"/>
        </w:rPr>
      </w:pPr>
      <w:r>
        <w:rPr>
          <w:rFonts w:hint="eastAsia" w:ascii="仿宋" w:hAnsi="仿宋" w:eastAsia="仿宋" w:cs="仿宋"/>
          <w:b/>
          <w:bCs w:val="0"/>
          <w:color w:val="auto"/>
          <w:sz w:val="24"/>
          <w:szCs w:val="24"/>
          <w:highlight w:val="none"/>
          <w:lang w:val="en-US" w:eastAsia="zh-CN" w:bidi="ar-SA"/>
        </w:rPr>
        <w:t>本项目属于专门面向中小企业采购项目，供应商应在响应文件中提供《中小企业声明函》或《残疾人福利性单位声明函》的证明文件。</w:t>
      </w:r>
    </w:p>
    <w:p w14:paraId="079B4560">
      <w:pPr>
        <w:pStyle w:val="20"/>
        <w:keepNext w:val="0"/>
        <w:keepLines w:val="0"/>
        <w:pageBreakBefore w:val="0"/>
        <w:widowControl w:val="0"/>
        <w:kinsoku/>
        <w:wordWrap/>
        <w:overflowPunct/>
        <w:topLinePunct w:val="0"/>
        <w:autoSpaceDE w:val="0"/>
        <w:autoSpaceDN w:val="0"/>
        <w:bidi w:val="0"/>
        <w:adjustRightInd/>
        <w:snapToGrid/>
        <w:spacing w:beforeAutospacing="0" w:afterAutospacing="0" w:line="360" w:lineRule="auto"/>
        <w:ind w:left="0" w:leftChars="0" w:firstLine="480" w:firstLineChars="200"/>
        <w:jc w:val="left"/>
        <w:textAlignment w:val="auto"/>
        <w:rPr>
          <w:rFonts w:hint="eastAsia" w:ascii="仿宋" w:hAnsi="仿宋" w:eastAsia="仿宋" w:cs="仿宋"/>
          <w:b w:val="0"/>
          <w:bCs/>
          <w:color w:val="auto"/>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bidi="ar-SA"/>
        </w:rPr>
        <w:t>3.本项目的特定资格要求：</w:t>
      </w:r>
    </w:p>
    <w:p w14:paraId="4B0AA929">
      <w:pPr>
        <w:pStyle w:val="20"/>
        <w:keepNext w:val="0"/>
        <w:keepLines w:val="0"/>
        <w:pageBreakBefore w:val="0"/>
        <w:widowControl w:val="0"/>
        <w:kinsoku/>
        <w:wordWrap w:val="0"/>
        <w:overflowPunct w:val="0"/>
        <w:topLinePunct/>
        <w:autoSpaceDE/>
        <w:autoSpaceDN/>
        <w:bidi w:val="0"/>
        <w:adjustRightInd/>
        <w:snapToGrid/>
        <w:spacing w:beforeAutospacing="0" w:after="0" w:afterAutospacing="0" w:line="360" w:lineRule="auto"/>
        <w:ind w:left="0" w:leftChars="0" w:right="0" w:firstLine="482" w:firstLineChars="200"/>
        <w:jc w:val="both"/>
        <w:textAlignment w:val="auto"/>
        <w:rPr>
          <w:rFonts w:hint="eastAsia" w:ascii="仿宋" w:hAnsi="仿宋" w:eastAsia="仿宋" w:cs="仿宋"/>
          <w:b/>
          <w:bCs w:val="0"/>
          <w:color w:val="auto"/>
          <w:sz w:val="24"/>
          <w:szCs w:val="24"/>
          <w:highlight w:val="none"/>
          <w:lang w:val="en-US" w:eastAsia="zh-CN" w:bidi="ar-SA"/>
        </w:rPr>
      </w:pPr>
      <w:r>
        <w:rPr>
          <w:rFonts w:hint="eastAsia" w:ascii="仿宋" w:hAnsi="仿宋" w:eastAsia="仿宋" w:cs="仿宋"/>
          <w:b/>
          <w:bCs w:val="0"/>
          <w:color w:val="auto"/>
          <w:sz w:val="24"/>
          <w:szCs w:val="24"/>
          <w:highlight w:val="none"/>
          <w:lang w:val="en-US" w:eastAsia="zh-CN" w:bidi="ar-SA"/>
        </w:rPr>
        <w:t>3.1.根据《关于在政府采购活动中查询及使用信用记录有关问题的通知》(财库[2016]125号)的规定，对列入严重失信主体名单、重大税收违法失信主体、政府采购严重违法失信行为记录名单的供应商，拒绝参与本项目政府采购活动。采购代理机构将在解密响应文件之前对参加本项目的供应商进行信用信息查询，截图打印，作为证据留存，供应商可不提供相关证明材料。</w:t>
      </w:r>
    </w:p>
    <w:p w14:paraId="289404E5">
      <w:pPr>
        <w:pStyle w:val="20"/>
        <w:keepNext w:val="0"/>
        <w:keepLines w:val="0"/>
        <w:pageBreakBefore w:val="0"/>
        <w:widowControl w:val="0"/>
        <w:kinsoku/>
        <w:wordWrap w:val="0"/>
        <w:overflowPunct w:val="0"/>
        <w:topLinePunct/>
        <w:autoSpaceDE/>
        <w:autoSpaceDN/>
        <w:bidi w:val="0"/>
        <w:adjustRightInd/>
        <w:snapToGrid/>
        <w:spacing w:beforeAutospacing="0" w:after="0" w:afterAutospacing="0" w:line="360" w:lineRule="auto"/>
        <w:ind w:left="0" w:leftChars="0" w:right="0" w:firstLine="482" w:firstLineChars="200"/>
        <w:jc w:val="left"/>
        <w:textAlignment w:val="auto"/>
        <w:rPr>
          <w:rFonts w:hint="eastAsia" w:ascii="仿宋" w:hAnsi="仿宋" w:eastAsia="仿宋" w:cs="仿宋"/>
          <w:b/>
          <w:bCs w:val="0"/>
          <w:color w:val="auto"/>
          <w:sz w:val="24"/>
          <w:szCs w:val="24"/>
          <w:highlight w:val="none"/>
          <w:lang w:val="en-US" w:eastAsia="zh-CN" w:bidi="ar-SA"/>
        </w:rPr>
      </w:pPr>
      <w:r>
        <w:rPr>
          <w:rFonts w:hint="eastAsia" w:ascii="仿宋" w:hAnsi="仿宋" w:eastAsia="仿宋" w:cs="仿宋"/>
          <w:b/>
          <w:bCs w:val="0"/>
          <w:color w:val="auto"/>
          <w:sz w:val="24"/>
          <w:szCs w:val="24"/>
          <w:highlight w:val="none"/>
          <w:lang w:val="en-US" w:eastAsia="zh-CN" w:bidi="ar-SA"/>
        </w:rPr>
        <w:t>3.2.单位负责人为同一人或者存在直接控股、管理关系的不同供应商，不得参加本合同项下的政府采购活动。供应商自行承诺并承担后果，声明函不实的，按《政府采购法》有关提供虚假材料的有关规定给予处罚。</w:t>
      </w:r>
    </w:p>
    <w:p w14:paraId="1AE7891D">
      <w:pPr>
        <w:pStyle w:val="20"/>
        <w:keepNext w:val="0"/>
        <w:keepLines w:val="0"/>
        <w:pageBreakBefore w:val="0"/>
        <w:widowControl w:val="0"/>
        <w:kinsoku/>
        <w:wordWrap w:val="0"/>
        <w:overflowPunct w:val="0"/>
        <w:topLinePunct/>
        <w:autoSpaceDE/>
        <w:autoSpaceDN/>
        <w:bidi w:val="0"/>
        <w:adjustRightInd/>
        <w:snapToGrid/>
        <w:spacing w:beforeAutospacing="0" w:after="0" w:afterAutospacing="0" w:line="360" w:lineRule="auto"/>
        <w:ind w:left="0" w:leftChars="0" w:right="0" w:firstLine="482" w:firstLineChars="200"/>
        <w:jc w:val="left"/>
        <w:textAlignment w:val="auto"/>
        <w:rPr>
          <w:rFonts w:hint="eastAsia" w:ascii="仿宋" w:hAnsi="仿宋" w:eastAsia="仿宋" w:cs="仿宋"/>
          <w:b/>
          <w:bCs w:val="0"/>
          <w:color w:val="auto"/>
          <w:sz w:val="24"/>
          <w:szCs w:val="24"/>
          <w:highlight w:val="none"/>
          <w:lang w:val="en-US" w:eastAsia="zh-CN" w:bidi="ar-SA"/>
        </w:rPr>
      </w:pPr>
      <w:r>
        <w:rPr>
          <w:rFonts w:hint="eastAsia" w:ascii="仿宋" w:hAnsi="仿宋" w:eastAsia="仿宋" w:cs="仿宋"/>
          <w:b/>
          <w:bCs w:val="0"/>
          <w:color w:val="auto"/>
          <w:sz w:val="24"/>
          <w:szCs w:val="24"/>
          <w:highlight w:val="none"/>
          <w:lang w:val="en-US" w:eastAsia="zh-CN" w:bidi="ar-SA"/>
        </w:rPr>
        <w:t>3.3.为本招标项目提供整体设计、规范编制或者项目管理、监理、检测等服务的供应商，不得再参加本招标项目。供应商自行承诺并承担后果，声明函不实的，按《政府采购法》有关提供虚假材料的有关规定给予处罚。</w:t>
      </w:r>
    </w:p>
    <w:p w14:paraId="674E1BAE">
      <w:pPr>
        <w:pStyle w:val="20"/>
        <w:keepNext w:val="0"/>
        <w:keepLines w:val="0"/>
        <w:pageBreakBefore w:val="0"/>
        <w:widowControl w:val="0"/>
        <w:kinsoku/>
        <w:wordWrap w:val="0"/>
        <w:overflowPunct w:val="0"/>
        <w:topLinePunct/>
        <w:autoSpaceDE/>
        <w:autoSpaceDN/>
        <w:bidi w:val="0"/>
        <w:adjustRightInd/>
        <w:snapToGrid/>
        <w:spacing w:beforeAutospacing="0" w:after="0" w:afterAutospacing="0" w:line="360" w:lineRule="auto"/>
        <w:ind w:left="0" w:leftChars="0" w:right="0" w:firstLine="480" w:firstLineChars="200"/>
        <w:jc w:val="left"/>
        <w:textAlignment w:val="auto"/>
        <w:rPr>
          <w:rFonts w:hint="eastAsia" w:ascii="仿宋" w:hAnsi="仿宋" w:eastAsia="仿宋" w:cs="仿宋"/>
          <w:b w:val="0"/>
          <w:bCs/>
          <w:color w:val="auto"/>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bidi="ar-SA"/>
        </w:rPr>
        <w:t>3.4.具备法律、行政法规规定的其他条件。</w:t>
      </w:r>
    </w:p>
    <w:p w14:paraId="6EFAE37A">
      <w:pPr>
        <w:pStyle w:val="20"/>
        <w:keepNext w:val="0"/>
        <w:keepLines w:val="0"/>
        <w:pageBreakBefore w:val="0"/>
        <w:widowControl w:val="0"/>
        <w:kinsoku/>
        <w:wordWrap/>
        <w:overflowPunct/>
        <w:topLinePunct w:val="0"/>
        <w:autoSpaceDE w:val="0"/>
        <w:autoSpaceDN w:val="0"/>
        <w:bidi w:val="0"/>
        <w:adjustRightInd/>
        <w:snapToGrid/>
        <w:spacing w:beforeAutospacing="0" w:afterAutospacing="0" w:line="360" w:lineRule="auto"/>
        <w:ind w:left="0" w:leftChars="0" w:firstLine="480" w:firstLineChars="200"/>
        <w:jc w:val="left"/>
        <w:textAlignment w:val="auto"/>
        <w:rPr>
          <w:rFonts w:hint="eastAsia" w:ascii="仿宋" w:hAnsi="仿宋" w:eastAsia="仿宋" w:cs="仿宋"/>
          <w:b w:val="0"/>
          <w:bCs/>
          <w:color w:val="auto"/>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bidi="ar-SA"/>
        </w:rPr>
        <w:t>3.5. 所有证照均应在有效期内，证照如需年检的、应为经年检有效的证照；文中“近”“前”指距投标截止时间。</w:t>
      </w:r>
    </w:p>
    <w:p w14:paraId="244665BE">
      <w:pPr>
        <w:pStyle w:val="20"/>
        <w:keepNext w:val="0"/>
        <w:keepLines w:val="0"/>
        <w:pageBreakBefore w:val="0"/>
        <w:widowControl w:val="0"/>
        <w:kinsoku/>
        <w:wordWrap/>
        <w:overflowPunct/>
        <w:topLinePunct w:val="0"/>
        <w:autoSpaceDE w:val="0"/>
        <w:autoSpaceDN w:val="0"/>
        <w:bidi w:val="0"/>
        <w:adjustRightInd/>
        <w:snapToGrid/>
        <w:spacing w:beforeAutospacing="0" w:afterAutospacing="0" w:line="360" w:lineRule="auto"/>
        <w:ind w:left="0" w:leftChars="0" w:firstLine="480" w:firstLineChars="200"/>
        <w:jc w:val="left"/>
        <w:textAlignment w:val="auto"/>
        <w:rPr>
          <w:rFonts w:hint="eastAsia" w:ascii="仿宋" w:hAnsi="仿宋" w:eastAsia="仿宋" w:cs="仿宋"/>
          <w:b w:val="0"/>
          <w:bCs/>
          <w:color w:val="auto"/>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bidi="ar-SA"/>
        </w:rPr>
        <w:t>3.6. 资格证明材料（文件）应附于响应文件中并经供应商电子签章。供应商对资格证明文件真实性有效合规承担责任，提供虚假材料的为无效投标并将进一步追究其责任。</w:t>
      </w:r>
    </w:p>
    <w:p w14:paraId="69975557">
      <w:pPr>
        <w:pStyle w:val="20"/>
        <w:keepNext w:val="0"/>
        <w:keepLines w:val="0"/>
        <w:pageBreakBefore w:val="0"/>
        <w:widowControl w:val="0"/>
        <w:kinsoku/>
        <w:wordWrap/>
        <w:overflowPunct/>
        <w:topLinePunct w:val="0"/>
        <w:autoSpaceDE w:val="0"/>
        <w:autoSpaceDN w:val="0"/>
        <w:bidi w:val="0"/>
        <w:adjustRightInd/>
        <w:snapToGrid/>
        <w:spacing w:beforeAutospacing="0" w:afterAutospacing="0" w:line="360" w:lineRule="auto"/>
        <w:ind w:left="0" w:leftChars="0" w:firstLine="480" w:firstLineChars="200"/>
        <w:jc w:val="left"/>
        <w:textAlignment w:val="auto"/>
        <w:rPr>
          <w:rFonts w:hint="eastAsia" w:ascii="仿宋" w:hAnsi="仿宋" w:eastAsia="仿宋" w:cs="仿宋"/>
          <w:b w:val="0"/>
          <w:bCs/>
          <w:color w:val="auto"/>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bidi="ar-SA"/>
        </w:rPr>
        <w:t>3.7. 本项目采取资格后审，未按要求逐一提供或资格审查不合格的为无效投标，供应商应自负其风险费用。</w:t>
      </w:r>
    </w:p>
    <w:p w14:paraId="36A9BA83">
      <w:pPr>
        <w:pStyle w:val="20"/>
        <w:keepNext w:val="0"/>
        <w:keepLines w:val="0"/>
        <w:pageBreakBefore w:val="0"/>
        <w:widowControl w:val="0"/>
        <w:kinsoku/>
        <w:wordWrap/>
        <w:overflowPunct/>
        <w:topLinePunct w:val="0"/>
        <w:bidi w:val="0"/>
        <w:adjustRightInd/>
        <w:snapToGrid/>
        <w:spacing w:beforeAutospacing="0" w:afterAutospacing="0" w:line="420" w:lineRule="exact"/>
        <w:ind w:left="0" w:leftChars="0" w:firstLine="482" w:firstLineChars="200"/>
        <w:textAlignment w:val="auto"/>
        <w:rPr>
          <w:rFonts w:hint="eastAsia" w:ascii="仿宋" w:hAnsi="仿宋" w:eastAsia="仿宋" w:cs="仿宋"/>
          <w:b/>
          <w:bCs/>
          <w:color w:val="auto"/>
          <w:szCs w:val="24"/>
          <w:highlight w:val="none"/>
        </w:rPr>
      </w:pPr>
      <w:r>
        <w:rPr>
          <w:rFonts w:hint="eastAsia" w:ascii="仿宋" w:hAnsi="仿宋" w:eastAsia="仿宋" w:cs="仿宋"/>
          <w:b/>
          <w:bCs/>
          <w:color w:val="auto"/>
          <w:szCs w:val="24"/>
          <w:highlight w:val="none"/>
          <w:lang w:eastAsia="zh-CN"/>
        </w:rPr>
        <w:t>四</w:t>
      </w:r>
      <w:r>
        <w:rPr>
          <w:rFonts w:hint="eastAsia" w:ascii="仿宋" w:hAnsi="仿宋" w:eastAsia="仿宋" w:cs="仿宋"/>
          <w:b/>
          <w:bCs/>
          <w:color w:val="auto"/>
          <w:szCs w:val="24"/>
          <w:highlight w:val="none"/>
        </w:rPr>
        <w:t>、获取竞争性磋商文件</w:t>
      </w:r>
    </w:p>
    <w:p w14:paraId="2495025A">
      <w:pPr>
        <w:pStyle w:val="20"/>
        <w:keepNext w:val="0"/>
        <w:keepLines w:val="0"/>
        <w:pageBreakBefore w:val="0"/>
        <w:widowControl w:val="0"/>
        <w:kinsoku/>
        <w:wordWrap/>
        <w:overflowPunct/>
        <w:topLinePunct w:val="0"/>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1.时间：</w:t>
      </w:r>
      <w:r>
        <w:rPr>
          <w:rFonts w:hint="eastAsia" w:ascii="仿宋" w:hAnsi="仿宋" w:eastAsia="仿宋" w:cs="仿宋"/>
          <w:color w:val="auto"/>
          <w:szCs w:val="24"/>
          <w:highlight w:val="none"/>
          <w:lang w:eastAsia="zh-CN"/>
        </w:rPr>
        <w:t>2026</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年</w:t>
      </w:r>
      <w:r>
        <w:rPr>
          <w:rFonts w:hint="eastAsia" w:ascii="仿宋" w:hAnsi="仿宋" w:eastAsia="仿宋" w:cs="仿宋"/>
          <w:color w:val="auto"/>
          <w:szCs w:val="24"/>
          <w:highlight w:val="none"/>
          <w:lang w:val="en-US" w:eastAsia="zh-CN"/>
        </w:rPr>
        <w:t xml:space="preserve">10 </w:t>
      </w:r>
      <w:r>
        <w:rPr>
          <w:rFonts w:hint="eastAsia" w:ascii="仿宋" w:hAnsi="仿宋" w:eastAsia="仿宋" w:cs="仿宋"/>
          <w:color w:val="auto"/>
          <w:szCs w:val="24"/>
          <w:highlight w:val="none"/>
        </w:rPr>
        <w:t>月</w:t>
      </w:r>
      <w:r>
        <w:rPr>
          <w:rFonts w:hint="eastAsia" w:ascii="仿宋" w:hAnsi="仿宋" w:eastAsia="仿宋" w:cs="仿宋"/>
          <w:color w:val="auto"/>
          <w:szCs w:val="24"/>
          <w:highlight w:val="none"/>
          <w:lang w:val="en-US" w:eastAsia="zh-CN"/>
        </w:rPr>
        <w:t xml:space="preserve"> 14 </w:t>
      </w:r>
      <w:r>
        <w:rPr>
          <w:rFonts w:hint="eastAsia" w:ascii="仿宋" w:hAnsi="仿宋" w:eastAsia="仿宋" w:cs="仿宋"/>
          <w:color w:val="auto"/>
          <w:szCs w:val="24"/>
          <w:highlight w:val="none"/>
        </w:rPr>
        <w:t>日至</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lang w:eastAsia="zh-CN"/>
        </w:rPr>
        <w:t>2026</w:t>
      </w:r>
      <w:r>
        <w:rPr>
          <w:rFonts w:hint="eastAsia" w:ascii="仿宋" w:hAnsi="仿宋" w:eastAsia="仿宋" w:cs="仿宋"/>
          <w:color w:val="auto"/>
          <w:szCs w:val="24"/>
          <w:highlight w:val="none"/>
        </w:rPr>
        <w:t>年</w:t>
      </w:r>
      <w:r>
        <w:rPr>
          <w:rFonts w:hint="eastAsia" w:ascii="仿宋" w:hAnsi="仿宋" w:eastAsia="仿宋" w:cs="仿宋"/>
          <w:color w:val="auto"/>
          <w:szCs w:val="24"/>
          <w:highlight w:val="none"/>
          <w:lang w:val="en-US" w:eastAsia="zh-CN"/>
        </w:rPr>
        <w:t xml:space="preserve">10 </w:t>
      </w:r>
      <w:r>
        <w:rPr>
          <w:rFonts w:hint="eastAsia" w:ascii="仿宋" w:hAnsi="仿宋" w:eastAsia="仿宋" w:cs="仿宋"/>
          <w:color w:val="auto"/>
          <w:szCs w:val="24"/>
          <w:highlight w:val="none"/>
        </w:rPr>
        <w:t>月</w:t>
      </w:r>
      <w:r>
        <w:rPr>
          <w:rFonts w:hint="eastAsia" w:ascii="仿宋" w:hAnsi="仿宋" w:eastAsia="仿宋" w:cs="仿宋"/>
          <w:color w:val="auto"/>
          <w:szCs w:val="24"/>
          <w:highlight w:val="none"/>
          <w:lang w:val="en-US" w:eastAsia="zh-CN"/>
        </w:rPr>
        <w:t xml:space="preserve"> 21 </w:t>
      </w:r>
      <w:r>
        <w:rPr>
          <w:rFonts w:hint="eastAsia" w:ascii="仿宋" w:hAnsi="仿宋" w:eastAsia="仿宋" w:cs="仿宋"/>
          <w:color w:val="auto"/>
          <w:szCs w:val="24"/>
          <w:highlight w:val="none"/>
        </w:rPr>
        <w:t>日，每天上午00:00至12:00，下午12:00至23:59（北京时间，法定节假日除外。）</w:t>
      </w:r>
    </w:p>
    <w:p w14:paraId="3D60B4C9">
      <w:pPr>
        <w:pStyle w:val="20"/>
        <w:keepNext w:val="0"/>
        <w:keepLines w:val="0"/>
        <w:pageBreakBefore w:val="0"/>
        <w:widowControl w:val="0"/>
        <w:kinsoku/>
        <w:wordWrap/>
        <w:overflowPunct/>
        <w:topLinePunct w:val="0"/>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 xml:space="preserve">2.地点：全国公共资源交易平台（河南省˙汤阴县）（网上登录获取） </w:t>
      </w:r>
    </w:p>
    <w:p w14:paraId="7B78B7AB">
      <w:pPr>
        <w:pStyle w:val="20"/>
        <w:keepNext w:val="0"/>
        <w:keepLines w:val="0"/>
        <w:pageBreakBefore w:val="0"/>
        <w:widowControl w:val="0"/>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3.方式：</w:t>
      </w:r>
      <w:r>
        <w:rPr>
          <w:rFonts w:hint="eastAsia" w:ascii="仿宋" w:hAnsi="仿宋" w:eastAsia="仿宋" w:cs="仿宋"/>
          <w:b/>
          <w:bCs/>
          <w:color w:val="auto"/>
          <w:szCs w:val="24"/>
          <w:highlight w:val="none"/>
        </w:rPr>
        <w:t>网上获取，</w:t>
      </w:r>
      <w:r>
        <w:rPr>
          <w:rFonts w:hint="eastAsia" w:ascii="仿宋" w:hAnsi="仿宋" w:eastAsia="仿宋" w:cs="仿宋"/>
          <w:color w:val="auto"/>
          <w:szCs w:val="24"/>
          <w:highlight w:val="none"/>
        </w:rPr>
        <w:t>供应商需在全国公共资源交易平台（河南省˙汤阴县）（</w:t>
      </w:r>
      <w:r>
        <w:rPr>
          <w:rFonts w:hint="eastAsia" w:ascii="仿宋" w:hAnsi="仿宋" w:eastAsia="仿宋" w:cs="仿宋"/>
          <w:color w:val="auto"/>
          <w:szCs w:val="24"/>
          <w:highlight w:val="none"/>
          <w:lang w:eastAsia="zh-CN"/>
        </w:rPr>
        <w:t>https://ggzy.anyang.gov.cn/tyggzy/</w:t>
      </w:r>
      <w:r>
        <w:rPr>
          <w:rFonts w:hint="eastAsia" w:ascii="仿宋" w:hAnsi="仿宋" w:eastAsia="仿宋" w:cs="仿宋"/>
          <w:color w:val="auto"/>
          <w:szCs w:val="24"/>
          <w:highlight w:val="none"/>
        </w:rPr>
        <w:t>），凭企业数字证书登录系统，获取电子版采购文件及其他招标资料</w:t>
      </w:r>
      <w:r>
        <w:rPr>
          <w:rFonts w:hint="eastAsia" w:ascii="仿宋" w:hAnsi="仿宋" w:eastAsia="仿宋" w:cs="仿宋"/>
          <w:color w:val="auto"/>
          <w:szCs w:val="24"/>
          <w:highlight w:val="none"/>
          <w:lang w:eastAsia="zh-CN"/>
        </w:rPr>
        <w:t>（</w:t>
      </w:r>
      <w:r>
        <w:rPr>
          <w:rFonts w:hint="eastAsia" w:ascii="仿宋" w:hAnsi="仿宋" w:eastAsia="仿宋" w:cs="仿宋"/>
          <w:b/>
          <w:bCs/>
          <w:color w:val="auto"/>
          <w:szCs w:val="24"/>
          <w:highlight w:val="none"/>
          <w:lang w:val="en-US" w:eastAsia="zh-CN"/>
        </w:rPr>
        <w:t>唯一途径）</w:t>
      </w:r>
      <w:r>
        <w:rPr>
          <w:rFonts w:hint="eastAsia" w:ascii="仿宋" w:hAnsi="仿宋" w:eastAsia="仿宋" w:cs="仿宋"/>
          <w:color w:val="auto"/>
          <w:szCs w:val="24"/>
          <w:highlight w:val="none"/>
        </w:rPr>
        <w:t xml:space="preserve">。 </w:t>
      </w:r>
    </w:p>
    <w:p w14:paraId="3ECEBB28">
      <w:pPr>
        <w:pStyle w:val="20"/>
        <w:keepNext w:val="0"/>
        <w:keepLines w:val="0"/>
        <w:pageBreakBefore w:val="0"/>
        <w:widowControl w:val="0"/>
        <w:kinsoku/>
        <w:wordWrap/>
        <w:overflowPunct/>
        <w:topLinePunct w:val="0"/>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4.售价：0元</w:t>
      </w:r>
    </w:p>
    <w:p w14:paraId="0C0A18D7">
      <w:pPr>
        <w:pStyle w:val="20"/>
        <w:keepNext w:val="0"/>
        <w:keepLines w:val="0"/>
        <w:pageBreakBefore w:val="0"/>
        <w:widowControl w:val="0"/>
        <w:kinsoku/>
        <w:wordWrap/>
        <w:overflowPunct/>
        <w:topLinePunct w:val="0"/>
        <w:bidi w:val="0"/>
        <w:adjustRightInd/>
        <w:snapToGrid/>
        <w:spacing w:beforeAutospacing="0" w:afterAutospacing="0" w:line="420" w:lineRule="exact"/>
        <w:ind w:left="0" w:leftChars="0" w:firstLine="482" w:firstLineChars="200"/>
        <w:textAlignment w:val="auto"/>
        <w:rPr>
          <w:rFonts w:hint="eastAsia" w:ascii="仿宋" w:hAnsi="仿宋" w:eastAsia="仿宋" w:cs="仿宋"/>
          <w:b/>
          <w:bCs/>
          <w:color w:val="auto"/>
          <w:szCs w:val="24"/>
          <w:highlight w:val="none"/>
          <w:lang w:eastAsia="zh-CN"/>
        </w:rPr>
      </w:pPr>
      <w:r>
        <w:rPr>
          <w:rFonts w:hint="eastAsia" w:ascii="仿宋" w:hAnsi="仿宋" w:eastAsia="仿宋" w:cs="仿宋"/>
          <w:b/>
          <w:bCs/>
          <w:color w:val="auto"/>
          <w:szCs w:val="24"/>
          <w:highlight w:val="none"/>
          <w:lang w:eastAsia="zh-CN"/>
        </w:rPr>
        <w:t>五</w:t>
      </w:r>
      <w:r>
        <w:rPr>
          <w:rFonts w:hint="eastAsia" w:ascii="仿宋" w:hAnsi="仿宋" w:eastAsia="仿宋" w:cs="仿宋"/>
          <w:b/>
          <w:bCs/>
          <w:color w:val="auto"/>
          <w:szCs w:val="24"/>
          <w:highlight w:val="none"/>
        </w:rPr>
        <w:t>、响应文件</w:t>
      </w:r>
      <w:r>
        <w:rPr>
          <w:rFonts w:hint="eastAsia" w:ascii="仿宋" w:hAnsi="仿宋" w:eastAsia="仿宋" w:cs="仿宋"/>
          <w:b/>
          <w:bCs/>
          <w:color w:val="auto"/>
          <w:szCs w:val="24"/>
          <w:highlight w:val="none"/>
          <w:lang w:val="en-US" w:eastAsia="zh-CN"/>
        </w:rPr>
        <w:t>递交</w:t>
      </w:r>
    </w:p>
    <w:p w14:paraId="32A606CE">
      <w:pPr>
        <w:pStyle w:val="20"/>
        <w:keepNext w:val="0"/>
        <w:keepLines w:val="0"/>
        <w:pageBreakBefore w:val="0"/>
        <w:widowControl w:val="0"/>
        <w:kinsoku/>
        <w:wordWrap/>
        <w:overflowPunct/>
        <w:topLinePunct w:val="0"/>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1.时</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间：</w:t>
      </w:r>
      <w:r>
        <w:rPr>
          <w:rFonts w:hint="eastAsia" w:ascii="仿宋" w:hAnsi="仿宋" w:eastAsia="仿宋" w:cs="仿宋"/>
          <w:b/>
          <w:bCs/>
          <w:color w:val="auto"/>
          <w:szCs w:val="24"/>
          <w:highlight w:val="none"/>
          <w:lang w:eastAsia="zh-CN"/>
        </w:rPr>
        <w:t>2026</w:t>
      </w:r>
      <w:r>
        <w:rPr>
          <w:rFonts w:hint="eastAsia" w:ascii="仿宋" w:hAnsi="仿宋" w:eastAsia="仿宋" w:cs="仿宋"/>
          <w:b/>
          <w:bCs/>
          <w:color w:val="auto"/>
          <w:szCs w:val="24"/>
          <w:highlight w:val="none"/>
          <w:lang w:val="en-US" w:eastAsia="zh-CN"/>
        </w:rPr>
        <w:t xml:space="preserve"> </w:t>
      </w:r>
      <w:r>
        <w:rPr>
          <w:rFonts w:hint="eastAsia" w:ascii="仿宋" w:hAnsi="仿宋" w:eastAsia="仿宋" w:cs="仿宋"/>
          <w:b/>
          <w:bCs/>
          <w:color w:val="auto"/>
          <w:szCs w:val="24"/>
          <w:highlight w:val="none"/>
        </w:rPr>
        <w:t>年</w:t>
      </w:r>
      <w:r>
        <w:rPr>
          <w:rFonts w:hint="eastAsia" w:ascii="仿宋" w:hAnsi="仿宋" w:eastAsia="仿宋" w:cs="仿宋"/>
          <w:b/>
          <w:bCs/>
          <w:color w:val="auto"/>
          <w:szCs w:val="24"/>
          <w:highlight w:val="none"/>
          <w:lang w:val="en-US" w:eastAsia="zh-CN"/>
        </w:rPr>
        <w:t xml:space="preserve"> 10 </w:t>
      </w:r>
      <w:r>
        <w:rPr>
          <w:rFonts w:hint="eastAsia" w:ascii="仿宋" w:hAnsi="仿宋" w:eastAsia="仿宋" w:cs="仿宋"/>
          <w:b/>
          <w:bCs/>
          <w:color w:val="auto"/>
          <w:szCs w:val="24"/>
          <w:highlight w:val="none"/>
        </w:rPr>
        <w:t>月</w:t>
      </w:r>
      <w:r>
        <w:rPr>
          <w:rFonts w:hint="eastAsia" w:ascii="仿宋" w:hAnsi="仿宋" w:eastAsia="仿宋" w:cs="仿宋"/>
          <w:b/>
          <w:bCs/>
          <w:color w:val="auto"/>
          <w:szCs w:val="24"/>
          <w:highlight w:val="none"/>
          <w:lang w:val="en-US" w:eastAsia="zh-CN"/>
        </w:rPr>
        <w:t xml:space="preserve"> 27 </w:t>
      </w:r>
      <w:r>
        <w:rPr>
          <w:rFonts w:hint="eastAsia" w:ascii="仿宋" w:hAnsi="仿宋" w:eastAsia="仿宋" w:cs="仿宋"/>
          <w:b/>
          <w:bCs/>
          <w:color w:val="auto"/>
          <w:szCs w:val="24"/>
          <w:highlight w:val="none"/>
        </w:rPr>
        <w:t>日</w:t>
      </w:r>
      <w:r>
        <w:rPr>
          <w:rFonts w:hint="eastAsia" w:ascii="仿宋" w:hAnsi="仿宋" w:eastAsia="仿宋" w:cs="仿宋"/>
          <w:b/>
          <w:bCs/>
          <w:color w:val="auto"/>
          <w:szCs w:val="24"/>
          <w:highlight w:val="none"/>
          <w:lang w:val="en-US" w:eastAsia="zh-CN"/>
        </w:rPr>
        <w:t xml:space="preserve"> </w:t>
      </w:r>
      <w:r>
        <w:rPr>
          <w:rFonts w:hint="eastAsia" w:ascii="仿宋" w:hAnsi="仿宋" w:eastAsia="仿宋" w:cs="仿宋"/>
          <w:b/>
          <w:bCs/>
          <w:color w:val="auto"/>
          <w:szCs w:val="24"/>
          <w:highlight w:val="none"/>
        </w:rPr>
        <w:t>9</w:t>
      </w:r>
      <w:r>
        <w:rPr>
          <w:rFonts w:hint="eastAsia" w:ascii="仿宋" w:hAnsi="仿宋" w:eastAsia="仿宋" w:cs="仿宋"/>
          <w:b/>
          <w:bCs/>
          <w:color w:val="auto"/>
          <w:szCs w:val="24"/>
          <w:highlight w:val="none"/>
          <w:lang w:val="en-US" w:eastAsia="zh-CN"/>
        </w:rPr>
        <w:t xml:space="preserve"> </w:t>
      </w:r>
      <w:r>
        <w:rPr>
          <w:rFonts w:hint="eastAsia" w:ascii="仿宋" w:hAnsi="仿宋" w:eastAsia="仿宋" w:cs="仿宋"/>
          <w:b/>
          <w:bCs/>
          <w:color w:val="auto"/>
          <w:szCs w:val="24"/>
          <w:highlight w:val="none"/>
        </w:rPr>
        <w:t>时</w:t>
      </w:r>
      <w:r>
        <w:rPr>
          <w:rFonts w:hint="eastAsia" w:ascii="仿宋" w:hAnsi="仿宋" w:eastAsia="仿宋" w:cs="仿宋"/>
          <w:b/>
          <w:bCs/>
          <w:color w:val="auto"/>
          <w:szCs w:val="24"/>
          <w:highlight w:val="none"/>
          <w:lang w:val="en-US" w:eastAsia="zh-CN"/>
        </w:rPr>
        <w:t xml:space="preserve"> </w:t>
      </w:r>
      <w:r>
        <w:rPr>
          <w:rFonts w:hint="eastAsia" w:ascii="仿宋" w:hAnsi="仿宋" w:eastAsia="仿宋" w:cs="仿宋"/>
          <w:b/>
          <w:bCs/>
          <w:color w:val="auto"/>
          <w:szCs w:val="24"/>
          <w:highlight w:val="none"/>
        </w:rPr>
        <w:t>00</w:t>
      </w:r>
      <w:r>
        <w:rPr>
          <w:rFonts w:hint="eastAsia" w:ascii="仿宋" w:hAnsi="仿宋" w:eastAsia="仿宋" w:cs="仿宋"/>
          <w:b/>
          <w:bCs/>
          <w:color w:val="auto"/>
          <w:szCs w:val="24"/>
          <w:highlight w:val="none"/>
          <w:lang w:val="en-US" w:eastAsia="zh-CN"/>
        </w:rPr>
        <w:t xml:space="preserve"> </w:t>
      </w:r>
      <w:r>
        <w:rPr>
          <w:rFonts w:hint="eastAsia" w:ascii="仿宋" w:hAnsi="仿宋" w:eastAsia="仿宋" w:cs="仿宋"/>
          <w:b/>
          <w:bCs/>
          <w:color w:val="auto"/>
          <w:szCs w:val="24"/>
          <w:highlight w:val="none"/>
        </w:rPr>
        <w:t>分</w:t>
      </w:r>
      <w:r>
        <w:rPr>
          <w:rFonts w:hint="eastAsia" w:ascii="仿宋" w:hAnsi="仿宋" w:eastAsia="仿宋" w:cs="仿宋"/>
          <w:color w:val="auto"/>
          <w:szCs w:val="24"/>
          <w:highlight w:val="none"/>
        </w:rPr>
        <w:t>（北京时间）</w:t>
      </w:r>
    </w:p>
    <w:p w14:paraId="4F86B816">
      <w:pPr>
        <w:pStyle w:val="20"/>
        <w:keepNext w:val="0"/>
        <w:keepLines w:val="0"/>
        <w:pageBreakBefore w:val="0"/>
        <w:widowControl w:val="0"/>
        <w:kinsoku/>
        <w:wordWrap/>
        <w:overflowPunct/>
        <w:topLinePunct w:val="0"/>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lang w:val="en-US" w:eastAsia="zh-CN"/>
        </w:rPr>
        <w:t>2.递交方式</w:t>
      </w:r>
      <w:r>
        <w:rPr>
          <w:rFonts w:hint="eastAsia" w:ascii="仿宋" w:hAnsi="仿宋" w:eastAsia="仿宋" w:cs="仿宋"/>
          <w:b/>
          <w:bCs/>
          <w:color w:val="auto"/>
          <w:szCs w:val="24"/>
          <w:highlight w:val="none"/>
          <w:lang w:val="en-US" w:eastAsia="zh-CN"/>
        </w:rPr>
        <w:t>：供应商应在投标截止时间前上传加密的电子响应文件到全国公共资源交易平台（河南省˙汤阴县）（https://ggzy.anyang.gov.cn/tyggzy/）。上传时供应商须使用制作该响应文件的同一 CA锁进行上传操作。请供应商在上传时认真检查上传响应文件是否完整、正确。供应商应充分考虑上传文件时的不可预见因素，未在投标截止时间前完成上传的，视为逾期送达，电子招投标交易平台将拒绝接收。</w:t>
      </w:r>
    </w:p>
    <w:p w14:paraId="6D7B1D53">
      <w:pPr>
        <w:pStyle w:val="20"/>
        <w:keepNext w:val="0"/>
        <w:keepLines w:val="0"/>
        <w:pageBreakBefore w:val="0"/>
        <w:widowControl w:val="0"/>
        <w:kinsoku/>
        <w:wordWrap/>
        <w:overflowPunct/>
        <w:topLinePunct w:val="0"/>
        <w:bidi w:val="0"/>
        <w:adjustRightInd/>
        <w:snapToGrid/>
        <w:spacing w:beforeAutospacing="0" w:afterAutospacing="0" w:line="420" w:lineRule="exact"/>
        <w:ind w:left="0" w:leftChars="0" w:firstLine="482" w:firstLineChars="200"/>
        <w:textAlignment w:val="auto"/>
        <w:rPr>
          <w:rFonts w:hint="eastAsia" w:ascii="仿宋" w:hAnsi="仿宋" w:eastAsia="仿宋" w:cs="仿宋"/>
          <w:b/>
          <w:bCs/>
          <w:color w:val="auto"/>
          <w:szCs w:val="24"/>
          <w:highlight w:val="none"/>
        </w:rPr>
      </w:pPr>
      <w:r>
        <w:rPr>
          <w:rFonts w:hint="eastAsia" w:ascii="仿宋" w:hAnsi="仿宋" w:eastAsia="仿宋" w:cs="仿宋"/>
          <w:b/>
          <w:bCs/>
          <w:color w:val="auto"/>
          <w:szCs w:val="24"/>
          <w:highlight w:val="none"/>
          <w:lang w:eastAsia="zh-CN"/>
        </w:rPr>
        <w:t>六</w:t>
      </w:r>
      <w:r>
        <w:rPr>
          <w:rFonts w:hint="eastAsia" w:ascii="仿宋" w:hAnsi="仿宋" w:eastAsia="仿宋" w:cs="仿宋"/>
          <w:b/>
          <w:bCs/>
          <w:color w:val="auto"/>
          <w:szCs w:val="24"/>
          <w:highlight w:val="none"/>
        </w:rPr>
        <w:t>、响应文件开启</w:t>
      </w:r>
    </w:p>
    <w:p w14:paraId="232CA58D">
      <w:pPr>
        <w:pStyle w:val="20"/>
        <w:keepNext w:val="0"/>
        <w:keepLines w:val="0"/>
        <w:pageBreakBefore w:val="0"/>
        <w:widowControl w:val="0"/>
        <w:kinsoku/>
        <w:wordWrap/>
        <w:overflowPunct/>
        <w:topLinePunct w:val="0"/>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1.时间：</w:t>
      </w:r>
      <w:r>
        <w:rPr>
          <w:rFonts w:hint="eastAsia" w:ascii="仿宋" w:hAnsi="仿宋" w:eastAsia="仿宋" w:cs="仿宋"/>
          <w:b/>
          <w:bCs/>
          <w:color w:val="auto"/>
          <w:szCs w:val="24"/>
          <w:highlight w:val="none"/>
          <w:lang w:eastAsia="zh-CN"/>
        </w:rPr>
        <w:t>2026</w:t>
      </w:r>
      <w:r>
        <w:rPr>
          <w:rFonts w:hint="eastAsia" w:ascii="仿宋" w:hAnsi="仿宋" w:eastAsia="仿宋" w:cs="仿宋"/>
          <w:b/>
          <w:bCs/>
          <w:color w:val="auto"/>
          <w:szCs w:val="24"/>
          <w:highlight w:val="none"/>
          <w:lang w:val="en-US" w:eastAsia="zh-CN"/>
        </w:rPr>
        <w:t xml:space="preserve"> </w:t>
      </w:r>
      <w:r>
        <w:rPr>
          <w:rFonts w:hint="eastAsia" w:ascii="仿宋" w:hAnsi="仿宋" w:eastAsia="仿宋" w:cs="仿宋"/>
          <w:b/>
          <w:bCs/>
          <w:color w:val="auto"/>
          <w:szCs w:val="24"/>
          <w:highlight w:val="none"/>
        </w:rPr>
        <w:t>年</w:t>
      </w:r>
      <w:r>
        <w:rPr>
          <w:rFonts w:hint="eastAsia" w:ascii="仿宋" w:hAnsi="仿宋" w:eastAsia="仿宋" w:cs="仿宋"/>
          <w:b/>
          <w:bCs/>
          <w:color w:val="auto"/>
          <w:szCs w:val="24"/>
          <w:highlight w:val="none"/>
          <w:lang w:val="en-US" w:eastAsia="zh-CN"/>
        </w:rPr>
        <w:t xml:space="preserve"> 10 </w:t>
      </w:r>
      <w:r>
        <w:rPr>
          <w:rFonts w:hint="eastAsia" w:ascii="仿宋" w:hAnsi="仿宋" w:eastAsia="仿宋" w:cs="仿宋"/>
          <w:b/>
          <w:bCs/>
          <w:color w:val="auto"/>
          <w:szCs w:val="24"/>
          <w:highlight w:val="none"/>
        </w:rPr>
        <w:t>月</w:t>
      </w:r>
      <w:r>
        <w:rPr>
          <w:rFonts w:hint="eastAsia" w:ascii="仿宋" w:hAnsi="仿宋" w:eastAsia="仿宋" w:cs="仿宋"/>
          <w:b/>
          <w:bCs/>
          <w:color w:val="auto"/>
          <w:szCs w:val="24"/>
          <w:highlight w:val="none"/>
          <w:lang w:val="en-US" w:eastAsia="zh-CN"/>
        </w:rPr>
        <w:t xml:space="preserve"> 27 </w:t>
      </w:r>
      <w:r>
        <w:rPr>
          <w:rFonts w:hint="eastAsia" w:ascii="仿宋" w:hAnsi="仿宋" w:eastAsia="仿宋" w:cs="仿宋"/>
          <w:b/>
          <w:bCs/>
          <w:color w:val="auto"/>
          <w:szCs w:val="24"/>
          <w:highlight w:val="none"/>
        </w:rPr>
        <w:t>日 9 时 00 分</w:t>
      </w:r>
      <w:r>
        <w:rPr>
          <w:rFonts w:hint="eastAsia" w:ascii="仿宋" w:hAnsi="仿宋" w:eastAsia="仿宋" w:cs="仿宋"/>
          <w:color w:val="auto"/>
          <w:szCs w:val="24"/>
          <w:highlight w:val="none"/>
        </w:rPr>
        <w:t>（北京时间）</w:t>
      </w:r>
    </w:p>
    <w:p w14:paraId="2F105A30">
      <w:pPr>
        <w:pStyle w:val="20"/>
        <w:keepNext w:val="0"/>
        <w:keepLines w:val="0"/>
        <w:pageBreakBefore w:val="0"/>
        <w:widowControl w:val="0"/>
        <w:kinsoku/>
        <w:wordWrap/>
        <w:overflowPunct/>
        <w:topLinePunct w:val="0"/>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2.地点：（管理员网上操作地点）</w:t>
      </w:r>
      <w:r>
        <w:rPr>
          <w:rFonts w:hint="eastAsia" w:ascii="仿宋" w:hAnsi="仿宋" w:eastAsia="仿宋" w:cs="仿宋"/>
          <w:color w:val="auto"/>
          <w:szCs w:val="24"/>
          <w:highlight w:val="none"/>
          <w:lang w:val="en-US" w:eastAsia="zh-CN"/>
        </w:rPr>
        <w:t>汤阴县公共资源交易中心</w:t>
      </w:r>
      <w:r>
        <w:rPr>
          <w:rFonts w:hint="eastAsia" w:ascii="仿宋" w:hAnsi="仿宋" w:eastAsia="仿宋" w:cs="仿宋"/>
          <w:b/>
          <w:bCs/>
          <w:color w:val="auto"/>
          <w:szCs w:val="24"/>
          <w:highlight w:val="none"/>
          <w:lang w:val="en-US" w:eastAsia="zh-CN"/>
        </w:rPr>
        <w:t>集中开标大厅 1 室</w:t>
      </w:r>
      <w:r>
        <w:rPr>
          <w:rFonts w:hint="eastAsia" w:ascii="仿宋" w:hAnsi="仿宋" w:eastAsia="仿宋" w:cs="仿宋"/>
          <w:color w:val="auto"/>
          <w:szCs w:val="24"/>
          <w:highlight w:val="none"/>
          <w:lang w:val="en-US" w:eastAsia="zh-CN"/>
        </w:rPr>
        <w:t>。</w:t>
      </w:r>
    </w:p>
    <w:p w14:paraId="545BB3B2">
      <w:pPr>
        <w:pStyle w:val="20"/>
        <w:keepNext w:val="0"/>
        <w:keepLines w:val="0"/>
        <w:pageBreakBefore w:val="0"/>
        <w:widowControl w:val="0"/>
        <w:kinsoku/>
        <w:wordWrap/>
        <w:overflowPunct/>
        <w:topLinePunct w:val="0"/>
        <w:bidi w:val="0"/>
        <w:adjustRightInd/>
        <w:snapToGrid/>
        <w:spacing w:beforeAutospacing="0" w:afterAutospacing="0" w:line="420" w:lineRule="exact"/>
        <w:ind w:left="0" w:leftChars="0" w:firstLine="482" w:firstLineChars="200"/>
        <w:textAlignment w:val="auto"/>
        <w:rPr>
          <w:rFonts w:hint="eastAsia" w:ascii="仿宋" w:hAnsi="仿宋" w:eastAsia="仿宋" w:cs="仿宋"/>
          <w:b/>
          <w:bCs/>
          <w:color w:val="auto"/>
          <w:szCs w:val="24"/>
          <w:highlight w:val="none"/>
        </w:rPr>
      </w:pPr>
      <w:r>
        <w:rPr>
          <w:rFonts w:hint="eastAsia" w:ascii="仿宋" w:hAnsi="仿宋" w:eastAsia="仿宋" w:cs="仿宋"/>
          <w:b/>
          <w:bCs/>
          <w:color w:val="auto"/>
          <w:szCs w:val="24"/>
          <w:highlight w:val="none"/>
          <w:lang w:eastAsia="zh-CN"/>
        </w:rPr>
        <w:t>七</w:t>
      </w:r>
      <w:r>
        <w:rPr>
          <w:rFonts w:hint="eastAsia" w:ascii="仿宋" w:hAnsi="仿宋" w:eastAsia="仿宋" w:cs="仿宋"/>
          <w:b/>
          <w:bCs/>
          <w:color w:val="auto"/>
          <w:szCs w:val="24"/>
          <w:highlight w:val="none"/>
        </w:rPr>
        <w:t>、发布公告的媒介及竞争性磋商公告期限</w:t>
      </w:r>
    </w:p>
    <w:p w14:paraId="0304A5F6">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本次竞争性磋商公告在《河南省政府采购网</w:t>
      </w:r>
      <w:r>
        <w:rPr>
          <w:rFonts w:hint="eastAsia" w:ascii="仿宋" w:hAnsi="仿宋" w:eastAsia="仿宋" w:cs="仿宋"/>
          <w:color w:val="auto"/>
          <w:szCs w:val="24"/>
          <w:highlight w:val="none"/>
          <w:lang w:eastAsia="zh-CN"/>
        </w:rPr>
        <w:t>》、《</w:t>
      </w:r>
      <w:r>
        <w:rPr>
          <w:rFonts w:hint="eastAsia" w:ascii="仿宋" w:hAnsi="仿宋" w:eastAsia="仿宋" w:cs="仿宋"/>
          <w:b w:val="0"/>
          <w:i w:val="0"/>
          <w:iCs w:val="0"/>
          <w:color w:val="auto"/>
          <w:sz w:val="24"/>
          <w:szCs w:val="24"/>
          <w:highlight w:val="none"/>
          <w:lang w:val="en-US" w:eastAsia="zh-CN"/>
        </w:rPr>
        <w:t>安阳市政府采购网》、《</w:t>
      </w:r>
      <w:r>
        <w:rPr>
          <w:rFonts w:hint="eastAsia" w:ascii="仿宋" w:hAnsi="仿宋" w:eastAsia="仿宋" w:cs="仿宋"/>
          <w:color w:val="auto"/>
          <w:szCs w:val="24"/>
          <w:highlight w:val="none"/>
        </w:rPr>
        <w:t xml:space="preserve">全国公共资源交易平台（河南省˙汤阴县）》上发布。 </w:t>
      </w:r>
    </w:p>
    <w:p w14:paraId="428DB6E3">
      <w:pPr>
        <w:pStyle w:val="20"/>
        <w:keepNext w:val="0"/>
        <w:keepLines w:val="0"/>
        <w:pageBreakBefore w:val="0"/>
        <w:widowControl w:val="0"/>
        <w:kinsoku/>
        <w:wordWrap/>
        <w:overflowPunct/>
        <w:topLinePunct w:val="0"/>
        <w:bidi w:val="0"/>
        <w:adjustRightInd/>
        <w:snapToGrid/>
        <w:spacing w:beforeAutospacing="0" w:afterAutospacing="0" w:line="420" w:lineRule="exact"/>
        <w:ind w:left="0" w:leftChars="0" w:firstLine="482" w:firstLineChars="200"/>
        <w:textAlignment w:val="auto"/>
        <w:rPr>
          <w:rFonts w:hint="eastAsia" w:ascii="仿宋" w:hAnsi="仿宋" w:eastAsia="仿宋" w:cs="仿宋"/>
          <w:color w:val="auto"/>
          <w:szCs w:val="24"/>
          <w:highlight w:val="none"/>
          <w:lang w:eastAsia="zh-CN"/>
        </w:rPr>
      </w:pPr>
      <w:r>
        <w:rPr>
          <w:rFonts w:hint="eastAsia" w:ascii="仿宋" w:hAnsi="仿宋" w:eastAsia="仿宋" w:cs="仿宋"/>
          <w:b/>
          <w:bCs/>
          <w:color w:val="auto"/>
          <w:szCs w:val="24"/>
          <w:highlight w:val="none"/>
        </w:rPr>
        <w:t>竞争性磋商公告期限为五个工作日</w:t>
      </w:r>
      <w:r>
        <w:rPr>
          <w:rFonts w:hint="eastAsia" w:ascii="仿宋" w:hAnsi="仿宋" w:eastAsia="仿宋" w:cs="仿宋"/>
          <w:color w:val="auto"/>
          <w:szCs w:val="24"/>
          <w:highlight w:val="none"/>
          <w:lang w:eastAsia="zh-CN"/>
        </w:rPr>
        <w:t>。</w:t>
      </w:r>
    </w:p>
    <w:p w14:paraId="4E7EA3A0">
      <w:pPr>
        <w:pStyle w:val="20"/>
        <w:keepNext w:val="0"/>
        <w:keepLines w:val="0"/>
        <w:pageBreakBefore w:val="0"/>
        <w:widowControl w:val="0"/>
        <w:kinsoku/>
        <w:wordWrap/>
        <w:overflowPunct/>
        <w:topLinePunct w:val="0"/>
        <w:bidi w:val="0"/>
        <w:adjustRightInd/>
        <w:snapToGrid/>
        <w:spacing w:beforeAutospacing="0" w:afterAutospacing="0" w:line="420" w:lineRule="exact"/>
        <w:ind w:left="0" w:leftChars="0" w:firstLine="482" w:firstLineChars="200"/>
        <w:textAlignment w:val="auto"/>
        <w:rPr>
          <w:rFonts w:hint="eastAsia" w:ascii="仿宋" w:hAnsi="仿宋" w:eastAsia="仿宋" w:cs="仿宋"/>
          <w:b/>
          <w:bCs/>
          <w:color w:val="auto"/>
          <w:szCs w:val="24"/>
          <w:highlight w:val="none"/>
        </w:rPr>
      </w:pPr>
      <w:r>
        <w:rPr>
          <w:rFonts w:hint="eastAsia" w:ascii="仿宋" w:hAnsi="仿宋" w:eastAsia="仿宋" w:cs="仿宋"/>
          <w:b/>
          <w:bCs/>
          <w:color w:val="auto"/>
          <w:szCs w:val="24"/>
          <w:highlight w:val="none"/>
          <w:lang w:eastAsia="zh-CN"/>
        </w:rPr>
        <w:t>八</w:t>
      </w:r>
      <w:r>
        <w:rPr>
          <w:rFonts w:hint="eastAsia" w:ascii="仿宋" w:hAnsi="仿宋" w:eastAsia="仿宋" w:cs="仿宋"/>
          <w:b/>
          <w:bCs/>
          <w:color w:val="auto"/>
          <w:szCs w:val="24"/>
          <w:highlight w:val="none"/>
        </w:rPr>
        <w:t>、其他补充事宜</w:t>
      </w:r>
    </w:p>
    <w:p w14:paraId="035153E1">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1</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 xml:space="preserve"> 注册：</w:t>
      </w:r>
      <w:r>
        <w:rPr>
          <w:rFonts w:hint="eastAsia" w:ascii="仿宋" w:hAnsi="仿宋" w:eastAsia="仿宋" w:cs="仿宋"/>
          <w:color w:val="auto"/>
          <w:szCs w:val="24"/>
          <w:highlight w:val="none"/>
          <w:lang w:eastAsia="zh-CN"/>
        </w:rPr>
        <w:t>供应商</w:t>
      </w:r>
      <w:r>
        <w:rPr>
          <w:rFonts w:hint="eastAsia" w:ascii="仿宋" w:hAnsi="仿宋" w:eastAsia="仿宋" w:cs="仿宋"/>
          <w:color w:val="auto"/>
          <w:szCs w:val="24"/>
          <w:highlight w:val="none"/>
        </w:rPr>
        <w:t>完成注册、办理数字证书后，方可获取磋商文件、参加投标等网上电子交易。</w:t>
      </w:r>
    </w:p>
    <w:p w14:paraId="0F4D0B60">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2</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 xml:space="preserve"> 获取磋商文件：按本章第 3 条“获取磋商文件”办理。</w:t>
      </w:r>
    </w:p>
    <w:p w14:paraId="30C8B712">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3</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 xml:space="preserve"> 磋商文件的澄清与修改或延期的通知：按《磋商文件》第</w:t>
      </w:r>
      <w:r>
        <w:rPr>
          <w:rFonts w:hint="eastAsia" w:ascii="仿宋" w:hAnsi="仿宋" w:eastAsia="仿宋" w:cs="仿宋"/>
          <w:color w:val="auto"/>
          <w:szCs w:val="24"/>
          <w:highlight w:val="none"/>
          <w:lang w:val="en-US" w:eastAsia="zh-CN"/>
        </w:rPr>
        <w:t>二</w:t>
      </w:r>
      <w:r>
        <w:rPr>
          <w:rFonts w:hint="eastAsia" w:ascii="仿宋" w:hAnsi="仿宋" w:eastAsia="仿宋" w:cs="仿宋"/>
          <w:color w:val="auto"/>
          <w:szCs w:val="24"/>
          <w:highlight w:val="none"/>
        </w:rPr>
        <w:t>章“</w:t>
      </w:r>
      <w:r>
        <w:rPr>
          <w:rFonts w:hint="eastAsia" w:ascii="仿宋" w:hAnsi="仿宋" w:eastAsia="仿宋" w:cs="仿宋"/>
          <w:color w:val="auto"/>
          <w:szCs w:val="24"/>
          <w:highlight w:val="none"/>
          <w:lang w:eastAsia="zh-CN"/>
        </w:rPr>
        <w:t>供应商</w:t>
      </w:r>
      <w:r>
        <w:rPr>
          <w:rFonts w:hint="eastAsia" w:ascii="仿宋" w:hAnsi="仿宋" w:eastAsia="仿宋" w:cs="仿宋"/>
          <w:color w:val="auto"/>
          <w:szCs w:val="24"/>
          <w:highlight w:val="none"/>
        </w:rPr>
        <w:t>须知”第2 条“2.</w:t>
      </w:r>
      <w:r>
        <w:rPr>
          <w:rFonts w:hint="eastAsia" w:ascii="仿宋" w:hAnsi="仿宋" w:eastAsia="仿宋" w:cs="仿宋"/>
          <w:color w:val="auto"/>
          <w:szCs w:val="24"/>
          <w:highlight w:val="none"/>
          <w:lang w:val="en-US" w:eastAsia="zh-CN"/>
        </w:rPr>
        <w:t>3</w:t>
      </w:r>
      <w:r>
        <w:rPr>
          <w:rFonts w:hint="eastAsia" w:ascii="仿宋" w:hAnsi="仿宋" w:eastAsia="仿宋" w:cs="仿宋"/>
          <w:color w:val="auto"/>
          <w:szCs w:val="24"/>
          <w:highlight w:val="none"/>
        </w:rPr>
        <w:t>磋商文件的澄清、修改、补充的通知，及相应时间变更”执行。不另行通知。</w:t>
      </w:r>
    </w:p>
    <w:p w14:paraId="01A43629">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4</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 xml:space="preserve"> 响应文件编制：在《全国公共资源交易平台（河南省˙汤阴县）》（</w:t>
      </w:r>
      <w:r>
        <w:rPr>
          <w:rFonts w:hint="eastAsia" w:ascii="仿宋" w:hAnsi="仿宋" w:eastAsia="仿宋" w:cs="仿宋"/>
          <w:color w:val="auto"/>
          <w:szCs w:val="24"/>
          <w:highlight w:val="none"/>
          <w:lang w:eastAsia="zh-CN"/>
        </w:rPr>
        <w:t>https://ggzy.anyang.gov.cn/tyggzy/</w:t>
      </w:r>
      <w:r>
        <w:rPr>
          <w:rFonts w:hint="eastAsia" w:ascii="仿宋" w:hAnsi="仿宋" w:eastAsia="仿宋" w:cs="仿宋"/>
          <w:color w:val="auto"/>
          <w:szCs w:val="24"/>
          <w:highlight w:val="none"/>
        </w:rPr>
        <w:t>）下载并安装</w:t>
      </w:r>
      <w:r>
        <w:rPr>
          <w:rFonts w:hint="eastAsia" w:ascii="仿宋" w:hAnsi="仿宋" w:eastAsia="仿宋" w:cs="仿宋"/>
          <w:color w:val="auto"/>
          <w:szCs w:val="24"/>
          <w:highlight w:val="none"/>
          <w:lang w:eastAsia="zh-CN"/>
        </w:rPr>
        <w:t>响应文件</w:t>
      </w:r>
      <w:r>
        <w:rPr>
          <w:rFonts w:hint="eastAsia" w:ascii="仿宋" w:hAnsi="仿宋" w:eastAsia="仿宋" w:cs="仿宋"/>
          <w:color w:val="auto"/>
          <w:szCs w:val="24"/>
          <w:highlight w:val="none"/>
        </w:rPr>
        <w:t>制作工具。按《磋商文件》要求执行，否则将会评定为无效投标。</w:t>
      </w:r>
    </w:p>
    <w:p w14:paraId="7FA15310">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5</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 xml:space="preserve"> 响应文件递交：</w:t>
      </w:r>
      <w:r>
        <w:rPr>
          <w:rFonts w:hint="eastAsia" w:ascii="仿宋" w:hAnsi="仿宋" w:eastAsia="仿宋" w:cs="仿宋"/>
          <w:color w:val="auto"/>
          <w:szCs w:val="24"/>
          <w:highlight w:val="none"/>
          <w:lang w:eastAsia="zh-CN"/>
        </w:rPr>
        <w:t>供应商</w:t>
      </w:r>
      <w:r>
        <w:rPr>
          <w:rFonts w:hint="eastAsia" w:ascii="仿宋" w:hAnsi="仿宋" w:eastAsia="仿宋" w:cs="仿宋"/>
          <w:color w:val="auto"/>
          <w:szCs w:val="24"/>
          <w:highlight w:val="none"/>
        </w:rPr>
        <w:t>应在投标截止时间前上传加密的电子</w:t>
      </w:r>
      <w:r>
        <w:rPr>
          <w:rFonts w:hint="eastAsia" w:ascii="仿宋" w:hAnsi="仿宋" w:eastAsia="仿宋" w:cs="仿宋"/>
          <w:color w:val="auto"/>
          <w:szCs w:val="24"/>
          <w:highlight w:val="none"/>
          <w:lang w:eastAsia="zh-CN"/>
        </w:rPr>
        <w:t>响应文件</w:t>
      </w:r>
      <w:r>
        <w:rPr>
          <w:rFonts w:hint="eastAsia" w:ascii="仿宋" w:hAnsi="仿宋" w:eastAsia="仿宋" w:cs="仿宋"/>
          <w:color w:val="auto"/>
          <w:szCs w:val="24"/>
          <w:highlight w:val="none"/>
        </w:rPr>
        <w:t>到《全国公共资源交易平台（河南省˙汤阴县）》（</w:t>
      </w:r>
      <w:r>
        <w:rPr>
          <w:rFonts w:hint="eastAsia" w:ascii="仿宋" w:hAnsi="仿宋" w:eastAsia="仿宋" w:cs="仿宋"/>
          <w:color w:val="auto"/>
          <w:szCs w:val="24"/>
          <w:highlight w:val="none"/>
          <w:lang w:eastAsia="zh-CN"/>
        </w:rPr>
        <w:t>https://ggzy.anyang.gov.cn/tyggzy/</w:t>
      </w:r>
      <w:r>
        <w:rPr>
          <w:rFonts w:hint="eastAsia" w:ascii="仿宋" w:hAnsi="仿宋" w:eastAsia="仿宋" w:cs="仿宋"/>
          <w:color w:val="auto"/>
          <w:szCs w:val="24"/>
          <w:highlight w:val="none"/>
        </w:rPr>
        <w:t>）。按《磋商文件》第</w:t>
      </w:r>
      <w:r>
        <w:rPr>
          <w:rFonts w:hint="eastAsia" w:ascii="仿宋" w:hAnsi="仿宋" w:eastAsia="仿宋" w:cs="仿宋"/>
          <w:color w:val="auto"/>
          <w:szCs w:val="24"/>
          <w:highlight w:val="none"/>
          <w:lang w:val="en-US" w:eastAsia="zh-CN"/>
        </w:rPr>
        <w:t>二</w:t>
      </w:r>
      <w:r>
        <w:rPr>
          <w:rFonts w:hint="eastAsia" w:ascii="仿宋" w:hAnsi="仿宋" w:eastAsia="仿宋" w:cs="仿宋"/>
          <w:color w:val="auto"/>
          <w:szCs w:val="24"/>
          <w:highlight w:val="none"/>
        </w:rPr>
        <w:t>章“</w:t>
      </w:r>
      <w:r>
        <w:rPr>
          <w:rFonts w:hint="eastAsia" w:ascii="仿宋" w:hAnsi="仿宋" w:eastAsia="仿宋" w:cs="仿宋"/>
          <w:color w:val="auto"/>
          <w:szCs w:val="24"/>
          <w:highlight w:val="none"/>
          <w:lang w:eastAsia="zh-CN"/>
        </w:rPr>
        <w:t>供应商</w:t>
      </w:r>
      <w:r>
        <w:rPr>
          <w:rFonts w:hint="eastAsia" w:ascii="仿宋" w:hAnsi="仿宋" w:eastAsia="仿宋" w:cs="仿宋"/>
          <w:color w:val="auto"/>
          <w:szCs w:val="24"/>
          <w:highlight w:val="none"/>
        </w:rPr>
        <w:t>须知”第 22条“磋商时间”执行，否则将会评定为无效投标。</w:t>
      </w:r>
    </w:p>
    <w:p w14:paraId="381CD765">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6</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 xml:space="preserve"> 响应文件解密：本项目采用远程不见面交易的模式，开标当日，</w:t>
      </w:r>
      <w:r>
        <w:rPr>
          <w:rFonts w:hint="eastAsia" w:ascii="仿宋" w:hAnsi="仿宋" w:eastAsia="仿宋" w:cs="仿宋"/>
          <w:color w:val="auto"/>
          <w:szCs w:val="24"/>
          <w:highlight w:val="none"/>
          <w:lang w:eastAsia="zh-CN"/>
        </w:rPr>
        <w:t>供应商</w:t>
      </w:r>
      <w:r>
        <w:rPr>
          <w:rFonts w:hint="eastAsia" w:ascii="仿宋" w:hAnsi="仿宋" w:eastAsia="仿宋" w:cs="仿宋"/>
          <w:color w:val="auto"/>
          <w:szCs w:val="24"/>
          <w:highlight w:val="none"/>
        </w:rPr>
        <w:t>无需到开标现场参加开标会议，</w:t>
      </w:r>
      <w:r>
        <w:rPr>
          <w:rFonts w:hint="eastAsia" w:ascii="仿宋" w:hAnsi="仿宋" w:eastAsia="仿宋" w:cs="仿宋"/>
          <w:color w:val="auto"/>
          <w:szCs w:val="24"/>
          <w:highlight w:val="none"/>
          <w:lang w:eastAsia="zh-CN"/>
        </w:rPr>
        <w:t>供应商</w:t>
      </w:r>
      <w:r>
        <w:rPr>
          <w:rFonts w:hint="eastAsia" w:ascii="仿宋" w:hAnsi="仿宋" w:eastAsia="仿宋" w:cs="仿宋"/>
          <w:color w:val="auto"/>
          <w:szCs w:val="24"/>
          <w:highlight w:val="none"/>
        </w:rPr>
        <w:t>应当在投标截止时间前，使用浏览器登录到《全国公共资源交易平台（河南省˙汤阴县）》（</w:t>
      </w:r>
      <w:r>
        <w:rPr>
          <w:rFonts w:hint="eastAsia" w:ascii="仿宋" w:hAnsi="仿宋" w:eastAsia="仿宋" w:cs="仿宋"/>
          <w:color w:val="auto"/>
          <w:szCs w:val="24"/>
          <w:highlight w:val="none"/>
          <w:lang w:eastAsia="zh-CN"/>
        </w:rPr>
        <w:t>https://ggzy.anyang.gov.cn/tyggzy/</w:t>
      </w:r>
      <w:r>
        <w:rPr>
          <w:rFonts w:hint="eastAsia" w:ascii="仿宋" w:hAnsi="仿宋" w:eastAsia="仿宋" w:cs="仿宋"/>
          <w:color w:val="auto"/>
          <w:szCs w:val="24"/>
          <w:highlight w:val="none"/>
        </w:rPr>
        <w:t>），点击右上方【登录】 按钮进入，在线准时参加开标活动并进行</w:t>
      </w:r>
      <w:r>
        <w:rPr>
          <w:rFonts w:hint="eastAsia" w:ascii="仿宋" w:hAnsi="仿宋" w:eastAsia="仿宋" w:cs="仿宋"/>
          <w:color w:val="auto"/>
          <w:szCs w:val="24"/>
          <w:highlight w:val="none"/>
          <w:lang w:eastAsia="zh-CN"/>
        </w:rPr>
        <w:t>响应文件</w:t>
      </w:r>
      <w:r>
        <w:rPr>
          <w:rFonts w:hint="eastAsia" w:ascii="仿宋" w:hAnsi="仿宋" w:eastAsia="仿宋" w:cs="仿宋"/>
          <w:color w:val="auto"/>
          <w:szCs w:val="24"/>
          <w:highlight w:val="none"/>
        </w:rPr>
        <w:t>解密等。按《磋商文件》第</w:t>
      </w:r>
      <w:r>
        <w:rPr>
          <w:rFonts w:hint="eastAsia" w:ascii="仿宋" w:hAnsi="仿宋" w:eastAsia="仿宋" w:cs="仿宋"/>
          <w:color w:val="auto"/>
          <w:szCs w:val="24"/>
          <w:highlight w:val="none"/>
          <w:lang w:val="en-US" w:eastAsia="zh-CN"/>
        </w:rPr>
        <w:t>二</w:t>
      </w:r>
      <w:r>
        <w:rPr>
          <w:rFonts w:hint="eastAsia" w:ascii="仿宋" w:hAnsi="仿宋" w:eastAsia="仿宋" w:cs="仿宋"/>
          <w:color w:val="auto"/>
          <w:szCs w:val="24"/>
          <w:highlight w:val="none"/>
        </w:rPr>
        <w:t>章“</w:t>
      </w:r>
      <w:r>
        <w:rPr>
          <w:rFonts w:hint="eastAsia" w:ascii="仿宋" w:hAnsi="仿宋" w:eastAsia="仿宋" w:cs="仿宋"/>
          <w:color w:val="auto"/>
          <w:szCs w:val="24"/>
          <w:highlight w:val="none"/>
          <w:lang w:eastAsia="zh-CN"/>
        </w:rPr>
        <w:t>供应商</w:t>
      </w:r>
      <w:r>
        <w:rPr>
          <w:rFonts w:hint="eastAsia" w:ascii="仿宋" w:hAnsi="仿宋" w:eastAsia="仿宋" w:cs="仿宋"/>
          <w:color w:val="auto"/>
          <w:szCs w:val="24"/>
          <w:highlight w:val="none"/>
        </w:rPr>
        <w:t>须知”第 22条“磋商时间”执行，否则其投标将不能被接受。</w:t>
      </w:r>
    </w:p>
    <w:p w14:paraId="72942CDA">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7</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 xml:space="preserve"> 磋商开始时间：时刻关注电子开标室并及时澄清，有效</w:t>
      </w:r>
      <w:r>
        <w:rPr>
          <w:rFonts w:hint="eastAsia" w:ascii="仿宋" w:hAnsi="仿宋" w:eastAsia="仿宋" w:cs="仿宋"/>
          <w:color w:val="auto"/>
          <w:szCs w:val="24"/>
          <w:highlight w:val="none"/>
          <w:lang w:eastAsia="zh-CN"/>
        </w:rPr>
        <w:t>供应商</w:t>
      </w:r>
      <w:r>
        <w:rPr>
          <w:rFonts w:hint="eastAsia" w:ascii="仿宋" w:hAnsi="仿宋" w:eastAsia="仿宋" w:cs="仿宋"/>
          <w:color w:val="auto"/>
          <w:szCs w:val="24"/>
          <w:highlight w:val="none"/>
        </w:rPr>
        <w:t>在规定时间进行最后报价，按《磋商文件》第四章“</w:t>
      </w:r>
      <w:r>
        <w:rPr>
          <w:rFonts w:hint="eastAsia" w:ascii="仿宋" w:hAnsi="仿宋" w:eastAsia="仿宋" w:cs="仿宋"/>
          <w:color w:val="auto"/>
          <w:szCs w:val="24"/>
          <w:highlight w:val="none"/>
          <w:lang w:eastAsia="zh-CN"/>
        </w:rPr>
        <w:t>评审标准和评审办法</w:t>
      </w:r>
      <w:r>
        <w:rPr>
          <w:rFonts w:hint="eastAsia" w:ascii="仿宋" w:hAnsi="仿宋" w:eastAsia="仿宋" w:cs="仿宋"/>
          <w:color w:val="auto"/>
          <w:szCs w:val="24"/>
          <w:highlight w:val="none"/>
        </w:rPr>
        <w:t>”执行，否则将会评定为无效投标。</w:t>
      </w:r>
    </w:p>
    <w:p w14:paraId="6DF982EC">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8</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 xml:space="preserve"> 政府采购电子交易中，</w:t>
      </w:r>
      <w:r>
        <w:rPr>
          <w:rFonts w:hint="eastAsia" w:ascii="仿宋" w:hAnsi="仿宋" w:eastAsia="仿宋" w:cs="仿宋"/>
          <w:color w:val="auto"/>
          <w:szCs w:val="24"/>
          <w:highlight w:val="none"/>
          <w:lang w:eastAsia="zh-CN"/>
        </w:rPr>
        <w:t>供应商</w:t>
      </w:r>
      <w:r>
        <w:rPr>
          <w:rFonts w:hint="eastAsia" w:ascii="仿宋" w:hAnsi="仿宋" w:eastAsia="仿宋" w:cs="仿宋"/>
          <w:color w:val="auto"/>
          <w:szCs w:val="24"/>
          <w:highlight w:val="none"/>
        </w:rPr>
        <w:t>网上电子交易的系统操作规则应以《全国公共资源交易平台（河南省˙汤阴县）》（</w:t>
      </w:r>
      <w:r>
        <w:rPr>
          <w:rFonts w:hint="eastAsia" w:ascii="仿宋" w:hAnsi="仿宋" w:eastAsia="仿宋" w:cs="仿宋"/>
          <w:color w:val="auto"/>
          <w:szCs w:val="24"/>
          <w:highlight w:val="none"/>
          <w:lang w:eastAsia="zh-CN"/>
        </w:rPr>
        <w:t>https://ggzy.anyang.gov.cn/tyggzy/</w:t>
      </w:r>
      <w:r>
        <w:rPr>
          <w:rFonts w:hint="eastAsia" w:ascii="仿宋" w:hAnsi="仿宋" w:eastAsia="仿宋" w:cs="仿宋"/>
          <w:color w:val="auto"/>
          <w:szCs w:val="24"/>
          <w:highlight w:val="none"/>
        </w:rPr>
        <w:t>）即时发布的相关规则为准。</w:t>
      </w:r>
    </w:p>
    <w:p w14:paraId="1E0230F4">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9</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 xml:space="preserve"> 望</w:t>
      </w:r>
      <w:r>
        <w:rPr>
          <w:rFonts w:hint="eastAsia" w:ascii="仿宋" w:hAnsi="仿宋" w:eastAsia="仿宋" w:cs="仿宋"/>
          <w:color w:val="auto"/>
          <w:szCs w:val="24"/>
          <w:highlight w:val="none"/>
          <w:lang w:eastAsia="zh-CN"/>
        </w:rPr>
        <w:t>供应商</w:t>
      </w:r>
      <w:r>
        <w:rPr>
          <w:rFonts w:hint="eastAsia" w:ascii="仿宋" w:hAnsi="仿宋" w:eastAsia="仿宋" w:cs="仿宋"/>
          <w:color w:val="auto"/>
          <w:szCs w:val="24"/>
          <w:highlight w:val="none"/>
        </w:rPr>
        <w:t>充分熟悉网上电子交易操作流程、以便有效投标。</w:t>
      </w:r>
    </w:p>
    <w:p w14:paraId="535B6813">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10</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 xml:space="preserve"> 如遇到网上系统操作等技术问题请咨询 0372-33877</w:t>
      </w:r>
      <w:r>
        <w:rPr>
          <w:rFonts w:hint="eastAsia" w:ascii="仿宋" w:hAnsi="仿宋" w:eastAsia="仿宋" w:cs="仿宋"/>
          <w:color w:val="auto"/>
          <w:szCs w:val="24"/>
          <w:highlight w:val="none"/>
          <w:lang w:val="en-US" w:eastAsia="zh-CN"/>
        </w:rPr>
        <w:t>39</w:t>
      </w:r>
      <w:r>
        <w:rPr>
          <w:rFonts w:hint="eastAsia" w:ascii="仿宋" w:hAnsi="仿宋" w:eastAsia="仿宋" w:cs="仿宋"/>
          <w:color w:val="auto"/>
          <w:szCs w:val="24"/>
          <w:highlight w:val="none"/>
        </w:rPr>
        <w:t>（办公室）、13215996193、</w:t>
      </w:r>
    </w:p>
    <w:p w14:paraId="63F049B6">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4009980000（客服）。</w:t>
      </w:r>
    </w:p>
    <w:p w14:paraId="654F3402">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11</w:t>
      </w:r>
      <w:r>
        <w:rPr>
          <w:rFonts w:hint="eastAsia" w:ascii="仿宋" w:hAnsi="仿宋" w:eastAsia="仿宋" w:cs="仿宋"/>
          <w:color w:val="auto"/>
          <w:szCs w:val="24"/>
          <w:highlight w:val="none"/>
        </w:rPr>
        <w:t>.</w:t>
      </w:r>
      <w:r>
        <w:rPr>
          <w:rFonts w:hint="eastAsia" w:ascii="仿宋" w:hAnsi="仿宋" w:eastAsia="仿宋" w:cs="仿宋"/>
          <w:b/>
          <w:bCs/>
          <w:color w:val="auto"/>
          <w:szCs w:val="24"/>
          <w:highlight w:val="none"/>
          <w:lang w:val="en-US" w:eastAsia="zh-CN"/>
        </w:rPr>
        <w:t>代理服务费</w:t>
      </w:r>
      <w:r>
        <w:rPr>
          <w:rFonts w:hint="eastAsia" w:ascii="仿宋" w:hAnsi="仿宋" w:eastAsia="仿宋" w:cs="仿宋"/>
          <w:b/>
          <w:bCs/>
          <w:color w:val="auto"/>
          <w:szCs w:val="24"/>
          <w:highlight w:val="none"/>
        </w:rPr>
        <w:t>根据河南省招标投标协会关于印发《河南省招标代理服务收费指导意见》的通知“豫招协[2023]002 号</w:t>
      </w:r>
      <w:r>
        <w:rPr>
          <w:rFonts w:hint="eastAsia" w:ascii="仿宋" w:hAnsi="仿宋" w:eastAsia="仿宋" w:cs="仿宋"/>
          <w:b/>
          <w:bCs/>
          <w:color w:val="auto"/>
          <w:szCs w:val="24"/>
          <w:highlight w:val="none"/>
          <w:lang w:val="en-US" w:eastAsia="zh-CN"/>
        </w:rPr>
        <w:t>标准向中标人收取代理服务费</w:t>
      </w:r>
      <w:r>
        <w:rPr>
          <w:rFonts w:hint="eastAsia" w:ascii="仿宋" w:hAnsi="仿宋" w:eastAsia="仿宋" w:cs="仿宋"/>
          <w:b/>
          <w:bCs/>
          <w:color w:val="auto"/>
          <w:szCs w:val="24"/>
          <w:highlight w:val="none"/>
        </w:rPr>
        <w:t>，由中标人向采购代理机构支付代理服务费</w:t>
      </w:r>
      <w:r>
        <w:rPr>
          <w:rFonts w:hint="eastAsia" w:ascii="仿宋" w:hAnsi="仿宋" w:eastAsia="仿宋" w:cs="仿宋"/>
          <w:b/>
          <w:bCs/>
          <w:color w:val="auto"/>
          <w:szCs w:val="24"/>
          <w:highlight w:val="none"/>
          <w:lang w:val="en-US" w:eastAsia="zh-CN"/>
        </w:rPr>
        <w:t>13000</w:t>
      </w:r>
      <w:r>
        <w:rPr>
          <w:rFonts w:hint="eastAsia" w:ascii="仿宋" w:hAnsi="仿宋" w:eastAsia="仿宋" w:cs="仿宋"/>
          <w:b/>
          <w:bCs/>
          <w:color w:val="auto"/>
          <w:szCs w:val="24"/>
          <w:highlight w:val="none"/>
        </w:rPr>
        <w:t>元。</w:t>
      </w:r>
    </w:p>
    <w:p w14:paraId="37917F7E">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12</w:t>
      </w:r>
      <w:r>
        <w:rPr>
          <w:rFonts w:hint="eastAsia" w:ascii="仿宋" w:hAnsi="仿宋" w:eastAsia="仿宋" w:cs="仿宋"/>
          <w:color w:val="auto"/>
          <w:szCs w:val="24"/>
          <w:highlight w:val="none"/>
        </w:rPr>
        <w:t>.政府采购电子交易中，</w:t>
      </w:r>
      <w:r>
        <w:rPr>
          <w:rFonts w:hint="eastAsia" w:ascii="仿宋" w:hAnsi="仿宋" w:eastAsia="仿宋" w:cs="仿宋"/>
          <w:color w:val="auto"/>
          <w:szCs w:val="24"/>
          <w:highlight w:val="none"/>
          <w:lang w:eastAsia="zh-CN"/>
        </w:rPr>
        <w:t>供应商</w:t>
      </w:r>
      <w:r>
        <w:rPr>
          <w:rFonts w:hint="eastAsia" w:ascii="仿宋" w:hAnsi="仿宋" w:eastAsia="仿宋" w:cs="仿宋"/>
          <w:color w:val="auto"/>
          <w:szCs w:val="24"/>
          <w:highlight w:val="none"/>
        </w:rPr>
        <w:t>网上电子交易的系统操作规则应以安阳市公共资源交易平台即时发布的相关规则为准。</w:t>
      </w:r>
    </w:p>
    <w:p w14:paraId="6573413E">
      <w:pPr>
        <w:pStyle w:val="20"/>
        <w:keepNext w:val="0"/>
        <w:keepLines w:val="0"/>
        <w:pageBreakBefore w:val="0"/>
        <w:widowControl/>
        <w:kinsoku/>
        <w:wordWrap w:val="0"/>
        <w:overflowPunct/>
        <w:topLinePunct/>
        <w:autoSpaceDE/>
        <w:autoSpaceDN/>
        <w:bidi w:val="0"/>
        <w:adjustRightInd/>
        <w:snapToGrid/>
        <w:spacing w:beforeAutospacing="0" w:afterAutospacing="0" w:line="420" w:lineRule="exact"/>
        <w:ind w:left="0" w:leftChars="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13</w:t>
      </w:r>
      <w:r>
        <w:rPr>
          <w:rFonts w:hint="eastAsia" w:ascii="仿宋" w:hAnsi="仿宋" w:eastAsia="仿宋" w:cs="仿宋"/>
          <w:color w:val="auto"/>
          <w:szCs w:val="24"/>
          <w:highlight w:val="none"/>
        </w:rPr>
        <w:t>.望</w:t>
      </w:r>
      <w:r>
        <w:rPr>
          <w:rFonts w:hint="eastAsia" w:ascii="仿宋" w:hAnsi="仿宋" w:eastAsia="仿宋" w:cs="仿宋"/>
          <w:color w:val="auto"/>
          <w:szCs w:val="24"/>
          <w:highlight w:val="none"/>
          <w:lang w:eastAsia="zh-CN"/>
        </w:rPr>
        <w:t>供应商</w:t>
      </w:r>
      <w:r>
        <w:rPr>
          <w:rFonts w:hint="eastAsia" w:ascii="仿宋" w:hAnsi="仿宋" w:eastAsia="仿宋" w:cs="仿宋"/>
          <w:color w:val="auto"/>
          <w:szCs w:val="24"/>
          <w:highlight w:val="none"/>
        </w:rPr>
        <w:t>充分熟悉网上电子交易操作流程、以便有效投标。</w:t>
      </w:r>
    </w:p>
    <w:p w14:paraId="336A8518">
      <w:pPr>
        <w:pStyle w:val="20"/>
        <w:keepNext w:val="0"/>
        <w:keepLines w:val="0"/>
        <w:pageBreakBefore w:val="0"/>
        <w:widowControl w:val="0"/>
        <w:kinsoku/>
        <w:wordWrap/>
        <w:overflowPunct/>
        <w:topLinePunct w:val="0"/>
        <w:bidi w:val="0"/>
        <w:adjustRightInd/>
        <w:snapToGrid/>
        <w:spacing w:beforeAutospacing="0" w:afterAutospacing="0" w:line="360" w:lineRule="auto"/>
        <w:ind w:left="0" w:leftChars="0" w:firstLine="482" w:firstLineChars="200"/>
        <w:textAlignment w:val="auto"/>
        <w:rPr>
          <w:rFonts w:hint="eastAsia" w:ascii="仿宋" w:hAnsi="仿宋" w:eastAsia="仿宋" w:cs="仿宋"/>
          <w:b/>
          <w:bCs/>
          <w:color w:val="auto"/>
          <w:szCs w:val="24"/>
          <w:highlight w:val="none"/>
        </w:rPr>
      </w:pPr>
      <w:r>
        <w:rPr>
          <w:rFonts w:hint="eastAsia" w:ascii="仿宋" w:hAnsi="仿宋" w:eastAsia="仿宋" w:cs="仿宋"/>
          <w:b/>
          <w:bCs/>
          <w:color w:val="auto"/>
          <w:szCs w:val="24"/>
          <w:highlight w:val="none"/>
          <w:lang w:eastAsia="zh-CN"/>
        </w:rPr>
        <w:t>九</w:t>
      </w:r>
      <w:r>
        <w:rPr>
          <w:rFonts w:hint="eastAsia" w:ascii="仿宋" w:hAnsi="仿宋" w:eastAsia="仿宋" w:cs="仿宋"/>
          <w:b/>
          <w:bCs/>
          <w:color w:val="auto"/>
          <w:szCs w:val="24"/>
          <w:highlight w:val="none"/>
        </w:rPr>
        <w:t>、凡对本次招标提出询问，请按照以下方式联系</w:t>
      </w:r>
    </w:p>
    <w:p w14:paraId="20978FFA">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lang w:val="en-US" w:eastAsia="zh-CN" w:bidi="ar-SA"/>
        </w:rPr>
      </w:pPr>
      <w:bookmarkStart w:id="7" w:name="_Toc8623"/>
      <w:bookmarkStart w:id="8" w:name="_Toc10862"/>
      <w:r>
        <w:rPr>
          <w:rFonts w:hint="eastAsia" w:ascii="仿宋" w:hAnsi="仿宋" w:eastAsia="仿宋" w:cs="仿宋"/>
          <w:color w:val="auto"/>
          <w:sz w:val="24"/>
          <w:szCs w:val="24"/>
          <w:highlight w:val="none"/>
          <w:lang w:val="en-US" w:eastAsia="zh-CN" w:bidi="ar-SA"/>
        </w:rPr>
        <w:t>1、采购人信息</w:t>
      </w:r>
    </w:p>
    <w:p w14:paraId="717B234A">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名    称:汤阴县林业发展中心</w:t>
      </w:r>
    </w:p>
    <w:p w14:paraId="7B366199">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地    址:汤阴县信合路与长虹路交叉口路东</w:t>
      </w:r>
    </w:p>
    <w:p w14:paraId="790F978A">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项目联系人：王玉峰</w:t>
      </w:r>
    </w:p>
    <w:p w14:paraId="74B1EB2C">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联系方式：15039968910</w:t>
      </w:r>
    </w:p>
    <w:p w14:paraId="2CF0EF0C">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2、采购代理机构信息</w:t>
      </w:r>
    </w:p>
    <w:p w14:paraId="320F6D5C">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名    称: 河南申创建筑工程有限公司</w:t>
      </w:r>
    </w:p>
    <w:p w14:paraId="4C2194A8">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地    址：</w:t>
      </w:r>
      <w:bookmarkStart w:id="71" w:name="_GoBack"/>
      <w:r>
        <w:rPr>
          <w:rFonts w:hint="eastAsia" w:ascii="仿宋" w:hAnsi="仿宋" w:eastAsia="仿宋" w:cs="仿宋"/>
          <w:color w:val="auto"/>
          <w:sz w:val="24"/>
          <w:szCs w:val="24"/>
          <w:highlight w:val="none"/>
          <w:lang w:val="en-US" w:eastAsia="zh-CN" w:bidi="ar-SA"/>
        </w:rPr>
        <w:t>汤阴县人民路中段路南县直机关幼儿园西侧三楼</w:t>
      </w:r>
      <w:bookmarkEnd w:id="71"/>
    </w:p>
    <w:p w14:paraId="1D9782E6">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联 系 人：王鹏</w:t>
      </w:r>
    </w:p>
    <w:p w14:paraId="17CD8581">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电    话：18625850039</w:t>
      </w:r>
    </w:p>
    <w:p w14:paraId="2954DA2F">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3、项目联系方式</w:t>
      </w:r>
    </w:p>
    <w:p w14:paraId="1BA2601D">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联 系 人：王鹏</w:t>
      </w:r>
    </w:p>
    <w:p w14:paraId="45DB433E">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电    话：18625850039</w:t>
      </w:r>
    </w:p>
    <w:p w14:paraId="51F641C8">
      <w:pPr>
        <w:spacing w:before="195" w:line="220" w:lineRule="auto"/>
        <w:ind w:left="491" w:firstLine="226" w:firstLineChars="100"/>
        <w:rPr>
          <w:rFonts w:hint="eastAsia" w:ascii="仿宋" w:hAnsi="仿宋" w:eastAsia="仿宋" w:cs="仿宋"/>
          <w:spacing w:val="-7"/>
          <w:sz w:val="24"/>
          <w:szCs w:val="24"/>
          <w:highlight w:val="none"/>
          <w:lang w:val="en-US" w:eastAsia="zh-CN"/>
        </w:rPr>
      </w:pPr>
    </w:p>
    <w:p w14:paraId="4E828D8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5B2DB1AD">
      <w:pPr>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562" w:firstLineChars="200"/>
        <w:jc w:val="center"/>
        <w:textAlignment w:val="auto"/>
        <w:outlineLvl w:val="9"/>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lang w:eastAsia="zh-CN"/>
        </w:rPr>
        <w:t>汤阴县</w:t>
      </w:r>
      <w:r>
        <w:rPr>
          <w:rFonts w:hint="eastAsia" w:ascii="仿宋" w:hAnsi="仿宋" w:eastAsia="仿宋" w:cs="仿宋"/>
          <w:b/>
          <w:color w:val="auto"/>
          <w:sz w:val="28"/>
          <w:szCs w:val="28"/>
          <w:highlight w:val="none"/>
        </w:rPr>
        <w:t>政府采购合同融资政策告知函</w:t>
      </w:r>
    </w:p>
    <w:p w14:paraId="52630D72">
      <w:pPr>
        <w:pStyle w:val="12"/>
        <w:keepNext w:val="0"/>
        <w:keepLines w:val="0"/>
        <w:pageBreakBefore w:val="0"/>
        <w:widowControl w:val="0"/>
        <w:kinsoku/>
        <w:wordWrap/>
        <w:overflowPunct/>
        <w:topLinePunct w:val="0"/>
        <w:autoSpaceDE w:val="0"/>
        <w:autoSpaceDN w:val="0"/>
        <w:bidi w:val="0"/>
        <w:adjustRightInd/>
        <w:snapToGrid/>
        <w:spacing w:before="135" w:after="0" w:line="360" w:lineRule="auto"/>
        <w:ind w:left="0" w:right="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各供应商：</w:t>
      </w:r>
    </w:p>
    <w:p w14:paraId="27265745">
      <w:pPr>
        <w:pStyle w:val="12"/>
        <w:keepNext w:val="0"/>
        <w:keepLines w:val="0"/>
        <w:pageBreakBefore w:val="0"/>
        <w:widowControl w:val="0"/>
        <w:kinsoku/>
        <w:wordWrap/>
        <w:overflowPunct/>
        <w:topLinePunct w:val="0"/>
        <w:autoSpaceDE w:val="0"/>
        <w:autoSpaceDN w:val="0"/>
        <w:bidi w:val="0"/>
        <w:adjustRightInd/>
        <w:snapToGrid/>
        <w:spacing w:before="208" w:after="0" w:line="360" w:lineRule="auto"/>
        <w:ind w:left="0" w:right="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欢迎贵公司参与</w:t>
      </w:r>
      <w:r>
        <w:rPr>
          <w:rFonts w:hint="eastAsia" w:ascii="仿宋" w:hAnsi="仿宋" w:eastAsia="仿宋" w:cs="仿宋"/>
          <w:b/>
          <w:bCs/>
          <w:color w:val="auto"/>
          <w:sz w:val="24"/>
          <w:szCs w:val="24"/>
          <w:highlight w:val="none"/>
          <w:lang w:eastAsia="zh-CN"/>
        </w:rPr>
        <w:t>汤阴县</w:t>
      </w:r>
      <w:r>
        <w:rPr>
          <w:rFonts w:hint="eastAsia" w:ascii="仿宋" w:hAnsi="仿宋" w:eastAsia="仿宋" w:cs="仿宋"/>
          <w:b/>
          <w:bCs/>
          <w:color w:val="auto"/>
          <w:sz w:val="24"/>
          <w:szCs w:val="24"/>
          <w:highlight w:val="none"/>
        </w:rPr>
        <w:t>政府采购活动</w:t>
      </w:r>
      <w:r>
        <w:rPr>
          <w:rFonts w:hint="eastAsia" w:ascii="仿宋" w:hAnsi="仿宋" w:eastAsia="仿宋" w:cs="仿宋"/>
          <w:b/>
          <w:bCs/>
          <w:color w:val="auto"/>
          <w:sz w:val="24"/>
          <w:szCs w:val="24"/>
          <w:highlight w:val="none"/>
          <w:lang w:eastAsia="zh-CN"/>
        </w:rPr>
        <w:t>！</w:t>
      </w:r>
    </w:p>
    <w:p w14:paraId="0CBD106F">
      <w:pPr>
        <w:pStyle w:val="12"/>
        <w:keepNext w:val="0"/>
        <w:keepLines w:val="0"/>
        <w:pageBreakBefore w:val="0"/>
        <w:widowControl w:val="0"/>
        <w:kinsoku/>
        <w:wordWrap/>
        <w:overflowPunct/>
        <w:topLinePunct w:val="0"/>
        <w:autoSpaceDE w:val="0"/>
        <w:autoSpaceDN w:val="0"/>
        <w:bidi w:val="0"/>
        <w:adjustRightInd/>
        <w:snapToGrid/>
        <w:spacing w:before="207" w:after="0" w:line="360" w:lineRule="auto"/>
        <w:ind w:left="0" w:right="0" w:firstLine="478"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pacing w:val="-1"/>
          <w:sz w:val="24"/>
          <w:szCs w:val="24"/>
          <w:highlight w:val="none"/>
        </w:rPr>
        <w:t>政府采购合同融资是河南省财政厅支持中小微企业发展，针对参与政府采购活</w:t>
      </w:r>
      <w:r>
        <w:rPr>
          <w:rFonts w:hint="eastAsia" w:ascii="仿宋" w:hAnsi="仿宋" w:eastAsia="仿宋" w:cs="仿宋"/>
          <w:b/>
          <w:bCs/>
          <w:color w:val="auto"/>
          <w:spacing w:val="-4"/>
          <w:sz w:val="24"/>
          <w:szCs w:val="24"/>
          <w:highlight w:val="none"/>
        </w:rPr>
        <w:t>动的供应商融资难、融资贵问题推出的一项融资政策。贵公司若成为本次政府采购</w:t>
      </w:r>
      <w:r>
        <w:rPr>
          <w:rFonts w:hint="eastAsia" w:ascii="仿宋" w:hAnsi="仿宋" w:eastAsia="仿宋" w:cs="仿宋"/>
          <w:b/>
          <w:bCs/>
          <w:color w:val="auto"/>
          <w:spacing w:val="-13"/>
          <w:sz w:val="24"/>
          <w:szCs w:val="24"/>
          <w:highlight w:val="none"/>
        </w:rPr>
        <w:t xml:space="preserve">项目的中标成交供应商，可持政府采购合同向金融机构申请贷款，无需抵押、担保， </w:t>
      </w:r>
      <w:r>
        <w:rPr>
          <w:rFonts w:hint="eastAsia" w:ascii="仿宋" w:hAnsi="仿宋" w:eastAsia="仿宋" w:cs="仿宋"/>
          <w:b/>
          <w:bCs/>
          <w:color w:val="auto"/>
          <w:spacing w:val="13"/>
          <w:sz w:val="24"/>
          <w:szCs w:val="24"/>
          <w:highlight w:val="none"/>
        </w:rPr>
        <w:t>融资机构将根据《</w:t>
      </w:r>
      <w:r>
        <w:rPr>
          <w:rFonts w:hint="eastAsia" w:ascii="仿宋" w:hAnsi="仿宋" w:eastAsia="仿宋" w:cs="仿宋"/>
          <w:b/>
          <w:bCs/>
          <w:color w:val="auto"/>
          <w:spacing w:val="13"/>
          <w:sz w:val="24"/>
          <w:szCs w:val="24"/>
          <w:highlight w:val="none"/>
          <w:lang w:eastAsia="zh-CN"/>
        </w:rPr>
        <w:t>安阳市</w:t>
      </w:r>
      <w:r>
        <w:rPr>
          <w:rFonts w:hint="eastAsia" w:ascii="仿宋" w:hAnsi="仿宋" w:eastAsia="仿宋" w:cs="仿宋"/>
          <w:b/>
          <w:bCs/>
          <w:color w:val="auto"/>
          <w:spacing w:val="13"/>
          <w:sz w:val="24"/>
          <w:szCs w:val="24"/>
          <w:highlight w:val="none"/>
        </w:rPr>
        <w:t>政府采购合同融资工作实施方案》（豫财购</w:t>
      </w:r>
      <w:r>
        <w:rPr>
          <w:rFonts w:hint="eastAsia" w:ascii="仿宋" w:hAnsi="仿宋" w:eastAsia="仿宋" w:cs="仿宋"/>
          <w:b/>
          <w:bCs/>
          <w:color w:val="auto"/>
          <w:sz w:val="24"/>
          <w:szCs w:val="24"/>
          <w:highlight w:val="none"/>
        </w:rPr>
        <w:t>[2017]10 号），按照双方自愿的原则提供便捷、优惠的贷款服务。</w:t>
      </w:r>
    </w:p>
    <w:p w14:paraId="2828C436">
      <w:pPr>
        <w:pStyle w:val="12"/>
        <w:keepNext w:val="0"/>
        <w:keepLines w:val="0"/>
        <w:pageBreakBefore w:val="0"/>
        <w:widowControl w:val="0"/>
        <w:kinsoku/>
        <w:wordWrap/>
        <w:overflowPunct/>
        <w:topLinePunct w:val="0"/>
        <w:autoSpaceDE w:val="0"/>
        <w:autoSpaceDN w:val="0"/>
        <w:bidi w:val="0"/>
        <w:adjustRightInd/>
        <w:snapToGrid/>
        <w:spacing w:before="207" w:after="0" w:line="360" w:lineRule="auto"/>
        <w:ind w:left="0" w:right="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贷款渠道和提供贷款的金融机构，可在安阳市政府采购网“安阳市政府采购合同融资平台”查询联系。</w:t>
      </w:r>
    </w:p>
    <w:p w14:paraId="0964D363">
      <w:pPr>
        <w:spacing w:after="0" w:line="484" w:lineRule="auto"/>
        <w:rPr>
          <w:rFonts w:hint="eastAsia" w:ascii="仿宋" w:hAnsi="仿宋" w:eastAsia="仿宋" w:cs="仿宋"/>
          <w:color w:val="auto"/>
          <w:highlight w:val="none"/>
        </w:rPr>
        <w:sectPr>
          <w:footerReference r:id="rId7" w:type="default"/>
          <w:pgSz w:w="11910" w:h="16840"/>
          <w:pgMar w:top="1440" w:right="1080" w:bottom="1440" w:left="1080" w:header="600" w:footer="766" w:gutter="0"/>
          <w:pgNumType w:fmt="decimal" w:start="1"/>
          <w:cols w:space="720" w:num="1"/>
        </w:sectPr>
      </w:pPr>
    </w:p>
    <w:p w14:paraId="419E9A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sz w:val="28"/>
          <w:szCs w:val="28"/>
          <w:highlight w:val="none"/>
        </w:rPr>
      </w:pPr>
      <w:bookmarkStart w:id="9" w:name="_Toc22904_WPSOffice_Level1"/>
      <w:r>
        <w:rPr>
          <w:rFonts w:hint="eastAsia" w:ascii="仿宋" w:hAnsi="仿宋" w:eastAsia="仿宋" w:cs="仿宋"/>
          <w:b/>
          <w:bCs/>
          <w:color w:val="auto"/>
          <w:sz w:val="28"/>
          <w:szCs w:val="28"/>
          <w:highlight w:val="none"/>
        </w:rPr>
        <w:t>第</w:t>
      </w:r>
      <w:bookmarkStart w:id="10" w:name="_bookmark1"/>
      <w:bookmarkEnd w:id="10"/>
      <w:r>
        <w:rPr>
          <w:rFonts w:hint="eastAsia" w:ascii="仿宋" w:hAnsi="仿宋" w:eastAsia="仿宋" w:cs="仿宋"/>
          <w:b/>
          <w:bCs/>
          <w:color w:val="auto"/>
          <w:sz w:val="28"/>
          <w:szCs w:val="28"/>
          <w:highlight w:val="none"/>
          <w:lang w:val="en-US" w:eastAsia="zh-CN"/>
        </w:rPr>
        <w:t xml:space="preserve">二章 </w:t>
      </w:r>
      <w:r>
        <w:rPr>
          <w:rFonts w:hint="eastAsia" w:ascii="仿宋" w:hAnsi="仿宋" w:eastAsia="仿宋" w:cs="仿宋"/>
          <w:b/>
          <w:bCs/>
          <w:color w:val="auto"/>
          <w:sz w:val="28"/>
          <w:szCs w:val="28"/>
          <w:highlight w:val="none"/>
        </w:rPr>
        <w:t>供应商须知</w:t>
      </w:r>
    </w:p>
    <w:p w14:paraId="36A6CBB6">
      <w:pPr>
        <w:pStyle w:val="3"/>
        <w:spacing w:before="0" w:after="0" w:line="360" w:lineRule="auto"/>
        <w:ind w:right="116"/>
        <w:rPr>
          <w:rFonts w:hint="eastAsia" w:ascii="仿宋" w:hAnsi="仿宋" w:eastAsia="仿宋" w:cs="仿宋"/>
          <w:color w:val="auto"/>
          <w:sz w:val="24"/>
          <w:szCs w:val="24"/>
          <w:highlight w:val="none"/>
        </w:rPr>
      </w:pPr>
      <w:bookmarkStart w:id="11" w:name="供应商须知前附表"/>
      <w:bookmarkEnd w:id="11"/>
      <w:bookmarkStart w:id="12" w:name="_Toc63669150"/>
      <w:bookmarkStart w:id="13" w:name="_Toc1568"/>
      <w:r>
        <w:rPr>
          <w:rFonts w:hint="eastAsia" w:ascii="仿宋" w:hAnsi="仿宋" w:eastAsia="仿宋" w:cs="仿宋"/>
          <w:color w:val="auto"/>
          <w:sz w:val="24"/>
          <w:szCs w:val="24"/>
          <w:highlight w:val="none"/>
        </w:rPr>
        <w:t>供应商须知前附表</w:t>
      </w:r>
      <w:bookmarkEnd w:id="12"/>
      <w:bookmarkEnd w:id="13"/>
    </w:p>
    <w:tbl>
      <w:tblPr>
        <w:tblStyle w:val="32"/>
        <w:tblW w:w="1070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4"/>
        <w:gridCol w:w="2319"/>
        <w:gridCol w:w="7653"/>
      </w:tblGrid>
      <w:tr w14:paraId="671D8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7" w:hRule="atLeast"/>
          <w:jc w:val="center"/>
        </w:trPr>
        <w:tc>
          <w:tcPr>
            <w:tcW w:w="734" w:type="dxa"/>
            <w:tcBorders>
              <w:top w:val="single" w:color="000000" w:sz="6" w:space="0"/>
              <w:left w:val="single" w:color="000000" w:sz="6" w:space="0"/>
              <w:bottom w:val="single" w:color="000000" w:sz="6" w:space="0"/>
              <w:right w:val="single" w:color="000000" w:sz="6" w:space="0"/>
            </w:tcBorders>
          </w:tcPr>
          <w:p w14:paraId="696067CB">
            <w:pPr>
              <w:pStyle w:val="59"/>
              <w:spacing w:after="0" w:line="400" w:lineRule="exact"/>
              <w:ind w:left="108"/>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9972" w:type="dxa"/>
            <w:gridSpan w:val="2"/>
            <w:tcBorders>
              <w:top w:val="single" w:color="000000" w:sz="6" w:space="0"/>
              <w:left w:val="nil"/>
              <w:bottom w:val="single" w:color="000000" w:sz="6" w:space="0"/>
              <w:right w:val="single" w:color="000000" w:sz="6" w:space="0"/>
            </w:tcBorders>
          </w:tcPr>
          <w:p w14:paraId="574CBFFC">
            <w:pPr>
              <w:pStyle w:val="59"/>
              <w:spacing w:after="0" w:line="400" w:lineRule="exact"/>
              <w:ind w:left="108"/>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内    容</w:t>
            </w:r>
          </w:p>
        </w:tc>
      </w:tr>
      <w:tr w14:paraId="2E617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5"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6B3873AD">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2319" w:type="dxa"/>
            <w:tcBorders>
              <w:top w:val="single" w:color="000000" w:sz="6" w:space="0"/>
              <w:left w:val="nil"/>
              <w:bottom w:val="single" w:color="000000" w:sz="6" w:space="0"/>
              <w:right w:val="single" w:color="000000" w:sz="6" w:space="0"/>
            </w:tcBorders>
            <w:vAlign w:val="center"/>
          </w:tcPr>
          <w:p w14:paraId="30AA683B">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项目名称</w:t>
            </w:r>
          </w:p>
        </w:tc>
        <w:tc>
          <w:tcPr>
            <w:tcW w:w="7653" w:type="dxa"/>
            <w:tcBorders>
              <w:top w:val="single" w:color="000000" w:sz="6" w:space="0"/>
              <w:left w:val="nil"/>
              <w:bottom w:val="single" w:color="000000" w:sz="6" w:space="0"/>
              <w:right w:val="single" w:color="000000" w:sz="6" w:space="0"/>
            </w:tcBorders>
            <w:vAlign w:val="center"/>
          </w:tcPr>
          <w:p w14:paraId="66E56B21">
            <w:pPr>
              <w:pStyle w:val="59"/>
              <w:spacing w:after="0" w:line="400" w:lineRule="exact"/>
              <w:ind w:left="107"/>
              <w:rPr>
                <w:rFonts w:hint="eastAsia"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lang w:val="en-US" w:eastAsia="zh-CN"/>
              </w:rPr>
              <w:t>汤阴县林业发展中心安阳市汤阴县五陵镇旱塔河村绿化美化示范项目</w:t>
            </w:r>
          </w:p>
        </w:tc>
      </w:tr>
      <w:tr w14:paraId="666BF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7"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32ED291A">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2319" w:type="dxa"/>
            <w:tcBorders>
              <w:top w:val="single" w:color="000000" w:sz="6" w:space="0"/>
              <w:left w:val="nil"/>
              <w:bottom w:val="single" w:color="000000" w:sz="6" w:space="0"/>
              <w:right w:val="single" w:color="000000" w:sz="6" w:space="0"/>
            </w:tcBorders>
            <w:vAlign w:val="center"/>
          </w:tcPr>
          <w:p w14:paraId="24A24651">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采购编号</w:t>
            </w:r>
          </w:p>
        </w:tc>
        <w:tc>
          <w:tcPr>
            <w:tcW w:w="7653" w:type="dxa"/>
            <w:tcBorders>
              <w:top w:val="single" w:color="000000" w:sz="6" w:space="0"/>
              <w:left w:val="nil"/>
              <w:bottom w:val="single" w:color="000000" w:sz="6" w:space="0"/>
              <w:right w:val="single" w:color="000000" w:sz="6" w:space="0"/>
            </w:tcBorders>
            <w:vAlign w:val="center"/>
          </w:tcPr>
          <w:p w14:paraId="32E4B7CA">
            <w:pPr>
              <w:pStyle w:val="59"/>
              <w:spacing w:after="0" w:line="400" w:lineRule="exact"/>
              <w:ind w:left="107"/>
              <w:rPr>
                <w:rFonts w:hint="default" w:ascii="仿宋" w:hAnsi="仿宋" w:eastAsia="仿宋" w:cs="仿宋"/>
                <w:color w:val="auto"/>
                <w:sz w:val="24"/>
                <w:szCs w:val="24"/>
                <w:highlight w:val="none"/>
                <w:lang w:val="en-US"/>
              </w:rPr>
            </w:pPr>
            <w:r>
              <w:rPr>
                <w:rFonts w:hint="eastAsia" w:ascii="仿宋" w:hAnsi="仿宋" w:eastAsia="仿宋" w:cs="仿宋"/>
                <w:b/>
                <w:bCs/>
                <w:color w:val="auto"/>
                <w:sz w:val="24"/>
                <w:szCs w:val="24"/>
                <w:highlight w:val="none"/>
                <w:lang w:val="en-US" w:eastAsia="zh-CN"/>
              </w:rPr>
              <w:t xml:space="preserve">安汤磋商采购-2026-24  </w:t>
            </w:r>
          </w:p>
        </w:tc>
      </w:tr>
      <w:tr w14:paraId="6AE44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7"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2D7D7AA7">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2319" w:type="dxa"/>
            <w:tcBorders>
              <w:top w:val="single" w:color="000000" w:sz="6" w:space="0"/>
              <w:left w:val="nil"/>
              <w:bottom w:val="single" w:color="000000" w:sz="6" w:space="0"/>
              <w:right w:val="single" w:color="000000" w:sz="6" w:space="0"/>
            </w:tcBorders>
            <w:vAlign w:val="center"/>
          </w:tcPr>
          <w:p w14:paraId="5EC146CC">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w:t>
            </w:r>
          </w:p>
        </w:tc>
        <w:tc>
          <w:tcPr>
            <w:tcW w:w="7653" w:type="dxa"/>
            <w:tcBorders>
              <w:top w:val="single" w:color="000000" w:sz="6" w:space="0"/>
              <w:left w:val="nil"/>
              <w:bottom w:val="single" w:color="000000" w:sz="6" w:space="0"/>
              <w:right w:val="single" w:color="000000" w:sz="6" w:space="0"/>
            </w:tcBorders>
            <w:vAlign w:val="center"/>
          </w:tcPr>
          <w:p w14:paraId="025D8E0B">
            <w:pPr>
              <w:pStyle w:val="59"/>
              <w:spacing w:after="0" w:line="400" w:lineRule="exact"/>
              <w:ind w:left="107"/>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rPr>
              <w:t>汤阴县林业发展中心</w:t>
            </w:r>
          </w:p>
        </w:tc>
      </w:tr>
      <w:tr w14:paraId="301AB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7"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7AE88DE2">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2319" w:type="dxa"/>
            <w:tcBorders>
              <w:top w:val="single" w:color="000000" w:sz="6" w:space="0"/>
              <w:left w:val="nil"/>
              <w:bottom w:val="single" w:color="000000" w:sz="6" w:space="0"/>
              <w:right w:val="single" w:color="000000" w:sz="6" w:space="0"/>
            </w:tcBorders>
            <w:vAlign w:val="center"/>
          </w:tcPr>
          <w:p w14:paraId="59290DC4">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采购代理机构</w:t>
            </w:r>
          </w:p>
        </w:tc>
        <w:tc>
          <w:tcPr>
            <w:tcW w:w="7653" w:type="dxa"/>
            <w:tcBorders>
              <w:top w:val="single" w:color="000000" w:sz="6" w:space="0"/>
              <w:left w:val="nil"/>
              <w:bottom w:val="single" w:color="000000" w:sz="6" w:space="0"/>
              <w:right w:val="single" w:color="000000" w:sz="6" w:space="0"/>
            </w:tcBorders>
            <w:vAlign w:val="center"/>
          </w:tcPr>
          <w:p w14:paraId="49AA7D21">
            <w:pPr>
              <w:pStyle w:val="59"/>
              <w:spacing w:after="0" w:line="400" w:lineRule="exact"/>
              <w:ind w:left="107"/>
              <w:rPr>
                <w:rFonts w:hint="eastAsia" w:ascii="仿宋" w:hAnsi="仿宋" w:eastAsia="仿宋" w:cs="仿宋"/>
                <w:color w:val="auto"/>
                <w:sz w:val="24"/>
                <w:szCs w:val="24"/>
                <w:highlight w:val="none"/>
                <w:lang w:eastAsia="zh-CN"/>
              </w:rPr>
            </w:pPr>
            <w:r>
              <w:rPr>
                <w:rFonts w:hint="eastAsia" w:ascii="仿宋" w:hAnsi="仿宋" w:eastAsia="仿宋" w:cs="仿宋"/>
                <w:b/>
                <w:bCs/>
                <w:color w:val="auto"/>
                <w:spacing w:val="2"/>
                <w:sz w:val="24"/>
                <w:szCs w:val="24"/>
                <w:highlight w:val="none"/>
                <w:lang w:eastAsia="zh-CN"/>
              </w:rPr>
              <w:t>河南申创建筑工程有限公司</w:t>
            </w:r>
          </w:p>
        </w:tc>
      </w:tr>
      <w:tr w14:paraId="70873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7"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167480D8">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2319" w:type="dxa"/>
            <w:tcBorders>
              <w:top w:val="single" w:color="000000" w:sz="6" w:space="0"/>
              <w:left w:val="nil"/>
              <w:bottom w:val="single" w:color="000000" w:sz="6" w:space="0"/>
              <w:right w:val="single" w:color="000000" w:sz="6" w:space="0"/>
            </w:tcBorders>
            <w:vAlign w:val="center"/>
          </w:tcPr>
          <w:p w14:paraId="10599DFD">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采购方式</w:t>
            </w:r>
          </w:p>
        </w:tc>
        <w:tc>
          <w:tcPr>
            <w:tcW w:w="7653" w:type="dxa"/>
            <w:tcBorders>
              <w:top w:val="single" w:color="000000" w:sz="6" w:space="0"/>
              <w:left w:val="nil"/>
              <w:bottom w:val="single" w:color="000000" w:sz="6" w:space="0"/>
              <w:right w:val="single" w:color="000000" w:sz="6" w:space="0"/>
            </w:tcBorders>
            <w:vAlign w:val="center"/>
          </w:tcPr>
          <w:p w14:paraId="678F5120">
            <w:pPr>
              <w:pStyle w:val="59"/>
              <w:spacing w:after="0" w:line="400" w:lineRule="exact"/>
              <w:ind w:left="107"/>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竞争性磋商</w:t>
            </w:r>
          </w:p>
        </w:tc>
      </w:tr>
      <w:tr w14:paraId="0B7D3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7"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58CE0596">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2319" w:type="dxa"/>
            <w:tcBorders>
              <w:top w:val="single" w:color="000000" w:sz="6" w:space="0"/>
              <w:left w:val="nil"/>
              <w:bottom w:val="single" w:color="000000" w:sz="6" w:space="0"/>
              <w:right w:val="single" w:color="000000" w:sz="6" w:space="0"/>
            </w:tcBorders>
            <w:vAlign w:val="center"/>
          </w:tcPr>
          <w:p w14:paraId="764EDDA6">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采购预算</w:t>
            </w:r>
          </w:p>
        </w:tc>
        <w:tc>
          <w:tcPr>
            <w:tcW w:w="7653" w:type="dxa"/>
            <w:tcBorders>
              <w:top w:val="single" w:color="000000" w:sz="6" w:space="0"/>
              <w:left w:val="nil"/>
              <w:bottom w:val="single" w:color="000000" w:sz="6" w:space="0"/>
              <w:right w:val="single" w:color="000000" w:sz="6" w:space="0"/>
            </w:tcBorders>
            <w:vAlign w:val="center"/>
          </w:tcPr>
          <w:p w14:paraId="55C7A6FE">
            <w:pPr>
              <w:pStyle w:val="59"/>
              <w:spacing w:after="0" w:line="400" w:lineRule="exact"/>
              <w:ind w:left="107"/>
              <w:rPr>
                <w:rFonts w:hint="default" w:ascii="仿宋" w:hAnsi="仿宋" w:eastAsia="仿宋" w:cs="仿宋"/>
                <w:color w:val="auto"/>
                <w:sz w:val="24"/>
                <w:szCs w:val="24"/>
                <w:highlight w:val="none"/>
                <w:lang w:val="en-US"/>
              </w:rPr>
            </w:pPr>
            <w:r>
              <w:rPr>
                <w:rFonts w:hint="eastAsia" w:ascii="仿宋" w:hAnsi="仿宋" w:eastAsia="仿宋" w:cs="仿宋"/>
                <w:b/>
                <w:bCs/>
                <w:color w:val="auto"/>
                <w:sz w:val="24"/>
                <w:szCs w:val="24"/>
                <w:highlight w:val="none"/>
                <w:lang w:val="en-US" w:eastAsia="zh-CN"/>
              </w:rPr>
              <w:t>765000.00元   柒拾陆万伍仟元整</w:t>
            </w:r>
          </w:p>
        </w:tc>
      </w:tr>
      <w:tr w14:paraId="45D80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7"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739CC2BA">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2319" w:type="dxa"/>
            <w:tcBorders>
              <w:top w:val="single" w:color="000000" w:sz="6" w:space="0"/>
              <w:left w:val="nil"/>
              <w:bottom w:val="single" w:color="000000" w:sz="6" w:space="0"/>
              <w:right w:val="single" w:color="000000" w:sz="6" w:space="0"/>
            </w:tcBorders>
            <w:vAlign w:val="center"/>
          </w:tcPr>
          <w:p w14:paraId="344C42CF">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资金来源</w:t>
            </w:r>
          </w:p>
        </w:tc>
        <w:tc>
          <w:tcPr>
            <w:tcW w:w="7653" w:type="dxa"/>
            <w:tcBorders>
              <w:top w:val="single" w:color="000000" w:sz="6" w:space="0"/>
              <w:left w:val="nil"/>
              <w:bottom w:val="single" w:color="000000" w:sz="6" w:space="0"/>
              <w:right w:val="single" w:color="000000" w:sz="6" w:space="0"/>
            </w:tcBorders>
            <w:vAlign w:val="center"/>
          </w:tcPr>
          <w:p w14:paraId="60556BA3">
            <w:pPr>
              <w:pStyle w:val="59"/>
              <w:spacing w:after="0" w:line="400" w:lineRule="exact"/>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100%  财政资金</w:t>
            </w:r>
          </w:p>
        </w:tc>
      </w:tr>
      <w:tr w14:paraId="7AC22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7"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329EAAA1">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2319" w:type="dxa"/>
            <w:tcBorders>
              <w:top w:val="single" w:color="000000" w:sz="6" w:space="0"/>
              <w:left w:val="nil"/>
              <w:bottom w:val="single" w:color="000000" w:sz="6" w:space="0"/>
              <w:right w:val="single" w:color="000000" w:sz="6" w:space="0"/>
            </w:tcBorders>
            <w:vAlign w:val="center"/>
          </w:tcPr>
          <w:p w14:paraId="1EB85979">
            <w:pPr>
              <w:pStyle w:val="59"/>
              <w:spacing w:after="0" w:line="400" w:lineRule="exact"/>
              <w:ind w:left="108"/>
              <w:jc w:val="center"/>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磋商内容及范围</w:t>
            </w:r>
          </w:p>
        </w:tc>
        <w:tc>
          <w:tcPr>
            <w:tcW w:w="7653" w:type="dxa"/>
            <w:tcBorders>
              <w:top w:val="single" w:color="000000" w:sz="6" w:space="0"/>
              <w:left w:val="nil"/>
              <w:bottom w:val="single" w:color="000000" w:sz="6" w:space="0"/>
              <w:right w:val="single" w:color="000000" w:sz="6" w:space="0"/>
            </w:tcBorders>
            <w:vAlign w:val="center"/>
          </w:tcPr>
          <w:p w14:paraId="7E685D56">
            <w:pPr>
              <w:pStyle w:val="16"/>
              <w:keepNext w:val="0"/>
              <w:keepLines w:val="0"/>
              <w:pageBreakBefore w:val="0"/>
              <w:widowControl w:val="0"/>
              <w:kinsoku/>
              <w:wordWrap/>
              <w:overflowPunct/>
              <w:topLinePunct/>
              <w:autoSpaceDE/>
              <w:autoSpaceDN/>
              <w:bidi w:val="0"/>
              <w:adjustRightInd/>
              <w:snapToGrid/>
              <w:spacing w:beforeAutospacing="0" w:after="0" w:line="360" w:lineRule="auto"/>
              <w:ind w:left="0" w:leftChars="0" w:firstLine="0" w:firstLineChars="0"/>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汤阴县五陵镇旱塔河村绿化美化（包含栽(补)植、浇水、中耕除草、修剪、病虫害防治等。）</w:t>
            </w:r>
          </w:p>
        </w:tc>
      </w:tr>
      <w:tr w14:paraId="18F1D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7"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17AABAEC">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p>
        </w:tc>
        <w:tc>
          <w:tcPr>
            <w:tcW w:w="2319" w:type="dxa"/>
            <w:tcBorders>
              <w:top w:val="single" w:color="000000" w:sz="6" w:space="0"/>
              <w:left w:val="nil"/>
              <w:bottom w:val="single" w:color="000000" w:sz="6" w:space="0"/>
              <w:right w:val="single" w:color="000000" w:sz="6" w:space="0"/>
            </w:tcBorders>
            <w:vAlign w:val="center"/>
          </w:tcPr>
          <w:p w14:paraId="289A68A4">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供应商资格条件</w:t>
            </w:r>
          </w:p>
        </w:tc>
        <w:tc>
          <w:tcPr>
            <w:tcW w:w="7653" w:type="dxa"/>
            <w:tcBorders>
              <w:top w:val="single" w:color="000000" w:sz="6" w:space="0"/>
              <w:left w:val="nil"/>
              <w:bottom w:val="single" w:color="000000" w:sz="6" w:space="0"/>
              <w:right w:val="single" w:color="000000" w:sz="6" w:space="0"/>
            </w:tcBorders>
            <w:vAlign w:val="center"/>
          </w:tcPr>
          <w:p w14:paraId="5E1BF977">
            <w:pPr>
              <w:pStyle w:val="16"/>
              <w:spacing w:after="0" w:line="400" w:lineRule="exact"/>
              <w:ind w:left="0" w:leftChars="0" w:firstLine="0" w:firstLineChars="0"/>
              <w:rPr>
                <w:rFonts w:hint="eastAsia"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lang w:eastAsia="zh-CN"/>
              </w:rPr>
              <w:t>详见“竞争性磋商公告”中第三条“申请人资格要求”</w:t>
            </w:r>
          </w:p>
        </w:tc>
      </w:tr>
      <w:tr w14:paraId="67D57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0"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6754DCFA">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2319" w:type="dxa"/>
            <w:tcBorders>
              <w:top w:val="single" w:color="000000" w:sz="6" w:space="0"/>
              <w:left w:val="nil"/>
              <w:bottom w:val="single" w:color="000000" w:sz="6" w:space="0"/>
              <w:right w:val="single" w:color="000000" w:sz="6" w:space="0"/>
            </w:tcBorders>
            <w:vAlign w:val="center"/>
          </w:tcPr>
          <w:p w14:paraId="6CAA6E04">
            <w:pPr>
              <w:pStyle w:val="59"/>
              <w:spacing w:after="0" w:line="400" w:lineRule="exact"/>
              <w:ind w:right="91"/>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合同履行期限</w:t>
            </w:r>
          </w:p>
        </w:tc>
        <w:tc>
          <w:tcPr>
            <w:tcW w:w="7653" w:type="dxa"/>
            <w:tcBorders>
              <w:top w:val="single" w:color="000000" w:sz="6" w:space="0"/>
              <w:left w:val="nil"/>
              <w:bottom w:val="single" w:color="000000" w:sz="6" w:space="0"/>
              <w:right w:val="single" w:color="000000" w:sz="6" w:space="0"/>
            </w:tcBorders>
            <w:vAlign w:val="center"/>
          </w:tcPr>
          <w:p w14:paraId="652CC7B6">
            <w:pPr>
              <w:spacing w:after="0" w:line="400" w:lineRule="exac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bidi="ar-SA"/>
              </w:rPr>
              <w:t>建设周期1年，养护期1年</w:t>
            </w:r>
          </w:p>
        </w:tc>
      </w:tr>
      <w:tr w14:paraId="28DD4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1" w:hRule="atLeast"/>
          <w:jc w:val="center"/>
        </w:trPr>
        <w:tc>
          <w:tcPr>
            <w:tcW w:w="734" w:type="dxa"/>
            <w:tcBorders>
              <w:top w:val="single" w:color="000000" w:sz="6" w:space="0"/>
              <w:left w:val="single" w:color="000000" w:sz="6" w:space="0"/>
              <w:bottom w:val="single" w:color="auto" w:sz="4" w:space="0"/>
              <w:right w:val="single" w:color="000000" w:sz="6" w:space="0"/>
            </w:tcBorders>
            <w:vAlign w:val="center"/>
          </w:tcPr>
          <w:p w14:paraId="20842BB8">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p>
        </w:tc>
        <w:tc>
          <w:tcPr>
            <w:tcW w:w="2319" w:type="dxa"/>
            <w:tcBorders>
              <w:top w:val="single" w:color="000000" w:sz="6" w:space="0"/>
              <w:left w:val="nil"/>
              <w:bottom w:val="single" w:color="auto" w:sz="4" w:space="0"/>
              <w:right w:val="single" w:color="000000" w:sz="6" w:space="0"/>
            </w:tcBorders>
            <w:vAlign w:val="center"/>
          </w:tcPr>
          <w:p w14:paraId="2926D99C">
            <w:pPr>
              <w:pStyle w:val="59"/>
              <w:spacing w:after="0" w:line="400" w:lineRule="exact"/>
              <w:ind w:right="91"/>
              <w:jc w:val="center"/>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服务质量要求</w:t>
            </w:r>
          </w:p>
        </w:tc>
        <w:tc>
          <w:tcPr>
            <w:tcW w:w="7653" w:type="dxa"/>
            <w:tcBorders>
              <w:top w:val="single" w:color="000000" w:sz="6" w:space="0"/>
              <w:left w:val="nil"/>
              <w:bottom w:val="single" w:color="auto" w:sz="4" w:space="0"/>
              <w:right w:val="single" w:color="000000" w:sz="6" w:space="0"/>
            </w:tcBorders>
            <w:vAlign w:val="center"/>
          </w:tcPr>
          <w:p w14:paraId="749595B0">
            <w:pPr>
              <w:spacing w:after="0" w:line="400" w:lineRule="exact"/>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所承担的服务工作应符合国家及行业现行相关规范和标准，并符合采购人的相关要求</w:t>
            </w:r>
          </w:p>
        </w:tc>
      </w:tr>
      <w:tr w14:paraId="5349B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3" w:hRule="atLeast"/>
          <w:jc w:val="center"/>
        </w:trPr>
        <w:tc>
          <w:tcPr>
            <w:tcW w:w="734" w:type="dxa"/>
            <w:tcBorders>
              <w:top w:val="single" w:color="auto" w:sz="4" w:space="0"/>
              <w:left w:val="single" w:color="000000" w:sz="6" w:space="0"/>
              <w:bottom w:val="single" w:color="auto" w:sz="4" w:space="0"/>
              <w:right w:val="single" w:color="000000" w:sz="6" w:space="0"/>
            </w:tcBorders>
            <w:vAlign w:val="center"/>
          </w:tcPr>
          <w:p w14:paraId="6E1FE663">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p>
        </w:tc>
        <w:tc>
          <w:tcPr>
            <w:tcW w:w="2319" w:type="dxa"/>
            <w:tcBorders>
              <w:top w:val="single" w:color="auto" w:sz="4" w:space="0"/>
              <w:left w:val="nil"/>
              <w:bottom w:val="single" w:color="auto" w:sz="4" w:space="0"/>
              <w:right w:val="single" w:color="000000" w:sz="6" w:space="0"/>
            </w:tcBorders>
            <w:vAlign w:val="center"/>
          </w:tcPr>
          <w:p w14:paraId="76D88E61">
            <w:pPr>
              <w:pStyle w:val="59"/>
              <w:spacing w:after="0" w:line="400" w:lineRule="exact"/>
              <w:ind w:right="91"/>
              <w:jc w:val="center"/>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服务地点</w:t>
            </w:r>
          </w:p>
        </w:tc>
        <w:tc>
          <w:tcPr>
            <w:tcW w:w="7653" w:type="dxa"/>
            <w:tcBorders>
              <w:top w:val="single" w:color="auto" w:sz="4" w:space="0"/>
              <w:left w:val="nil"/>
              <w:bottom w:val="single" w:color="auto" w:sz="4" w:space="0"/>
              <w:right w:val="single" w:color="000000" w:sz="6" w:space="0"/>
            </w:tcBorders>
            <w:vAlign w:val="center"/>
          </w:tcPr>
          <w:p w14:paraId="09B09CBD">
            <w:pPr>
              <w:pStyle w:val="59"/>
              <w:keepNext w:val="0"/>
              <w:keepLines w:val="0"/>
              <w:pageBreakBefore w:val="0"/>
              <w:widowControl w:val="0"/>
              <w:kinsoku/>
              <w:wordWrap/>
              <w:overflowPunct/>
              <w:topLinePunct w:val="0"/>
              <w:autoSpaceDE w:val="0"/>
              <w:autoSpaceDN w:val="0"/>
              <w:bidi w:val="0"/>
              <w:adjustRightInd/>
              <w:snapToGrid/>
              <w:spacing w:before="184" w:line="360" w:lineRule="auto"/>
              <w:ind w:right="0"/>
              <w:jc w:val="both"/>
              <w:textAlignment w:val="auto"/>
              <w:outlineLvl w:val="9"/>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rPr>
              <w:t>汤阴县五陵镇旱塔河村</w:t>
            </w:r>
          </w:p>
        </w:tc>
      </w:tr>
      <w:tr w14:paraId="3076E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jc w:val="center"/>
        </w:trPr>
        <w:tc>
          <w:tcPr>
            <w:tcW w:w="734" w:type="dxa"/>
            <w:tcBorders>
              <w:top w:val="single" w:color="auto" w:sz="4" w:space="0"/>
              <w:left w:val="single" w:color="000000" w:sz="6" w:space="0"/>
              <w:bottom w:val="single" w:color="000000" w:sz="6" w:space="0"/>
              <w:right w:val="single" w:color="000000" w:sz="6" w:space="0"/>
            </w:tcBorders>
            <w:vAlign w:val="center"/>
          </w:tcPr>
          <w:p w14:paraId="4E4BF6FC">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w:t>
            </w:r>
          </w:p>
        </w:tc>
        <w:tc>
          <w:tcPr>
            <w:tcW w:w="2319" w:type="dxa"/>
            <w:tcBorders>
              <w:top w:val="single" w:color="auto" w:sz="4" w:space="0"/>
              <w:left w:val="nil"/>
              <w:bottom w:val="single" w:color="000000" w:sz="6" w:space="0"/>
              <w:right w:val="single" w:color="000000" w:sz="6" w:space="0"/>
            </w:tcBorders>
            <w:vAlign w:val="center"/>
          </w:tcPr>
          <w:p w14:paraId="687C991C">
            <w:pPr>
              <w:pStyle w:val="59"/>
              <w:spacing w:after="0" w:line="400" w:lineRule="exact"/>
              <w:ind w:right="91"/>
              <w:jc w:val="center"/>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本项目采购标的属性</w:t>
            </w:r>
          </w:p>
        </w:tc>
        <w:tc>
          <w:tcPr>
            <w:tcW w:w="7653" w:type="dxa"/>
            <w:tcBorders>
              <w:top w:val="single" w:color="auto" w:sz="4" w:space="0"/>
              <w:left w:val="nil"/>
              <w:bottom w:val="single" w:color="000000" w:sz="6" w:space="0"/>
              <w:right w:val="single" w:color="000000" w:sz="6" w:space="0"/>
            </w:tcBorders>
            <w:vAlign w:val="center"/>
          </w:tcPr>
          <w:p w14:paraId="56E919BE">
            <w:pPr>
              <w:pStyle w:val="59"/>
              <w:keepNext w:val="0"/>
              <w:keepLines w:val="0"/>
              <w:pageBreakBefore w:val="0"/>
              <w:widowControl w:val="0"/>
              <w:kinsoku/>
              <w:wordWrap/>
              <w:overflowPunct/>
              <w:topLinePunct w:val="0"/>
              <w:autoSpaceDE w:val="0"/>
              <w:autoSpaceDN w:val="0"/>
              <w:bidi w:val="0"/>
              <w:adjustRightInd/>
              <w:snapToGrid/>
              <w:spacing w:before="184" w:line="360" w:lineRule="auto"/>
              <w:ind w:right="0"/>
              <w:jc w:val="both"/>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服务</w:t>
            </w:r>
          </w:p>
        </w:tc>
      </w:tr>
      <w:tr w14:paraId="0C0BC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28"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6C02D95C">
            <w:pPr>
              <w:pStyle w:val="59"/>
              <w:spacing w:after="0" w:line="40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4</w:t>
            </w:r>
          </w:p>
        </w:tc>
        <w:tc>
          <w:tcPr>
            <w:tcW w:w="2319" w:type="dxa"/>
            <w:tcBorders>
              <w:top w:val="single" w:color="000000" w:sz="6" w:space="0"/>
              <w:left w:val="nil"/>
              <w:bottom w:val="single" w:color="000000" w:sz="6" w:space="0"/>
              <w:right w:val="single" w:color="000000" w:sz="6" w:space="0"/>
            </w:tcBorders>
            <w:vAlign w:val="center"/>
          </w:tcPr>
          <w:p w14:paraId="7CC792BF">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磋商保证金</w:t>
            </w:r>
          </w:p>
        </w:tc>
        <w:tc>
          <w:tcPr>
            <w:tcW w:w="7653" w:type="dxa"/>
            <w:tcBorders>
              <w:top w:val="single" w:color="000000" w:sz="6" w:space="0"/>
              <w:left w:val="nil"/>
              <w:bottom w:val="single" w:color="000000" w:sz="6" w:space="0"/>
              <w:right w:val="single" w:color="000000" w:sz="6" w:space="0"/>
            </w:tcBorders>
            <w:vAlign w:val="center"/>
          </w:tcPr>
          <w:p w14:paraId="42D7872F">
            <w:pPr>
              <w:pStyle w:val="16"/>
              <w:keepNext w:val="0"/>
              <w:keepLines w:val="0"/>
              <w:pageBreakBefore w:val="0"/>
              <w:widowControl w:val="0"/>
              <w:kinsoku/>
              <w:wordWrap/>
              <w:overflowPunct/>
              <w:topLinePunct w:val="0"/>
              <w:autoSpaceDE/>
              <w:autoSpaceDN/>
              <w:bidi w:val="0"/>
              <w:adjustRightInd/>
              <w:snapToGrid/>
              <w:spacing w:before="0" w:after="0" w:line="360" w:lineRule="auto"/>
              <w:ind w:left="0" w:leftChars="0" w:right="0" w:firstLine="480"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依据河南省财政厅《关于优化政府采购营商环境有关问题的通知》（豫财购〔2019〕4号）文件要求，本项目不收取磋商保证金。</w:t>
            </w:r>
            <w:r>
              <w:rPr>
                <w:rFonts w:hint="eastAsia" w:ascii="仿宋" w:hAnsi="仿宋" w:eastAsia="仿宋" w:cs="仿宋"/>
                <w:b/>
                <w:bCs/>
                <w:color w:val="auto"/>
                <w:kern w:val="0"/>
                <w:sz w:val="24"/>
                <w:szCs w:val="24"/>
                <w:highlight w:val="none"/>
                <w:lang w:val="en-US" w:eastAsia="zh-CN" w:bidi="ar-SA"/>
              </w:rPr>
              <w:t>以投标承诺函形式替代磋商保证金。供应商应按附件格式进行投标承诺、违背承诺的责任追究。</w:t>
            </w:r>
          </w:p>
        </w:tc>
      </w:tr>
      <w:tr w14:paraId="30A52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jc w:val="center"/>
        </w:trPr>
        <w:tc>
          <w:tcPr>
            <w:tcW w:w="734" w:type="dxa"/>
            <w:tcBorders>
              <w:top w:val="single" w:color="000000" w:sz="6" w:space="0"/>
              <w:left w:val="single" w:color="000000" w:sz="6" w:space="0"/>
              <w:bottom w:val="single" w:color="auto" w:sz="4" w:space="0"/>
              <w:right w:val="single" w:color="000000" w:sz="6" w:space="0"/>
            </w:tcBorders>
            <w:vAlign w:val="center"/>
          </w:tcPr>
          <w:p w14:paraId="2A21F3A5">
            <w:pPr>
              <w:pStyle w:val="59"/>
              <w:spacing w:after="0" w:line="40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p>
        </w:tc>
        <w:tc>
          <w:tcPr>
            <w:tcW w:w="2319" w:type="dxa"/>
            <w:tcBorders>
              <w:top w:val="single" w:color="000000" w:sz="6" w:space="0"/>
              <w:left w:val="nil"/>
              <w:bottom w:val="single" w:color="auto" w:sz="4" w:space="0"/>
              <w:right w:val="single" w:color="000000" w:sz="6" w:space="0"/>
            </w:tcBorders>
            <w:vAlign w:val="center"/>
          </w:tcPr>
          <w:p w14:paraId="2F487A55">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磋商有效期</w:t>
            </w:r>
          </w:p>
        </w:tc>
        <w:tc>
          <w:tcPr>
            <w:tcW w:w="7653" w:type="dxa"/>
            <w:tcBorders>
              <w:top w:val="single" w:color="000000" w:sz="6" w:space="0"/>
              <w:left w:val="nil"/>
              <w:bottom w:val="single" w:color="auto" w:sz="4" w:space="0"/>
              <w:right w:val="single" w:color="000000" w:sz="6" w:space="0"/>
            </w:tcBorders>
            <w:vAlign w:val="center"/>
          </w:tcPr>
          <w:p w14:paraId="29BBD026">
            <w:pPr>
              <w:pStyle w:val="59"/>
              <w:spacing w:after="0" w:line="400" w:lineRule="exact"/>
              <w:ind w:left="107"/>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自磋商截止之日起60</w:t>
            </w:r>
            <w:r>
              <w:rPr>
                <w:rFonts w:hint="eastAsia" w:ascii="仿宋" w:hAnsi="仿宋" w:eastAsia="仿宋" w:cs="仿宋"/>
                <w:color w:val="auto"/>
                <w:sz w:val="24"/>
                <w:szCs w:val="24"/>
                <w:highlight w:val="none"/>
                <w:lang w:eastAsia="zh-CN"/>
              </w:rPr>
              <w:t>天</w:t>
            </w:r>
          </w:p>
        </w:tc>
      </w:tr>
      <w:tr w14:paraId="56F6B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5"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7E134C3D">
            <w:pPr>
              <w:pStyle w:val="59"/>
              <w:spacing w:after="0" w:line="40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6</w:t>
            </w:r>
          </w:p>
        </w:tc>
        <w:tc>
          <w:tcPr>
            <w:tcW w:w="2319" w:type="dxa"/>
            <w:tcBorders>
              <w:top w:val="single" w:color="000000" w:sz="6" w:space="0"/>
              <w:left w:val="nil"/>
              <w:bottom w:val="single" w:color="000000" w:sz="6" w:space="0"/>
              <w:right w:val="single" w:color="000000" w:sz="6" w:space="0"/>
            </w:tcBorders>
            <w:vAlign w:val="center"/>
          </w:tcPr>
          <w:p w14:paraId="744E5955">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签字和盖章要求</w:t>
            </w:r>
          </w:p>
        </w:tc>
        <w:tc>
          <w:tcPr>
            <w:tcW w:w="7653" w:type="dxa"/>
            <w:tcBorders>
              <w:top w:val="single" w:color="000000" w:sz="6" w:space="0"/>
              <w:left w:val="nil"/>
              <w:bottom w:val="single" w:color="000000" w:sz="6" w:space="0"/>
              <w:right w:val="single" w:color="000000" w:sz="6" w:space="0"/>
            </w:tcBorders>
            <w:vAlign w:val="center"/>
          </w:tcPr>
          <w:p w14:paraId="495F0A7B">
            <w:pPr>
              <w:pStyle w:val="59"/>
              <w:spacing w:after="0" w:line="400" w:lineRule="exact"/>
              <w:ind w:left="107"/>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电子响应文件应按采购文件要求加盖供应商机构CA数字证书、法定代表人个人CA数字证书。</w:t>
            </w:r>
          </w:p>
        </w:tc>
      </w:tr>
      <w:tr w14:paraId="515F4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5" w:hRule="atLeast"/>
          <w:jc w:val="center"/>
        </w:trPr>
        <w:tc>
          <w:tcPr>
            <w:tcW w:w="734" w:type="dxa"/>
            <w:tcBorders>
              <w:top w:val="single" w:color="000000" w:sz="6" w:space="0"/>
              <w:left w:val="single" w:color="000000" w:sz="6" w:space="0"/>
              <w:bottom w:val="single" w:color="auto" w:sz="4" w:space="0"/>
              <w:right w:val="single" w:color="000000" w:sz="6" w:space="0"/>
            </w:tcBorders>
            <w:vAlign w:val="center"/>
          </w:tcPr>
          <w:p w14:paraId="1706674F">
            <w:pPr>
              <w:pStyle w:val="59"/>
              <w:spacing w:after="0" w:line="40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7</w:t>
            </w:r>
          </w:p>
        </w:tc>
        <w:tc>
          <w:tcPr>
            <w:tcW w:w="2319" w:type="dxa"/>
            <w:tcBorders>
              <w:top w:val="single" w:color="000000" w:sz="6" w:space="0"/>
              <w:left w:val="nil"/>
              <w:bottom w:val="single" w:color="auto" w:sz="4" w:space="0"/>
              <w:right w:val="single" w:color="000000" w:sz="6" w:space="0"/>
            </w:tcBorders>
            <w:vAlign w:val="center"/>
          </w:tcPr>
          <w:p w14:paraId="4FF26E07">
            <w:pPr>
              <w:pStyle w:val="59"/>
              <w:spacing w:after="0" w:line="400" w:lineRule="exact"/>
              <w:ind w:left="107"/>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磋商预算价</w:t>
            </w:r>
          </w:p>
        </w:tc>
        <w:tc>
          <w:tcPr>
            <w:tcW w:w="7653" w:type="dxa"/>
            <w:tcBorders>
              <w:top w:val="single" w:color="000000" w:sz="6" w:space="0"/>
              <w:left w:val="nil"/>
              <w:bottom w:val="single" w:color="auto" w:sz="4" w:space="0"/>
              <w:right w:val="single" w:color="000000" w:sz="6" w:space="0"/>
            </w:tcBorders>
            <w:vAlign w:val="center"/>
          </w:tcPr>
          <w:p w14:paraId="3A9D001D">
            <w:pPr>
              <w:pStyle w:val="59"/>
              <w:spacing w:after="0" w:line="400" w:lineRule="exact"/>
              <w:ind w:left="107"/>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765000.00元  最高限价：765000.00元  柒拾陆万伍仟元整</w:t>
            </w:r>
          </w:p>
          <w:p w14:paraId="586CB776">
            <w:pPr>
              <w:pStyle w:val="59"/>
              <w:spacing w:after="0" w:line="400" w:lineRule="exact"/>
              <w:ind w:left="107"/>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rPr>
              <w:t>各供应商的投标报价高于磋商预算价将按无效标处理。</w:t>
            </w:r>
          </w:p>
          <w:p w14:paraId="232930B5">
            <w:pPr>
              <w:pStyle w:val="59"/>
              <w:spacing w:after="0" w:line="400" w:lineRule="exact"/>
              <w:ind w:left="107"/>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2.如遇政策调整，</w:t>
            </w:r>
            <w:r>
              <w:rPr>
                <w:rFonts w:hint="eastAsia" w:ascii="仿宋" w:hAnsi="仿宋" w:eastAsia="仿宋" w:cs="仿宋"/>
                <w:b/>
                <w:bCs/>
                <w:color w:val="auto"/>
                <w:sz w:val="24"/>
                <w:szCs w:val="24"/>
                <w:highlight w:val="none"/>
                <w:lang w:eastAsia="zh-CN"/>
              </w:rPr>
              <w:t>供应商</w:t>
            </w:r>
            <w:r>
              <w:rPr>
                <w:rFonts w:hint="eastAsia" w:ascii="仿宋" w:hAnsi="仿宋" w:eastAsia="仿宋" w:cs="仿宋"/>
                <w:b/>
                <w:bCs/>
                <w:color w:val="auto"/>
                <w:sz w:val="24"/>
                <w:szCs w:val="24"/>
                <w:highlight w:val="none"/>
              </w:rPr>
              <w:t>应按照最新政策进行报价，并考虑在报价中，风险由供应商自行承担。</w:t>
            </w:r>
          </w:p>
        </w:tc>
      </w:tr>
      <w:tr w14:paraId="13802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9" w:hRule="atLeast"/>
          <w:jc w:val="center"/>
        </w:trPr>
        <w:tc>
          <w:tcPr>
            <w:tcW w:w="734" w:type="dxa"/>
            <w:tcBorders>
              <w:top w:val="single" w:color="auto" w:sz="4" w:space="0"/>
              <w:left w:val="single" w:color="000000" w:sz="6" w:space="0"/>
              <w:bottom w:val="single" w:color="auto" w:sz="4" w:space="0"/>
              <w:right w:val="single" w:color="000000" w:sz="6" w:space="0"/>
            </w:tcBorders>
            <w:vAlign w:val="center"/>
          </w:tcPr>
          <w:p w14:paraId="53FA308A">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w:t>
            </w:r>
          </w:p>
        </w:tc>
        <w:tc>
          <w:tcPr>
            <w:tcW w:w="2319" w:type="dxa"/>
            <w:tcBorders>
              <w:top w:val="single" w:color="auto" w:sz="4" w:space="0"/>
              <w:left w:val="nil"/>
              <w:bottom w:val="single" w:color="auto" w:sz="4" w:space="0"/>
              <w:right w:val="single" w:color="000000" w:sz="6" w:space="0"/>
            </w:tcBorders>
            <w:vAlign w:val="center"/>
          </w:tcPr>
          <w:p w14:paraId="0F74EA64">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供应商提出问题</w:t>
            </w:r>
          </w:p>
          <w:p w14:paraId="5AA5ADAA">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的截止时间</w:t>
            </w:r>
          </w:p>
        </w:tc>
        <w:tc>
          <w:tcPr>
            <w:tcW w:w="7653" w:type="dxa"/>
            <w:tcBorders>
              <w:top w:val="single" w:color="auto" w:sz="4" w:space="0"/>
              <w:left w:val="nil"/>
              <w:bottom w:val="single" w:color="auto" w:sz="4" w:space="0"/>
              <w:right w:val="single" w:color="000000" w:sz="6" w:space="0"/>
            </w:tcBorders>
            <w:vAlign w:val="center"/>
          </w:tcPr>
          <w:p w14:paraId="7FBDCE96">
            <w:pPr>
              <w:pStyle w:val="59"/>
              <w:spacing w:after="0" w:line="400" w:lineRule="exact"/>
              <w:jc w:val="both"/>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投标截止时间</w:t>
            </w: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rPr>
              <w:t>日前</w:t>
            </w:r>
          </w:p>
        </w:tc>
      </w:tr>
      <w:tr w14:paraId="17DCA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0" w:hRule="atLeast"/>
          <w:jc w:val="center"/>
        </w:trPr>
        <w:tc>
          <w:tcPr>
            <w:tcW w:w="734" w:type="dxa"/>
            <w:tcBorders>
              <w:top w:val="single" w:color="auto" w:sz="4" w:space="0"/>
              <w:left w:val="single" w:color="000000" w:sz="6" w:space="0"/>
              <w:bottom w:val="single" w:color="auto" w:sz="4" w:space="0"/>
              <w:right w:val="single" w:color="000000" w:sz="6" w:space="0"/>
            </w:tcBorders>
            <w:vAlign w:val="center"/>
          </w:tcPr>
          <w:p w14:paraId="5F1BE592">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19</w:t>
            </w:r>
          </w:p>
        </w:tc>
        <w:tc>
          <w:tcPr>
            <w:tcW w:w="2319" w:type="dxa"/>
            <w:tcBorders>
              <w:top w:val="single" w:color="auto" w:sz="4" w:space="0"/>
              <w:left w:val="nil"/>
              <w:bottom w:val="single" w:color="auto" w:sz="4" w:space="0"/>
              <w:right w:val="single" w:color="000000" w:sz="6" w:space="0"/>
            </w:tcBorders>
            <w:vAlign w:val="center"/>
          </w:tcPr>
          <w:p w14:paraId="4F7F0763">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《磋商文件》澄清修改补充时间</w:t>
            </w:r>
          </w:p>
        </w:tc>
        <w:tc>
          <w:tcPr>
            <w:tcW w:w="7653" w:type="dxa"/>
            <w:tcBorders>
              <w:top w:val="single" w:color="auto" w:sz="4" w:space="0"/>
              <w:left w:val="nil"/>
              <w:bottom w:val="single" w:color="auto" w:sz="4" w:space="0"/>
              <w:right w:val="single" w:color="000000" w:sz="6" w:space="0"/>
            </w:tcBorders>
            <w:vAlign w:val="center"/>
          </w:tcPr>
          <w:p w14:paraId="620D65A1">
            <w:pPr>
              <w:pStyle w:val="59"/>
              <w:spacing w:after="0" w:line="400" w:lineRule="exact"/>
              <w:jc w:val="both"/>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投标截止时间5日前</w:t>
            </w:r>
          </w:p>
        </w:tc>
      </w:tr>
      <w:tr w14:paraId="6069E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9" w:hRule="atLeast"/>
          <w:jc w:val="center"/>
        </w:trPr>
        <w:tc>
          <w:tcPr>
            <w:tcW w:w="734" w:type="dxa"/>
            <w:tcBorders>
              <w:top w:val="single" w:color="auto" w:sz="4" w:space="0"/>
              <w:left w:val="single" w:color="000000" w:sz="6" w:space="0"/>
              <w:bottom w:val="single" w:color="000000" w:sz="6" w:space="0"/>
              <w:right w:val="single" w:color="000000" w:sz="6" w:space="0"/>
            </w:tcBorders>
            <w:vAlign w:val="center"/>
          </w:tcPr>
          <w:p w14:paraId="03141498">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w:t>
            </w:r>
          </w:p>
        </w:tc>
        <w:tc>
          <w:tcPr>
            <w:tcW w:w="2319" w:type="dxa"/>
            <w:tcBorders>
              <w:top w:val="single" w:color="auto" w:sz="4" w:space="0"/>
              <w:left w:val="nil"/>
              <w:bottom w:val="single" w:color="000000" w:sz="6" w:space="0"/>
              <w:right w:val="single" w:color="000000" w:sz="6" w:space="0"/>
            </w:tcBorders>
            <w:vAlign w:val="center"/>
          </w:tcPr>
          <w:p w14:paraId="22B4D455">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《磋商文件》的澄清修改补充告知方式</w:t>
            </w:r>
          </w:p>
        </w:tc>
        <w:tc>
          <w:tcPr>
            <w:tcW w:w="7653" w:type="dxa"/>
            <w:tcBorders>
              <w:top w:val="single" w:color="auto" w:sz="4" w:space="0"/>
              <w:left w:val="nil"/>
              <w:bottom w:val="single" w:color="000000" w:sz="6" w:space="0"/>
              <w:right w:val="single" w:color="000000" w:sz="6" w:space="0"/>
            </w:tcBorders>
            <w:vAlign w:val="center"/>
          </w:tcPr>
          <w:p w14:paraId="7AEC116D">
            <w:pPr>
              <w:pStyle w:val="59"/>
              <w:spacing w:after="0" w:line="400" w:lineRule="exact"/>
              <w:jc w:val="both"/>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见“第</w:t>
            </w:r>
            <w:r>
              <w:rPr>
                <w:rFonts w:hint="eastAsia" w:ascii="仿宋" w:hAnsi="仿宋" w:eastAsia="仿宋" w:cs="仿宋"/>
                <w:b/>
                <w:bCs/>
                <w:color w:val="auto"/>
                <w:sz w:val="24"/>
                <w:szCs w:val="24"/>
                <w:highlight w:val="none"/>
                <w:lang w:val="en-US" w:eastAsia="zh-CN"/>
              </w:rPr>
              <w:t>二</w:t>
            </w:r>
            <w:r>
              <w:rPr>
                <w:rFonts w:hint="eastAsia" w:ascii="仿宋" w:hAnsi="仿宋" w:eastAsia="仿宋" w:cs="仿宋"/>
                <w:b/>
                <w:bCs/>
                <w:color w:val="auto"/>
                <w:sz w:val="24"/>
                <w:szCs w:val="24"/>
                <w:highlight w:val="none"/>
                <w:lang w:eastAsia="zh-CN"/>
              </w:rPr>
              <w:t>章</w:t>
            </w:r>
            <w:r>
              <w:rPr>
                <w:rFonts w:hint="eastAsia" w:ascii="仿宋" w:hAnsi="仿宋" w:eastAsia="仿宋" w:cs="仿宋"/>
                <w:b/>
                <w:bCs/>
                <w:color w:val="auto"/>
                <w:sz w:val="24"/>
                <w:szCs w:val="24"/>
                <w:highlight w:val="none"/>
              </w:rPr>
              <w:t xml:space="preserve"> 供应商须知”相应条款</w:t>
            </w:r>
          </w:p>
        </w:tc>
      </w:tr>
      <w:tr w14:paraId="6D771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5"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67468DD6">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w:t>
            </w:r>
          </w:p>
        </w:tc>
        <w:tc>
          <w:tcPr>
            <w:tcW w:w="2319" w:type="dxa"/>
            <w:tcBorders>
              <w:top w:val="single" w:color="000000" w:sz="6" w:space="0"/>
              <w:left w:val="nil"/>
              <w:bottom w:val="single" w:color="000000" w:sz="6" w:space="0"/>
              <w:right w:val="single" w:color="000000" w:sz="6" w:space="0"/>
            </w:tcBorders>
            <w:vAlign w:val="center"/>
          </w:tcPr>
          <w:p w14:paraId="6A18B875">
            <w:pPr>
              <w:pStyle w:val="59"/>
              <w:spacing w:after="0" w:line="400" w:lineRule="exact"/>
              <w:ind w:left="107"/>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磋商响应文件递交截止时间</w:t>
            </w:r>
          </w:p>
        </w:tc>
        <w:tc>
          <w:tcPr>
            <w:tcW w:w="7653" w:type="dxa"/>
            <w:tcBorders>
              <w:top w:val="single" w:color="000000" w:sz="6" w:space="0"/>
              <w:left w:val="nil"/>
              <w:bottom w:val="single" w:color="000000" w:sz="6" w:space="0"/>
              <w:right w:val="single" w:color="000000" w:sz="6" w:space="0"/>
            </w:tcBorders>
            <w:vAlign w:val="center"/>
          </w:tcPr>
          <w:p w14:paraId="6E97BB64">
            <w:pPr>
              <w:pStyle w:val="59"/>
              <w:spacing w:after="0" w:line="400" w:lineRule="exact"/>
              <w:ind w:left="107"/>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详见</w:t>
            </w:r>
            <w:r>
              <w:rPr>
                <w:rFonts w:hint="eastAsia" w:ascii="仿宋" w:hAnsi="仿宋" w:eastAsia="仿宋" w:cs="仿宋"/>
                <w:b/>
                <w:bCs/>
                <w:color w:val="auto"/>
                <w:sz w:val="24"/>
                <w:szCs w:val="24"/>
                <w:highlight w:val="none"/>
                <w:lang w:eastAsia="zh-CN"/>
              </w:rPr>
              <w:t>竞争性</w:t>
            </w:r>
            <w:r>
              <w:rPr>
                <w:rFonts w:hint="eastAsia" w:ascii="仿宋" w:hAnsi="仿宋" w:eastAsia="仿宋" w:cs="仿宋"/>
                <w:b/>
                <w:bCs/>
                <w:color w:val="auto"/>
                <w:sz w:val="24"/>
                <w:szCs w:val="24"/>
                <w:highlight w:val="none"/>
              </w:rPr>
              <w:t>磋商公告</w:t>
            </w:r>
          </w:p>
        </w:tc>
      </w:tr>
      <w:tr w14:paraId="5A02C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7"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24979446">
            <w:pPr>
              <w:pStyle w:val="59"/>
              <w:spacing w:after="0"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w:t>
            </w:r>
          </w:p>
        </w:tc>
        <w:tc>
          <w:tcPr>
            <w:tcW w:w="2319" w:type="dxa"/>
            <w:tcBorders>
              <w:top w:val="single" w:color="000000" w:sz="6" w:space="0"/>
              <w:left w:val="nil"/>
              <w:bottom w:val="single" w:color="000000" w:sz="6" w:space="0"/>
              <w:right w:val="single" w:color="000000" w:sz="6" w:space="0"/>
            </w:tcBorders>
            <w:vAlign w:val="center"/>
          </w:tcPr>
          <w:p w14:paraId="325FCCBB">
            <w:pPr>
              <w:pStyle w:val="59"/>
              <w:spacing w:after="0" w:line="360" w:lineRule="auto"/>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磋商时间</w:t>
            </w:r>
          </w:p>
        </w:tc>
        <w:tc>
          <w:tcPr>
            <w:tcW w:w="7653" w:type="dxa"/>
            <w:tcBorders>
              <w:top w:val="single" w:color="000000" w:sz="6" w:space="0"/>
              <w:left w:val="nil"/>
              <w:bottom w:val="single" w:color="000000" w:sz="6" w:space="0"/>
              <w:right w:val="single" w:color="000000" w:sz="6" w:space="0"/>
            </w:tcBorders>
            <w:vAlign w:val="center"/>
          </w:tcPr>
          <w:p w14:paraId="642A8C5D">
            <w:pPr>
              <w:pStyle w:val="59"/>
              <w:spacing w:after="0" w:line="360" w:lineRule="auto"/>
              <w:ind w:left="107"/>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详见</w:t>
            </w:r>
            <w:r>
              <w:rPr>
                <w:rFonts w:hint="eastAsia" w:ascii="仿宋" w:hAnsi="仿宋" w:eastAsia="仿宋" w:cs="仿宋"/>
                <w:b/>
                <w:bCs/>
                <w:color w:val="auto"/>
                <w:sz w:val="24"/>
                <w:szCs w:val="24"/>
                <w:highlight w:val="none"/>
                <w:lang w:eastAsia="zh-CN"/>
              </w:rPr>
              <w:t>竞争性</w:t>
            </w:r>
            <w:r>
              <w:rPr>
                <w:rFonts w:hint="eastAsia" w:ascii="仿宋" w:hAnsi="仿宋" w:eastAsia="仿宋" w:cs="仿宋"/>
                <w:b/>
                <w:bCs/>
                <w:color w:val="auto"/>
                <w:sz w:val="24"/>
                <w:szCs w:val="24"/>
                <w:highlight w:val="none"/>
              </w:rPr>
              <w:t>磋商公告</w:t>
            </w:r>
          </w:p>
        </w:tc>
      </w:tr>
      <w:tr w14:paraId="693A6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5F6206D6">
            <w:pPr>
              <w:pStyle w:val="59"/>
              <w:spacing w:after="0"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w:t>
            </w:r>
          </w:p>
        </w:tc>
        <w:tc>
          <w:tcPr>
            <w:tcW w:w="2319" w:type="dxa"/>
            <w:tcBorders>
              <w:top w:val="single" w:color="000000" w:sz="6" w:space="0"/>
              <w:left w:val="nil"/>
              <w:bottom w:val="single" w:color="000000" w:sz="6" w:space="0"/>
              <w:right w:val="single" w:color="000000" w:sz="6" w:space="0"/>
            </w:tcBorders>
            <w:vAlign w:val="center"/>
          </w:tcPr>
          <w:p w14:paraId="67A1F593">
            <w:pPr>
              <w:pStyle w:val="59"/>
              <w:spacing w:after="0" w:line="360" w:lineRule="auto"/>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磋商地点</w:t>
            </w:r>
          </w:p>
        </w:tc>
        <w:tc>
          <w:tcPr>
            <w:tcW w:w="7653" w:type="dxa"/>
            <w:tcBorders>
              <w:top w:val="single" w:color="000000" w:sz="6" w:space="0"/>
              <w:left w:val="nil"/>
              <w:bottom w:val="single" w:color="000000" w:sz="6" w:space="0"/>
              <w:right w:val="single" w:color="000000" w:sz="6" w:space="0"/>
            </w:tcBorders>
            <w:vAlign w:val="center"/>
          </w:tcPr>
          <w:p w14:paraId="14947D22">
            <w:pPr>
              <w:pStyle w:val="59"/>
              <w:spacing w:after="0" w:line="360" w:lineRule="auto"/>
              <w:ind w:left="107"/>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详见</w:t>
            </w:r>
            <w:r>
              <w:rPr>
                <w:rFonts w:hint="eastAsia" w:ascii="仿宋" w:hAnsi="仿宋" w:eastAsia="仿宋" w:cs="仿宋"/>
                <w:b/>
                <w:bCs/>
                <w:color w:val="auto"/>
                <w:sz w:val="24"/>
                <w:szCs w:val="24"/>
                <w:highlight w:val="none"/>
                <w:lang w:eastAsia="zh-CN"/>
              </w:rPr>
              <w:t>竞争性</w:t>
            </w:r>
            <w:r>
              <w:rPr>
                <w:rFonts w:hint="eastAsia" w:ascii="仿宋" w:hAnsi="仿宋" w:eastAsia="仿宋" w:cs="仿宋"/>
                <w:b/>
                <w:bCs/>
                <w:color w:val="auto"/>
                <w:sz w:val="24"/>
                <w:szCs w:val="24"/>
                <w:highlight w:val="none"/>
              </w:rPr>
              <w:t>磋商公告</w:t>
            </w:r>
          </w:p>
        </w:tc>
      </w:tr>
      <w:tr w14:paraId="4FEFE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36"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12B15D64">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w:t>
            </w:r>
          </w:p>
        </w:tc>
        <w:tc>
          <w:tcPr>
            <w:tcW w:w="2319" w:type="dxa"/>
            <w:tcBorders>
              <w:top w:val="single" w:color="000000" w:sz="6" w:space="0"/>
              <w:left w:val="nil"/>
              <w:bottom w:val="single" w:color="000000" w:sz="6" w:space="0"/>
              <w:right w:val="single" w:color="000000" w:sz="6" w:space="0"/>
            </w:tcBorders>
            <w:vAlign w:val="center"/>
          </w:tcPr>
          <w:p w14:paraId="23305792">
            <w:pPr>
              <w:pStyle w:val="59"/>
              <w:spacing w:after="0" w:line="400" w:lineRule="exact"/>
              <w:ind w:right="91"/>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磋商响应文件递交方式</w:t>
            </w:r>
          </w:p>
        </w:tc>
        <w:tc>
          <w:tcPr>
            <w:tcW w:w="7653" w:type="dxa"/>
            <w:tcBorders>
              <w:top w:val="single" w:color="000000" w:sz="6" w:space="0"/>
              <w:left w:val="nil"/>
              <w:bottom w:val="single" w:color="000000" w:sz="6" w:space="0"/>
              <w:right w:val="single" w:color="000000" w:sz="6" w:space="0"/>
            </w:tcBorders>
            <w:vAlign w:val="center"/>
          </w:tcPr>
          <w:p w14:paraId="4451ED40">
            <w:pPr>
              <w:pStyle w:val="59"/>
              <w:spacing w:after="0" w:line="400" w:lineRule="exact"/>
              <w:ind w:left="107" w:right="90"/>
              <w:jc w:val="both"/>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网上递交。</w:t>
            </w:r>
            <w:r>
              <w:rPr>
                <w:rFonts w:hint="eastAsia" w:ascii="仿宋" w:hAnsi="仿宋" w:eastAsia="仿宋" w:cs="仿宋"/>
                <w:color w:val="auto"/>
                <w:sz w:val="24"/>
                <w:szCs w:val="24"/>
                <w:highlight w:val="none"/>
              </w:rPr>
              <w:t>供应商进入全国公共资源交易平台（河南省˙汤阴县）网站，凭企业数字证书点击【投标用户入口】</w:t>
            </w:r>
            <w:r>
              <w:rPr>
                <w:rFonts w:hint="eastAsia" w:ascii="仿宋" w:hAnsi="仿宋" w:eastAsia="仿宋" w:cs="仿宋"/>
                <w:color w:val="auto"/>
                <w:sz w:val="24"/>
                <w:szCs w:val="24"/>
                <w:highlight w:val="none"/>
                <w:lang w:eastAsia="zh-CN"/>
              </w:rPr>
              <w:t>登录系统</w:t>
            </w:r>
            <w:r>
              <w:rPr>
                <w:rFonts w:hint="eastAsia" w:ascii="仿宋" w:hAnsi="仿宋" w:eastAsia="仿宋" w:cs="仿宋"/>
                <w:color w:val="auto"/>
                <w:sz w:val="24"/>
                <w:szCs w:val="24"/>
                <w:highlight w:val="none"/>
              </w:rPr>
              <w:t>，</w:t>
            </w:r>
            <w:r>
              <w:rPr>
                <w:rFonts w:hint="eastAsia" w:ascii="仿宋" w:hAnsi="仿宋" w:eastAsia="仿宋" w:cs="仿宋"/>
                <w:b/>
                <w:bCs/>
                <w:color w:val="auto"/>
                <w:sz w:val="24"/>
                <w:szCs w:val="24"/>
                <w:highlight w:val="none"/>
              </w:rPr>
              <w:t>供应商必须在磋商截止时间前完成所有响应文件的上传，并“确认并签名”，逾期上传视为网上投标无效；</w:t>
            </w:r>
          </w:p>
        </w:tc>
      </w:tr>
      <w:tr w14:paraId="0E0AB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8"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105AB70F">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w:t>
            </w:r>
          </w:p>
        </w:tc>
        <w:tc>
          <w:tcPr>
            <w:tcW w:w="2319" w:type="dxa"/>
            <w:tcBorders>
              <w:top w:val="single" w:color="000000" w:sz="6" w:space="0"/>
              <w:left w:val="nil"/>
              <w:bottom w:val="single" w:color="000000" w:sz="6" w:space="0"/>
              <w:right w:val="single" w:color="000000" w:sz="6" w:space="0"/>
            </w:tcBorders>
            <w:vAlign w:val="center"/>
          </w:tcPr>
          <w:p w14:paraId="44C90D3B">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磋商小组的构成</w:t>
            </w:r>
          </w:p>
        </w:tc>
        <w:tc>
          <w:tcPr>
            <w:tcW w:w="7653" w:type="dxa"/>
            <w:tcBorders>
              <w:top w:val="single" w:color="000000" w:sz="6" w:space="0"/>
              <w:left w:val="nil"/>
              <w:bottom w:val="single" w:color="000000" w:sz="6" w:space="0"/>
              <w:right w:val="single" w:color="000000" w:sz="6" w:space="0"/>
            </w:tcBorders>
            <w:vAlign w:val="center"/>
          </w:tcPr>
          <w:p w14:paraId="0CD77345">
            <w:pPr>
              <w:pStyle w:val="59"/>
              <w:spacing w:after="0" w:line="400" w:lineRule="exact"/>
              <w:ind w:left="10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磋商小组构成：</w:t>
            </w:r>
            <w:r>
              <w:rPr>
                <w:rFonts w:hint="eastAsia" w:ascii="仿宋" w:hAnsi="仿宋" w:eastAsia="仿宋" w:cs="仿宋"/>
                <w:b/>
                <w:bCs/>
                <w:color w:val="auto"/>
                <w:sz w:val="24"/>
                <w:szCs w:val="24"/>
                <w:highlight w:val="none"/>
              </w:rPr>
              <w:t>磋商小组由</w:t>
            </w:r>
            <w:r>
              <w:rPr>
                <w:rFonts w:hint="eastAsia" w:ascii="仿宋" w:hAnsi="仿宋" w:eastAsia="仿宋" w:cs="仿宋"/>
                <w:b/>
                <w:bCs/>
                <w:color w:val="auto"/>
                <w:sz w:val="24"/>
                <w:szCs w:val="24"/>
                <w:highlight w:val="none"/>
                <w:lang w:val="en-US" w:eastAsia="zh-CN"/>
              </w:rPr>
              <w:t>采购人代表和</w:t>
            </w:r>
            <w:r>
              <w:rPr>
                <w:rFonts w:hint="eastAsia" w:ascii="仿宋" w:hAnsi="仿宋" w:eastAsia="仿宋" w:cs="仿宋"/>
                <w:b/>
                <w:bCs/>
                <w:color w:val="auto"/>
                <w:sz w:val="24"/>
                <w:szCs w:val="24"/>
                <w:highlight w:val="none"/>
              </w:rPr>
              <w:t xml:space="preserve">评审专家组成，共 </w:t>
            </w:r>
            <w:r>
              <w:rPr>
                <w:rFonts w:hint="eastAsia" w:ascii="仿宋" w:hAnsi="仿宋" w:eastAsia="仿宋" w:cs="仿宋"/>
                <w:b/>
                <w:bCs/>
                <w:color w:val="auto"/>
                <w:sz w:val="24"/>
                <w:szCs w:val="24"/>
                <w:highlight w:val="none"/>
                <w:u w:val="none"/>
              </w:rPr>
              <w:t xml:space="preserve">3 </w:t>
            </w:r>
            <w:r>
              <w:rPr>
                <w:rFonts w:hint="eastAsia" w:ascii="仿宋" w:hAnsi="仿宋" w:eastAsia="仿宋" w:cs="仿宋"/>
                <w:b/>
                <w:bCs/>
                <w:color w:val="auto"/>
                <w:sz w:val="24"/>
                <w:szCs w:val="24"/>
                <w:highlight w:val="none"/>
              </w:rPr>
              <w:t>人</w:t>
            </w:r>
          </w:p>
          <w:p w14:paraId="62BF7E35">
            <w:pPr>
              <w:pStyle w:val="59"/>
              <w:spacing w:after="0" w:line="400" w:lineRule="exact"/>
              <w:ind w:left="10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磋商评审专家确定方式：</w:t>
            </w:r>
            <w:r>
              <w:rPr>
                <w:rFonts w:hint="eastAsia" w:ascii="仿宋" w:hAnsi="仿宋" w:eastAsia="仿宋" w:cs="仿宋"/>
                <w:b/>
                <w:bCs/>
                <w:color w:val="auto"/>
                <w:sz w:val="24"/>
                <w:szCs w:val="24"/>
                <w:highlight w:val="none"/>
                <w:lang w:val="en-US" w:eastAsia="zh-CN"/>
              </w:rPr>
              <w:t>从</w:t>
            </w:r>
            <w:r>
              <w:rPr>
                <w:rFonts w:hint="eastAsia" w:ascii="仿宋" w:hAnsi="仿宋" w:eastAsia="仿宋" w:cs="仿宋"/>
                <w:b/>
                <w:bCs/>
                <w:color w:val="auto"/>
                <w:sz w:val="24"/>
                <w:szCs w:val="24"/>
                <w:highlight w:val="none"/>
              </w:rPr>
              <w:t>河南省政府采购专家库中随机抽取</w:t>
            </w:r>
            <w:r>
              <w:rPr>
                <w:rFonts w:hint="eastAsia" w:ascii="仿宋" w:hAnsi="仿宋" w:eastAsia="仿宋" w:cs="仿宋"/>
                <w:color w:val="auto"/>
                <w:sz w:val="24"/>
                <w:szCs w:val="24"/>
                <w:highlight w:val="none"/>
              </w:rPr>
              <w:t>。</w:t>
            </w:r>
          </w:p>
        </w:tc>
      </w:tr>
      <w:tr w14:paraId="2E952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4" w:hRule="atLeast"/>
          <w:jc w:val="center"/>
        </w:trPr>
        <w:tc>
          <w:tcPr>
            <w:tcW w:w="734" w:type="dxa"/>
            <w:tcBorders>
              <w:top w:val="single" w:color="000000" w:sz="6" w:space="0"/>
              <w:left w:val="single" w:color="000000" w:sz="6" w:space="0"/>
              <w:bottom w:val="single" w:color="auto" w:sz="4" w:space="0"/>
              <w:right w:val="single" w:color="000000" w:sz="6" w:space="0"/>
            </w:tcBorders>
            <w:vAlign w:val="center"/>
          </w:tcPr>
          <w:p w14:paraId="5D9E9890">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w:t>
            </w:r>
          </w:p>
        </w:tc>
        <w:tc>
          <w:tcPr>
            <w:tcW w:w="2319" w:type="dxa"/>
            <w:tcBorders>
              <w:top w:val="single" w:color="000000" w:sz="6" w:space="0"/>
              <w:left w:val="nil"/>
              <w:bottom w:val="single" w:color="auto" w:sz="4" w:space="0"/>
              <w:right w:val="single" w:color="000000" w:sz="6" w:space="0"/>
            </w:tcBorders>
            <w:vAlign w:val="center"/>
          </w:tcPr>
          <w:p w14:paraId="36BDD871">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是否授权磋商</w:t>
            </w:r>
          </w:p>
          <w:p w14:paraId="6D934FCD">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小组确定成交人</w:t>
            </w:r>
          </w:p>
        </w:tc>
        <w:tc>
          <w:tcPr>
            <w:tcW w:w="7653" w:type="dxa"/>
            <w:tcBorders>
              <w:top w:val="single" w:color="000000" w:sz="6" w:space="0"/>
              <w:left w:val="nil"/>
              <w:bottom w:val="single" w:color="auto" w:sz="4" w:space="0"/>
              <w:right w:val="single" w:color="000000" w:sz="6" w:space="0"/>
            </w:tcBorders>
            <w:vAlign w:val="center"/>
          </w:tcPr>
          <w:p w14:paraId="3A22DFB8">
            <w:pPr>
              <w:pStyle w:val="59"/>
              <w:spacing w:after="0" w:line="400" w:lineRule="exact"/>
              <w:ind w:left="108"/>
              <w:jc w:val="left"/>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是</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按照评审得分高至低顺序推荐3名成交候选供应商，并确定排名第一的成交候选</w:t>
            </w:r>
            <w:r>
              <w:rPr>
                <w:rFonts w:hint="eastAsia" w:ascii="仿宋" w:hAnsi="仿宋" w:eastAsia="仿宋" w:cs="仿宋"/>
                <w:b/>
                <w:bCs/>
                <w:color w:val="auto"/>
                <w:sz w:val="24"/>
                <w:szCs w:val="24"/>
                <w:highlight w:val="none"/>
              </w:rPr>
              <w:t>人</w:t>
            </w:r>
            <w:r>
              <w:rPr>
                <w:rFonts w:hint="eastAsia" w:ascii="仿宋" w:hAnsi="仿宋" w:eastAsia="仿宋" w:cs="仿宋"/>
                <w:b/>
                <w:bCs/>
                <w:color w:val="auto"/>
                <w:sz w:val="24"/>
                <w:szCs w:val="24"/>
                <w:highlight w:val="none"/>
                <w:lang w:val="en-US" w:eastAsia="zh-CN"/>
              </w:rPr>
              <w:t>为成交供应商。</w:t>
            </w:r>
          </w:p>
        </w:tc>
      </w:tr>
      <w:tr w14:paraId="1756E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jc w:val="center"/>
        </w:trPr>
        <w:tc>
          <w:tcPr>
            <w:tcW w:w="734" w:type="dxa"/>
            <w:tcBorders>
              <w:top w:val="single" w:color="auto" w:sz="4" w:space="0"/>
              <w:left w:val="single" w:color="000000" w:sz="6" w:space="0"/>
              <w:bottom w:val="single" w:color="auto" w:sz="4" w:space="0"/>
              <w:right w:val="single" w:color="000000" w:sz="6" w:space="0"/>
            </w:tcBorders>
            <w:vAlign w:val="center"/>
          </w:tcPr>
          <w:p w14:paraId="1A410D04">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27</w:t>
            </w:r>
          </w:p>
        </w:tc>
        <w:tc>
          <w:tcPr>
            <w:tcW w:w="2319" w:type="dxa"/>
            <w:tcBorders>
              <w:top w:val="single" w:color="auto" w:sz="4" w:space="0"/>
              <w:left w:val="nil"/>
              <w:bottom w:val="single" w:color="auto" w:sz="4" w:space="0"/>
              <w:right w:val="single" w:color="000000" w:sz="6" w:space="0"/>
            </w:tcBorders>
            <w:vAlign w:val="center"/>
          </w:tcPr>
          <w:p w14:paraId="09373404">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成交结果公告</w:t>
            </w:r>
          </w:p>
        </w:tc>
        <w:tc>
          <w:tcPr>
            <w:tcW w:w="7653" w:type="dxa"/>
            <w:tcBorders>
              <w:top w:val="single" w:color="auto" w:sz="4" w:space="0"/>
              <w:left w:val="nil"/>
              <w:bottom w:val="single" w:color="auto" w:sz="4" w:space="0"/>
              <w:right w:val="single" w:color="000000" w:sz="6" w:space="0"/>
            </w:tcBorders>
            <w:vAlign w:val="top"/>
          </w:tcPr>
          <w:p w14:paraId="74DA4C58">
            <w:pPr>
              <w:pStyle w:val="59"/>
              <w:spacing w:after="0" w:line="400" w:lineRule="exact"/>
              <w:ind w:left="108"/>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本次竞争性磋商的成交结果将在成交供应商确定之日起 1 个工作日内，在竞争性磋商公告</w:t>
            </w:r>
            <w:r>
              <w:rPr>
                <w:rFonts w:hint="eastAsia" w:ascii="仿宋" w:hAnsi="仿宋" w:eastAsia="仿宋" w:cs="仿宋"/>
                <w:b/>
                <w:bCs/>
                <w:color w:val="auto"/>
                <w:sz w:val="24"/>
                <w:szCs w:val="24"/>
                <w:highlight w:val="none"/>
              </w:rPr>
              <w:t>所述媒介</w:t>
            </w:r>
            <w:r>
              <w:rPr>
                <w:rFonts w:hint="eastAsia" w:ascii="仿宋" w:hAnsi="仿宋" w:eastAsia="仿宋" w:cs="仿宋"/>
                <w:color w:val="auto"/>
                <w:sz w:val="24"/>
                <w:szCs w:val="24"/>
                <w:highlight w:val="none"/>
              </w:rPr>
              <w:t>公告 1 个工作日。</w:t>
            </w:r>
          </w:p>
        </w:tc>
      </w:tr>
      <w:tr w14:paraId="33B65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8"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6B8D960B">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28</w:t>
            </w:r>
          </w:p>
        </w:tc>
        <w:tc>
          <w:tcPr>
            <w:tcW w:w="2319" w:type="dxa"/>
            <w:tcBorders>
              <w:top w:val="single" w:color="000000" w:sz="6" w:space="0"/>
              <w:left w:val="nil"/>
              <w:bottom w:val="single" w:color="000000" w:sz="6" w:space="0"/>
              <w:right w:val="single" w:color="000000" w:sz="6" w:space="0"/>
            </w:tcBorders>
            <w:vAlign w:val="center"/>
          </w:tcPr>
          <w:p w14:paraId="7E688DE2">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成交通知书</w:t>
            </w:r>
          </w:p>
        </w:tc>
        <w:tc>
          <w:tcPr>
            <w:tcW w:w="7653" w:type="dxa"/>
            <w:tcBorders>
              <w:top w:val="single" w:color="000000" w:sz="6" w:space="0"/>
              <w:left w:val="nil"/>
              <w:bottom w:val="single" w:color="000000" w:sz="6" w:space="0"/>
              <w:right w:val="single" w:color="000000" w:sz="6" w:space="0"/>
            </w:tcBorders>
            <w:vAlign w:val="center"/>
          </w:tcPr>
          <w:p w14:paraId="70753E2B">
            <w:pPr>
              <w:pStyle w:val="59"/>
              <w:spacing w:after="0" w:line="400" w:lineRule="exact"/>
              <w:ind w:left="107" w:right="94"/>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采购代理机构在成交人确定后</w:t>
            </w:r>
            <w:r>
              <w:rPr>
                <w:rFonts w:hint="eastAsia" w:ascii="仿宋" w:hAnsi="仿宋" w:eastAsia="仿宋" w:cs="仿宋"/>
                <w:b/>
                <w:bCs/>
                <w:color w:val="auto"/>
                <w:sz w:val="24"/>
                <w:szCs w:val="24"/>
                <w:highlight w:val="none"/>
                <w:lang w:val="en-US" w:eastAsia="zh-CN"/>
              </w:rPr>
              <w:t>1个工作日内</w:t>
            </w:r>
            <w:r>
              <w:rPr>
                <w:rFonts w:hint="eastAsia" w:ascii="仿宋" w:hAnsi="仿宋" w:eastAsia="仿宋" w:cs="仿宋"/>
                <w:b/>
                <w:bCs/>
                <w:color w:val="auto"/>
                <w:sz w:val="24"/>
                <w:szCs w:val="24"/>
                <w:highlight w:val="none"/>
              </w:rPr>
              <w:t>，向成交人发出成交通知书。</w:t>
            </w:r>
          </w:p>
        </w:tc>
      </w:tr>
      <w:tr w14:paraId="41AD2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8"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5144BCF4">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29</w:t>
            </w:r>
          </w:p>
        </w:tc>
        <w:tc>
          <w:tcPr>
            <w:tcW w:w="2319" w:type="dxa"/>
            <w:tcBorders>
              <w:top w:val="single" w:color="000000" w:sz="6" w:space="0"/>
              <w:left w:val="nil"/>
              <w:bottom w:val="single" w:color="000000" w:sz="6" w:space="0"/>
              <w:right w:val="single" w:color="000000" w:sz="6" w:space="0"/>
            </w:tcBorders>
            <w:vAlign w:val="center"/>
          </w:tcPr>
          <w:p w14:paraId="026A8392">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本项目采用评审办法</w:t>
            </w:r>
          </w:p>
        </w:tc>
        <w:tc>
          <w:tcPr>
            <w:tcW w:w="7653" w:type="dxa"/>
            <w:tcBorders>
              <w:top w:val="single" w:color="000000" w:sz="6" w:space="0"/>
              <w:left w:val="nil"/>
              <w:bottom w:val="single" w:color="000000" w:sz="6" w:space="0"/>
              <w:right w:val="single" w:color="000000" w:sz="6" w:space="0"/>
            </w:tcBorders>
            <w:vAlign w:val="center"/>
          </w:tcPr>
          <w:p w14:paraId="2FD75CE4">
            <w:pPr>
              <w:pStyle w:val="59"/>
              <w:spacing w:after="0" w:line="400" w:lineRule="exact"/>
              <w:ind w:left="107"/>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综合评分法</w:t>
            </w:r>
          </w:p>
        </w:tc>
      </w:tr>
      <w:tr w14:paraId="03329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1"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3F22E7C7">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30</w:t>
            </w:r>
          </w:p>
        </w:tc>
        <w:tc>
          <w:tcPr>
            <w:tcW w:w="2319" w:type="dxa"/>
            <w:tcBorders>
              <w:top w:val="single" w:color="000000" w:sz="6" w:space="0"/>
              <w:left w:val="nil"/>
              <w:bottom w:val="single" w:color="000000" w:sz="6" w:space="0"/>
              <w:right w:val="single" w:color="000000" w:sz="6" w:space="0"/>
            </w:tcBorders>
            <w:vAlign w:val="center"/>
          </w:tcPr>
          <w:p w14:paraId="57F0B30F">
            <w:pPr>
              <w:pStyle w:val="59"/>
              <w:spacing w:after="0" w:line="400" w:lineRule="exact"/>
              <w:ind w:left="10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履约保证金</w:t>
            </w:r>
          </w:p>
        </w:tc>
        <w:tc>
          <w:tcPr>
            <w:tcW w:w="7653" w:type="dxa"/>
            <w:tcBorders>
              <w:top w:val="single" w:color="000000" w:sz="6" w:space="0"/>
              <w:left w:val="nil"/>
              <w:bottom w:val="single" w:color="000000" w:sz="6" w:space="0"/>
              <w:right w:val="single" w:color="000000" w:sz="6" w:space="0"/>
            </w:tcBorders>
            <w:vAlign w:val="center"/>
          </w:tcPr>
          <w:p w14:paraId="1A9F4FA7">
            <w:pPr>
              <w:pStyle w:val="59"/>
              <w:spacing w:after="0" w:line="400" w:lineRule="exact"/>
              <w:ind w:left="107"/>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履约保证金金额：</w:t>
            </w:r>
            <w:r>
              <w:rPr>
                <w:rFonts w:hint="eastAsia" w:ascii="仿宋" w:hAnsi="仿宋" w:eastAsia="仿宋" w:cs="仿宋"/>
                <w:b/>
                <w:bCs/>
                <w:color w:val="auto"/>
                <w:sz w:val="24"/>
                <w:szCs w:val="24"/>
                <w:highlight w:val="none"/>
                <w:lang w:val="en-US" w:eastAsia="zh-CN"/>
              </w:rPr>
              <w:t>本项目不需要缴纳履约保证金</w:t>
            </w:r>
          </w:p>
        </w:tc>
      </w:tr>
      <w:tr w14:paraId="6EF59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36" w:hRule="atLeast"/>
          <w:jc w:val="center"/>
        </w:trPr>
        <w:tc>
          <w:tcPr>
            <w:tcW w:w="734" w:type="dxa"/>
            <w:tcBorders>
              <w:top w:val="single" w:color="000000" w:sz="6" w:space="0"/>
              <w:left w:val="single" w:color="000000" w:sz="6" w:space="0"/>
              <w:bottom w:val="single" w:color="auto" w:sz="4" w:space="0"/>
              <w:right w:val="single" w:color="000000" w:sz="6" w:space="0"/>
            </w:tcBorders>
            <w:vAlign w:val="center"/>
          </w:tcPr>
          <w:p w14:paraId="5378A1BB">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w:t>
            </w:r>
          </w:p>
        </w:tc>
        <w:tc>
          <w:tcPr>
            <w:tcW w:w="2319" w:type="dxa"/>
            <w:tcBorders>
              <w:top w:val="single" w:color="000000" w:sz="6" w:space="0"/>
              <w:left w:val="nil"/>
              <w:bottom w:val="single" w:color="auto" w:sz="4" w:space="0"/>
              <w:right w:val="single" w:color="000000" w:sz="6" w:space="0"/>
            </w:tcBorders>
            <w:vAlign w:val="center"/>
          </w:tcPr>
          <w:p w14:paraId="01FAA03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质疑</w:t>
            </w:r>
          </w:p>
        </w:tc>
        <w:tc>
          <w:tcPr>
            <w:tcW w:w="7653" w:type="dxa"/>
            <w:tcBorders>
              <w:top w:val="single" w:color="000000" w:sz="6" w:space="0"/>
              <w:left w:val="nil"/>
              <w:bottom w:val="single" w:color="auto" w:sz="4" w:space="0"/>
              <w:right w:val="single" w:color="000000" w:sz="6" w:space="0"/>
            </w:tcBorders>
            <w:vAlign w:val="top"/>
          </w:tcPr>
          <w:p w14:paraId="2B5A76E1">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一、供应商认为自己的权益受到损害的，可以在知道或者应知其权益受到损害之日起七个工作日内，向采购代理机构提出质疑。</w:t>
            </w:r>
          </w:p>
          <w:p w14:paraId="39B2CC87">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1.接收质疑函的方式：书面形式</w:t>
            </w:r>
          </w:p>
          <w:p w14:paraId="2B0C77F9">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名    称: 河南申创建筑工程有限公司</w:t>
            </w:r>
          </w:p>
          <w:p w14:paraId="4700640D">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地址；汤阴县人民路中段路南县直机关幼儿园西侧三楼</w:t>
            </w:r>
          </w:p>
          <w:p w14:paraId="7DB2BCB2">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联系人：王鹏</w:t>
            </w:r>
          </w:p>
          <w:p w14:paraId="09F55B7C">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电话：18625850039</w:t>
            </w:r>
          </w:p>
          <w:p w14:paraId="4D706F78">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质疑函的内容、格式：按照政府采购质疑和投诉办法（中华人民共和国财政部令94号）以书面形式向采购人或采购代理机构提出质疑，逾期不再接收。根据委托代理协议约定，对采购文件的质疑由采购人负责答复；对采购过程的质疑由采购代理机构负责答复；对采购结果的质疑由采购代理机构负责答复。质疑格式、内容应符合相关规定和在省级以上政府采购网站上发布的《政府采购质疑函范本》格式上下载的格式填写书写质疑函，并提供证明材料及程序进行质疑。</w:t>
            </w:r>
          </w:p>
          <w:p w14:paraId="21566482">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 在法定质疑期内</w:t>
            </w:r>
            <w:r>
              <w:rPr>
                <w:rFonts w:hint="eastAsia" w:ascii="仿宋" w:hAnsi="仿宋" w:eastAsia="仿宋" w:cs="仿宋"/>
                <w:b/>
                <w:bCs/>
                <w:color w:val="auto"/>
                <w:sz w:val="24"/>
                <w:szCs w:val="24"/>
                <w:highlight w:val="none"/>
                <w:lang w:eastAsia="zh-CN"/>
              </w:rPr>
              <w:t>供应商</w:t>
            </w:r>
            <w:r>
              <w:rPr>
                <w:rFonts w:hint="eastAsia" w:ascii="仿宋" w:hAnsi="仿宋" w:eastAsia="仿宋" w:cs="仿宋"/>
                <w:b/>
                <w:bCs/>
                <w:color w:val="auto"/>
                <w:sz w:val="24"/>
                <w:szCs w:val="24"/>
                <w:highlight w:val="none"/>
              </w:rPr>
              <w:t>针对同一采购程序环节的质疑应当一次性提出，逾期依法不予接收。</w:t>
            </w:r>
          </w:p>
          <w:p w14:paraId="5C069C0B">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rPr>
              <w:t>（采购程序环节分为：采购文件、采购过程、成交结果）</w:t>
            </w:r>
          </w:p>
        </w:tc>
      </w:tr>
      <w:tr w14:paraId="13647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9" w:hRule="atLeast"/>
          <w:jc w:val="center"/>
        </w:trPr>
        <w:tc>
          <w:tcPr>
            <w:tcW w:w="734" w:type="dxa"/>
            <w:tcBorders>
              <w:top w:val="single" w:color="auto" w:sz="4" w:space="0"/>
              <w:left w:val="single" w:color="000000" w:sz="6" w:space="0"/>
              <w:bottom w:val="single" w:color="auto" w:sz="4" w:space="0"/>
              <w:right w:val="single" w:color="000000" w:sz="6" w:space="0"/>
            </w:tcBorders>
            <w:vAlign w:val="center"/>
          </w:tcPr>
          <w:p w14:paraId="24E993B7">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w:t>
            </w:r>
          </w:p>
        </w:tc>
        <w:tc>
          <w:tcPr>
            <w:tcW w:w="2319" w:type="dxa"/>
            <w:tcBorders>
              <w:top w:val="single" w:color="auto" w:sz="4" w:space="0"/>
              <w:left w:val="nil"/>
              <w:bottom w:val="single" w:color="auto" w:sz="4" w:space="0"/>
              <w:right w:val="single" w:color="000000" w:sz="6" w:space="0"/>
            </w:tcBorders>
            <w:vAlign w:val="center"/>
          </w:tcPr>
          <w:p w14:paraId="08191DD9">
            <w:pPr>
              <w:pStyle w:val="59"/>
              <w:spacing w:after="0" w:line="400" w:lineRule="exact"/>
              <w:ind w:left="108" w:leftChars="0"/>
              <w:jc w:val="center"/>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付款方式</w:t>
            </w:r>
          </w:p>
          <w:p w14:paraId="3A6B1CE6">
            <w:pPr>
              <w:pStyle w:val="59"/>
              <w:spacing w:after="0" w:line="400" w:lineRule="exact"/>
              <w:ind w:left="108" w:leftChars="0"/>
              <w:jc w:val="center"/>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ab/>
            </w:r>
            <w:r>
              <w:rPr>
                <w:rFonts w:hint="eastAsia" w:ascii="仿宋" w:hAnsi="仿宋" w:eastAsia="仿宋" w:cs="仿宋"/>
                <w:b/>
                <w:bCs/>
                <w:color w:val="auto"/>
                <w:sz w:val="24"/>
                <w:szCs w:val="24"/>
                <w:highlight w:val="none"/>
                <w:lang w:val="en-US" w:eastAsia="zh-CN" w:bidi="ar-SA"/>
              </w:rPr>
              <w:t xml:space="preserve"> </w:t>
            </w:r>
          </w:p>
        </w:tc>
        <w:tc>
          <w:tcPr>
            <w:tcW w:w="7653" w:type="dxa"/>
            <w:tcBorders>
              <w:top w:val="single" w:color="auto" w:sz="4" w:space="0"/>
              <w:left w:val="nil"/>
              <w:bottom w:val="single" w:color="auto" w:sz="4" w:space="0"/>
              <w:right w:val="single" w:color="000000" w:sz="6" w:space="0"/>
            </w:tcBorders>
            <w:vAlign w:val="center"/>
          </w:tcPr>
          <w:p w14:paraId="5848201F">
            <w:pPr>
              <w:pStyle w:val="59"/>
              <w:spacing w:after="0" w:line="360" w:lineRule="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付款方式：采购项目验收合格后，根据采购项目的实际情况和双方约定的合同条款进行支付。</w:t>
            </w:r>
          </w:p>
        </w:tc>
      </w:tr>
      <w:tr w14:paraId="111FB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jc w:val="center"/>
        </w:trPr>
        <w:tc>
          <w:tcPr>
            <w:tcW w:w="734" w:type="dxa"/>
            <w:tcBorders>
              <w:top w:val="single" w:color="auto" w:sz="4" w:space="0"/>
              <w:left w:val="single" w:color="000000" w:sz="6" w:space="0"/>
              <w:bottom w:val="single" w:color="000000" w:sz="6" w:space="0"/>
              <w:right w:val="single" w:color="000000" w:sz="6" w:space="0"/>
            </w:tcBorders>
            <w:vAlign w:val="center"/>
          </w:tcPr>
          <w:p w14:paraId="5C151D00">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33</w:t>
            </w:r>
          </w:p>
        </w:tc>
        <w:tc>
          <w:tcPr>
            <w:tcW w:w="2319" w:type="dxa"/>
            <w:tcBorders>
              <w:top w:val="single" w:color="auto" w:sz="4" w:space="0"/>
              <w:left w:val="nil"/>
              <w:bottom w:val="single" w:color="000000" w:sz="6" w:space="0"/>
              <w:right w:val="single" w:color="000000" w:sz="6" w:space="0"/>
            </w:tcBorders>
            <w:vAlign w:val="center"/>
          </w:tcPr>
          <w:p w14:paraId="53E1E8D3">
            <w:pPr>
              <w:pStyle w:val="59"/>
              <w:spacing w:after="0" w:line="400" w:lineRule="exact"/>
              <w:ind w:left="108"/>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验收</w:t>
            </w:r>
          </w:p>
        </w:tc>
        <w:tc>
          <w:tcPr>
            <w:tcW w:w="7653" w:type="dxa"/>
            <w:tcBorders>
              <w:top w:val="single" w:color="auto" w:sz="4" w:space="0"/>
              <w:left w:val="nil"/>
              <w:bottom w:val="single" w:color="000000" w:sz="6" w:space="0"/>
              <w:right w:val="single" w:color="000000" w:sz="6" w:space="0"/>
            </w:tcBorders>
            <w:vAlign w:val="center"/>
          </w:tcPr>
          <w:p w14:paraId="1D860DFD">
            <w:pPr>
              <w:pStyle w:val="59"/>
              <w:numPr>
                <w:ilvl w:val="0"/>
                <w:numId w:val="1"/>
              </w:numPr>
              <w:spacing w:after="0" w:line="400" w:lineRule="exact"/>
              <w:ind w:left="108"/>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供应商履约完毕应及时提出验收申请，采购人应在五个工作日或在采购合同约定的期限内组织验收。</w:t>
            </w:r>
          </w:p>
          <w:p w14:paraId="72D053E7">
            <w:pPr>
              <w:pStyle w:val="59"/>
              <w:numPr>
                <w:ilvl w:val="0"/>
                <w:numId w:val="1"/>
              </w:numPr>
              <w:spacing w:after="0" w:line="400" w:lineRule="exact"/>
              <w:ind w:left="108"/>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合同履约验收工作应成立验收工作组专门负责，直接参与该项目政府采购活动的主要责任人不得作为验收工作的主要责任人。</w:t>
            </w:r>
          </w:p>
          <w:p w14:paraId="3CDF392A">
            <w:pPr>
              <w:pStyle w:val="59"/>
              <w:numPr>
                <w:ilvl w:val="0"/>
                <w:numId w:val="1"/>
              </w:numPr>
              <w:spacing w:after="0" w:line="400" w:lineRule="exact"/>
              <w:ind w:left="108"/>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政府采购合同金额50万元以上的项目，验收工作组应由采购人领导牵头，财务、审计、监察、资产管理、技术等部门人员参与</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或者委托专家进行验收</w:t>
            </w:r>
            <w:r>
              <w:rPr>
                <w:rFonts w:hint="eastAsia" w:ascii="仿宋" w:hAnsi="仿宋" w:eastAsia="仿宋" w:cs="仿宋"/>
                <w:color w:val="auto"/>
                <w:sz w:val="24"/>
                <w:szCs w:val="24"/>
                <w:highlight w:val="none"/>
              </w:rPr>
              <w:t>。</w:t>
            </w:r>
          </w:p>
          <w:p w14:paraId="19035F39">
            <w:pPr>
              <w:pStyle w:val="59"/>
              <w:numPr>
                <w:ilvl w:val="0"/>
                <w:numId w:val="1"/>
              </w:numPr>
              <w:spacing w:after="0" w:line="400" w:lineRule="exact"/>
              <w:ind w:left="108"/>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验收后，由验收工作组出具验收报告</w:t>
            </w:r>
            <w:r>
              <w:rPr>
                <w:rFonts w:hint="eastAsia" w:ascii="仿宋" w:hAnsi="仿宋" w:eastAsia="仿宋" w:cs="仿宋"/>
                <w:color w:val="auto"/>
                <w:sz w:val="24"/>
                <w:szCs w:val="24"/>
                <w:highlight w:val="none"/>
                <w:lang w:eastAsia="zh-CN"/>
              </w:rPr>
              <w:t>。</w:t>
            </w:r>
          </w:p>
          <w:p w14:paraId="351387EA">
            <w:pPr>
              <w:pStyle w:val="59"/>
              <w:numPr>
                <w:ilvl w:val="0"/>
                <w:numId w:val="1"/>
              </w:numPr>
              <w:spacing w:after="0" w:line="400" w:lineRule="exact"/>
              <w:ind w:left="108"/>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验收中发现成交供应商未按合同约定的时间、地点或</w:t>
            </w:r>
            <w:r>
              <w:rPr>
                <w:rFonts w:hint="eastAsia" w:ascii="仿宋" w:hAnsi="仿宋" w:eastAsia="仿宋" w:cs="仿宋"/>
                <w:color w:val="auto"/>
                <w:sz w:val="24"/>
                <w:szCs w:val="24"/>
                <w:highlight w:val="none"/>
                <w:lang w:val="en-US" w:eastAsia="zh-CN"/>
              </w:rPr>
              <w:t>要求进行</w:t>
            </w:r>
            <w:r>
              <w:rPr>
                <w:rFonts w:hint="eastAsia" w:ascii="仿宋" w:hAnsi="仿宋" w:eastAsia="仿宋" w:cs="仿宋"/>
                <w:color w:val="auto"/>
                <w:sz w:val="24"/>
                <w:szCs w:val="24"/>
                <w:highlight w:val="none"/>
              </w:rPr>
              <w:t>履约，验收人员应在验收报告中注明违约情形和事项，并应及时通知同级人民政府财政部门。</w:t>
            </w:r>
          </w:p>
          <w:p w14:paraId="671A6966">
            <w:pPr>
              <w:pStyle w:val="59"/>
              <w:numPr>
                <w:ilvl w:val="0"/>
                <w:numId w:val="1"/>
              </w:numPr>
              <w:spacing w:after="0" w:line="400" w:lineRule="exact"/>
              <w:ind w:left="108"/>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采购人要在政府采购项目验收完成后1个工作日内登陆安阳市政府采购网进行验收公告。</w:t>
            </w:r>
          </w:p>
        </w:tc>
      </w:tr>
      <w:tr w14:paraId="6917E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3"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1A92C9FE">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34</w:t>
            </w:r>
          </w:p>
        </w:tc>
        <w:tc>
          <w:tcPr>
            <w:tcW w:w="2319" w:type="dxa"/>
            <w:tcBorders>
              <w:top w:val="single" w:color="000000" w:sz="6" w:space="0"/>
              <w:left w:val="nil"/>
              <w:bottom w:val="single" w:color="000000" w:sz="6" w:space="0"/>
              <w:right w:val="single" w:color="000000" w:sz="6" w:space="0"/>
            </w:tcBorders>
            <w:vAlign w:val="center"/>
          </w:tcPr>
          <w:p w14:paraId="18BA1970">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未尽事宜</w:t>
            </w:r>
          </w:p>
        </w:tc>
        <w:tc>
          <w:tcPr>
            <w:tcW w:w="7653" w:type="dxa"/>
            <w:tcBorders>
              <w:top w:val="single" w:color="000000" w:sz="6" w:space="0"/>
              <w:left w:val="nil"/>
              <w:bottom w:val="single" w:color="000000" w:sz="6" w:space="0"/>
              <w:right w:val="single" w:color="000000" w:sz="6" w:space="0"/>
            </w:tcBorders>
            <w:vAlign w:val="center"/>
          </w:tcPr>
          <w:p w14:paraId="66D6871F">
            <w:pPr>
              <w:pStyle w:val="59"/>
              <w:spacing w:after="0" w:line="400" w:lineRule="exact"/>
              <w:ind w:left="10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其他未尽事宜按相关法律法规执行</w:t>
            </w:r>
          </w:p>
        </w:tc>
      </w:tr>
      <w:tr w14:paraId="5873C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3" w:hRule="atLeast"/>
          <w:jc w:val="center"/>
        </w:trPr>
        <w:tc>
          <w:tcPr>
            <w:tcW w:w="734" w:type="dxa"/>
            <w:tcBorders>
              <w:top w:val="single" w:color="000000" w:sz="6" w:space="0"/>
              <w:left w:val="single" w:color="000000" w:sz="6" w:space="0"/>
              <w:bottom w:val="single" w:color="auto" w:sz="4" w:space="0"/>
              <w:right w:val="single" w:color="000000" w:sz="6" w:space="0"/>
            </w:tcBorders>
            <w:vAlign w:val="center"/>
          </w:tcPr>
          <w:p w14:paraId="79E15658">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35</w:t>
            </w:r>
          </w:p>
        </w:tc>
        <w:tc>
          <w:tcPr>
            <w:tcW w:w="2319" w:type="dxa"/>
            <w:tcBorders>
              <w:top w:val="single" w:color="000000" w:sz="6" w:space="0"/>
              <w:left w:val="nil"/>
              <w:bottom w:val="single" w:color="auto" w:sz="4" w:space="0"/>
              <w:right w:val="single" w:color="000000" w:sz="6" w:space="0"/>
            </w:tcBorders>
            <w:vAlign w:val="center"/>
          </w:tcPr>
          <w:p w14:paraId="05860F8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本次采购项目具体落实的政府采购政策</w:t>
            </w:r>
          </w:p>
        </w:tc>
        <w:tc>
          <w:tcPr>
            <w:tcW w:w="7653" w:type="dxa"/>
            <w:tcBorders>
              <w:top w:val="single" w:color="000000" w:sz="6" w:space="0"/>
              <w:left w:val="nil"/>
              <w:bottom w:val="single" w:color="auto" w:sz="4" w:space="0"/>
              <w:right w:val="single" w:color="000000" w:sz="6" w:space="0"/>
            </w:tcBorders>
            <w:vAlign w:val="top"/>
          </w:tcPr>
          <w:p w14:paraId="712C16C8">
            <w:pPr>
              <w:keepNext w:val="0"/>
              <w:keepLines w:val="0"/>
              <w:pageBreakBefore w:val="0"/>
              <w:widowControl w:val="0"/>
              <w:kinsoku/>
              <w:wordWrap/>
              <w:overflowPunct/>
              <w:topLinePunct w:val="0"/>
              <w:autoSpaceDE/>
              <w:autoSpaceDN/>
              <w:bidi w:val="0"/>
              <w:adjustRightInd/>
              <w:snapToGrid/>
              <w:spacing w:after="0" w:line="42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本项目属于专门面向中小企业采购项目，供应商应在响应文件中提供《中小企业声明函》或《残疾人福利性单位声明函》的证明文件。</w:t>
            </w:r>
          </w:p>
        </w:tc>
      </w:tr>
      <w:tr w14:paraId="2487C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6" w:hRule="atLeast"/>
          <w:jc w:val="center"/>
        </w:trPr>
        <w:tc>
          <w:tcPr>
            <w:tcW w:w="734" w:type="dxa"/>
            <w:tcBorders>
              <w:top w:val="single" w:color="auto" w:sz="4" w:space="0"/>
              <w:left w:val="single" w:color="000000" w:sz="6" w:space="0"/>
              <w:bottom w:val="single" w:color="000000" w:sz="6" w:space="0"/>
              <w:right w:val="single" w:color="000000" w:sz="6" w:space="0"/>
            </w:tcBorders>
            <w:vAlign w:val="center"/>
          </w:tcPr>
          <w:p w14:paraId="09B85AB5">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36</w:t>
            </w:r>
          </w:p>
        </w:tc>
        <w:tc>
          <w:tcPr>
            <w:tcW w:w="2319" w:type="dxa"/>
            <w:tcBorders>
              <w:top w:val="single" w:color="auto" w:sz="4" w:space="0"/>
              <w:left w:val="nil"/>
              <w:bottom w:val="single" w:color="000000" w:sz="6" w:space="0"/>
              <w:right w:val="single" w:color="000000" w:sz="6" w:space="0"/>
            </w:tcBorders>
            <w:vAlign w:val="center"/>
          </w:tcPr>
          <w:p w14:paraId="228D5404">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采购标的对应的中小企业划分标准所属行业</w:t>
            </w:r>
          </w:p>
        </w:tc>
        <w:tc>
          <w:tcPr>
            <w:tcW w:w="7653" w:type="dxa"/>
            <w:tcBorders>
              <w:top w:val="single" w:color="auto" w:sz="4" w:space="0"/>
              <w:left w:val="nil"/>
              <w:bottom w:val="single" w:color="000000" w:sz="6" w:space="0"/>
              <w:right w:val="single" w:color="000000" w:sz="6" w:space="0"/>
            </w:tcBorders>
            <w:vAlign w:val="center"/>
          </w:tcPr>
          <w:p w14:paraId="4C7C9E59">
            <w:pPr>
              <w:pStyle w:val="59"/>
              <w:spacing w:after="0" w:line="400" w:lineRule="exact"/>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依据“关于印发中小企业划型标准规定的通知工信部联企业〔2011〕300 号”本项目属于</w:t>
            </w:r>
            <w:r>
              <w:rPr>
                <w:rFonts w:hint="eastAsia" w:ascii="仿宋" w:hAnsi="仿宋" w:eastAsia="仿宋" w:cs="仿宋"/>
                <w:b/>
                <w:bCs/>
                <w:color w:val="auto"/>
                <w:sz w:val="24"/>
                <w:szCs w:val="24"/>
                <w:highlight w:val="none"/>
                <w:lang w:val="en-US" w:eastAsia="zh-CN"/>
              </w:rPr>
              <w:t>其他未列明行业</w:t>
            </w:r>
            <w:r>
              <w:rPr>
                <w:rFonts w:hint="eastAsia" w:ascii="仿宋" w:hAnsi="仿宋" w:eastAsia="仿宋" w:cs="仿宋"/>
                <w:b w:val="0"/>
                <w:bCs w:val="0"/>
                <w:color w:val="auto"/>
                <w:sz w:val="24"/>
                <w:szCs w:val="24"/>
                <w:highlight w:val="none"/>
                <w:lang w:val="en-US" w:eastAsia="zh-CN"/>
              </w:rPr>
              <w:t>。划定标准：中小微企业划分按照《国家统计局关于印发〈统计上大中小微型企业划分办法（2017）〉的通知》国统字〔2017〕213号文件及《工业和信息化部、国家统计局、国家发展和改革委员会、财政部关于印发〈中小企业划型标准规定〉的通知》（工信部联企业[2011]300 号）规定的划分标准为依据。</w:t>
            </w:r>
          </w:p>
          <w:p w14:paraId="0B92E5BB">
            <w:pPr>
              <w:pStyle w:val="59"/>
              <w:spacing w:after="0" w:line="400" w:lineRule="exact"/>
              <w:jc w:val="both"/>
              <w:rPr>
                <w:rFonts w:hint="default" w:ascii="仿宋" w:hAnsi="仿宋" w:eastAsia="宋体"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标的物属性按照政府采购品目目录划分 属于C09020100 造林服务</w:t>
            </w:r>
          </w:p>
        </w:tc>
      </w:tr>
      <w:tr w14:paraId="6BA56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8"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41CEAB30">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37</w:t>
            </w:r>
          </w:p>
        </w:tc>
        <w:tc>
          <w:tcPr>
            <w:tcW w:w="2319" w:type="dxa"/>
            <w:tcBorders>
              <w:top w:val="single" w:color="000000" w:sz="6" w:space="0"/>
              <w:left w:val="nil"/>
              <w:bottom w:val="single" w:color="000000" w:sz="6" w:space="0"/>
              <w:right w:val="single" w:color="000000" w:sz="6" w:space="0"/>
            </w:tcBorders>
            <w:vAlign w:val="center"/>
          </w:tcPr>
          <w:p w14:paraId="612F8700">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代理服务费</w:t>
            </w:r>
          </w:p>
        </w:tc>
        <w:tc>
          <w:tcPr>
            <w:tcW w:w="7653" w:type="dxa"/>
            <w:tcBorders>
              <w:top w:val="single" w:color="000000" w:sz="6" w:space="0"/>
              <w:left w:val="nil"/>
              <w:bottom w:val="single" w:color="000000" w:sz="6" w:space="0"/>
              <w:right w:val="single" w:color="000000" w:sz="6" w:space="0"/>
            </w:tcBorders>
            <w:vAlign w:val="center"/>
          </w:tcPr>
          <w:p w14:paraId="374CB8B9">
            <w:pPr>
              <w:pStyle w:val="59"/>
              <w:spacing w:after="0" w:line="400" w:lineRule="exact"/>
              <w:ind w:left="107" w:leftChars="0" w:right="92" w:rightChars="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Cs w:val="24"/>
                <w:highlight w:val="none"/>
                <w:lang w:val="en-US" w:eastAsia="zh-CN"/>
              </w:rPr>
              <w:t>代理服务费</w:t>
            </w:r>
            <w:r>
              <w:rPr>
                <w:rFonts w:hint="eastAsia" w:ascii="仿宋" w:hAnsi="仿宋" w:eastAsia="仿宋" w:cs="仿宋"/>
                <w:b/>
                <w:bCs/>
                <w:color w:val="auto"/>
                <w:szCs w:val="24"/>
                <w:highlight w:val="none"/>
              </w:rPr>
              <w:t>根据河南省招标投标协会关于印发《河南省招标代理服务收费指导意见》的通知“豫招协[2023]002 号</w:t>
            </w:r>
            <w:r>
              <w:rPr>
                <w:rFonts w:hint="eastAsia" w:ascii="仿宋" w:hAnsi="仿宋" w:eastAsia="仿宋" w:cs="仿宋"/>
                <w:b/>
                <w:bCs/>
                <w:color w:val="auto"/>
                <w:szCs w:val="24"/>
                <w:highlight w:val="none"/>
                <w:lang w:val="en-US" w:eastAsia="zh-CN"/>
              </w:rPr>
              <w:t>标准向中标人收取代理服务费</w:t>
            </w:r>
            <w:r>
              <w:rPr>
                <w:rFonts w:hint="eastAsia" w:ascii="仿宋" w:hAnsi="仿宋" w:eastAsia="仿宋" w:cs="仿宋"/>
                <w:b/>
                <w:bCs/>
                <w:color w:val="auto"/>
                <w:szCs w:val="24"/>
                <w:highlight w:val="none"/>
              </w:rPr>
              <w:t>，由中标人向采购代理机构支付代理服务费</w:t>
            </w:r>
            <w:r>
              <w:rPr>
                <w:rFonts w:hint="eastAsia" w:ascii="仿宋" w:hAnsi="仿宋" w:eastAsia="仿宋" w:cs="仿宋"/>
                <w:b/>
                <w:bCs/>
                <w:color w:val="auto"/>
                <w:szCs w:val="24"/>
                <w:highlight w:val="none"/>
                <w:lang w:val="en-US" w:eastAsia="zh-CN"/>
              </w:rPr>
              <w:t>13000</w:t>
            </w:r>
            <w:r>
              <w:rPr>
                <w:rFonts w:hint="eastAsia" w:ascii="仿宋" w:hAnsi="仿宋" w:eastAsia="仿宋" w:cs="仿宋"/>
                <w:b/>
                <w:bCs/>
                <w:color w:val="auto"/>
                <w:szCs w:val="24"/>
                <w:highlight w:val="none"/>
              </w:rPr>
              <w:t>元</w:t>
            </w:r>
            <w:r>
              <w:rPr>
                <w:rFonts w:hint="eastAsia" w:ascii="仿宋" w:hAnsi="仿宋" w:eastAsia="仿宋" w:cs="仿宋"/>
                <w:b/>
                <w:bCs/>
                <w:color w:val="auto"/>
                <w:szCs w:val="24"/>
                <w:highlight w:val="none"/>
                <w:lang w:val="en-US" w:eastAsia="zh-CN"/>
              </w:rPr>
              <w:t>。</w:t>
            </w:r>
          </w:p>
        </w:tc>
      </w:tr>
      <w:tr w14:paraId="4A1D0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3"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5213366B">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38</w:t>
            </w:r>
          </w:p>
        </w:tc>
        <w:tc>
          <w:tcPr>
            <w:tcW w:w="2319" w:type="dxa"/>
            <w:tcBorders>
              <w:top w:val="single" w:color="000000" w:sz="6" w:space="0"/>
              <w:left w:val="nil"/>
              <w:bottom w:val="single" w:color="000000" w:sz="6" w:space="0"/>
              <w:right w:val="single" w:color="000000" w:sz="6" w:space="0"/>
            </w:tcBorders>
            <w:vAlign w:val="center"/>
          </w:tcPr>
          <w:p w14:paraId="6B918629">
            <w:pPr>
              <w:pStyle w:val="59"/>
              <w:spacing w:after="0"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最终解释权</w:t>
            </w:r>
          </w:p>
        </w:tc>
        <w:tc>
          <w:tcPr>
            <w:tcW w:w="7653" w:type="dxa"/>
            <w:tcBorders>
              <w:top w:val="single" w:color="000000" w:sz="6" w:space="0"/>
              <w:left w:val="nil"/>
              <w:bottom w:val="single" w:color="000000" w:sz="6" w:space="0"/>
              <w:right w:val="single" w:color="000000" w:sz="6" w:space="0"/>
            </w:tcBorders>
            <w:vAlign w:val="center"/>
          </w:tcPr>
          <w:p w14:paraId="256F088E">
            <w:pPr>
              <w:pStyle w:val="59"/>
              <w:spacing w:after="0" w:line="400" w:lineRule="exact"/>
              <w:ind w:left="107" w:leftChars="0"/>
              <w:rPr>
                <w:rFonts w:hint="eastAsia" w:ascii="仿宋" w:hAnsi="仿宋" w:eastAsia="仿宋" w:cs="仿宋"/>
                <w:b/>
                <w:bCs/>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本项目未尽事宜，按照《中华人民共和国政府采购法》及其配套规章制度执行。采购文件内容如与现行法律法规冲突，以法律法规规定为准。</w:t>
            </w:r>
          </w:p>
        </w:tc>
      </w:tr>
      <w:tr w14:paraId="6C7C8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22" w:hRule="atLeast"/>
          <w:jc w:val="center"/>
        </w:trPr>
        <w:tc>
          <w:tcPr>
            <w:tcW w:w="734" w:type="dxa"/>
            <w:tcBorders>
              <w:top w:val="single" w:color="000000" w:sz="6" w:space="0"/>
              <w:left w:val="single" w:color="000000" w:sz="6" w:space="0"/>
              <w:bottom w:val="single" w:color="000000" w:sz="6" w:space="0"/>
              <w:right w:val="single" w:color="000000" w:sz="6" w:space="0"/>
            </w:tcBorders>
            <w:vAlign w:val="center"/>
          </w:tcPr>
          <w:p w14:paraId="528F0512">
            <w:pPr>
              <w:pStyle w:val="59"/>
              <w:spacing w:after="0"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39</w:t>
            </w:r>
          </w:p>
        </w:tc>
        <w:tc>
          <w:tcPr>
            <w:tcW w:w="2319" w:type="dxa"/>
            <w:tcBorders>
              <w:top w:val="single" w:color="000000" w:sz="6" w:space="0"/>
              <w:left w:val="nil"/>
              <w:bottom w:val="single" w:color="000000" w:sz="6" w:space="0"/>
              <w:right w:val="single" w:color="000000" w:sz="6" w:space="0"/>
            </w:tcBorders>
            <w:vAlign w:val="center"/>
          </w:tcPr>
          <w:p w14:paraId="551BEA62">
            <w:pPr>
              <w:pStyle w:val="59"/>
              <w:spacing w:after="0" w:line="40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其他</w:t>
            </w:r>
          </w:p>
        </w:tc>
        <w:tc>
          <w:tcPr>
            <w:tcW w:w="7653" w:type="dxa"/>
            <w:tcBorders>
              <w:top w:val="single" w:color="000000" w:sz="6" w:space="0"/>
              <w:left w:val="nil"/>
              <w:bottom w:val="single" w:color="000000" w:sz="6" w:space="0"/>
              <w:right w:val="single" w:color="000000" w:sz="6" w:space="0"/>
            </w:tcBorders>
            <w:vAlign w:val="center"/>
          </w:tcPr>
          <w:p w14:paraId="7E6F567C">
            <w:pPr>
              <w:pStyle w:val="59"/>
              <w:spacing w:after="0" w:line="400" w:lineRule="exact"/>
              <w:ind w:left="107"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1.中标后除不可抗拒力或</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认可的情形外，供应商应及时领取</w:t>
            </w:r>
            <w:r>
              <w:rPr>
                <w:rFonts w:hint="eastAsia" w:ascii="仿宋" w:hAnsi="仿宋" w:eastAsia="仿宋" w:cs="仿宋"/>
                <w:color w:val="auto"/>
                <w:sz w:val="24"/>
                <w:szCs w:val="24"/>
                <w:highlight w:val="none"/>
                <w:lang w:eastAsia="zh-CN"/>
              </w:rPr>
              <w:t>成交通知书</w:t>
            </w:r>
            <w:r>
              <w:rPr>
                <w:rFonts w:hint="eastAsia" w:ascii="仿宋" w:hAnsi="仿宋" w:eastAsia="仿宋" w:cs="仿宋"/>
                <w:color w:val="auto"/>
                <w:sz w:val="24"/>
                <w:szCs w:val="24"/>
                <w:highlight w:val="none"/>
              </w:rPr>
              <w:t>，在成交通知书规定时间、地点与采购人签订合同。</w:t>
            </w:r>
          </w:p>
          <w:p w14:paraId="60933FCA">
            <w:pPr>
              <w:pStyle w:val="59"/>
              <w:spacing w:after="0" w:line="400" w:lineRule="exact"/>
              <w:ind w:left="107"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在政府采购活动中应提供真实、准确、有效、合法的材料，不提供虚假材料；项目评标结束后代理公司对所有竞标供应商提供的资质证明材料的真实性进行核对，核查结果3个工作日报政府采购监督部门，发现造假失信行为的，依据政府采购法严肃从重处罚。</w:t>
            </w:r>
          </w:p>
          <w:p w14:paraId="49606DFF">
            <w:pPr>
              <w:pStyle w:val="59"/>
              <w:spacing w:after="0" w:line="400" w:lineRule="exact"/>
              <w:ind w:left="107"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供应商如违背上述条款事项，应无条件接受以下责任追究：</w:t>
            </w:r>
          </w:p>
          <w:p w14:paraId="1E6CE168">
            <w:pPr>
              <w:pStyle w:val="59"/>
              <w:spacing w:after="0" w:line="400" w:lineRule="exact"/>
              <w:ind w:left="107"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.法定责任：</w:t>
            </w:r>
          </w:p>
          <w:p w14:paraId="086FB1CA">
            <w:pPr>
              <w:pStyle w:val="59"/>
              <w:spacing w:after="0" w:line="400" w:lineRule="exact"/>
              <w:ind w:left="107" w:lef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按照财政部 87 号令</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且本项目是竞争性磋商，主要适用财库〔2014〕214 号、《政府采购法实施条例》第七十二条及其他政府采购相关法规，处以罚款，列入不良行为记录名单，在一至三年内禁止参加政府采购活动，有违法所得的，并处没收违法所得，情节严重的，由工商行政管理机关（市场监督机关）吊销营业执照；构成犯罪的，依法追究刑事责任。</w:t>
            </w:r>
          </w:p>
          <w:p w14:paraId="762FE757">
            <w:pPr>
              <w:pStyle w:val="59"/>
              <w:numPr>
                <w:ilvl w:val="0"/>
                <w:numId w:val="2"/>
              </w:numPr>
              <w:spacing w:after="0" w:line="400" w:lineRule="exact"/>
              <w:ind w:left="107"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给采购人及他人造成损失的，应承担相应的赔偿责任。</w:t>
            </w:r>
          </w:p>
          <w:p w14:paraId="04A68381">
            <w:pPr>
              <w:pStyle w:val="59"/>
              <w:numPr>
                <w:ilvl w:val="0"/>
                <w:numId w:val="0"/>
              </w:numPr>
              <w:spacing w:after="0" w:line="40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2.违约责任：</w:t>
            </w:r>
          </w:p>
          <w:p w14:paraId="299FB174">
            <w:pPr>
              <w:pStyle w:val="59"/>
              <w:spacing w:after="0" w:line="400" w:lineRule="exact"/>
              <w:ind w:left="107"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（1）已中标的，中标（成交）无效；</w:t>
            </w:r>
          </w:p>
          <w:p w14:paraId="383B28CE">
            <w:pPr>
              <w:pStyle w:val="59"/>
              <w:spacing w:after="0" w:line="400" w:lineRule="exact"/>
              <w:ind w:left="107"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（2）支付采购人违约标的预算金额2%的违约金。</w:t>
            </w:r>
          </w:p>
          <w:p w14:paraId="34AEFD84">
            <w:pPr>
              <w:pStyle w:val="59"/>
              <w:spacing w:after="0" w:line="400" w:lineRule="exact"/>
              <w:ind w:left="107"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其他事项：</w:t>
            </w:r>
          </w:p>
          <w:p w14:paraId="0467586A">
            <w:pPr>
              <w:pStyle w:val="59"/>
              <w:spacing w:after="0" w:line="400" w:lineRule="exact"/>
              <w:ind w:left="107"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中标供应商应保证项目的质量要求达到</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中规定的标准，若项目质量验收不合格，采购人有权拒绝支付合同金额，已经支付</w:t>
            </w:r>
            <w:r>
              <w:rPr>
                <w:rFonts w:hint="eastAsia" w:ascii="仿宋" w:hAnsi="仿宋" w:eastAsia="仿宋" w:cs="仿宋"/>
                <w:color w:val="auto"/>
                <w:sz w:val="24"/>
                <w:szCs w:val="24"/>
                <w:highlight w:val="none"/>
                <w:lang w:val="en-US" w:eastAsia="zh-CN"/>
              </w:rPr>
              <w:t>服务费</w:t>
            </w:r>
            <w:r>
              <w:rPr>
                <w:rFonts w:hint="eastAsia" w:ascii="仿宋" w:hAnsi="仿宋" w:eastAsia="仿宋" w:cs="仿宋"/>
                <w:color w:val="auto"/>
                <w:sz w:val="24"/>
                <w:szCs w:val="24"/>
                <w:highlight w:val="none"/>
              </w:rPr>
              <w:t>的，采购人有权追回相关款项，同时采购人可以要求中标人承担违约责任。</w:t>
            </w:r>
          </w:p>
        </w:tc>
      </w:tr>
    </w:tbl>
    <w:p w14:paraId="2F32E94B">
      <w:pPr>
        <w:pStyle w:val="4"/>
        <w:numPr>
          <w:ilvl w:val="0"/>
          <w:numId w:val="3"/>
        </w:numPr>
        <w:spacing w:after="0" w:line="360" w:lineRule="auto"/>
        <w:ind w:left="0"/>
        <w:jc w:val="center"/>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br w:type="page"/>
      </w:r>
      <w:bookmarkStart w:id="14" w:name="_Toc24421"/>
      <w:bookmarkStart w:id="15" w:name="_Toc63669151"/>
      <w:r>
        <w:rPr>
          <w:rFonts w:hint="eastAsia" w:ascii="仿宋" w:hAnsi="仿宋" w:eastAsia="仿宋" w:cs="仿宋"/>
          <w:b/>
          <w:color w:val="auto"/>
          <w:sz w:val="28"/>
          <w:szCs w:val="28"/>
          <w:highlight w:val="none"/>
        </w:rPr>
        <w:t>总</w:t>
      </w:r>
      <w:r>
        <w:rPr>
          <w:rFonts w:hint="eastAsia" w:ascii="仿宋" w:hAnsi="仿宋" w:eastAsia="仿宋" w:cs="仿宋"/>
          <w:b/>
          <w:color w:val="auto"/>
          <w:sz w:val="28"/>
          <w:szCs w:val="28"/>
          <w:highlight w:val="none"/>
          <w:lang w:val="en-US" w:eastAsia="zh-CN"/>
        </w:rPr>
        <w:t xml:space="preserve">  </w:t>
      </w:r>
      <w:r>
        <w:rPr>
          <w:rFonts w:hint="eastAsia" w:ascii="仿宋" w:hAnsi="仿宋" w:eastAsia="仿宋" w:cs="仿宋"/>
          <w:b/>
          <w:color w:val="auto"/>
          <w:sz w:val="28"/>
          <w:szCs w:val="28"/>
          <w:highlight w:val="none"/>
        </w:rPr>
        <w:t>则</w:t>
      </w:r>
      <w:bookmarkEnd w:id="14"/>
      <w:bookmarkEnd w:id="15"/>
    </w:p>
    <w:p w14:paraId="6BCF07B8">
      <w:pPr>
        <w:pStyle w:val="69"/>
        <w:keepNext w:val="0"/>
        <w:keepLines w:val="0"/>
        <w:pageBreakBefore w:val="0"/>
        <w:widowControl w:val="0"/>
        <w:numPr>
          <w:ilvl w:val="0"/>
          <w:numId w:val="0"/>
        </w:numPr>
        <w:tabs>
          <w:tab w:val="left" w:pos="1941"/>
          <w:tab w:val="left" w:pos="1942"/>
        </w:tabs>
        <w:kinsoku/>
        <w:wordWrap/>
        <w:overflowPunct/>
        <w:topLinePunct w:val="0"/>
        <w:autoSpaceDE w:val="0"/>
        <w:autoSpaceDN w:val="0"/>
        <w:bidi w:val="0"/>
        <w:adjustRightInd/>
        <w:snapToGrid/>
        <w:spacing w:before="0" w:after="0" w:line="360" w:lineRule="auto"/>
        <w:ind w:leftChars="0" w:right="0" w:rightChars="0"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根据《中华人民共和国政府采购法</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中华人民共和国政府采购法实施条例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政府采购竞争性磋商采购方式管理暂行办法》及相关政府采购法律法规等制定本文件。</w:t>
      </w:r>
    </w:p>
    <w:p w14:paraId="0C8DFCA8">
      <w:pPr>
        <w:keepNext w:val="0"/>
        <w:keepLines w:val="0"/>
        <w:pageBreakBefore w:val="0"/>
        <w:widowControl w:val="0"/>
        <w:numPr>
          <w:ilvl w:val="0"/>
          <w:numId w:val="0"/>
        </w:numPr>
        <w:tabs>
          <w:tab w:val="left" w:pos="1882"/>
          <w:tab w:val="left" w:pos="1883"/>
        </w:tabs>
        <w:kinsoku/>
        <w:wordWrap/>
        <w:overflowPunct/>
        <w:topLinePunct w:val="0"/>
        <w:autoSpaceDE w:val="0"/>
        <w:autoSpaceDN w:val="0"/>
        <w:bidi w:val="0"/>
        <w:adjustRightInd/>
        <w:snapToGrid/>
        <w:spacing w:before="0" w:after="0" w:line="360" w:lineRule="auto"/>
        <w:ind w:leftChars="0" w:right="0" w:rightChars="0"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本《磋商文件》的法律适用及法律效力</w:t>
      </w:r>
    </w:p>
    <w:p w14:paraId="57DDDC0B">
      <w:pPr>
        <w:pStyle w:val="69"/>
        <w:keepNext w:val="0"/>
        <w:keepLines w:val="0"/>
        <w:pageBreakBefore w:val="0"/>
        <w:widowControl w:val="0"/>
        <w:numPr>
          <w:ilvl w:val="0"/>
          <w:numId w:val="0"/>
        </w:numPr>
        <w:tabs>
          <w:tab w:val="left" w:pos="2008"/>
        </w:tabs>
        <w:kinsoku/>
        <w:wordWrap/>
        <w:overflowPunct/>
        <w:topLinePunct w:val="0"/>
        <w:autoSpaceDE w:val="0"/>
        <w:autoSpaceDN w:val="0"/>
        <w:bidi w:val="0"/>
        <w:adjustRightInd/>
        <w:snapToGrid/>
        <w:spacing w:before="0" w:after="0" w:line="360" w:lineRule="auto"/>
        <w:ind w:leftChars="0" w:right="0" w:rightChars="0"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本《磋商文件》所述内容，仅适用于本次项目采购。</w:t>
      </w:r>
    </w:p>
    <w:p w14:paraId="7D5CAE13">
      <w:pPr>
        <w:pStyle w:val="69"/>
        <w:keepNext w:val="0"/>
        <w:keepLines w:val="0"/>
        <w:pageBreakBefore w:val="0"/>
        <w:widowControl w:val="0"/>
        <w:numPr>
          <w:ilvl w:val="0"/>
          <w:numId w:val="0"/>
        </w:numPr>
        <w:tabs>
          <w:tab w:val="left" w:pos="1949"/>
        </w:tabs>
        <w:kinsoku/>
        <w:wordWrap/>
        <w:overflowPunct/>
        <w:topLinePunct w:val="0"/>
        <w:autoSpaceDE w:val="0"/>
        <w:autoSpaceDN w:val="0"/>
        <w:bidi w:val="0"/>
        <w:adjustRightInd/>
        <w:snapToGrid/>
        <w:spacing w:before="0" w:after="0" w:line="360" w:lineRule="auto"/>
        <w:ind w:leftChars="0" w:right="0" w:rightChars="0"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本《磋商文件》的修改性文件、补充文件、澄清文件或说明具有同等法律效力。</w:t>
      </w:r>
    </w:p>
    <w:p w14:paraId="59CD5AD7">
      <w:pPr>
        <w:pStyle w:val="69"/>
        <w:keepNext w:val="0"/>
        <w:keepLines w:val="0"/>
        <w:pageBreakBefore w:val="0"/>
        <w:widowControl w:val="0"/>
        <w:numPr>
          <w:ilvl w:val="0"/>
          <w:numId w:val="0"/>
        </w:numPr>
        <w:tabs>
          <w:tab w:val="left" w:pos="1949"/>
        </w:tabs>
        <w:kinsoku/>
        <w:wordWrap/>
        <w:overflowPunct/>
        <w:topLinePunct w:val="0"/>
        <w:autoSpaceDE w:val="0"/>
        <w:autoSpaceDN w:val="0"/>
        <w:bidi w:val="0"/>
        <w:adjustRightInd/>
        <w:snapToGrid/>
        <w:spacing w:before="0" w:after="0" w:line="360" w:lineRule="auto"/>
        <w:ind w:leftChars="0" w:right="0" w:rightChars="0"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本《磋商文件》适用于并执行《政府采购法》</w:t>
      </w:r>
      <w:r>
        <w:rPr>
          <w:rFonts w:hint="eastAsia" w:ascii="仿宋" w:hAnsi="仿宋" w:eastAsia="仿宋" w:cs="仿宋"/>
          <w:color w:val="auto"/>
          <w:sz w:val="24"/>
          <w:szCs w:val="24"/>
          <w:highlight w:val="none"/>
          <w:lang w:eastAsia="zh-CN"/>
        </w:rPr>
        <w:t>和其他</w:t>
      </w:r>
      <w:r>
        <w:rPr>
          <w:rFonts w:hint="eastAsia" w:ascii="仿宋" w:hAnsi="仿宋" w:eastAsia="仿宋" w:cs="仿宋"/>
          <w:color w:val="auto"/>
          <w:sz w:val="24"/>
          <w:szCs w:val="24"/>
          <w:highlight w:val="none"/>
        </w:rPr>
        <w:t>相关的</w:t>
      </w:r>
      <w:r>
        <w:rPr>
          <w:rFonts w:hint="eastAsia" w:ascii="仿宋" w:hAnsi="仿宋" w:eastAsia="仿宋" w:cs="仿宋"/>
          <w:color w:val="auto"/>
          <w:sz w:val="24"/>
          <w:szCs w:val="24"/>
          <w:highlight w:val="none"/>
          <w:lang w:eastAsia="zh-CN"/>
        </w:rPr>
        <w:t>法律法规</w:t>
      </w:r>
      <w:r>
        <w:rPr>
          <w:rFonts w:hint="eastAsia" w:ascii="仿宋" w:hAnsi="仿宋" w:eastAsia="仿宋" w:cs="仿宋"/>
          <w:color w:val="auto"/>
          <w:sz w:val="24"/>
          <w:szCs w:val="24"/>
          <w:highlight w:val="none"/>
        </w:rPr>
        <w:t>。</w:t>
      </w:r>
    </w:p>
    <w:p w14:paraId="60469651">
      <w:pPr>
        <w:pStyle w:val="69"/>
        <w:keepNext w:val="0"/>
        <w:keepLines w:val="0"/>
        <w:pageBreakBefore w:val="0"/>
        <w:widowControl w:val="0"/>
        <w:numPr>
          <w:ilvl w:val="0"/>
          <w:numId w:val="0"/>
        </w:numPr>
        <w:tabs>
          <w:tab w:val="left" w:pos="2001"/>
        </w:tabs>
        <w:kinsoku/>
        <w:wordWrap/>
        <w:overflowPunct/>
        <w:topLinePunct w:val="0"/>
        <w:autoSpaceDE w:val="0"/>
        <w:autoSpaceDN w:val="0"/>
        <w:bidi w:val="0"/>
        <w:adjustRightInd/>
        <w:snapToGrid/>
        <w:spacing w:before="0" w:after="0" w:line="360" w:lineRule="auto"/>
        <w:ind w:leftChars="0" w:right="0" w:rightChars="0"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本《磋商文件》的解释权属采购人及代理机构。</w:t>
      </w:r>
    </w:p>
    <w:p w14:paraId="139DD609">
      <w:pPr>
        <w:spacing w:after="0"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1.1 定义</w:t>
      </w:r>
    </w:p>
    <w:p w14:paraId="12CF94BF">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 竞争性磋商是指采购人、政府采购代理机构通过组建竞争性磋商小组与符合条件的供应商就采购货物、工程和服务事宜进行磋商，供应商按照磋商文件的要求提交响应文件和报价，采购人从磋商小组评审后提出的候选供应商名单中确定成交供应商的采购方式。</w:t>
      </w:r>
    </w:p>
    <w:p w14:paraId="1411B09D">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1.1.2 采购人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是指依法进行政府采购的国家机关、事业单位、团体组织。</w:t>
      </w:r>
    </w:p>
    <w:p w14:paraId="7E0FCC88">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1.1.3 采购代理机构：是指在采购人的委托范围内办理政府采购事宜。</w:t>
      </w:r>
    </w:p>
    <w:p w14:paraId="4AB77140">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1.1.4 供应商：是指向采购人提供货物、工程或者服务的法人、其他组织或者自然人。</w:t>
      </w:r>
    </w:p>
    <w:p w14:paraId="2E3E22E8">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 项目名称：见供应商须知前附表。</w:t>
      </w:r>
    </w:p>
    <w:p w14:paraId="539D7758">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 资金来源：见供应商须知前附表。</w:t>
      </w:r>
    </w:p>
    <w:p w14:paraId="21ED4081">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1.4 </w:t>
      </w:r>
      <w:r>
        <w:rPr>
          <w:rFonts w:hint="eastAsia" w:ascii="仿宋" w:hAnsi="仿宋" w:eastAsia="仿宋" w:cs="仿宋"/>
          <w:b/>
          <w:color w:val="auto"/>
          <w:sz w:val="24"/>
          <w:szCs w:val="24"/>
          <w:highlight w:val="none"/>
        </w:rPr>
        <w:t>磋商内容及范围</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质量</w:t>
      </w:r>
      <w:r>
        <w:rPr>
          <w:rFonts w:hint="eastAsia" w:ascii="仿宋" w:hAnsi="仿宋" w:eastAsia="仿宋" w:cs="仿宋"/>
          <w:color w:val="auto"/>
          <w:sz w:val="24"/>
          <w:szCs w:val="24"/>
          <w:highlight w:val="none"/>
          <w:lang w:eastAsia="zh-CN"/>
        </w:rPr>
        <w:t>要求</w:t>
      </w:r>
      <w:r>
        <w:rPr>
          <w:rFonts w:hint="eastAsia" w:ascii="仿宋" w:hAnsi="仿宋" w:eastAsia="仿宋" w:cs="仿宋"/>
          <w:color w:val="auto"/>
          <w:sz w:val="24"/>
          <w:szCs w:val="24"/>
          <w:highlight w:val="none"/>
        </w:rPr>
        <w:t>、合同履行期限等</w:t>
      </w:r>
    </w:p>
    <w:p w14:paraId="1323501D">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1.4.1 </w:t>
      </w:r>
      <w:r>
        <w:rPr>
          <w:rFonts w:hint="eastAsia" w:ascii="仿宋" w:hAnsi="仿宋" w:eastAsia="仿宋" w:cs="仿宋"/>
          <w:b/>
          <w:color w:val="auto"/>
          <w:sz w:val="24"/>
          <w:szCs w:val="24"/>
          <w:highlight w:val="none"/>
        </w:rPr>
        <w:t>磋商内容及范围</w:t>
      </w:r>
      <w:r>
        <w:rPr>
          <w:rFonts w:hint="eastAsia" w:ascii="仿宋" w:hAnsi="仿宋" w:eastAsia="仿宋" w:cs="仿宋"/>
          <w:color w:val="auto"/>
          <w:sz w:val="24"/>
          <w:szCs w:val="24"/>
          <w:highlight w:val="none"/>
        </w:rPr>
        <w:t>：见供应商须知前附表。</w:t>
      </w:r>
    </w:p>
    <w:p w14:paraId="5612A1DF">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1.4.2 </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质量</w:t>
      </w:r>
      <w:r>
        <w:rPr>
          <w:rFonts w:hint="eastAsia" w:ascii="仿宋" w:hAnsi="仿宋" w:eastAsia="仿宋" w:cs="仿宋"/>
          <w:color w:val="auto"/>
          <w:sz w:val="24"/>
          <w:szCs w:val="24"/>
          <w:highlight w:val="none"/>
          <w:lang w:eastAsia="zh-CN"/>
        </w:rPr>
        <w:t>要求</w:t>
      </w:r>
      <w:r>
        <w:rPr>
          <w:rFonts w:hint="eastAsia" w:ascii="仿宋" w:hAnsi="仿宋" w:eastAsia="仿宋" w:cs="仿宋"/>
          <w:color w:val="auto"/>
          <w:sz w:val="24"/>
          <w:szCs w:val="24"/>
          <w:highlight w:val="none"/>
        </w:rPr>
        <w:t>：见供应商须知前附表。</w:t>
      </w:r>
    </w:p>
    <w:p w14:paraId="70E62A73">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1.4.3 合同履约期限：见供应商须知前附表。</w:t>
      </w:r>
    </w:p>
    <w:p w14:paraId="026F1690">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 合格的供应商</w:t>
      </w:r>
    </w:p>
    <w:p w14:paraId="39147FFF">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1.5.1 合格的供应商应满足条件详见</w:t>
      </w:r>
      <w:r>
        <w:rPr>
          <w:rFonts w:hint="eastAsia" w:ascii="仿宋" w:hAnsi="仿宋" w:eastAsia="仿宋" w:cs="仿宋"/>
          <w:color w:val="auto"/>
          <w:sz w:val="24"/>
          <w:szCs w:val="24"/>
          <w:highlight w:val="none"/>
          <w:lang w:eastAsia="zh-CN"/>
        </w:rPr>
        <w:t>供应</w:t>
      </w:r>
      <w:r>
        <w:rPr>
          <w:rFonts w:hint="eastAsia" w:ascii="仿宋" w:hAnsi="仿宋" w:eastAsia="仿宋" w:cs="仿宋"/>
          <w:color w:val="auto"/>
          <w:sz w:val="24"/>
          <w:szCs w:val="24"/>
          <w:highlight w:val="none"/>
        </w:rPr>
        <w:t>商须知前附表。</w:t>
      </w:r>
    </w:p>
    <w:p w14:paraId="34D9965C">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1.5.2 供应商不得存在下列情形之一：</w:t>
      </w:r>
    </w:p>
    <w:p w14:paraId="21A55735">
      <w:pPr>
        <w:spacing w:after="0"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（1）被责令停业的；</w:t>
      </w:r>
    </w:p>
    <w:p w14:paraId="0372C34C">
      <w:pPr>
        <w:spacing w:after="0"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（2）被暂停或取消投标资格的；</w:t>
      </w:r>
    </w:p>
    <w:p w14:paraId="110D558E">
      <w:pPr>
        <w:spacing w:after="0"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（3）财产被接管或冻结的；</w:t>
      </w:r>
    </w:p>
    <w:p w14:paraId="3060B1BC">
      <w:pPr>
        <w:spacing w:after="0"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（4）其他有关法律、行政法规及部门规章禁止的。</w:t>
      </w:r>
    </w:p>
    <w:p w14:paraId="3B4F4EE9">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 联合体供应商（本项目不适用）</w:t>
      </w:r>
    </w:p>
    <w:p w14:paraId="6C349123">
      <w:pPr>
        <w:spacing w:after="0" w:line="360" w:lineRule="auto"/>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本项目不接受联合体投标</w:t>
      </w:r>
      <w:r>
        <w:rPr>
          <w:rFonts w:hint="eastAsia" w:ascii="仿宋" w:hAnsi="仿宋" w:eastAsia="仿宋" w:cs="仿宋"/>
          <w:color w:val="auto"/>
          <w:sz w:val="24"/>
          <w:szCs w:val="24"/>
          <w:highlight w:val="none"/>
        </w:rPr>
        <w:t>。</w:t>
      </w:r>
    </w:p>
    <w:p w14:paraId="256B1CB8">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 磋商费用供应商应承担所有与准备和参加磋商有关的费用。不论磋商的结果如何，供应商须知前附表中所述的采购人或采购机构均无义务和责任承担这些费用。</w:t>
      </w:r>
    </w:p>
    <w:p w14:paraId="3A787139">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 信用信息</w:t>
      </w:r>
    </w:p>
    <w:p w14:paraId="7536C915">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1.8.1 依据《财政部关于在政府采购活动中查询及使用信用记录有关问题的通知》（财库〔2016〕125号）和《河南省财政厅关于转发财政部关于在政府采购活动中查询及使用信用记录有关问题的通知的通知》（豫财购〔2016〕15号）文件的要求，将对参加本项目的供应商进行信用信息查询。</w:t>
      </w:r>
    </w:p>
    <w:p w14:paraId="6A557DD8">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1.8.2 信用信息查询渠道和内容为：</w:t>
      </w:r>
    </w:p>
    <w:p w14:paraId="2F96EE8F">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（1）在“信用中国”网站（www.creditchina.gov.cn）查询“</w:t>
      </w:r>
      <w:r>
        <w:rPr>
          <w:rFonts w:hint="eastAsia" w:ascii="仿宋" w:hAnsi="仿宋" w:eastAsia="仿宋" w:cs="仿宋"/>
          <w:color w:val="auto"/>
          <w:sz w:val="24"/>
          <w:szCs w:val="24"/>
          <w:highlight w:val="none"/>
          <w:lang w:eastAsia="zh-CN"/>
        </w:rPr>
        <w:t>严重失信主体名单</w:t>
      </w:r>
      <w:r>
        <w:rPr>
          <w:rFonts w:hint="eastAsia" w:ascii="仿宋" w:hAnsi="仿宋" w:eastAsia="仿宋" w:cs="仿宋"/>
          <w:color w:val="auto"/>
          <w:sz w:val="24"/>
          <w:szCs w:val="24"/>
          <w:highlight w:val="none"/>
        </w:rPr>
        <w:t>”和“</w:t>
      </w:r>
      <w:r>
        <w:rPr>
          <w:rFonts w:hint="eastAsia" w:ascii="仿宋" w:hAnsi="仿宋" w:eastAsia="仿宋" w:cs="仿宋"/>
          <w:color w:val="auto"/>
          <w:sz w:val="24"/>
          <w:szCs w:val="24"/>
          <w:highlight w:val="none"/>
          <w:lang w:eastAsia="zh-CN"/>
        </w:rPr>
        <w:t>重大税收违法失信主体名单</w:t>
      </w:r>
      <w:r>
        <w:rPr>
          <w:rFonts w:hint="eastAsia" w:ascii="仿宋" w:hAnsi="仿宋" w:eastAsia="仿宋" w:cs="仿宋"/>
          <w:color w:val="auto"/>
          <w:sz w:val="24"/>
          <w:szCs w:val="24"/>
          <w:highlight w:val="none"/>
        </w:rPr>
        <w:t>”。</w:t>
      </w:r>
    </w:p>
    <w:p w14:paraId="365BD9D4">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（2）在中国政府采购网（www.ccgp.gov.cn）查询“政府采购严重违法失信行为记录名单”。</w:t>
      </w:r>
    </w:p>
    <w:p w14:paraId="41E34DCC">
      <w:pPr>
        <w:spacing w:after="0" w:line="360" w:lineRule="auto"/>
        <w:ind w:firstLine="480" w:firstLineChars="200"/>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 xml:space="preserve">1.8.3 </w:t>
      </w:r>
      <w:r>
        <w:rPr>
          <w:rFonts w:hint="eastAsia" w:ascii="仿宋" w:hAnsi="仿宋" w:eastAsia="仿宋" w:cs="仿宋"/>
          <w:b/>
          <w:bCs/>
          <w:color w:val="auto"/>
          <w:sz w:val="24"/>
          <w:szCs w:val="24"/>
          <w:highlight w:val="none"/>
        </w:rPr>
        <w:t>供应商信用信息的截止时点为本项目提交响应文件截止时间前，采购代理机构将在响应文件解密前对参加本项目的供应商进行信用信息查询。评标过程中以采购代理机构查询的信用信息网页截图为准。</w:t>
      </w:r>
    </w:p>
    <w:p w14:paraId="17A9AE23">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1.8.4 采购人、采购代理机构会将查询的供应商信用信息进行截图打印，作为证据留存。对列入</w:t>
      </w:r>
      <w:r>
        <w:rPr>
          <w:rFonts w:hint="eastAsia" w:ascii="仿宋" w:hAnsi="仿宋" w:eastAsia="仿宋" w:cs="仿宋"/>
          <w:color w:val="auto"/>
          <w:sz w:val="24"/>
          <w:szCs w:val="24"/>
          <w:highlight w:val="none"/>
          <w:lang w:eastAsia="zh-CN"/>
        </w:rPr>
        <w:t>严重失信主体名单</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重大税收违法失信主体名单</w:t>
      </w:r>
      <w:r>
        <w:rPr>
          <w:rFonts w:hint="eastAsia" w:ascii="仿宋" w:hAnsi="仿宋" w:eastAsia="仿宋" w:cs="仿宋"/>
          <w:color w:val="auto"/>
          <w:sz w:val="24"/>
          <w:szCs w:val="24"/>
          <w:highlight w:val="none"/>
        </w:rPr>
        <w:t>、政府采购严重违法失信行为记录名单及其他不符合《中华人民共和国政府采购法》第二十二条规定条件的供应商，采购人、采购代理机构拒绝其参加该项目的政府采购活动。</w:t>
      </w:r>
    </w:p>
    <w:p w14:paraId="2D6C32AB">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 现场考察及答疑会（本项目不适用）</w:t>
      </w:r>
    </w:p>
    <w:p w14:paraId="3FF9F6A3">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1.9.1 现场考察及答疑会不统一组织，供应商如有疑问以系统提问形式递至采购代理机构。</w:t>
      </w:r>
    </w:p>
    <w:p w14:paraId="323B1BE7">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1.9.2 供应商参加现场考察和答疑会所发生的费用自理。供应商自行负责在现场考察中所发生的人员伤亡和财产损失等一切责任。</w:t>
      </w:r>
    </w:p>
    <w:p w14:paraId="78764229">
      <w:pPr>
        <w:spacing w:after="0" w:line="360" w:lineRule="auto"/>
        <w:ind w:firstLine="482" w:firstLineChars="20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1.10 证明</w:t>
      </w:r>
    </w:p>
    <w:p w14:paraId="7624DB74">
      <w:pPr>
        <w:spacing w:after="0" w:line="360" w:lineRule="auto"/>
        <w:ind w:firstLine="482" w:firstLineChars="20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磋商文件要求的所有供应商证明材料，实行主体专属使用原则</w:t>
      </w:r>
      <w:r>
        <w:rPr>
          <w:rFonts w:hint="eastAsia" w:ascii="仿宋" w:hAnsi="仿宋" w:eastAsia="仿宋" w:cs="仿宋"/>
          <w:b/>
          <w:bCs/>
          <w:color w:val="auto"/>
          <w:sz w:val="24"/>
          <w:szCs w:val="24"/>
          <w:highlight w:val="none"/>
          <w:lang w:val="en-US" w:eastAsia="zh-CN"/>
        </w:rPr>
        <w:t>，总公司、分公司均仅限使用登记在本主体名下的文件材料，不得使用对方文件材料。</w:t>
      </w:r>
    </w:p>
    <w:p w14:paraId="74091FC7">
      <w:pPr>
        <w:pStyle w:val="4"/>
        <w:spacing w:after="0" w:line="360" w:lineRule="auto"/>
        <w:ind w:left="0"/>
        <w:jc w:val="center"/>
        <w:rPr>
          <w:rFonts w:hint="eastAsia" w:ascii="仿宋" w:hAnsi="仿宋" w:eastAsia="仿宋" w:cs="仿宋"/>
          <w:b/>
          <w:color w:val="auto"/>
          <w:sz w:val="24"/>
          <w:szCs w:val="24"/>
          <w:highlight w:val="none"/>
        </w:rPr>
      </w:pPr>
      <w:bookmarkStart w:id="16" w:name="_Toc9791"/>
      <w:r>
        <w:rPr>
          <w:rFonts w:hint="eastAsia" w:ascii="仿宋" w:hAnsi="仿宋" w:eastAsia="仿宋" w:cs="仿宋"/>
          <w:b/>
          <w:color w:val="auto"/>
          <w:sz w:val="24"/>
          <w:szCs w:val="24"/>
          <w:highlight w:val="none"/>
        </w:rPr>
        <w:t>2.磋商文件</w:t>
      </w:r>
      <w:bookmarkEnd w:id="16"/>
    </w:p>
    <w:p w14:paraId="5EA76D64">
      <w:pPr>
        <w:pStyle w:val="57"/>
        <w:numPr>
          <w:ilvl w:val="1"/>
          <w:numId w:val="4"/>
        </w:num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磋商文件的编制依据与构成</w:t>
      </w:r>
    </w:p>
    <w:p w14:paraId="03C0F835">
      <w:pPr>
        <w:pStyle w:val="57"/>
        <w:numPr>
          <w:ilvl w:val="2"/>
          <w:numId w:val="4"/>
        </w:numPr>
        <w:spacing w:after="0" w:line="360" w:lineRule="auto"/>
        <w:ind w:right="374" w:firstLine="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磋商文件由下列部分组成： </w:t>
      </w:r>
    </w:p>
    <w:p w14:paraId="4EA12B2C">
      <w:pPr>
        <w:pStyle w:val="16"/>
        <w:spacing w:after="0" w:line="360" w:lineRule="auto"/>
        <w:ind w:left="0" w:leftChars="0" w:firstLine="480"/>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第一</w:t>
      </w:r>
      <w:r>
        <w:rPr>
          <w:rFonts w:hint="eastAsia" w:ascii="仿宋" w:hAnsi="仿宋" w:eastAsia="仿宋" w:cs="仿宋"/>
          <w:b/>
          <w:bCs/>
          <w:color w:val="auto"/>
          <w:sz w:val="24"/>
          <w:szCs w:val="24"/>
          <w:highlight w:val="none"/>
          <w:lang w:val="en-US" w:eastAsia="zh-CN"/>
        </w:rPr>
        <w:t xml:space="preserve">章 </w:t>
      </w:r>
      <w:r>
        <w:rPr>
          <w:rFonts w:hint="eastAsia" w:ascii="仿宋" w:hAnsi="仿宋" w:eastAsia="仿宋" w:cs="仿宋"/>
          <w:b/>
          <w:bCs/>
          <w:color w:val="auto"/>
          <w:sz w:val="24"/>
          <w:szCs w:val="24"/>
          <w:highlight w:val="none"/>
        </w:rPr>
        <w:t>竞争性磋商公告</w:t>
      </w:r>
    </w:p>
    <w:p w14:paraId="53B271F1">
      <w:pPr>
        <w:pStyle w:val="16"/>
        <w:spacing w:after="0" w:line="360" w:lineRule="auto"/>
        <w:ind w:left="0" w:leftChars="0" w:firstLine="48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w:t>
      </w:r>
      <w:r>
        <w:rPr>
          <w:rFonts w:hint="eastAsia" w:ascii="仿宋" w:hAnsi="仿宋" w:eastAsia="仿宋" w:cs="仿宋"/>
          <w:b/>
          <w:bCs/>
          <w:color w:val="auto"/>
          <w:sz w:val="24"/>
          <w:szCs w:val="24"/>
          <w:highlight w:val="none"/>
          <w:lang w:val="en-US" w:eastAsia="zh-CN"/>
        </w:rPr>
        <w:t xml:space="preserve">二章 </w:t>
      </w:r>
      <w:r>
        <w:rPr>
          <w:rFonts w:hint="eastAsia" w:ascii="仿宋" w:hAnsi="仿宋" w:eastAsia="仿宋" w:cs="仿宋"/>
          <w:b/>
          <w:bCs/>
          <w:color w:val="auto"/>
          <w:sz w:val="24"/>
          <w:szCs w:val="24"/>
          <w:highlight w:val="none"/>
        </w:rPr>
        <w:t>供应商须知</w:t>
      </w:r>
    </w:p>
    <w:p w14:paraId="7BC5EB0C">
      <w:pPr>
        <w:pStyle w:val="16"/>
        <w:spacing w:after="0" w:line="360" w:lineRule="auto"/>
        <w:ind w:left="0" w:leftChars="0" w:firstLine="48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第</w:t>
      </w:r>
      <w:r>
        <w:rPr>
          <w:rFonts w:hint="eastAsia" w:ascii="仿宋" w:hAnsi="仿宋" w:eastAsia="仿宋" w:cs="仿宋"/>
          <w:b/>
          <w:bCs/>
          <w:color w:val="auto"/>
          <w:sz w:val="24"/>
          <w:szCs w:val="24"/>
          <w:highlight w:val="none"/>
          <w:lang w:val="en-US" w:eastAsia="zh-CN"/>
        </w:rPr>
        <w:t xml:space="preserve">三章 </w:t>
      </w:r>
      <w:r>
        <w:rPr>
          <w:rFonts w:hint="eastAsia" w:ascii="仿宋" w:hAnsi="仿宋" w:eastAsia="仿宋" w:cs="仿宋"/>
          <w:b/>
          <w:bCs/>
          <w:color w:val="auto"/>
          <w:sz w:val="24"/>
          <w:szCs w:val="24"/>
          <w:highlight w:val="none"/>
          <w:lang w:eastAsia="zh-CN"/>
        </w:rPr>
        <w:t>采购人需求</w:t>
      </w:r>
    </w:p>
    <w:p w14:paraId="3DCDEDBB">
      <w:pPr>
        <w:pStyle w:val="16"/>
        <w:spacing w:after="0" w:line="360" w:lineRule="auto"/>
        <w:ind w:left="0" w:leftChars="0" w:firstLine="480"/>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第四</w:t>
      </w:r>
      <w:r>
        <w:rPr>
          <w:rFonts w:hint="eastAsia" w:ascii="仿宋" w:hAnsi="仿宋" w:eastAsia="仿宋" w:cs="仿宋"/>
          <w:b/>
          <w:bCs/>
          <w:color w:val="auto"/>
          <w:sz w:val="24"/>
          <w:szCs w:val="24"/>
          <w:highlight w:val="none"/>
          <w:lang w:val="en-US" w:eastAsia="zh-CN"/>
        </w:rPr>
        <w:t xml:space="preserve">章 </w:t>
      </w:r>
      <w:r>
        <w:rPr>
          <w:rFonts w:hint="eastAsia" w:ascii="仿宋" w:hAnsi="仿宋" w:eastAsia="仿宋" w:cs="仿宋"/>
          <w:b/>
          <w:bCs/>
          <w:color w:val="auto"/>
          <w:sz w:val="24"/>
          <w:szCs w:val="24"/>
          <w:highlight w:val="none"/>
          <w:lang w:eastAsia="zh-CN"/>
        </w:rPr>
        <w:t>评审标准和评审办法</w:t>
      </w:r>
    </w:p>
    <w:p w14:paraId="3A2634FC">
      <w:pPr>
        <w:pStyle w:val="16"/>
        <w:spacing w:after="0" w:line="360" w:lineRule="auto"/>
        <w:ind w:left="0" w:leftChars="0" w:firstLine="480"/>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第五</w:t>
      </w:r>
      <w:r>
        <w:rPr>
          <w:rFonts w:hint="eastAsia" w:ascii="仿宋" w:hAnsi="仿宋" w:eastAsia="仿宋" w:cs="仿宋"/>
          <w:b/>
          <w:bCs/>
          <w:color w:val="auto"/>
          <w:sz w:val="24"/>
          <w:szCs w:val="24"/>
          <w:highlight w:val="none"/>
          <w:lang w:val="en-US" w:eastAsia="zh-CN"/>
        </w:rPr>
        <w:t xml:space="preserve">章 </w:t>
      </w:r>
      <w:r>
        <w:rPr>
          <w:rFonts w:hint="eastAsia" w:ascii="仿宋" w:hAnsi="仿宋" w:eastAsia="仿宋" w:cs="仿宋"/>
          <w:b/>
          <w:bCs/>
          <w:color w:val="auto"/>
          <w:sz w:val="24"/>
          <w:szCs w:val="24"/>
          <w:highlight w:val="none"/>
        </w:rPr>
        <w:t>合同</w:t>
      </w:r>
      <w:r>
        <w:rPr>
          <w:rFonts w:hint="eastAsia" w:ascii="仿宋" w:hAnsi="仿宋" w:eastAsia="仿宋" w:cs="仿宋"/>
          <w:b/>
          <w:bCs/>
          <w:color w:val="auto"/>
          <w:sz w:val="24"/>
          <w:szCs w:val="24"/>
          <w:highlight w:val="none"/>
          <w:lang w:eastAsia="zh-CN"/>
        </w:rPr>
        <w:t>格式</w:t>
      </w:r>
    </w:p>
    <w:p w14:paraId="75F7BD9F">
      <w:pPr>
        <w:pStyle w:val="16"/>
        <w:spacing w:after="0" w:line="360" w:lineRule="auto"/>
        <w:ind w:left="0" w:leftChars="0" w:firstLine="48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w:t>
      </w:r>
      <w:r>
        <w:rPr>
          <w:rFonts w:hint="eastAsia" w:ascii="仿宋" w:hAnsi="仿宋" w:eastAsia="仿宋" w:cs="仿宋"/>
          <w:b/>
          <w:bCs/>
          <w:color w:val="auto"/>
          <w:sz w:val="24"/>
          <w:szCs w:val="24"/>
          <w:highlight w:val="none"/>
          <w:lang w:val="en-US" w:eastAsia="zh-CN"/>
        </w:rPr>
        <w:t xml:space="preserve">六章 </w:t>
      </w:r>
      <w:r>
        <w:rPr>
          <w:rFonts w:hint="eastAsia" w:ascii="仿宋" w:hAnsi="仿宋" w:eastAsia="仿宋" w:cs="仿宋"/>
          <w:b/>
          <w:bCs/>
          <w:color w:val="auto"/>
          <w:sz w:val="24"/>
          <w:szCs w:val="24"/>
          <w:highlight w:val="none"/>
        </w:rPr>
        <w:t>响应文件格式</w:t>
      </w:r>
    </w:p>
    <w:p w14:paraId="05CF3C2F">
      <w:pPr>
        <w:pStyle w:val="57"/>
        <w:numPr>
          <w:ilvl w:val="1"/>
          <w:numId w:val="4"/>
        </w:num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磋商文件以中文文字编写。</w:t>
      </w:r>
    </w:p>
    <w:p w14:paraId="30298024">
      <w:pPr>
        <w:pStyle w:val="57"/>
        <w:numPr>
          <w:ilvl w:val="2"/>
          <w:numId w:val="4"/>
        </w:numPr>
        <w:spacing w:after="0" w:line="360" w:lineRule="auto"/>
        <w:ind w:left="100" w:right="221" w:firstLine="451"/>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供应商应认真阅读磋商文件中所有的事项、格式、条款和磋商内容及要求等，并按照磋商文件的要求编制响应文件。若供应商不按照磋商文件要求编制响应文件，由此产生的风险和责任将由供应商自己承担。</w:t>
      </w:r>
    </w:p>
    <w:p w14:paraId="61D7C66D">
      <w:pPr>
        <w:pStyle w:val="57"/>
        <w:numPr>
          <w:ilvl w:val="1"/>
          <w:numId w:val="4"/>
        </w:numPr>
        <w:spacing w:after="0" w:line="360" w:lineRule="auto"/>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磋商文件的澄清、修改</w:t>
      </w:r>
    </w:p>
    <w:p w14:paraId="13BEBBDC">
      <w:pPr>
        <w:pStyle w:val="69"/>
        <w:keepNext w:val="0"/>
        <w:keepLines w:val="0"/>
        <w:pageBreakBefore w:val="0"/>
        <w:widowControl w:val="0"/>
        <w:numPr>
          <w:ilvl w:val="0"/>
          <w:numId w:val="0"/>
        </w:numPr>
        <w:tabs>
          <w:tab w:val="left" w:pos="1940"/>
        </w:tabs>
        <w:kinsoku/>
        <w:wordWrap/>
        <w:overflowPunct/>
        <w:topLinePunct/>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2.3.1提交首次响应文件截止之日前，采购人或者采购代理机构有权对已发出的磋商文件进行必要的澄清或者修改，澄清或者修改的内容作为磋商文件的组成部分。如澄清或者修改的内容可能影响响应文件编制，采购人、采购代理机构将在提交首次响应文件截止时间至少 5 日前，在</w:t>
      </w:r>
      <w:r>
        <w:rPr>
          <w:rFonts w:hint="eastAsia" w:ascii="仿宋" w:hAnsi="仿宋" w:eastAsia="仿宋" w:cs="仿宋"/>
          <w:b/>
          <w:bCs/>
          <w:color w:val="auto"/>
          <w:sz w:val="24"/>
          <w:szCs w:val="24"/>
          <w:highlight w:val="none"/>
          <w:lang w:val="en-US" w:eastAsia="zh-CN" w:bidi="ar-SA"/>
        </w:rPr>
        <w:t>“全国公共资源交易平台（河南省˙汤阴县）”进行公布（不再另行通知）</w:t>
      </w:r>
      <w:r>
        <w:rPr>
          <w:rFonts w:hint="eastAsia" w:ascii="仿宋" w:hAnsi="仿宋" w:eastAsia="仿宋" w:cs="仿宋"/>
          <w:color w:val="auto"/>
          <w:sz w:val="24"/>
          <w:szCs w:val="24"/>
          <w:highlight w:val="none"/>
          <w:lang w:val="en-US" w:eastAsia="zh-CN" w:bidi="ar-SA"/>
        </w:rPr>
        <w:t>；不足 5 日的，采购人、采购代理机构将顺延提交首次响应文件截止时间。澄清或修改公告一经在法定网站以公告形式发布，依法视为书面通知，不再另行通知。</w:t>
      </w:r>
    </w:p>
    <w:p w14:paraId="721F6D37">
      <w:pPr>
        <w:pStyle w:val="57"/>
        <w:keepNext w:val="0"/>
        <w:keepLines w:val="0"/>
        <w:pageBreakBefore w:val="0"/>
        <w:widowControl w:val="0"/>
        <w:numPr>
          <w:ilvl w:val="0"/>
          <w:numId w:val="0"/>
        </w:numPr>
        <w:kinsoku/>
        <w:wordWrap/>
        <w:overflowPunct/>
        <w:topLinePunct/>
        <w:autoSpaceDE/>
        <w:autoSpaceDN/>
        <w:bidi w:val="0"/>
        <w:adjustRightInd/>
        <w:snapToGrid/>
        <w:spacing w:after="0" w:line="360" w:lineRule="auto"/>
        <w:ind w:left="0" w:leftChars="0" w:right="0" w:rightChars="0"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基于网上电子交易的特点—无权限获知或通知潜在供应商，潜在供应商应随时关注“竞争性磋商公告”所述媒体相关项目信息（为免各部门网站出现维护等情况，潜在供应商应对“竞争性磋商公告” 所述媒体逐一查阅），如有遗漏，后果自负。</w:t>
      </w:r>
    </w:p>
    <w:p w14:paraId="02AD31FE">
      <w:pPr>
        <w:pStyle w:val="57"/>
        <w:keepNext w:val="0"/>
        <w:keepLines w:val="0"/>
        <w:pageBreakBefore w:val="0"/>
        <w:widowControl w:val="0"/>
        <w:numPr>
          <w:ilvl w:val="0"/>
          <w:numId w:val="0"/>
        </w:numPr>
        <w:kinsoku/>
        <w:wordWrap/>
        <w:overflowPunct/>
        <w:topLinePunct/>
        <w:autoSpaceDE/>
        <w:autoSpaceDN/>
        <w:bidi w:val="0"/>
        <w:adjustRightInd/>
        <w:snapToGrid/>
        <w:spacing w:after="0" w:line="360" w:lineRule="auto"/>
        <w:ind w:left="0" w:leftChars="0" w:right="0" w:rightChars="0"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2.3.2</w:t>
      </w:r>
      <w:r>
        <w:rPr>
          <w:rFonts w:hint="eastAsia" w:ascii="仿宋" w:hAnsi="仿宋" w:eastAsia="仿宋" w:cs="仿宋"/>
          <w:color w:val="auto"/>
          <w:sz w:val="24"/>
          <w:szCs w:val="24"/>
          <w:highlight w:val="none"/>
        </w:rPr>
        <w:t>如供应商对磋商文件内容有疑义，需在提交首次响应文件截止时间至少 5 日前</w:t>
      </w:r>
      <w:r>
        <w:rPr>
          <w:rFonts w:hint="eastAsia" w:ascii="仿宋" w:hAnsi="仿宋" w:eastAsia="仿宋" w:cs="仿宋"/>
          <w:color w:val="auto"/>
          <w:sz w:val="24"/>
          <w:szCs w:val="24"/>
          <w:highlight w:val="none"/>
          <w:lang w:eastAsia="zh-CN"/>
        </w:rPr>
        <w:t>以书面形式向采购人或者代理机构</w:t>
      </w:r>
      <w:r>
        <w:rPr>
          <w:rFonts w:hint="eastAsia" w:ascii="仿宋" w:hAnsi="仿宋" w:eastAsia="仿宋" w:cs="仿宋"/>
          <w:color w:val="auto"/>
          <w:sz w:val="24"/>
          <w:szCs w:val="24"/>
          <w:highlight w:val="none"/>
        </w:rPr>
        <w:t>提出。</w:t>
      </w:r>
    </w:p>
    <w:p w14:paraId="16616447">
      <w:pPr>
        <w:pStyle w:val="4"/>
        <w:spacing w:after="0" w:line="360" w:lineRule="auto"/>
        <w:ind w:left="0"/>
        <w:jc w:val="center"/>
        <w:rPr>
          <w:rFonts w:hint="eastAsia" w:ascii="仿宋" w:hAnsi="仿宋" w:eastAsia="仿宋" w:cs="仿宋"/>
          <w:b/>
          <w:color w:val="auto"/>
          <w:sz w:val="24"/>
          <w:szCs w:val="24"/>
          <w:highlight w:val="none"/>
        </w:rPr>
      </w:pPr>
      <w:bookmarkStart w:id="17" w:name="_Toc6437"/>
      <w:bookmarkStart w:id="18" w:name="_Toc63669153"/>
      <w:r>
        <w:rPr>
          <w:rFonts w:hint="eastAsia" w:ascii="仿宋" w:hAnsi="仿宋" w:eastAsia="仿宋" w:cs="仿宋"/>
          <w:b/>
          <w:color w:val="auto"/>
          <w:sz w:val="24"/>
          <w:szCs w:val="24"/>
          <w:highlight w:val="none"/>
        </w:rPr>
        <w:t>3.响应文件的编制</w:t>
      </w:r>
      <w:bookmarkEnd w:id="17"/>
      <w:bookmarkEnd w:id="18"/>
    </w:p>
    <w:p w14:paraId="5EC17EF4">
      <w:pPr>
        <w:pStyle w:val="57"/>
        <w:numPr>
          <w:ilvl w:val="1"/>
          <w:numId w:val="5"/>
        </w:numPr>
        <w:spacing w:after="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磋商的语言与计量</w:t>
      </w:r>
    </w:p>
    <w:p w14:paraId="30ABD4E6">
      <w:pPr>
        <w:pStyle w:val="57"/>
        <w:numPr>
          <w:ilvl w:val="2"/>
          <w:numId w:val="5"/>
        </w:numPr>
        <w:spacing w:after="0" w:line="360" w:lineRule="auto"/>
        <w:ind w:right="223" w:firstLine="451"/>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提交的响应文件以及供应商与采购人和采购代理机构就有关磋商的所有来往函电均以中文文字书写。供应商提交的支持资料和已印刷的证件或资料可以用另一种语言，但相应内容应附有中文的翻译本，在解释响应文件时以翻译文本为准。</w:t>
      </w:r>
    </w:p>
    <w:p w14:paraId="0BC35F6F">
      <w:pPr>
        <w:pStyle w:val="57"/>
        <w:numPr>
          <w:ilvl w:val="2"/>
          <w:numId w:val="5"/>
        </w:numPr>
        <w:spacing w:after="0" w:line="360" w:lineRule="auto"/>
        <w:ind w:left="239" w:firstLine="311"/>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除在磋商文件的技术规格中另有规定外，计量单位应使用中华人民共和国法定计量单位。</w:t>
      </w:r>
    </w:p>
    <w:p w14:paraId="2E046EF3">
      <w:pPr>
        <w:pStyle w:val="57"/>
        <w:numPr>
          <w:ilvl w:val="1"/>
          <w:numId w:val="5"/>
        </w:numPr>
        <w:spacing w:after="0" w:line="360" w:lineRule="auto"/>
        <w:ind w:left="550" w:right="154" w:firstLine="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响应文件的组成</w:t>
      </w:r>
    </w:p>
    <w:p w14:paraId="1CACA0DF">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 响应文件应包括磋商文件“</w:t>
      </w:r>
      <w:r>
        <w:rPr>
          <w:rFonts w:hint="eastAsia" w:ascii="仿宋" w:hAnsi="仿宋" w:eastAsia="仿宋" w:cs="仿宋"/>
          <w:b/>
          <w:bCs/>
          <w:color w:val="auto"/>
          <w:sz w:val="24"/>
          <w:szCs w:val="24"/>
          <w:highlight w:val="none"/>
          <w:lang w:eastAsia="zh-CN"/>
        </w:rPr>
        <w:t>第六章</w:t>
      </w:r>
      <w:r>
        <w:rPr>
          <w:rFonts w:hint="eastAsia" w:ascii="仿宋" w:hAnsi="仿宋" w:eastAsia="仿宋" w:cs="仿宋"/>
          <w:b/>
          <w:bCs/>
          <w:color w:val="auto"/>
          <w:sz w:val="24"/>
          <w:szCs w:val="24"/>
          <w:highlight w:val="none"/>
          <w:lang w:val="en-US" w:eastAsia="zh-CN"/>
        </w:rPr>
        <w:t xml:space="preserve">  </w:t>
      </w:r>
      <w:r>
        <w:rPr>
          <w:rFonts w:hint="eastAsia" w:ascii="仿宋" w:hAnsi="仿宋" w:eastAsia="仿宋" w:cs="仿宋"/>
          <w:b/>
          <w:bCs/>
          <w:color w:val="auto"/>
          <w:sz w:val="24"/>
          <w:szCs w:val="24"/>
          <w:highlight w:val="none"/>
        </w:rPr>
        <w:t>响应文件格式</w:t>
      </w:r>
      <w:r>
        <w:rPr>
          <w:rFonts w:hint="eastAsia" w:ascii="仿宋" w:hAnsi="仿宋" w:eastAsia="仿宋" w:cs="仿宋"/>
          <w:color w:val="auto"/>
          <w:sz w:val="24"/>
          <w:szCs w:val="24"/>
          <w:highlight w:val="none"/>
        </w:rPr>
        <w:t>”中所要求的内容。</w:t>
      </w:r>
    </w:p>
    <w:p w14:paraId="22A21894">
      <w:pPr>
        <w:pStyle w:val="57"/>
        <w:numPr>
          <w:ilvl w:val="1"/>
          <w:numId w:val="5"/>
        </w:numPr>
        <w:spacing w:after="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资格审查资料</w:t>
      </w:r>
    </w:p>
    <w:p w14:paraId="791B2B94">
      <w:pPr>
        <w:spacing w:after="0" w:line="360" w:lineRule="auto"/>
        <w:ind w:left="551"/>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详见第</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lang w:eastAsia="zh-CN"/>
        </w:rPr>
        <w:t>章</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供应商须知第9条“供应商资格条件”。</w:t>
      </w:r>
    </w:p>
    <w:p w14:paraId="565867BD">
      <w:pPr>
        <w:pStyle w:val="57"/>
        <w:numPr>
          <w:ilvl w:val="1"/>
          <w:numId w:val="5"/>
        </w:numPr>
        <w:spacing w:after="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磋商保证金</w:t>
      </w:r>
    </w:p>
    <w:p w14:paraId="14081C6F">
      <w:pPr>
        <w:spacing w:after="0" w:line="360" w:lineRule="auto"/>
        <w:ind w:left="231" w:firstLine="364" w:firstLineChars="15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依据河南省财政厅《关于优化政府采购营商环境有关问题的通知》（豫财购〔2019〕4号）文件要求，本项目不收取磋商保证金。</w:t>
      </w:r>
      <w:r>
        <w:rPr>
          <w:rFonts w:hint="eastAsia" w:ascii="仿宋" w:hAnsi="仿宋" w:eastAsia="仿宋" w:cs="仿宋"/>
          <w:b/>
          <w:bCs/>
          <w:color w:val="auto"/>
          <w:kern w:val="0"/>
          <w:sz w:val="24"/>
          <w:szCs w:val="24"/>
          <w:highlight w:val="none"/>
          <w:lang w:val="en-US" w:eastAsia="zh-CN" w:bidi="ar-SA"/>
        </w:rPr>
        <w:t>以投标承诺函形式替代磋商保证金。供应商应按附件格式进行投标承诺、违背承诺的责任追究。</w:t>
      </w:r>
    </w:p>
    <w:p w14:paraId="1DAC04E9">
      <w:pPr>
        <w:pStyle w:val="57"/>
        <w:numPr>
          <w:ilvl w:val="1"/>
          <w:numId w:val="5"/>
        </w:numPr>
        <w:spacing w:after="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磋商有效期</w:t>
      </w:r>
    </w:p>
    <w:p w14:paraId="6921523B">
      <w:pPr>
        <w:pStyle w:val="57"/>
        <w:numPr>
          <w:ilvl w:val="2"/>
          <w:numId w:val="5"/>
        </w:numPr>
        <w:spacing w:after="0" w:line="360" w:lineRule="auto"/>
        <w:ind w:right="223" w:firstLine="45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在供应商须知前附表规定的磋商有效期内，供应商不得要求撤销或修改其响应文件。</w:t>
      </w:r>
    </w:p>
    <w:p w14:paraId="0F9E7C2B">
      <w:pPr>
        <w:pStyle w:val="57"/>
        <w:numPr>
          <w:ilvl w:val="2"/>
          <w:numId w:val="5"/>
        </w:numPr>
        <w:spacing w:after="0" w:line="360" w:lineRule="auto"/>
        <w:ind w:right="223" w:firstLine="45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磋商有效期：自磋商截止之日起60</w:t>
      </w:r>
      <w:r>
        <w:rPr>
          <w:rFonts w:hint="eastAsia" w:ascii="仿宋" w:hAnsi="仿宋" w:eastAsia="仿宋" w:cs="仿宋"/>
          <w:color w:val="auto"/>
          <w:sz w:val="24"/>
          <w:szCs w:val="24"/>
          <w:highlight w:val="none"/>
          <w:lang w:eastAsia="zh-CN"/>
        </w:rPr>
        <w:t>天</w:t>
      </w:r>
      <w:r>
        <w:rPr>
          <w:rFonts w:hint="eastAsia" w:ascii="仿宋" w:hAnsi="仿宋" w:eastAsia="仿宋" w:cs="仿宋"/>
          <w:color w:val="auto"/>
          <w:sz w:val="24"/>
          <w:szCs w:val="24"/>
          <w:highlight w:val="none"/>
        </w:rPr>
        <w:t>。</w:t>
      </w:r>
    </w:p>
    <w:p w14:paraId="0996A89B">
      <w:pPr>
        <w:pStyle w:val="57"/>
        <w:numPr>
          <w:ilvl w:val="1"/>
          <w:numId w:val="5"/>
        </w:numPr>
        <w:spacing w:after="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响应文件的编制</w:t>
      </w:r>
    </w:p>
    <w:p w14:paraId="192ADDA4">
      <w:pPr>
        <w:pStyle w:val="57"/>
        <w:numPr>
          <w:ilvl w:val="2"/>
          <w:numId w:val="5"/>
        </w:numPr>
        <w:spacing w:after="0" w:line="360" w:lineRule="auto"/>
        <w:ind w:right="223" w:firstLine="45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响应文件应按</w:t>
      </w:r>
      <w:r>
        <w:rPr>
          <w:rFonts w:hint="eastAsia" w:ascii="仿宋" w:hAnsi="仿宋" w:eastAsia="仿宋" w:cs="仿宋"/>
          <w:b/>
          <w:bCs/>
          <w:color w:val="auto"/>
          <w:sz w:val="24"/>
          <w:szCs w:val="24"/>
          <w:highlight w:val="none"/>
          <w:lang w:eastAsia="zh-CN"/>
        </w:rPr>
        <w:t>第六章</w:t>
      </w:r>
      <w:r>
        <w:rPr>
          <w:rFonts w:hint="eastAsia" w:ascii="仿宋" w:hAnsi="仿宋" w:eastAsia="仿宋" w:cs="仿宋"/>
          <w:b/>
          <w:bCs/>
          <w:color w:val="auto"/>
          <w:sz w:val="24"/>
          <w:szCs w:val="24"/>
          <w:highlight w:val="none"/>
          <w:lang w:val="en-US" w:eastAsia="zh-CN"/>
        </w:rPr>
        <w:t xml:space="preserve"> </w:t>
      </w:r>
      <w:r>
        <w:rPr>
          <w:rFonts w:hint="eastAsia" w:ascii="仿宋" w:hAnsi="仿宋" w:eastAsia="仿宋" w:cs="仿宋"/>
          <w:b/>
          <w:bCs/>
          <w:color w:val="auto"/>
          <w:sz w:val="24"/>
          <w:szCs w:val="24"/>
          <w:highlight w:val="none"/>
        </w:rPr>
        <w:t>响应文件格式</w:t>
      </w:r>
      <w:r>
        <w:rPr>
          <w:rFonts w:hint="eastAsia" w:ascii="仿宋" w:hAnsi="仿宋" w:eastAsia="仿宋" w:cs="仿宋"/>
          <w:color w:val="auto"/>
          <w:sz w:val="24"/>
          <w:szCs w:val="24"/>
          <w:highlight w:val="none"/>
        </w:rPr>
        <w:t>进行编写，如有必要，可以增加附页，作为响应文件的组成部分。磋商文件中未列明格式的，由供应商自行设计编写。</w:t>
      </w:r>
    </w:p>
    <w:p w14:paraId="593CC6B5">
      <w:pPr>
        <w:spacing w:after="0" w:line="360" w:lineRule="auto"/>
        <w:ind w:left="100" w:right="222" w:firstLine="45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响应文件编制后，需录入导入“竞争性磋商公告”</w:t>
      </w:r>
      <w:r>
        <w:rPr>
          <w:rFonts w:hint="eastAsia" w:ascii="仿宋" w:hAnsi="仿宋" w:eastAsia="仿宋" w:cs="仿宋"/>
          <w:color w:val="auto"/>
          <w:sz w:val="24"/>
          <w:szCs w:val="24"/>
          <w:highlight w:val="none"/>
          <w:lang w:val="en-US" w:eastAsia="zh-CN" w:bidi="ar-SA"/>
        </w:rPr>
        <w:t>所述 “新点响应文件制作软件</w:t>
      </w:r>
      <w:r>
        <w:rPr>
          <w:rFonts w:hint="eastAsia" w:ascii="仿宋" w:hAnsi="仿宋" w:eastAsia="仿宋" w:cs="仿宋"/>
          <w:color w:val="auto"/>
          <w:sz w:val="24"/>
          <w:szCs w:val="24"/>
          <w:highlight w:val="none"/>
        </w:rPr>
        <w:t>”，</w:t>
      </w:r>
      <w:r>
        <w:rPr>
          <w:rFonts w:hint="eastAsia" w:ascii="仿宋" w:hAnsi="仿宋" w:eastAsia="仿宋" w:cs="仿宋"/>
          <w:b/>
          <w:bCs/>
          <w:color w:val="auto"/>
          <w:sz w:val="24"/>
          <w:szCs w:val="24"/>
          <w:highlight w:val="none"/>
        </w:rPr>
        <w:t>经电子签名并加密后</w:t>
      </w:r>
      <w:r>
        <w:rPr>
          <w:rFonts w:hint="eastAsia" w:ascii="仿宋" w:hAnsi="仿宋" w:eastAsia="仿宋" w:cs="仿宋"/>
          <w:color w:val="auto"/>
          <w:sz w:val="24"/>
          <w:szCs w:val="24"/>
          <w:highlight w:val="none"/>
        </w:rPr>
        <w:t>、在响应文件提交截止时间前，上传至“竞争性磋商公告”所述网上电子交易系统。</w:t>
      </w:r>
    </w:p>
    <w:p w14:paraId="06EF5598">
      <w:pPr>
        <w:pStyle w:val="57"/>
        <w:numPr>
          <w:ilvl w:val="2"/>
          <w:numId w:val="5"/>
        </w:numPr>
        <w:spacing w:after="0" w:line="360" w:lineRule="auto"/>
        <w:ind w:right="223" w:firstLine="45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“响应文件格式”仅为对响应文件部分内容的格式化规范，并非响应文件所应具备的全部内容。供应商应按本部分“3.3 响应文件的组成”列示内容编制响应文件。</w:t>
      </w:r>
    </w:p>
    <w:p w14:paraId="0620CBB4">
      <w:pPr>
        <w:pStyle w:val="57"/>
        <w:numPr>
          <w:ilvl w:val="2"/>
          <w:numId w:val="5"/>
        </w:numPr>
        <w:spacing w:after="0" w:line="360" w:lineRule="auto"/>
        <w:ind w:right="223" w:firstLine="45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响应文件应当对磋商文件合同履行期限、</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质量</w:t>
      </w:r>
      <w:r>
        <w:rPr>
          <w:rFonts w:hint="eastAsia" w:ascii="仿宋" w:hAnsi="仿宋" w:eastAsia="仿宋" w:cs="仿宋"/>
          <w:color w:val="auto"/>
          <w:sz w:val="24"/>
          <w:szCs w:val="24"/>
          <w:highlight w:val="none"/>
          <w:lang w:eastAsia="zh-CN"/>
        </w:rPr>
        <w:t>要求</w:t>
      </w:r>
      <w:r>
        <w:rPr>
          <w:rFonts w:hint="eastAsia" w:ascii="仿宋" w:hAnsi="仿宋" w:eastAsia="仿宋" w:cs="仿宋"/>
          <w:color w:val="auto"/>
          <w:sz w:val="24"/>
          <w:szCs w:val="24"/>
          <w:highlight w:val="none"/>
        </w:rPr>
        <w:t>、磋商有效期等实质性内容作出响应。在满足磋商文件实质性要求的基础上，可以提出比磋商文件要求更有利于采购人的承诺。</w:t>
      </w:r>
    </w:p>
    <w:p w14:paraId="504DDAED">
      <w:pPr>
        <w:pStyle w:val="57"/>
        <w:numPr>
          <w:ilvl w:val="2"/>
          <w:numId w:val="5"/>
        </w:numPr>
        <w:spacing w:after="0" w:line="360" w:lineRule="auto"/>
        <w:ind w:right="222" w:firstLine="451"/>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应按磋商文件相关要求（含格式上标注的要求）、使用供应商企业数字证书进行电子签章和供应商法定代表人数字证书进行电子签名、并加密，没有使用供应商企业数字证书和供应商法定代表人数字证书进行电子签名并加密的响应文件，属于未按照磋商文件要求进行签</w:t>
      </w:r>
      <w:r>
        <w:rPr>
          <w:rFonts w:hint="eastAsia" w:ascii="仿宋" w:hAnsi="仿宋" w:eastAsia="仿宋" w:cs="仿宋"/>
          <w:color w:val="auto"/>
          <w:sz w:val="24"/>
          <w:szCs w:val="24"/>
          <w:highlight w:val="none"/>
          <w:lang w:eastAsia="zh-CN"/>
        </w:rPr>
        <w:t>署</w:t>
      </w:r>
      <w:r>
        <w:rPr>
          <w:rFonts w:hint="eastAsia" w:ascii="仿宋" w:hAnsi="仿宋" w:eastAsia="仿宋" w:cs="仿宋"/>
          <w:color w:val="auto"/>
          <w:sz w:val="24"/>
          <w:szCs w:val="24"/>
          <w:highlight w:val="none"/>
        </w:rPr>
        <w:t>。</w:t>
      </w:r>
    </w:p>
    <w:p w14:paraId="4E43D38A">
      <w:pPr>
        <w:spacing w:after="0" w:line="360" w:lineRule="auto"/>
        <w:ind w:left="100" w:right="223" w:firstLine="451"/>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.5根据《中华人民共和国电子签名法》规定，可靠的电子签名与手写签名或者</w:t>
      </w:r>
      <w:r>
        <w:rPr>
          <w:rFonts w:hint="eastAsia" w:ascii="仿宋" w:hAnsi="仿宋" w:eastAsia="仿宋" w:cs="仿宋"/>
          <w:color w:val="auto"/>
          <w:sz w:val="24"/>
          <w:szCs w:val="24"/>
          <w:highlight w:val="none"/>
          <w:lang w:eastAsia="zh-CN"/>
        </w:rPr>
        <w:t>盖</w:t>
      </w:r>
      <w:r>
        <w:rPr>
          <w:rFonts w:hint="eastAsia" w:ascii="仿宋" w:hAnsi="仿宋" w:eastAsia="仿宋" w:cs="仿宋"/>
          <w:color w:val="auto"/>
          <w:sz w:val="24"/>
          <w:szCs w:val="24"/>
          <w:highlight w:val="none"/>
        </w:rPr>
        <w:t>章有同等的法律效力。本次采购活动中，</w:t>
      </w:r>
      <w:r>
        <w:rPr>
          <w:rFonts w:hint="eastAsia" w:ascii="仿宋" w:hAnsi="仿宋" w:eastAsia="仿宋" w:cs="仿宋"/>
          <w:b/>
          <w:bCs/>
          <w:color w:val="auto"/>
          <w:sz w:val="24"/>
          <w:szCs w:val="24"/>
          <w:highlight w:val="none"/>
        </w:rPr>
        <w:t>供应商使用有效的企业数字证书对响应文件进行电子签章与加盖供应商公章具有同等法律效力；供应商法定代表人使用有效的个人数字证书对响应文件进行签名与法人签章具有同等法律效力。</w:t>
      </w:r>
    </w:p>
    <w:p w14:paraId="33BBACAE">
      <w:pPr>
        <w:spacing w:after="0" w:line="360" w:lineRule="auto"/>
        <w:ind w:left="551"/>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.6 响应文件因字迹或表述不清所引起的后果由供应商自行负责。</w:t>
      </w:r>
    </w:p>
    <w:p w14:paraId="6A7D601A">
      <w:pPr>
        <w:spacing w:after="0" w:line="360" w:lineRule="auto"/>
        <w:ind w:left="100" w:right="223" w:firstLine="451"/>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.7 未按上述要求提交的响应文件将视为无效投标。</w:t>
      </w:r>
    </w:p>
    <w:p w14:paraId="579D80D3">
      <w:pPr>
        <w:pStyle w:val="4"/>
        <w:spacing w:after="0" w:line="360" w:lineRule="auto"/>
        <w:ind w:left="0"/>
        <w:jc w:val="center"/>
        <w:rPr>
          <w:rFonts w:hint="eastAsia" w:ascii="仿宋" w:hAnsi="仿宋" w:eastAsia="仿宋" w:cs="仿宋"/>
          <w:b/>
          <w:color w:val="auto"/>
          <w:sz w:val="24"/>
          <w:szCs w:val="24"/>
          <w:highlight w:val="none"/>
        </w:rPr>
      </w:pPr>
      <w:bookmarkStart w:id="19" w:name="_Toc63669154"/>
      <w:bookmarkStart w:id="20" w:name="_Toc27588"/>
      <w:r>
        <w:rPr>
          <w:rFonts w:hint="eastAsia" w:ascii="仿宋" w:hAnsi="仿宋" w:eastAsia="仿宋" w:cs="仿宋"/>
          <w:b/>
          <w:color w:val="auto"/>
          <w:sz w:val="24"/>
          <w:szCs w:val="24"/>
          <w:highlight w:val="none"/>
        </w:rPr>
        <w:t>4.响应文件的递交</w:t>
      </w:r>
      <w:bookmarkEnd w:id="19"/>
      <w:bookmarkEnd w:id="20"/>
    </w:p>
    <w:p w14:paraId="50F895AE">
      <w:pPr>
        <w:pStyle w:val="57"/>
        <w:numPr>
          <w:ilvl w:val="2"/>
          <w:numId w:val="6"/>
        </w:numPr>
        <w:spacing w:after="0" w:line="360" w:lineRule="auto"/>
        <w:ind w:right="223" w:firstLine="451"/>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响应文件应当按网上电子交易系统要求进行加密和标记，在响应文件提交截止时间前，将加密的响应文件上传至“竞争性磋商公告”所述网上电子交易系统。</w:t>
      </w:r>
    </w:p>
    <w:p w14:paraId="468BA02C">
      <w:pPr>
        <w:pStyle w:val="57"/>
        <w:numPr>
          <w:ilvl w:val="2"/>
          <w:numId w:val="6"/>
        </w:numPr>
        <w:spacing w:after="0" w:line="360" w:lineRule="auto"/>
        <w:ind w:right="223" w:firstLine="451"/>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响应文件没有按照上述要求进行加密和标记的、网上电子交易系统将据系统设定拒收其响应文件，供应商应自负该项风险，采购代理机构对可能产生的误投或提前启封概不负责。</w:t>
      </w:r>
    </w:p>
    <w:p w14:paraId="514EC45A">
      <w:pPr>
        <w:pStyle w:val="57"/>
        <w:numPr>
          <w:ilvl w:val="1"/>
          <w:numId w:val="7"/>
        </w:numPr>
        <w:spacing w:after="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响应文件的递交</w:t>
      </w:r>
    </w:p>
    <w:p w14:paraId="7649EB5F">
      <w:pPr>
        <w:pStyle w:val="57"/>
        <w:numPr>
          <w:ilvl w:val="2"/>
          <w:numId w:val="7"/>
        </w:numPr>
        <w:spacing w:after="0" w:line="360" w:lineRule="auto"/>
        <w:ind w:right="114" w:firstLine="451"/>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供应商应在供应商须知前附表规定的投标截止时间前提交电子响应文件。未在规定时间前提交电子响应文件或在规定时间内未解密的电子响应文件，其投标将被拒绝。</w:t>
      </w:r>
    </w:p>
    <w:p w14:paraId="50BAD90B">
      <w:pPr>
        <w:pStyle w:val="57"/>
        <w:numPr>
          <w:ilvl w:val="2"/>
          <w:numId w:val="7"/>
        </w:numPr>
        <w:spacing w:after="0" w:line="360" w:lineRule="auto"/>
        <w:ind w:right="114" w:firstLine="451"/>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据网上电子交易系统设定，响应文件提交截止时间后，系统将自动锁定已经提交的电子响应文件，拒绝再次提交。供应商将无法通过网上电子交易系统进行上传，采购代理机构将无法接受并拒绝接受磋商截止时间以后提交的响应文件。</w:t>
      </w:r>
    </w:p>
    <w:p w14:paraId="5D222E71">
      <w:pPr>
        <w:pStyle w:val="57"/>
        <w:numPr>
          <w:ilvl w:val="2"/>
          <w:numId w:val="7"/>
        </w:numPr>
        <w:spacing w:after="0" w:line="360" w:lineRule="auto"/>
        <w:ind w:right="114" w:firstLine="451"/>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由于不可抗拒的原因，代理机构对响应文件的遗失和损坏不负任何责任。除供应商须知前附表另有规定外，供应商所递交的响应文件不予退还。</w:t>
      </w:r>
    </w:p>
    <w:p w14:paraId="0265807E">
      <w:pPr>
        <w:pStyle w:val="57"/>
        <w:numPr>
          <w:ilvl w:val="2"/>
          <w:numId w:val="7"/>
        </w:numPr>
        <w:spacing w:after="0" w:line="360" w:lineRule="auto"/>
        <w:ind w:right="223" w:firstLine="451"/>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基于网上电子交易的系统要求及特点，只接受基于符合网上电子交易系统要求的投标，其他如</w:t>
      </w:r>
      <w:r>
        <w:rPr>
          <w:rFonts w:hint="eastAsia" w:ascii="仿宋" w:hAnsi="仿宋" w:eastAsia="仿宋" w:cs="仿宋"/>
          <w:color w:val="auto"/>
          <w:sz w:val="24"/>
          <w:szCs w:val="24"/>
          <w:highlight w:val="none"/>
          <w:lang w:eastAsia="zh-CN"/>
        </w:rPr>
        <w:t>纸质</w:t>
      </w:r>
      <w:r>
        <w:rPr>
          <w:rFonts w:hint="eastAsia" w:ascii="仿宋" w:hAnsi="仿宋" w:eastAsia="仿宋" w:cs="仿宋"/>
          <w:color w:val="auto"/>
          <w:sz w:val="24"/>
          <w:szCs w:val="24"/>
          <w:highlight w:val="none"/>
        </w:rPr>
        <w:t>、送达、电报、电话、电子邮件等形式的投标概不接受。</w:t>
      </w:r>
    </w:p>
    <w:p w14:paraId="44FA4B5F">
      <w:pPr>
        <w:pStyle w:val="57"/>
        <w:numPr>
          <w:ilvl w:val="1"/>
          <w:numId w:val="7"/>
        </w:numPr>
        <w:spacing w:after="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响应文件的修改与撤回</w:t>
      </w:r>
    </w:p>
    <w:p w14:paraId="74DE2E19">
      <w:pPr>
        <w:pStyle w:val="57"/>
        <w:numPr>
          <w:ilvl w:val="2"/>
          <w:numId w:val="7"/>
        </w:numPr>
        <w:spacing w:after="0" w:line="360" w:lineRule="auto"/>
        <w:ind w:right="223" w:firstLine="451"/>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供应商于提交响应文件截止时间前如对响应文件进行补充、修改，可以上传新的响应文件进行覆盖。在投标截止时间后，供应商不得再要求修改或撤回其响应文件。</w:t>
      </w:r>
    </w:p>
    <w:p w14:paraId="3EDE8673">
      <w:pPr>
        <w:pStyle w:val="4"/>
        <w:spacing w:after="0" w:line="360" w:lineRule="auto"/>
        <w:ind w:left="0"/>
        <w:jc w:val="center"/>
        <w:rPr>
          <w:rFonts w:hint="eastAsia" w:ascii="仿宋" w:hAnsi="仿宋" w:eastAsia="仿宋" w:cs="仿宋"/>
          <w:b/>
          <w:color w:val="auto"/>
          <w:sz w:val="24"/>
          <w:szCs w:val="24"/>
          <w:highlight w:val="none"/>
        </w:rPr>
      </w:pPr>
      <w:bookmarkStart w:id="21" w:name="_Toc11489"/>
      <w:bookmarkStart w:id="22" w:name="_Toc63669155"/>
      <w:r>
        <w:rPr>
          <w:rFonts w:hint="eastAsia" w:ascii="仿宋" w:hAnsi="仿宋" w:eastAsia="仿宋" w:cs="仿宋"/>
          <w:b/>
          <w:color w:val="auto"/>
          <w:sz w:val="24"/>
          <w:szCs w:val="24"/>
          <w:highlight w:val="none"/>
        </w:rPr>
        <w:t>5.响应文件的开启</w:t>
      </w:r>
      <w:bookmarkEnd w:id="21"/>
      <w:bookmarkEnd w:id="22"/>
    </w:p>
    <w:p w14:paraId="088FCAE7">
      <w:pPr>
        <w:pStyle w:val="57"/>
        <w:numPr>
          <w:ilvl w:val="1"/>
          <w:numId w:val="8"/>
        </w:num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响应文件开启时间</w:t>
      </w:r>
    </w:p>
    <w:p w14:paraId="0F8F0724">
      <w:pPr>
        <w:pStyle w:val="57"/>
        <w:numPr>
          <w:ilvl w:val="2"/>
          <w:numId w:val="8"/>
        </w:numPr>
        <w:spacing w:after="0" w:line="360" w:lineRule="auto"/>
        <w:ind w:hanging="58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开启时间：见磋商公告。</w:t>
      </w:r>
    </w:p>
    <w:p w14:paraId="0ECC398F">
      <w:pPr>
        <w:pStyle w:val="57"/>
        <w:numPr>
          <w:ilvl w:val="2"/>
          <w:numId w:val="8"/>
        </w:numPr>
        <w:spacing w:after="0" w:line="360" w:lineRule="auto"/>
        <w:ind w:hanging="58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开启地点：见磋商公告。</w:t>
      </w:r>
    </w:p>
    <w:p w14:paraId="4A5C9423">
      <w:pPr>
        <w:pStyle w:val="57"/>
        <w:numPr>
          <w:ilvl w:val="2"/>
          <w:numId w:val="8"/>
        </w:numPr>
        <w:spacing w:after="0" w:line="360" w:lineRule="auto"/>
        <w:ind w:hanging="58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本项目为远程解密开标项目，供应商无需到现场开标</w:t>
      </w:r>
      <w:r>
        <w:rPr>
          <w:rFonts w:hint="eastAsia" w:ascii="仿宋" w:hAnsi="仿宋" w:eastAsia="仿宋" w:cs="仿宋"/>
          <w:color w:val="auto"/>
          <w:sz w:val="24"/>
          <w:szCs w:val="24"/>
          <w:highlight w:val="none"/>
        </w:rPr>
        <w:t>。</w:t>
      </w:r>
    </w:p>
    <w:p w14:paraId="1602CE8D">
      <w:pPr>
        <w:spacing w:after="0" w:line="360" w:lineRule="auto"/>
        <w:ind w:left="100" w:right="223" w:firstLine="451"/>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供应商需在开标前打开全国公共资源交易平台（河南省˙汤阴县）网站，凭企业数字证书登录投标用户</w:t>
      </w:r>
      <w:r>
        <w:rPr>
          <w:rFonts w:hint="eastAsia" w:ascii="仿宋" w:hAnsi="仿宋" w:eastAsia="仿宋" w:cs="仿宋"/>
          <w:b/>
          <w:bCs/>
          <w:color w:val="auto"/>
          <w:sz w:val="24"/>
          <w:szCs w:val="24"/>
          <w:highlight w:val="none"/>
          <w:lang w:eastAsia="zh-CN"/>
        </w:rPr>
        <w:t>不见面开标大厅</w:t>
      </w:r>
      <w:r>
        <w:rPr>
          <w:rFonts w:hint="eastAsia" w:ascii="仿宋" w:hAnsi="仿宋" w:eastAsia="仿宋" w:cs="仿宋"/>
          <w:b/>
          <w:bCs/>
          <w:color w:val="auto"/>
          <w:sz w:val="24"/>
          <w:szCs w:val="24"/>
          <w:highlight w:val="none"/>
        </w:rPr>
        <w:t>，并进入本项目相匹配的网上开标室。</w:t>
      </w:r>
    </w:p>
    <w:p w14:paraId="4D46501C">
      <w:pPr>
        <w:spacing w:after="0" w:line="360" w:lineRule="auto"/>
        <w:ind w:left="100" w:right="223" w:firstLine="451"/>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当代理公司下达解密命令后，要求供应商在规定时间内完成对本单位的加密响应文件解密，由于供应商的自身原因，在规定时间内解密不成功的，作为无效处理。</w:t>
      </w:r>
    </w:p>
    <w:p w14:paraId="1B2BC1F9">
      <w:pPr>
        <w:pStyle w:val="57"/>
        <w:numPr>
          <w:ilvl w:val="2"/>
          <w:numId w:val="8"/>
        </w:numPr>
        <w:spacing w:after="0" w:line="360" w:lineRule="auto"/>
        <w:ind w:left="100" w:right="223" w:firstLine="45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供应商代表对开标过程和开标记录有疑义，请及时与采购代理机构联系。</w:t>
      </w:r>
    </w:p>
    <w:p w14:paraId="7D3EB7FD">
      <w:pPr>
        <w:pStyle w:val="57"/>
        <w:numPr>
          <w:ilvl w:val="1"/>
          <w:numId w:val="8"/>
        </w:num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响应文件开启程序</w:t>
      </w:r>
    </w:p>
    <w:p w14:paraId="0D576266">
      <w:pPr>
        <w:pStyle w:val="57"/>
        <w:numPr>
          <w:ilvl w:val="2"/>
          <w:numId w:val="8"/>
        </w:numPr>
        <w:spacing w:after="0" w:line="360" w:lineRule="auto"/>
        <w:ind w:left="100" w:right="115" w:firstLine="45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为网上电子交易方式，响应文件的开启方式为远程解密，为保证开启工作顺利进行，供应商需在开标阶段、在管理员下达解密指令后的指定时限内，完成对本单位的加密响应文件的远程解密。如供应商因自身原因、在指定时限内没有解密成功的，其投标将不能被接受，供应商自行承担相应后果。解密完成后，供应商的报价将在系统界面上显示。</w:t>
      </w:r>
    </w:p>
    <w:p w14:paraId="70BB67E3">
      <w:pPr>
        <w:spacing w:after="0" w:line="360" w:lineRule="auto"/>
        <w:ind w:left="55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鉴于网上电子交易方式的特点，管理员将根据系统情况下达解密指令。</w:t>
      </w:r>
    </w:p>
    <w:p w14:paraId="1B4B5896">
      <w:pPr>
        <w:pStyle w:val="57"/>
        <w:numPr>
          <w:ilvl w:val="2"/>
          <w:numId w:val="8"/>
        </w:numPr>
        <w:spacing w:after="0" w:line="360" w:lineRule="auto"/>
        <w:ind w:left="100" w:right="223" w:firstLine="451"/>
        <w:rPr>
          <w:rFonts w:hint="eastAsia" w:ascii="仿宋" w:hAnsi="仿宋" w:eastAsia="仿宋" w:cs="仿宋"/>
          <w:color w:val="auto"/>
          <w:highlight w:val="none"/>
        </w:rPr>
      </w:pPr>
      <w:r>
        <w:rPr>
          <w:rFonts w:hint="eastAsia" w:ascii="仿宋" w:hAnsi="仿宋" w:eastAsia="仿宋" w:cs="仿宋"/>
          <w:color w:val="auto"/>
          <w:sz w:val="24"/>
          <w:szCs w:val="24"/>
          <w:highlight w:val="none"/>
        </w:rPr>
        <w:t>供应商对开标过程和开标记录有疑义，以及认为采购人、采购代理机构相关工作人员有需要回避的情形的，应在系统中提出询问或者回避申请，否则，视为对开标无异议。</w:t>
      </w:r>
    </w:p>
    <w:p w14:paraId="21E7B65B">
      <w:pPr>
        <w:pStyle w:val="4"/>
        <w:spacing w:after="0" w:line="360" w:lineRule="auto"/>
        <w:ind w:left="0"/>
        <w:jc w:val="center"/>
        <w:rPr>
          <w:rFonts w:hint="eastAsia" w:ascii="仿宋" w:hAnsi="仿宋" w:eastAsia="仿宋" w:cs="仿宋"/>
          <w:b/>
          <w:color w:val="auto"/>
          <w:sz w:val="24"/>
          <w:szCs w:val="24"/>
          <w:highlight w:val="none"/>
        </w:rPr>
      </w:pPr>
      <w:bookmarkStart w:id="23" w:name="_Toc19916"/>
      <w:bookmarkStart w:id="24" w:name="_Toc63669156"/>
      <w:r>
        <w:rPr>
          <w:rFonts w:hint="eastAsia" w:ascii="仿宋" w:hAnsi="仿宋" w:eastAsia="仿宋" w:cs="仿宋"/>
          <w:b/>
          <w:color w:val="auto"/>
          <w:sz w:val="24"/>
          <w:szCs w:val="24"/>
          <w:highlight w:val="none"/>
        </w:rPr>
        <w:t>6.评审</w:t>
      </w:r>
      <w:bookmarkEnd w:id="23"/>
      <w:bookmarkEnd w:id="24"/>
    </w:p>
    <w:p w14:paraId="6FDDA019">
      <w:pPr>
        <w:pStyle w:val="57"/>
        <w:numPr>
          <w:ilvl w:val="1"/>
          <w:numId w:val="9"/>
        </w:numPr>
        <w:spacing w:after="0"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磋商小组</w:t>
      </w:r>
    </w:p>
    <w:p w14:paraId="320769BA">
      <w:pPr>
        <w:spacing w:after="0" w:line="360" w:lineRule="auto"/>
        <w:ind w:left="100" w:right="221" w:firstLine="451"/>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评审工作由依法组建的磋商小组负责。</w:t>
      </w:r>
      <w:r>
        <w:rPr>
          <w:rFonts w:hint="eastAsia" w:ascii="仿宋" w:hAnsi="仿宋" w:eastAsia="仿宋" w:cs="仿宋"/>
          <w:b/>
          <w:bCs/>
          <w:color w:val="auto"/>
          <w:sz w:val="24"/>
          <w:szCs w:val="24"/>
          <w:highlight w:val="none"/>
        </w:rPr>
        <w:t>磋商小组由</w:t>
      </w:r>
      <w:r>
        <w:rPr>
          <w:rFonts w:hint="eastAsia" w:ascii="仿宋" w:hAnsi="仿宋" w:eastAsia="仿宋" w:cs="仿宋"/>
          <w:b/>
          <w:bCs/>
          <w:color w:val="auto"/>
          <w:sz w:val="24"/>
          <w:szCs w:val="24"/>
          <w:highlight w:val="none"/>
          <w:lang w:val="en-US" w:eastAsia="zh-CN"/>
        </w:rPr>
        <w:t>采购人代表和</w:t>
      </w:r>
      <w:r>
        <w:rPr>
          <w:rFonts w:hint="eastAsia" w:ascii="仿宋" w:hAnsi="仿宋" w:eastAsia="仿宋" w:cs="仿宋"/>
          <w:b/>
          <w:bCs/>
          <w:color w:val="auto"/>
          <w:sz w:val="24"/>
          <w:szCs w:val="24"/>
          <w:highlight w:val="none"/>
        </w:rPr>
        <w:t>评审专家共 3 人组成，评审专家是从</w:t>
      </w:r>
      <w:r>
        <w:rPr>
          <w:rFonts w:hint="eastAsia" w:ascii="仿宋" w:hAnsi="仿宋" w:eastAsia="仿宋" w:cs="仿宋"/>
          <w:b/>
          <w:bCs/>
          <w:color w:val="auto"/>
          <w:sz w:val="24"/>
          <w:szCs w:val="24"/>
          <w:highlight w:val="none"/>
          <w:lang w:val="en-US" w:eastAsia="zh-CN"/>
        </w:rPr>
        <w:t>河南省</w:t>
      </w:r>
      <w:r>
        <w:rPr>
          <w:rFonts w:hint="eastAsia" w:ascii="仿宋" w:hAnsi="仿宋" w:eastAsia="仿宋" w:cs="仿宋"/>
          <w:b/>
          <w:bCs/>
          <w:color w:val="auto"/>
          <w:sz w:val="24"/>
          <w:szCs w:val="24"/>
          <w:highlight w:val="none"/>
        </w:rPr>
        <w:t>政府采购专家库中随机抽取产生。</w:t>
      </w:r>
    </w:p>
    <w:p w14:paraId="61845CB7">
      <w:pPr>
        <w:keepNext w:val="0"/>
        <w:keepLines w:val="0"/>
        <w:pageBreakBefore w:val="0"/>
        <w:widowControl w:val="0"/>
        <w:numPr>
          <w:ilvl w:val="0"/>
          <w:numId w:val="0"/>
        </w:numPr>
        <w:tabs>
          <w:tab w:val="left" w:pos="1824"/>
        </w:tabs>
        <w:kinsoku/>
        <w:wordWrap/>
        <w:overflowPunct/>
        <w:topLinePunct w:val="0"/>
        <w:autoSpaceDE w:val="0"/>
        <w:autoSpaceDN w:val="0"/>
        <w:bidi w:val="0"/>
        <w:adjustRightInd/>
        <w:snapToGrid/>
        <w:spacing w:before="37" w:after="0" w:line="360" w:lineRule="auto"/>
        <w:ind w:left="0" w:leftChars="0" w:right="0" w:rightChars="0" w:firstLine="482" w:firstLineChars="200"/>
        <w:jc w:val="left"/>
        <w:textAlignment w:val="auto"/>
        <w:outlineLvl w:val="9"/>
        <w:rPr>
          <w:rFonts w:hint="eastAsia" w:ascii="仿宋" w:hAnsi="仿宋" w:eastAsia="仿宋" w:cs="仿宋"/>
          <w:b w:val="0"/>
          <w:bCs w:val="0"/>
          <w:i w:val="0"/>
          <w:color w:val="auto"/>
          <w:sz w:val="24"/>
          <w:szCs w:val="24"/>
          <w:highlight w:val="none"/>
          <w:lang w:val="en-US" w:eastAsia="zh-CN" w:bidi="ar-SA"/>
        </w:rPr>
      </w:pPr>
      <w:r>
        <w:rPr>
          <w:rFonts w:hint="eastAsia" w:ascii="仿宋" w:hAnsi="仿宋" w:eastAsia="仿宋" w:cs="仿宋"/>
          <w:b/>
          <w:bCs/>
          <w:i w:val="0"/>
          <w:color w:val="auto"/>
          <w:sz w:val="24"/>
          <w:szCs w:val="24"/>
          <w:highlight w:val="none"/>
          <w:lang w:val="en-US" w:eastAsia="zh-CN" w:bidi="ar-SA"/>
        </w:rPr>
        <w:t>评审原则</w:t>
      </w:r>
    </w:p>
    <w:p w14:paraId="0DC6F9C0">
      <w:pPr>
        <w:pStyle w:val="69"/>
        <w:keepNext w:val="0"/>
        <w:keepLines w:val="0"/>
        <w:pageBreakBefore w:val="0"/>
        <w:widowControl w:val="0"/>
        <w:numPr>
          <w:ilvl w:val="0"/>
          <w:numId w:val="0"/>
        </w:numPr>
        <w:tabs>
          <w:tab w:val="left" w:pos="1997"/>
        </w:tabs>
        <w:kinsoku/>
        <w:wordWrap/>
        <w:overflowPunct/>
        <w:topLinePunct w:val="0"/>
        <w:autoSpaceDE w:val="0"/>
        <w:autoSpaceDN w:val="0"/>
        <w:bidi w:val="0"/>
        <w:adjustRightInd/>
        <w:snapToGrid/>
        <w:spacing w:before="73" w:after="0" w:line="360" w:lineRule="auto"/>
        <w:ind w:left="0" w:leftChars="0" w:right="0" w:rightChars="0" w:firstLine="480" w:firstLineChars="200"/>
        <w:jc w:val="left"/>
        <w:textAlignment w:val="auto"/>
        <w:outlineLvl w:val="9"/>
        <w:rPr>
          <w:rFonts w:hint="eastAsia" w:ascii="仿宋" w:hAnsi="仿宋" w:eastAsia="仿宋" w:cs="仿宋"/>
          <w:b w:val="0"/>
          <w:bCs w:val="0"/>
          <w:i w:val="0"/>
          <w:color w:val="auto"/>
          <w:sz w:val="24"/>
          <w:szCs w:val="24"/>
          <w:highlight w:val="none"/>
          <w:lang w:val="en-US" w:eastAsia="zh-CN" w:bidi="ar-SA"/>
        </w:rPr>
      </w:pPr>
      <w:r>
        <w:rPr>
          <w:rFonts w:hint="eastAsia" w:ascii="仿宋" w:hAnsi="仿宋" w:eastAsia="仿宋" w:cs="仿宋"/>
          <w:b w:val="0"/>
          <w:bCs w:val="0"/>
          <w:i w:val="0"/>
          <w:color w:val="auto"/>
          <w:sz w:val="24"/>
          <w:szCs w:val="24"/>
          <w:highlight w:val="none"/>
          <w:lang w:val="en-US" w:eastAsia="zh-CN" w:bidi="ar-SA"/>
        </w:rPr>
        <w:t>坚持公开、公平、公正地对待所有供应商。</w:t>
      </w:r>
    </w:p>
    <w:p w14:paraId="03B65FF4">
      <w:pPr>
        <w:pStyle w:val="69"/>
        <w:keepNext w:val="0"/>
        <w:keepLines w:val="0"/>
        <w:pageBreakBefore w:val="0"/>
        <w:widowControl w:val="0"/>
        <w:numPr>
          <w:ilvl w:val="0"/>
          <w:numId w:val="0"/>
        </w:numPr>
        <w:tabs>
          <w:tab w:val="left" w:pos="1997"/>
        </w:tabs>
        <w:kinsoku/>
        <w:wordWrap/>
        <w:overflowPunct/>
        <w:topLinePunct w:val="0"/>
        <w:autoSpaceDE w:val="0"/>
        <w:autoSpaceDN w:val="0"/>
        <w:bidi w:val="0"/>
        <w:adjustRightInd/>
        <w:snapToGrid/>
        <w:spacing w:before="72" w:after="0" w:line="360" w:lineRule="auto"/>
        <w:ind w:left="0" w:leftChars="0" w:right="0" w:rightChars="0" w:firstLine="480" w:firstLineChars="200"/>
        <w:jc w:val="left"/>
        <w:textAlignment w:val="auto"/>
        <w:outlineLvl w:val="9"/>
        <w:rPr>
          <w:rFonts w:hint="eastAsia" w:ascii="仿宋" w:hAnsi="仿宋" w:eastAsia="仿宋" w:cs="仿宋"/>
          <w:b w:val="0"/>
          <w:bCs w:val="0"/>
          <w:i w:val="0"/>
          <w:color w:val="auto"/>
          <w:sz w:val="24"/>
          <w:szCs w:val="24"/>
          <w:highlight w:val="none"/>
          <w:lang w:val="en-US" w:eastAsia="zh-CN" w:bidi="ar-SA"/>
        </w:rPr>
      </w:pPr>
      <w:r>
        <w:rPr>
          <w:rFonts w:hint="eastAsia" w:ascii="仿宋" w:hAnsi="仿宋" w:eastAsia="仿宋" w:cs="仿宋"/>
          <w:b w:val="0"/>
          <w:bCs w:val="0"/>
          <w:i w:val="0"/>
          <w:color w:val="auto"/>
          <w:sz w:val="24"/>
          <w:szCs w:val="24"/>
          <w:highlight w:val="none"/>
          <w:lang w:val="en-US" w:eastAsia="zh-CN" w:bidi="ar-SA"/>
        </w:rPr>
        <w:t>按照统一评审程序及方法审查所有供应商的《响应文件》。</w:t>
      </w:r>
    </w:p>
    <w:p w14:paraId="13132C19">
      <w:pPr>
        <w:pStyle w:val="69"/>
        <w:keepNext w:val="0"/>
        <w:keepLines w:val="0"/>
        <w:pageBreakBefore w:val="0"/>
        <w:widowControl w:val="0"/>
        <w:numPr>
          <w:ilvl w:val="0"/>
          <w:numId w:val="0"/>
        </w:numPr>
        <w:tabs>
          <w:tab w:val="left" w:pos="1997"/>
        </w:tabs>
        <w:kinsoku/>
        <w:wordWrap/>
        <w:overflowPunct/>
        <w:topLinePunct w:val="0"/>
        <w:autoSpaceDE w:val="0"/>
        <w:autoSpaceDN w:val="0"/>
        <w:bidi w:val="0"/>
        <w:adjustRightInd/>
        <w:snapToGrid/>
        <w:spacing w:before="72" w:after="0" w:line="360" w:lineRule="auto"/>
        <w:ind w:left="0" w:leftChars="0" w:right="0" w:rightChars="0" w:firstLine="480" w:firstLineChars="200"/>
        <w:jc w:val="left"/>
        <w:textAlignment w:val="auto"/>
        <w:outlineLvl w:val="9"/>
        <w:rPr>
          <w:rFonts w:hint="eastAsia" w:ascii="仿宋" w:hAnsi="仿宋" w:eastAsia="仿宋" w:cs="仿宋"/>
          <w:b w:val="0"/>
          <w:bCs w:val="0"/>
          <w:i w:val="0"/>
          <w:color w:val="auto"/>
          <w:sz w:val="24"/>
          <w:szCs w:val="24"/>
          <w:highlight w:val="none"/>
          <w:lang w:val="en-US" w:eastAsia="zh-CN" w:bidi="ar-SA"/>
        </w:rPr>
      </w:pPr>
      <w:r>
        <w:rPr>
          <w:rFonts w:hint="eastAsia" w:ascii="仿宋" w:hAnsi="仿宋" w:eastAsia="仿宋" w:cs="仿宋"/>
          <w:b w:val="0"/>
          <w:bCs w:val="0"/>
          <w:i w:val="0"/>
          <w:color w:val="auto"/>
          <w:sz w:val="24"/>
          <w:szCs w:val="24"/>
          <w:highlight w:val="none"/>
          <w:lang w:val="en-US" w:eastAsia="zh-CN" w:bidi="ar-SA"/>
        </w:rPr>
        <w:t>反对不正当竞争</w:t>
      </w:r>
    </w:p>
    <w:p w14:paraId="5772556C">
      <w:pPr>
        <w:keepNext w:val="0"/>
        <w:keepLines w:val="0"/>
        <w:pageBreakBefore w:val="0"/>
        <w:widowControl w:val="0"/>
        <w:numPr>
          <w:ilvl w:val="0"/>
          <w:numId w:val="0"/>
        </w:numPr>
        <w:tabs>
          <w:tab w:val="left" w:pos="1824"/>
        </w:tabs>
        <w:kinsoku/>
        <w:wordWrap/>
        <w:overflowPunct/>
        <w:topLinePunct w:val="0"/>
        <w:autoSpaceDE w:val="0"/>
        <w:autoSpaceDN w:val="0"/>
        <w:bidi w:val="0"/>
        <w:adjustRightInd/>
        <w:snapToGrid/>
        <w:spacing w:before="72" w:after="0" w:line="360" w:lineRule="auto"/>
        <w:ind w:left="0" w:leftChars="0" w:right="0" w:rightChars="0" w:firstLine="482" w:firstLineChars="200"/>
        <w:jc w:val="left"/>
        <w:textAlignment w:val="auto"/>
        <w:outlineLvl w:val="9"/>
        <w:rPr>
          <w:rFonts w:hint="eastAsia" w:ascii="仿宋" w:hAnsi="仿宋" w:eastAsia="仿宋" w:cs="仿宋"/>
          <w:b/>
          <w:bCs/>
          <w:i w:val="0"/>
          <w:color w:val="auto"/>
          <w:sz w:val="24"/>
          <w:szCs w:val="24"/>
          <w:highlight w:val="none"/>
          <w:lang w:val="en-US" w:eastAsia="zh-CN" w:bidi="ar-SA"/>
        </w:rPr>
      </w:pPr>
      <w:r>
        <w:rPr>
          <w:rFonts w:hint="eastAsia" w:ascii="仿宋" w:hAnsi="仿宋" w:eastAsia="仿宋" w:cs="仿宋"/>
          <w:b/>
          <w:bCs/>
          <w:i w:val="0"/>
          <w:color w:val="auto"/>
          <w:sz w:val="24"/>
          <w:szCs w:val="24"/>
          <w:highlight w:val="none"/>
          <w:lang w:val="en-US" w:eastAsia="zh-CN" w:bidi="ar-SA"/>
        </w:rPr>
        <w:t>评审</w:t>
      </w:r>
    </w:p>
    <w:p w14:paraId="266B2A1B">
      <w:pPr>
        <w:pStyle w:val="69"/>
        <w:keepNext w:val="0"/>
        <w:keepLines w:val="0"/>
        <w:pageBreakBefore w:val="0"/>
        <w:widowControl w:val="0"/>
        <w:numPr>
          <w:ilvl w:val="0"/>
          <w:numId w:val="0"/>
        </w:numPr>
        <w:tabs>
          <w:tab w:val="left" w:pos="1878"/>
        </w:tabs>
        <w:kinsoku/>
        <w:wordWrap/>
        <w:overflowPunct/>
        <w:topLinePunct w:val="0"/>
        <w:autoSpaceDE w:val="0"/>
        <w:autoSpaceDN w:val="0"/>
        <w:bidi w:val="0"/>
        <w:adjustRightInd/>
        <w:snapToGrid/>
        <w:spacing w:before="72" w:after="0" w:line="360" w:lineRule="auto"/>
        <w:ind w:left="0" w:leftChars="0" w:right="0" w:rightChars="0" w:firstLine="480" w:firstLineChars="200"/>
        <w:jc w:val="left"/>
        <w:textAlignment w:val="auto"/>
        <w:outlineLvl w:val="9"/>
        <w:rPr>
          <w:rFonts w:hint="eastAsia" w:ascii="仿宋" w:hAnsi="仿宋" w:eastAsia="仿宋" w:cs="仿宋"/>
          <w:b w:val="0"/>
          <w:bCs w:val="0"/>
          <w:i w:val="0"/>
          <w:color w:val="auto"/>
          <w:sz w:val="24"/>
          <w:szCs w:val="24"/>
          <w:highlight w:val="none"/>
          <w:lang w:val="en-US" w:eastAsia="zh-CN" w:bidi="ar-SA"/>
        </w:rPr>
      </w:pPr>
      <w:r>
        <w:rPr>
          <w:rFonts w:hint="eastAsia" w:ascii="仿宋" w:hAnsi="仿宋" w:eastAsia="仿宋" w:cs="仿宋"/>
          <w:b w:val="0"/>
          <w:bCs w:val="0"/>
          <w:i w:val="0"/>
          <w:color w:val="auto"/>
          <w:sz w:val="24"/>
          <w:szCs w:val="24"/>
          <w:highlight w:val="none"/>
          <w:lang w:val="en-US" w:eastAsia="zh-CN" w:bidi="ar-SA"/>
        </w:rPr>
        <w:t>评审工作在磋商小组内独立进行。磋商小组按照第四章“评审标准和评审办法”规定的方法、评审因素、标准和程序对《响应文件》进行评审。第四章“评审标准和评审办法”没有规定的方法、评审因素和标准，不作为评审依据。</w:t>
      </w:r>
    </w:p>
    <w:p w14:paraId="48224FD5">
      <w:pPr>
        <w:pStyle w:val="69"/>
        <w:keepNext w:val="0"/>
        <w:keepLines w:val="0"/>
        <w:pageBreakBefore w:val="0"/>
        <w:widowControl w:val="0"/>
        <w:numPr>
          <w:ilvl w:val="0"/>
          <w:numId w:val="0"/>
        </w:numPr>
        <w:tabs>
          <w:tab w:val="left" w:pos="1878"/>
        </w:tabs>
        <w:kinsoku/>
        <w:wordWrap/>
        <w:overflowPunct/>
        <w:topLinePunct w:val="0"/>
        <w:autoSpaceDE w:val="0"/>
        <w:autoSpaceDN w:val="0"/>
        <w:bidi w:val="0"/>
        <w:adjustRightInd/>
        <w:snapToGrid/>
        <w:spacing w:before="5" w:after="0" w:line="360" w:lineRule="auto"/>
        <w:ind w:left="0" w:leftChars="0" w:right="0" w:rightChars="0" w:firstLine="480" w:firstLineChars="200"/>
        <w:jc w:val="left"/>
        <w:textAlignment w:val="auto"/>
        <w:outlineLvl w:val="9"/>
        <w:rPr>
          <w:rFonts w:hint="eastAsia" w:ascii="仿宋" w:hAnsi="仿宋" w:eastAsia="仿宋" w:cs="仿宋"/>
          <w:b w:val="0"/>
          <w:bCs w:val="0"/>
          <w:i w:val="0"/>
          <w:color w:val="auto"/>
          <w:sz w:val="24"/>
          <w:szCs w:val="24"/>
          <w:highlight w:val="none"/>
          <w:lang w:val="en-US" w:eastAsia="zh-CN" w:bidi="ar-SA"/>
        </w:rPr>
      </w:pPr>
      <w:r>
        <w:rPr>
          <w:rFonts w:hint="eastAsia" w:ascii="仿宋" w:hAnsi="仿宋" w:eastAsia="仿宋" w:cs="仿宋"/>
          <w:b w:val="0"/>
          <w:bCs w:val="0"/>
          <w:i w:val="0"/>
          <w:color w:val="auto"/>
          <w:sz w:val="24"/>
          <w:szCs w:val="24"/>
          <w:highlight w:val="none"/>
          <w:lang w:val="en-US" w:eastAsia="zh-CN" w:bidi="ar-SA"/>
        </w:rPr>
        <w:t>在《响应文件》开启、评审期间，供应商不得向磋商小组成员询问情况，不得进行旨在影响评审结果的活动。</w:t>
      </w:r>
    </w:p>
    <w:p w14:paraId="6426ED71">
      <w:pPr>
        <w:snapToGrid w:val="0"/>
        <w:spacing w:after="0" w:line="360" w:lineRule="auto"/>
        <w:ind w:firstLine="55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6.2 响应文件的澄清</w:t>
      </w:r>
    </w:p>
    <w:p w14:paraId="6E0C1571">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6.2.1 评审期间，供应商法定代表人或委托代理人须时刻关注电子开标室并保持通讯畅通。如因</w:t>
      </w:r>
      <w:r>
        <w:rPr>
          <w:rFonts w:hint="eastAsia" w:ascii="仿宋" w:hAnsi="仿宋" w:eastAsia="仿宋" w:cs="仿宋"/>
          <w:color w:val="auto"/>
          <w:sz w:val="24"/>
          <w:szCs w:val="24"/>
          <w:highlight w:val="none"/>
          <w:lang w:eastAsia="zh-CN"/>
        </w:rPr>
        <w:t>通信不畅</w:t>
      </w:r>
      <w:r>
        <w:rPr>
          <w:rFonts w:hint="eastAsia" w:ascii="仿宋" w:hAnsi="仿宋" w:eastAsia="仿宋" w:cs="仿宋"/>
          <w:color w:val="auto"/>
          <w:sz w:val="24"/>
          <w:szCs w:val="24"/>
          <w:highlight w:val="none"/>
        </w:rPr>
        <w:t>导致供应商无法及时澄清而被认定为无效响应等后果由供应商自行承担。</w:t>
      </w:r>
    </w:p>
    <w:p w14:paraId="12BE5B80">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6.2.2 为</w:t>
      </w:r>
      <w:r>
        <w:rPr>
          <w:rFonts w:hint="eastAsia" w:ascii="仿宋" w:hAnsi="仿宋" w:eastAsia="仿宋" w:cs="仿宋"/>
          <w:color w:val="auto"/>
          <w:sz w:val="24"/>
          <w:szCs w:val="24"/>
          <w:highlight w:val="none"/>
          <w:lang w:eastAsia="zh-CN"/>
        </w:rPr>
        <w:t>有助于对</w:t>
      </w:r>
      <w:r>
        <w:rPr>
          <w:rFonts w:hint="eastAsia" w:ascii="仿宋" w:hAnsi="仿宋" w:eastAsia="仿宋" w:cs="仿宋"/>
          <w:color w:val="auto"/>
          <w:sz w:val="24"/>
          <w:szCs w:val="24"/>
          <w:highlight w:val="none"/>
        </w:rPr>
        <w:t>响应文件进行审查、评估和比较，</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有权向供应商提出质疑，请供应商澄清其投标内容，供应商有责任按照</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规定的时间要求进行答疑和澄清。</w:t>
      </w:r>
    </w:p>
    <w:p w14:paraId="77E70636">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6.2.3 供应商的澄清、说明或者补正应当采用书面形式，</w:t>
      </w:r>
      <w:r>
        <w:rPr>
          <w:rFonts w:hint="eastAsia" w:ascii="仿宋" w:hAnsi="仿宋" w:eastAsia="仿宋" w:cs="仿宋"/>
          <w:b/>
          <w:bCs/>
          <w:color w:val="auto"/>
          <w:sz w:val="24"/>
          <w:szCs w:val="24"/>
          <w:highlight w:val="none"/>
        </w:rPr>
        <w:t>并加盖公章，或者由法定代表人或其授权的代表签字。</w:t>
      </w:r>
      <w:r>
        <w:rPr>
          <w:rFonts w:hint="eastAsia" w:ascii="仿宋" w:hAnsi="仿宋" w:eastAsia="仿宋" w:cs="仿宋"/>
          <w:color w:val="auto"/>
          <w:sz w:val="24"/>
          <w:szCs w:val="24"/>
          <w:highlight w:val="none"/>
        </w:rPr>
        <w:t>并将澄清内容作为附件上传至“全国公共资源交易平台（河南省˙汤阴县）网站”系统中。</w:t>
      </w:r>
    </w:p>
    <w:p w14:paraId="63D9370C">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6.2.4 供应商的澄清、说明或者补正不得超出响应文件的范围或者改变响应文件的实质性内容。</w:t>
      </w:r>
    </w:p>
    <w:p w14:paraId="4039B126">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6.2.5 供应商的澄清是响应文件的组成部分，并取代响应文件中被澄清的部分。</w:t>
      </w:r>
    </w:p>
    <w:p w14:paraId="1FBE0E9D">
      <w:pPr>
        <w:snapToGrid w:val="0"/>
        <w:spacing w:after="0" w:line="360" w:lineRule="auto"/>
        <w:ind w:firstLine="55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6.3 评标</w:t>
      </w:r>
    </w:p>
    <w:p w14:paraId="1788A216">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6.3.1 </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将对供应商的符合性响应文件进行符合性审查，以确定其是否满足磋商文件的实质性要求。</w:t>
      </w:r>
    </w:p>
    <w:p w14:paraId="6F3581BC">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6.3.2 响应文件报价出现前后不一致的按以下方法更正：“全国公共资源交易平台（河南省˙汤阴县）网站”系统中开标一览表（报价表）内容与响应文件中相应内容不一致的，以开标一览表（报价表）为准；大写金额和小写金额不一致的，以大写金额为准；单价金额小数点或者百分比有明显错位的，以开标一览表的总价为准，并修改单价；总价金额与按单价汇总金额不一致的，以单价金额计算结果为准。同时出现两种以上不一致的，按照本款规定的顺序修正。修正后的报价，供应商应按磋商文件第三</w:t>
      </w:r>
      <w:r>
        <w:rPr>
          <w:rFonts w:hint="eastAsia" w:ascii="仿宋" w:hAnsi="仿宋" w:eastAsia="仿宋" w:cs="仿宋"/>
          <w:color w:val="auto"/>
          <w:sz w:val="24"/>
          <w:szCs w:val="24"/>
          <w:highlight w:val="none"/>
          <w:lang w:eastAsia="zh-CN"/>
        </w:rPr>
        <w:t>章</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“6.2 响应文件的澄清”要求进行确认，不确认的，其投标无效。</w:t>
      </w:r>
    </w:p>
    <w:p w14:paraId="14C467C7">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6.3.3 对于响应文件中含义不明确、同类问题表述不一致或者有明显文字和计算错误的内容，</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应当在“</w:t>
      </w:r>
      <w:r>
        <w:rPr>
          <w:rFonts w:hint="eastAsia" w:ascii="仿宋" w:hAnsi="仿宋" w:eastAsia="仿宋" w:cs="仿宋"/>
          <w:color w:val="auto"/>
          <w:sz w:val="24"/>
          <w:szCs w:val="24"/>
          <w:highlight w:val="none"/>
          <w:lang w:eastAsia="zh-CN"/>
        </w:rPr>
        <w:t>全国公共资源交易平台（河南省˙汤阴县）网站</w:t>
      </w:r>
      <w:r>
        <w:rPr>
          <w:rFonts w:hint="eastAsia" w:ascii="仿宋" w:hAnsi="仿宋" w:eastAsia="仿宋" w:cs="仿宋"/>
          <w:color w:val="auto"/>
          <w:sz w:val="24"/>
          <w:szCs w:val="24"/>
          <w:highlight w:val="none"/>
        </w:rPr>
        <w:t>”系统中要求供应商作出必要的澄清、说明或者补正。</w:t>
      </w:r>
    </w:p>
    <w:p w14:paraId="40007C6D">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6.3.4 </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将确定每一响应文件是否满足磋商文件的实质性要求。</w:t>
      </w:r>
    </w:p>
    <w:p w14:paraId="2580330D">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6.3.5 </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已确认为不满足磋商文件实质性要求的供应商，供应商不得通过修正或撤销不符之处而使其成为满足磋商文件实质性要求。</w:t>
      </w:r>
    </w:p>
    <w:p w14:paraId="2CCFAFBD">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6.3.6 </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判断响应文</w:t>
      </w:r>
      <w:r>
        <w:rPr>
          <w:rFonts w:hint="eastAsia" w:ascii="仿宋" w:hAnsi="仿宋" w:eastAsia="仿宋" w:cs="仿宋"/>
          <w:color w:val="auto"/>
          <w:sz w:val="24"/>
          <w:szCs w:val="24"/>
          <w:highlight w:val="none"/>
          <w:lang w:eastAsia="zh-CN"/>
        </w:rPr>
        <w:t>件是</w:t>
      </w:r>
      <w:r>
        <w:rPr>
          <w:rFonts w:hint="eastAsia" w:ascii="仿宋" w:hAnsi="仿宋" w:eastAsia="仿宋" w:cs="仿宋"/>
          <w:color w:val="auto"/>
          <w:sz w:val="24"/>
          <w:szCs w:val="24"/>
          <w:highlight w:val="none"/>
        </w:rPr>
        <w:t>否满足磋商文件的实质性要求仅基于响应文件本身内容而不靠外部证据。</w:t>
      </w:r>
    </w:p>
    <w:p w14:paraId="6EBBD70B">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6.3.7 供应商应当遵循公平竞争的原则，不得恶意串通，不得妨碍其他供应商的竞争行为，不得损害采购人或者其他供应商的合法权益。在评标过程中发现供应商有上述情形的，</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应当认定其投标无效，并书面报告本级财政部门。有下列情形之一的，视为供应商串通投标，其投标无效：</w:t>
      </w:r>
    </w:p>
    <w:p w14:paraId="10349E84">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（一）不同供应商的响应文件由同一单位或者个人编制；</w:t>
      </w:r>
    </w:p>
    <w:p w14:paraId="35B81C89">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（二）不同供应商委托同一单位或者个人办理投标事宜；</w:t>
      </w:r>
    </w:p>
    <w:p w14:paraId="42DCC83F">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（三）不同供应商的响应文件载明的项目管理成员或者联系人员为同一人；</w:t>
      </w:r>
    </w:p>
    <w:p w14:paraId="7C404726">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（四）不同供应商的响应文件异常一致或者投标报价呈规律性差异；</w:t>
      </w:r>
    </w:p>
    <w:p w14:paraId="22D9D661">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（五）不同供应商的响应文件相互混装；</w:t>
      </w:r>
    </w:p>
    <w:p w14:paraId="5C44DC74">
      <w:pPr>
        <w:snapToGrid w:val="0"/>
        <w:spacing w:after="0" w:line="360" w:lineRule="auto"/>
        <w:ind w:firstLine="555"/>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6.3.8 </w:t>
      </w:r>
      <w:r>
        <w:rPr>
          <w:rFonts w:hint="eastAsia" w:ascii="仿宋" w:hAnsi="仿宋" w:eastAsia="仿宋" w:cs="仿宋"/>
          <w:b/>
          <w:bCs/>
          <w:color w:val="auto"/>
          <w:sz w:val="24"/>
          <w:szCs w:val="24"/>
          <w:highlight w:val="none"/>
        </w:rPr>
        <w:t>供应商存在下列情况之一的，投标无效</w:t>
      </w:r>
      <w:r>
        <w:rPr>
          <w:rFonts w:hint="eastAsia" w:ascii="仿宋" w:hAnsi="仿宋" w:eastAsia="仿宋" w:cs="仿宋"/>
          <w:b/>
          <w:bCs/>
          <w:color w:val="auto"/>
          <w:sz w:val="24"/>
          <w:szCs w:val="24"/>
          <w:highlight w:val="none"/>
          <w:lang w:eastAsia="zh-CN"/>
        </w:rPr>
        <w:t>：</w:t>
      </w:r>
    </w:p>
    <w:p w14:paraId="38DE98E9">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（一）响应文件未按磋商文件要求签署、盖章的；</w:t>
      </w:r>
    </w:p>
    <w:p w14:paraId="7D3CC124">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（二）不具备磋商文件中规定的资格要求的；</w:t>
      </w:r>
    </w:p>
    <w:p w14:paraId="02E044C6">
      <w:pPr>
        <w:snapToGrid w:val="0"/>
        <w:spacing w:after="0" w:line="360" w:lineRule="auto"/>
        <w:ind w:firstLine="555"/>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w:t>
      </w:r>
      <w:r>
        <w:rPr>
          <w:rFonts w:hint="eastAsia" w:ascii="仿宋" w:hAnsi="仿宋" w:eastAsia="仿宋" w:cs="仿宋"/>
          <w:b/>
          <w:bCs/>
          <w:color w:val="auto"/>
          <w:sz w:val="24"/>
          <w:szCs w:val="24"/>
          <w:highlight w:val="none"/>
        </w:rPr>
        <w:t>供应商</w:t>
      </w:r>
      <w:r>
        <w:rPr>
          <w:rFonts w:hint="eastAsia" w:ascii="仿宋" w:hAnsi="仿宋" w:eastAsia="仿宋" w:cs="仿宋"/>
          <w:b/>
          <w:bCs/>
          <w:color w:val="auto"/>
          <w:sz w:val="24"/>
          <w:szCs w:val="24"/>
          <w:highlight w:val="none"/>
          <w:lang w:val="en-US" w:eastAsia="zh-CN"/>
        </w:rPr>
        <w:t>不是中小企业的，未提供中小企业声明函的</w:t>
      </w:r>
    </w:p>
    <w:p w14:paraId="72746057">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四</w:t>
      </w:r>
      <w:r>
        <w:rPr>
          <w:rFonts w:hint="eastAsia" w:ascii="仿宋" w:hAnsi="仿宋" w:eastAsia="仿宋" w:cs="仿宋"/>
          <w:color w:val="auto"/>
          <w:sz w:val="24"/>
          <w:szCs w:val="24"/>
          <w:highlight w:val="none"/>
        </w:rPr>
        <w:t>）报价超过磋商文件中规定的预算金额或者最高限价的；</w:t>
      </w:r>
    </w:p>
    <w:p w14:paraId="03B09591">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）响应文件含有采购人不能接受的附加条件的</w:t>
      </w:r>
      <w:r>
        <w:rPr>
          <w:rFonts w:hint="eastAsia" w:ascii="仿宋" w:hAnsi="仿宋" w:eastAsia="仿宋" w:cs="仿宋"/>
          <w:color w:val="auto"/>
          <w:sz w:val="24"/>
          <w:szCs w:val="24"/>
          <w:highlight w:val="none"/>
          <w:lang w:eastAsia="zh-CN"/>
        </w:rPr>
        <w:t>；</w:t>
      </w:r>
    </w:p>
    <w:p w14:paraId="43689653">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法律法规</w:t>
      </w:r>
      <w:r>
        <w:rPr>
          <w:rFonts w:hint="eastAsia" w:ascii="仿宋" w:hAnsi="仿宋" w:eastAsia="仿宋" w:cs="仿宋"/>
          <w:color w:val="auto"/>
          <w:sz w:val="24"/>
          <w:szCs w:val="24"/>
          <w:highlight w:val="none"/>
        </w:rPr>
        <w:t>和磋商文件规定的其他无效情形。</w:t>
      </w:r>
    </w:p>
    <w:p w14:paraId="40FB1D05">
      <w:pPr>
        <w:snapToGrid w:val="0"/>
        <w:spacing w:after="0" w:line="360" w:lineRule="auto"/>
        <w:ind w:firstLine="555"/>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6.3.9 </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按照磋商文件中规定的评标方法和标准，对符合性审查合格的响应文件进行商务和技术评估，综合比较与评价。</w:t>
      </w:r>
    </w:p>
    <w:p w14:paraId="4DEF3AC2">
      <w:pPr>
        <w:pStyle w:val="4"/>
        <w:spacing w:after="0" w:line="360" w:lineRule="auto"/>
        <w:ind w:left="0"/>
        <w:jc w:val="center"/>
        <w:rPr>
          <w:rFonts w:hint="eastAsia" w:ascii="仿宋" w:hAnsi="仿宋" w:eastAsia="仿宋" w:cs="仿宋"/>
          <w:b/>
          <w:color w:val="auto"/>
          <w:sz w:val="24"/>
          <w:szCs w:val="24"/>
          <w:highlight w:val="none"/>
        </w:rPr>
      </w:pPr>
      <w:bookmarkStart w:id="25" w:name="_Toc20662"/>
      <w:bookmarkStart w:id="26" w:name="_Toc63669157"/>
      <w:r>
        <w:rPr>
          <w:rFonts w:hint="eastAsia" w:ascii="仿宋" w:hAnsi="仿宋" w:eastAsia="仿宋" w:cs="仿宋"/>
          <w:b/>
          <w:color w:val="auto"/>
          <w:sz w:val="24"/>
          <w:szCs w:val="24"/>
          <w:highlight w:val="none"/>
        </w:rPr>
        <w:t>7.授予合同</w:t>
      </w:r>
      <w:bookmarkEnd w:id="25"/>
      <w:bookmarkEnd w:id="26"/>
    </w:p>
    <w:p w14:paraId="4E9AB8B8">
      <w:pPr>
        <w:pStyle w:val="57"/>
        <w:numPr>
          <w:ilvl w:val="1"/>
          <w:numId w:val="10"/>
        </w:numPr>
        <w:spacing w:after="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确定成交供应商方式</w:t>
      </w:r>
    </w:p>
    <w:p w14:paraId="37E394D8">
      <w:pPr>
        <w:spacing w:after="0" w:line="360" w:lineRule="auto"/>
        <w:ind w:left="100" w:right="219" w:firstLine="451"/>
        <w:jc w:val="both"/>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除供应商须知前附表规定授权磋商小组直接确定成交供应商外，采购人应当自收到评审报告之日起 5 个工作日内在评审报告推荐的成交候选人中按顺序确定成交供应商。</w:t>
      </w:r>
      <w:r>
        <w:rPr>
          <w:rFonts w:hint="eastAsia" w:ascii="仿宋" w:hAnsi="仿宋" w:eastAsia="仿宋" w:cs="仿宋"/>
          <w:color w:val="auto"/>
          <w:sz w:val="24"/>
          <w:szCs w:val="24"/>
          <w:highlight w:val="none"/>
        </w:rPr>
        <w:t>若排名第一的成交候选人放弃中标（成交），或者因不可抗力不能履行合同，或者被查实存在影响成交结果的违法行为等情形、不符合成交条件的，采购人可以按照磋商小组提出的成交候选人名单排序依次确定其他成交候选人为成交供应商，也可以重新采购。</w:t>
      </w:r>
    </w:p>
    <w:p w14:paraId="38C17A3B">
      <w:pPr>
        <w:pStyle w:val="57"/>
        <w:numPr>
          <w:ilvl w:val="1"/>
          <w:numId w:val="10"/>
        </w:numPr>
        <w:spacing w:after="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成交结果公告</w:t>
      </w:r>
    </w:p>
    <w:p w14:paraId="6F3FC8AD">
      <w:pPr>
        <w:spacing w:after="0"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采购代理机构在成交供应商确定后</w:t>
      </w: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rPr>
        <w:t>个工作日内，在竞争性磋商公告所述媒体公告成交结果。同时向成交供应商发出成交通知书。成交结果公告期限为1个工作日。</w:t>
      </w:r>
    </w:p>
    <w:p w14:paraId="407387CE">
      <w:pPr>
        <w:pStyle w:val="57"/>
        <w:numPr>
          <w:ilvl w:val="1"/>
          <w:numId w:val="10"/>
        </w:numPr>
        <w:spacing w:after="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成交通知：见供应商须知前附表</w:t>
      </w:r>
    </w:p>
    <w:p w14:paraId="590AB8C4">
      <w:pPr>
        <w:pStyle w:val="57"/>
        <w:numPr>
          <w:ilvl w:val="1"/>
          <w:numId w:val="10"/>
        </w:numPr>
        <w:spacing w:after="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履约保证金</w:t>
      </w:r>
    </w:p>
    <w:p w14:paraId="45C12302">
      <w:pPr>
        <w:pStyle w:val="57"/>
        <w:numPr>
          <w:ilvl w:val="2"/>
          <w:numId w:val="10"/>
        </w:numPr>
        <w:spacing w:after="0" w:line="360" w:lineRule="auto"/>
        <w:ind w:left="14" w:firstLine="536"/>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本项目不需要缴纳履约保证金。</w:t>
      </w:r>
    </w:p>
    <w:p w14:paraId="28C58193">
      <w:pPr>
        <w:pStyle w:val="57"/>
        <w:numPr>
          <w:ilvl w:val="1"/>
          <w:numId w:val="10"/>
        </w:numPr>
        <w:spacing w:after="0" w:line="360" w:lineRule="auto"/>
        <w:ind w:left="956"/>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签订合同</w:t>
      </w:r>
    </w:p>
    <w:p w14:paraId="39316D78">
      <w:pPr>
        <w:pStyle w:val="57"/>
        <w:numPr>
          <w:ilvl w:val="2"/>
          <w:numId w:val="10"/>
        </w:numPr>
        <w:spacing w:after="0" w:line="360" w:lineRule="auto"/>
        <w:ind w:left="100" w:right="221" w:firstLine="42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成交供应商应在《成交通知书》发出之日起</w:t>
      </w: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rPr>
        <w:t>日内，按照磋商文件确定的合同文本以及成交标的、技术和服务等事项与采购人签订书面政府采购合同。</w:t>
      </w:r>
    </w:p>
    <w:p w14:paraId="17C11325">
      <w:pPr>
        <w:pStyle w:val="57"/>
        <w:numPr>
          <w:ilvl w:val="2"/>
          <w:numId w:val="10"/>
        </w:numPr>
        <w:spacing w:after="0" w:line="360" w:lineRule="auto"/>
        <w:ind w:left="100" w:right="223" w:firstLine="42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如成交供应商不按时签订合同、拒签合同的，取消其成交资格；给采购人造成的损失应予以赔偿。</w:t>
      </w:r>
    </w:p>
    <w:p w14:paraId="096295E1">
      <w:pPr>
        <w:pStyle w:val="57"/>
        <w:numPr>
          <w:ilvl w:val="2"/>
          <w:numId w:val="10"/>
        </w:numPr>
        <w:spacing w:after="0" w:line="360" w:lineRule="auto"/>
        <w:ind w:left="100" w:right="221" w:firstLine="42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合同生效：成交供应商与采购人签订的合同，双方签字后盖章生效，并在2个工作日内报同级政府采购监管部门备案。</w:t>
      </w:r>
    </w:p>
    <w:p w14:paraId="5A990796">
      <w:pPr>
        <w:pStyle w:val="57"/>
        <w:numPr>
          <w:ilvl w:val="2"/>
          <w:numId w:val="10"/>
        </w:numPr>
        <w:spacing w:after="0" w:line="360" w:lineRule="auto"/>
        <w:ind w:left="100" w:right="114" w:firstLine="42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《成交通知书》、磋商文件及其修改补充澄清、成交供应商的响应文件</w:t>
      </w:r>
      <w:r>
        <w:rPr>
          <w:rFonts w:hint="eastAsia" w:ascii="仿宋" w:hAnsi="仿宋" w:eastAsia="仿宋" w:cs="仿宋"/>
          <w:color w:val="auto"/>
          <w:sz w:val="24"/>
          <w:szCs w:val="24"/>
          <w:highlight w:val="none"/>
          <w:lang w:eastAsia="zh-CN"/>
        </w:rPr>
        <w:t>及</w:t>
      </w:r>
      <w:r>
        <w:rPr>
          <w:rFonts w:hint="eastAsia" w:ascii="仿宋" w:hAnsi="仿宋" w:eastAsia="仿宋" w:cs="仿宋"/>
          <w:color w:val="auto"/>
          <w:sz w:val="24"/>
          <w:szCs w:val="24"/>
          <w:highlight w:val="none"/>
        </w:rPr>
        <w:t>其修改补充澄清等，均为签订合同的依据。所</w:t>
      </w:r>
      <w:r>
        <w:rPr>
          <w:rFonts w:hint="eastAsia" w:ascii="仿宋" w:hAnsi="仿宋" w:eastAsia="仿宋" w:cs="仿宋"/>
          <w:color w:val="auto"/>
          <w:sz w:val="24"/>
          <w:szCs w:val="24"/>
          <w:highlight w:val="none"/>
          <w:lang w:eastAsia="zh-CN"/>
        </w:rPr>
        <w:t>订合同</w:t>
      </w:r>
      <w:r>
        <w:rPr>
          <w:rFonts w:hint="eastAsia" w:ascii="仿宋" w:hAnsi="仿宋" w:eastAsia="仿宋" w:cs="仿宋"/>
          <w:color w:val="auto"/>
          <w:sz w:val="24"/>
          <w:szCs w:val="24"/>
          <w:highlight w:val="none"/>
        </w:rPr>
        <w:t>不得对磋商文件和成交供应商的响应文件作实质性修改，采购人和成交供应商不得私下订立背离合同实质性内容的协议。</w:t>
      </w:r>
    </w:p>
    <w:p w14:paraId="4D5BA979">
      <w:pPr>
        <w:pStyle w:val="57"/>
        <w:numPr>
          <w:ilvl w:val="2"/>
          <w:numId w:val="10"/>
        </w:numPr>
        <w:spacing w:after="0" w:line="360" w:lineRule="auto"/>
        <w:ind w:left="100" w:right="221" w:firstLine="42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评标结束后，成交供应商、采购人之间擅自私下磋商、变更中标（成交）标的、价格及响应文件实质性内容的，有关部门将按《中华人民共和国政府采购法》及相关法规的规定处理。</w:t>
      </w:r>
    </w:p>
    <w:p w14:paraId="7E564B03">
      <w:pPr>
        <w:pStyle w:val="57"/>
        <w:numPr>
          <w:ilvl w:val="2"/>
          <w:numId w:val="10"/>
        </w:numPr>
        <w:spacing w:after="0" w:line="360" w:lineRule="auto"/>
        <w:ind w:left="100" w:right="218" w:firstLine="427"/>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采购人与成交供应商签订《政府采购合同》后，合同履行中产生的纠纷、争议，由采购人与成交供应商按合同条款及《中华人民共和国</w:t>
      </w:r>
      <w:r>
        <w:rPr>
          <w:rFonts w:hint="eastAsia" w:ascii="仿宋" w:hAnsi="仿宋" w:eastAsia="仿宋" w:cs="仿宋"/>
          <w:color w:val="auto"/>
          <w:sz w:val="24"/>
          <w:szCs w:val="24"/>
          <w:highlight w:val="none"/>
          <w:lang w:eastAsia="zh-CN"/>
        </w:rPr>
        <w:t>民法典</w:t>
      </w:r>
      <w:r>
        <w:rPr>
          <w:rFonts w:hint="eastAsia" w:ascii="仿宋" w:hAnsi="仿宋" w:eastAsia="仿宋" w:cs="仿宋"/>
          <w:color w:val="auto"/>
          <w:sz w:val="24"/>
          <w:szCs w:val="24"/>
          <w:highlight w:val="none"/>
        </w:rPr>
        <w:t>》处理。</w:t>
      </w:r>
    </w:p>
    <w:p w14:paraId="6CBCDEC9">
      <w:pPr>
        <w:pStyle w:val="57"/>
        <w:numPr>
          <w:ilvl w:val="2"/>
          <w:numId w:val="10"/>
        </w:numPr>
        <w:spacing w:after="0" w:line="360" w:lineRule="auto"/>
        <w:ind w:left="100" w:right="218" w:firstLine="427"/>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合同补充变更</w:t>
      </w:r>
    </w:p>
    <w:p w14:paraId="79B2DA0A">
      <w:pPr>
        <w:spacing w:after="0" w:line="360" w:lineRule="auto"/>
        <w:ind w:left="100" w:right="218" w:firstLine="427"/>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政府采购合同履行中，采购人需追加或减少与合同标的相同的货物和服务的（即追加或减少原合同标的数量），在不改变合同条款（包括原合同单价）的前提下，双方可以协商签订补充合同，但所有补充合同总金额不得超过原合同采购金额的10%，不得调增原合同单价，不得超出项目预算，超过原合同采购金额的10%，应重新组织采购活动。</w:t>
      </w:r>
    </w:p>
    <w:p w14:paraId="1DB9E343">
      <w:pPr>
        <w:pStyle w:val="4"/>
        <w:spacing w:after="0" w:line="360" w:lineRule="auto"/>
        <w:ind w:left="0"/>
        <w:jc w:val="center"/>
        <w:rPr>
          <w:rFonts w:hint="eastAsia" w:ascii="仿宋" w:hAnsi="仿宋" w:eastAsia="仿宋" w:cs="仿宋"/>
          <w:b/>
          <w:color w:val="auto"/>
          <w:sz w:val="24"/>
          <w:szCs w:val="24"/>
          <w:highlight w:val="none"/>
        </w:rPr>
      </w:pPr>
      <w:bookmarkStart w:id="27" w:name="_Toc63669158"/>
      <w:bookmarkStart w:id="28" w:name="_Toc8104"/>
      <w:r>
        <w:rPr>
          <w:rFonts w:hint="eastAsia" w:ascii="仿宋" w:hAnsi="仿宋" w:eastAsia="仿宋" w:cs="仿宋"/>
          <w:b/>
          <w:color w:val="auto"/>
          <w:sz w:val="24"/>
          <w:szCs w:val="24"/>
          <w:highlight w:val="none"/>
        </w:rPr>
        <w:t>8.保密和披露</w:t>
      </w:r>
      <w:bookmarkEnd w:id="27"/>
      <w:bookmarkEnd w:id="28"/>
    </w:p>
    <w:p w14:paraId="2C037C86">
      <w:pPr>
        <w:pStyle w:val="57"/>
        <w:numPr>
          <w:ilvl w:val="1"/>
          <w:numId w:val="11"/>
        </w:num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保密</w:t>
      </w:r>
    </w:p>
    <w:p w14:paraId="2D8D3A84">
      <w:pPr>
        <w:spacing w:after="0" w:line="360" w:lineRule="auto"/>
        <w:ind w:left="100" w:right="218" w:firstLine="427"/>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供应商自领取磋商文件之日起，须承担本招标项目保密义务。不得将本次招标获得的信息向第三方外传。</w:t>
      </w:r>
    </w:p>
    <w:p w14:paraId="49F819BC">
      <w:pPr>
        <w:pStyle w:val="57"/>
        <w:numPr>
          <w:ilvl w:val="1"/>
          <w:numId w:val="11"/>
        </w:num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披露</w:t>
      </w:r>
    </w:p>
    <w:p w14:paraId="62CF83C2">
      <w:pPr>
        <w:pStyle w:val="57"/>
        <w:numPr>
          <w:ilvl w:val="2"/>
          <w:numId w:val="11"/>
        </w:numPr>
        <w:spacing w:after="0" w:line="360" w:lineRule="auto"/>
        <w:ind w:right="115" w:firstLine="42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采购代理机构仅在法律法规规定的范围内或应政府部门监管要求，披露供应商提供的资料。</w:t>
      </w:r>
    </w:p>
    <w:p w14:paraId="6D5A5C31">
      <w:pPr>
        <w:pStyle w:val="57"/>
        <w:numPr>
          <w:ilvl w:val="2"/>
          <w:numId w:val="11"/>
        </w:numPr>
        <w:spacing w:after="0" w:line="360" w:lineRule="auto"/>
        <w:ind w:right="115" w:firstLine="42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采购代理机构（或采购人）认为适当时、国家机关调查、审查、审计时以及其他符合法律规定的情形下，采购代理机构（或采购人）无须事先征求供应商/成交供应商同意而可以披露关于采购过程、合同文本、签署情况的资料、供应商/成交供应商的名称及地址、响应文件的有关信息以及补充条款等， 但应当在合理的必要范围内。对任何已经公布过的内容或与之内容相同的资料，以及供应商/成交供应商已经泄露或公开的，无须再承担保密责任。</w:t>
      </w:r>
    </w:p>
    <w:p w14:paraId="0554F443">
      <w:pPr>
        <w:pStyle w:val="4"/>
        <w:spacing w:after="0" w:line="360" w:lineRule="auto"/>
        <w:ind w:left="0"/>
        <w:jc w:val="center"/>
        <w:rPr>
          <w:rFonts w:hint="eastAsia" w:ascii="仿宋" w:hAnsi="仿宋" w:eastAsia="仿宋" w:cs="仿宋"/>
          <w:b/>
          <w:color w:val="auto"/>
          <w:sz w:val="24"/>
          <w:szCs w:val="24"/>
          <w:highlight w:val="none"/>
        </w:rPr>
      </w:pPr>
      <w:bookmarkStart w:id="29" w:name="_Toc63669159"/>
      <w:bookmarkStart w:id="30" w:name="_Toc20913"/>
      <w:r>
        <w:rPr>
          <w:rFonts w:hint="eastAsia" w:ascii="仿宋" w:hAnsi="仿宋" w:eastAsia="仿宋" w:cs="仿宋"/>
          <w:b/>
          <w:color w:val="auto"/>
          <w:sz w:val="24"/>
          <w:szCs w:val="24"/>
          <w:highlight w:val="none"/>
        </w:rPr>
        <w:t>9.付款</w:t>
      </w:r>
      <w:bookmarkEnd w:id="29"/>
      <w:bookmarkEnd w:id="30"/>
    </w:p>
    <w:p w14:paraId="361411FD">
      <w:pPr>
        <w:pStyle w:val="29"/>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见供应商须知前附表。</w:t>
      </w:r>
    </w:p>
    <w:p w14:paraId="0C8A7F52">
      <w:pPr>
        <w:pStyle w:val="4"/>
        <w:spacing w:after="0" w:line="360" w:lineRule="auto"/>
        <w:ind w:left="0"/>
        <w:jc w:val="center"/>
        <w:rPr>
          <w:rFonts w:hint="eastAsia" w:ascii="仿宋" w:hAnsi="仿宋" w:eastAsia="仿宋" w:cs="仿宋"/>
          <w:b/>
          <w:color w:val="auto"/>
          <w:sz w:val="24"/>
          <w:szCs w:val="24"/>
          <w:highlight w:val="none"/>
        </w:rPr>
      </w:pPr>
      <w:bookmarkStart w:id="31" w:name="_Toc11565"/>
      <w:bookmarkStart w:id="32" w:name="_Toc63669160"/>
      <w:r>
        <w:rPr>
          <w:rFonts w:hint="eastAsia" w:ascii="仿宋" w:hAnsi="仿宋" w:eastAsia="仿宋" w:cs="仿宋"/>
          <w:b/>
          <w:color w:val="auto"/>
          <w:sz w:val="24"/>
          <w:szCs w:val="24"/>
          <w:highlight w:val="none"/>
        </w:rPr>
        <w:t>10.需要补充的其他内容</w:t>
      </w:r>
      <w:bookmarkEnd w:id="31"/>
      <w:bookmarkEnd w:id="32"/>
    </w:p>
    <w:p w14:paraId="741BEB9A">
      <w:pPr>
        <w:pStyle w:val="29"/>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见供应商须知前附表。</w:t>
      </w:r>
    </w:p>
    <w:p w14:paraId="4AC378B1">
      <w:pP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br w:type="page"/>
      </w:r>
    </w:p>
    <w:bookmarkEnd w:id="9"/>
    <w:p w14:paraId="388613FC">
      <w:pPr>
        <w:keepNext w:val="0"/>
        <w:keepLines w:val="0"/>
        <w:pageBreakBefore w:val="0"/>
        <w:widowControl w:val="0"/>
        <w:tabs>
          <w:tab w:val="left" w:pos="4869"/>
        </w:tabs>
        <w:kinsoku/>
        <w:wordWrap/>
        <w:overflowPunct/>
        <w:topLinePunct w:val="0"/>
        <w:autoSpaceDE w:val="0"/>
        <w:autoSpaceDN w:val="0"/>
        <w:bidi w:val="0"/>
        <w:adjustRightInd/>
        <w:snapToGrid/>
        <w:spacing w:before="0" w:line="360" w:lineRule="auto"/>
        <w:ind w:left="0" w:right="0" w:firstLine="562" w:firstLineChars="200"/>
        <w:jc w:val="center"/>
        <w:textAlignment w:val="auto"/>
        <w:outlineLvl w:val="9"/>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val="en-US" w:eastAsia="zh-CN"/>
        </w:rPr>
        <w:t xml:space="preserve">第三章  </w:t>
      </w:r>
      <w:r>
        <w:rPr>
          <w:rFonts w:hint="eastAsia" w:ascii="仿宋" w:hAnsi="仿宋" w:eastAsia="仿宋" w:cs="仿宋"/>
          <w:b/>
          <w:color w:val="auto"/>
          <w:sz w:val="28"/>
          <w:szCs w:val="28"/>
          <w:highlight w:val="none"/>
          <w:lang w:eastAsia="zh-CN"/>
        </w:rPr>
        <w:t>采购人需求</w:t>
      </w:r>
    </w:p>
    <w:p w14:paraId="3AFC5720">
      <w:pPr>
        <w:keepNext w:val="0"/>
        <w:keepLines w:val="0"/>
        <w:pageBreakBefore w:val="0"/>
        <w:widowControl w:val="0"/>
        <w:numPr>
          <w:ilvl w:val="0"/>
          <w:numId w:val="0"/>
        </w:numPr>
        <w:tabs>
          <w:tab w:val="left" w:pos="1643"/>
        </w:tabs>
        <w:kinsoku/>
        <w:wordWrap/>
        <w:overflowPunct/>
        <w:topLinePunct w:val="0"/>
        <w:autoSpaceDE w:val="0"/>
        <w:autoSpaceDN w:val="0"/>
        <w:bidi w:val="0"/>
        <w:adjustRightInd/>
        <w:snapToGrid/>
        <w:spacing w:after="0" w:line="360" w:lineRule="auto"/>
        <w:ind w:right="0" w:rightChars="0" w:firstLine="482" w:firstLineChars="200"/>
        <w:jc w:val="left"/>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一.</w:t>
      </w:r>
      <w:r>
        <w:rPr>
          <w:rFonts w:hint="eastAsia" w:ascii="仿宋" w:hAnsi="仿宋" w:eastAsia="仿宋" w:cs="仿宋"/>
          <w:b/>
          <w:bCs/>
          <w:color w:val="auto"/>
          <w:sz w:val="24"/>
          <w:szCs w:val="24"/>
          <w:highlight w:val="none"/>
        </w:rPr>
        <w:t>采购项目、</w:t>
      </w:r>
      <w:r>
        <w:rPr>
          <w:rFonts w:hint="eastAsia" w:ascii="仿宋" w:hAnsi="仿宋" w:eastAsia="仿宋" w:cs="仿宋"/>
          <w:b/>
          <w:bCs/>
          <w:color w:val="auto"/>
          <w:sz w:val="24"/>
          <w:szCs w:val="24"/>
          <w:highlight w:val="none"/>
          <w:lang w:eastAsia="zh-CN"/>
        </w:rPr>
        <w:t>包段</w:t>
      </w:r>
      <w:r>
        <w:rPr>
          <w:rFonts w:hint="eastAsia" w:ascii="仿宋" w:hAnsi="仿宋" w:eastAsia="仿宋" w:cs="仿宋"/>
          <w:b/>
          <w:bCs/>
          <w:color w:val="auto"/>
          <w:sz w:val="24"/>
          <w:szCs w:val="24"/>
          <w:highlight w:val="none"/>
        </w:rPr>
        <w:t>划分</w:t>
      </w:r>
    </w:p>
    <w:p w14:paraId="7D1069AE">
      <w:pPr>
        <w:pStyle w:val="69"/>
        <w:keepNext w:val="0"/>
        <w:keepLines w:val="0"/>
        <w:pageBreakBefore w:val="0"/>
        <w:widowControl w:val="0"/>
        <w:numPr>
          <w:ilvl w:val="0"/>
          <w:numId w:val="0"/>
        </w:numPr>
        <w:tabs>
          <w:tab w:val="left" w:pos="1763"/>
        </w:tabs>
        <w:kinsoku/>
        <w:wordWrap/>
        <w:overflowPunct/>
        <w:topLinePunct w:val="0"/>
        <w:autoSpaceDE w:val="0"/>
        <w:autoSpaceDN w:val="0"/>
        <w:bidi w:val="0"/>
        <w:adjustRightInd/>
        <w:snapToGrid/>
        <w:spacing w:before="0" w:after="0" w:line="360" w:lineRule="auto"/>
        <w:ind w:right="0" w:rightChars="0" w:firstLine="480" w:firstLineChars="200"/>
        <w:jc w:val="left"/>
        <w:textAlignment w:val="auto"/>
        <w:outlineLvl w:val="9"/>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1.1</w:t>
      </w:r>
      <w:r>
        <w:rPr>
          <w:rFonts w:hint="eastAsia" w:ascii="仿宋" w:hAnsi="仿宋" w:eastAsia="仿宋" w:cs="仿宋"/>
          <w:b w:val="0"/>
          <w:bCs/>
          <w:color w:val="auto"/>
          <w:sz w:val="24"/>
          <w:szCs w:val="24"/>
          <w:highlight w:val="none"/>
        </w:rPr>
        <w:t>采购项目名称</w:t>
      </w:r>
      <w:r>
        <w:rPr>
          <w:rFonts w:hint="eastAsia" w:ascii="仿宋" w:hAnsi="仿宋" w:eastAsia="仿宋" w:cs="仿宋"/>
          <w:b w:val="0"/>
          <w:bCs/>
          <w:color w:val="auto"/>
          <w:spacing w:val="-6"/>
          <w:sz w:val="24"/>
          <w:szCs w:val="24"/>
          <w:highlight w:val="none"/>
        </w:rPr>
        <w:t>：</w:t>
      </w:r>
      <w:r>
        <w:rPr>
          <w:rFonts w:hint="eastAsia" w:ascii="仿宋" w:hAnsi="仿宋" w:eastAsia="仿宋" w:cs="仿宋"/>
          <w:b w:val="0"/>
          <w:bCs/>
          <w:color w:val="auto"/>
          <w:sz w:val="24"/>
          <w:szCs w:val="24"/>
          <w:highlight w:val="none"/>
          <w:lang w:val="en-US" w:eastAsia="zh-CN"/>
        </w:rPr>
        <w:t>汤阴县林业发展中心安阳市汤阴县五陵镇旱塔河村绿化美化示范项目</w:t>
      </w:r>
    </w:p>
    <w:p w14:paraId="39B350F2">
      <w:pPr>
        <w:pStyle w:val="69"/>
        <w:keepNext w:val="0"/>
        <w:keepLines w:val="0"/>
        <w:pageBreakBefore w:val="0"/>
        <w:widowControl w:val="0"/>
        <w:numPr>
          <w:ilvl w:val="0"/>
          <w:numId w:val="0"/>
        </w:numPr>
        <w:tabs>
          <w:tab w:val="left" w:pos="1763"/>
        </w:tabs>
        <w:kinsoku/>
        <w:wordWrap/>
        <w:overflowPunct/>
        <w:topLinePunct w:val="0"/>
        <w:autoSpaceDE w:val="0"/>
        <w:autoSpaceDN w:val="0"/>
        <w:bidi w:val="0"/>
        <w:adjustRightInd/>
        <w:snapToGrid/>
        <w:spacing w:before="0" w:after="0" w:line="360" w:lineRule="auto"/>
        <w:ind w:right="0" w:rightChars="0" w:firstLine="480" w:firstLineChars="200"/>
        <w:jc w:val="left"/>
        <w:textAlignment w:val="auto"/>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1.2</w:t>
      </w:r>
      <w:r>
        <w:rPr>
          <w:rFonts w:hint="eastAsia" w:ascii="仿宋" w:hAnsi="仿宋" w:eastAsia="仿宋" w:cs="仿宋"/>
          <w:b w:val="0"/>
          <w:bCs/>
          <w:color w:val="auto"/>
          <w:sz w:val="24"/>
          <w:szCs w:val="24"/>
          <w:highlight w:val="none"/>
          <w:lang w:eastAsia="zh-CN"/>
        </w:rPr>
        <w:t>包段</w:t>
      </w:r>
      <w:r>
        <w:rPr>
          <w:rFonts w:hint="eastAsia" w:ascii="仿宋" w:hAnsi="仿宋" w:eastAsia="仿宋" w:cs="仿宋"/>
          <w:b w:val="0"/>
          <w:bCs/>
          <w:color w:val="auto"/>
          <w:sz w:val="24"/>
          <w:szCs w:val="24"/>
          <w:highlight w:val="none"/>
        </w:rPr>
        <w:t>划分</w:t>
      </w:r>
      <w:r>
        <w:rPr>
          <w:rFonts w:hint="eastAsia" w:ascii="仿宋" w:hAnsi="仿宋" w:eastAsia="仿宋" w:cs="仿宋"/>
          <w:b w:val="0"/>
          <w:bCs/>
          <w:color w:val="auto"/>
          <w:spacing w:val="-6"/>
          <w:sz w:val="24"/>
          <w:szCs w:val="24"/>
          <w:highlight w:val="none"/>
        </w:rPr>
        <w:t xml:space="preserve">：本次采购项目划分为 </w:t>
      </w:r>
      <w:r>
        <w:rPr>
          <w:rFonts w:hint="eastAsia" w:ascii="仿宋" w:hAnsi="仿宋" w:eastAsia="仿宋" w:cs="仿宋"/>
          <w:b w:val="0"/>
          <w:bCs/>
          <w:color w:val="auto"/>
          <w:sz w:val="24"/>
          <w:szCs w:val="24"/>
          <w:highlight w:val="none"/>
          <w:lang w:val="en-US" w:eastAsia="zh-CN"/>
        </w:rPr>
        <w:t>1</w:t>
      </w:r>
      <w:r>
        <w:rPr>
          <w:rFonts w:hint="eastAsia" w:ascii="仿宋" w:hAnsi="仿宋" w:eastAsia="仿宋" w:cs="仿宋"/>
          <w:b w:val="0"/>
          <w:bCs/>
          <w:color w:val="auto"/>
          <w:sz w:val="24"/>
          <w:szCs w:val="24"/>
          <w:highlight w:val="none"/>
        </w:rPr>
        <w:t>个</w:t>
      </w:r>
      <w:r>
        <w:rPr>
          <w:rFonts w:hint="eastAsia" w:ascii="仿宋" w:hAnsi="仿宋" w:eastAsia="仿宋" w:cs="仿宋"/>
          <w:b w:val="0"/>
          <w:bCs/>
          <w:color w:val="auto"/>
          <w:sz w:val="24"/>
          <w:szCs w:val="24"/>
          <w:highlight w:val="none"/>
          <w:lang w:eastAsia="zh-CN"/>
        </w:rPr>
        <w:t>包段</w:t>
      </w:r>
      <w:r>
        <w:rPr>
          <w:rFonts w:hint="eastAsia" w:ascii="仿宋" w:hAnsi="仿宋" w:eastAsia="仿宋" w:cs="仿宋"/>
          <w:b w:val="0"/>
          <w:bCs/>
          <w:color w:val="auto"/>
          <w:sz w:val="24"/>
          <w:szCs w:val="24"/>
          <w:highlight w:val="none"/>
        </w:rPr>
        <w:t>。</w:t>
      </w:r>
    </w:p>
    <w:tbl>
      <w:tblPr>
        <w:tblStyle w:val="32"/>
        <w:tblpPr w:leftFromText="180" w:rightFromText="180" w:vertAnchor="text" w:horzAnchor="page" w:tblpX="810" w:tblpY="91"/>
        <w:tblOverlap w:val="never"/>
        <w:tblW w:w="105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06"/>
        <w:gridCol w:w="2325"/>
        <w:gridCol w:w="1978"/>
        <w:gridCol w:w="2433"/>
        <w:gridCol w:w="1369"/>
      </w:tblGrid>
      <w:tr w14:paraId="2A1ED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2406" w:type="dxa"/>
            <w:vAlign w:val="center"/>
          </w:tcPr>
          <w:p w14:paraId="516287EB">
            <w:pPr>
              <w:pStyle w:val="59"/>
              <w:keepNext w:val="0"/>
              <w:keepLines w:val="0"/>
              <w:pageBreakBefore w:val="0"/>
              <w:widowControl w:val="0"/>
              <w:kinsoku/>
              <w:wordWrap/>
              <w:overflowPunct/>
              <w:topLinePunct w:val="0"/>
              <w:autoSpaceDE w:val="0"/>
              <w:autoSpaceDN w:val="0"/>
              <w:bidi w:val="0"/>
              <w:adjustRightInd/>
              <w:snapToGrid/>
              <w:spacing w:before="65" w:line="360" w:lineRule="auto"/>
              <w:ind w:right="0"/>
              <w:jc w:val="center"/>
              <w:textAlignment w:val="auto"/>
              <w:outlineLvl w:val="9"/>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项目名称</w:t>
            </w:r>
          </w:p>
        </w:tc>
        <w:tc>
          <w:tcPr>
            <w:tcW w:w="2325" w:type="dxa"/>
            <w:vAlign w:val="center"/>
          </w:tcPr>
          <w:p w14:paraId="07AFA9CF">
            <w:pPr>
              <w:pStyle w:val="59"/>
              <w:keepNext w:val="0"/>
              <w:keepLines w:val="0"/>
              <w:pageBreakBefore w:val="0"/>
              <w:widowControl w:val="0"/>
              <w:kinsoku/>
              <w:wordWrap/>
              <w:overflowPunct/>
              <w:topLinePunct w:val="0"/>
              <w:autoSpaceDE w:val="0"/>
              <w:autoSpaceDN w:val="0"/>
              <w:bidi w:val="0"/>
              <w:adjustRightInd/>
              <w:snapToGrid/>
              <w:spacing w:before="65" w:line="360" w:lineRule="auto"/>
              <w:ind w:left="0" w:right="0" w:firstLine="480" w:firstLineChars="200"/>
              <w:jc w:val="both"/>
              <w:textAlignment w:val="auto"/>
              <w:outlineLvl w:val="9"/>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磋商内容及范围</w:t>
            </w:r>
          </w:p>
        </w:tc>
        <w:tc>
          <w:tcPr>
            <w:tcW w:w="1978" w:type="dxa"/>
            <w:vAlign w:val="center"/>
          </w:tcPr>
          <w:p w14:paraId="34118F11">
            <w:pPr>
              <w:pStyle w:val="59"/>
              <w:keepNext w:val="0"/>
              <w:keepLines w:val="0"/>
              <w:pageBreakBefore w:val="0"/>
              <w:widowControl w:val="0"/>
              <w:kinsoku/>
              <w:wordWrap/>
              <w:overflowPunct/>
              <w:topLinePunct w:val="0"/>
              <w:autoSpaceDE w:val="0"/>
              <w:autoSpaceDN w:val="0"/>
              <w:bidi w:val="0"/>
              <w:adjustRightInd/>
              <w:snapToGrid/>
              <w:spacing w:before="65" w:line="360" w:lineRule="auto"/>
              <w:ind w:right="0"/>
              <w:jc w:val="center"/>
              <w:textAlignment w:val="auto"/>
              <w:outlineLvl w:val="9"/>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合同履行期限</w:t>
            </w:r>
          </w:p>
        </w:tc>
        <w:tc>
          <w:tcPr>
            <w:tcW w:w="2433" w:type="dxa"/>
            <w:vAlign w:val="center"/>
          </w:tcPr>
          <w:p w14:paraId="78594A56">
            <w:pPr>
              <w:pStyle w:val="59"/>
              <w:keepNext w:val="0"/>
              <w:keepLines w:val="0"/>
              <w:pageBreakBefore w:val="0"/>
              <w:widowControl w:val="0"/>
              <w:kinsoku/>
              <w:wordWrap/>
              <w:overflowPunct/>
              <w:topLinePunct w:val="0"/>
              <w:autoSpaceDE w:val="0"/>
              <w:autoSpaceDN w:val="0"/>
              <w:bidi w:val="0"/>
              <w:adjustRightInd/>
              <w:snapToGrid/>
              <w:spacing w:before="65" w:line="360" w:lineRule="auto"/>
              <w:ind w:right="0"/>
              <w:jc w:val="center"/>
              <w:textAlignment w:val="auto"/>
              <w:outlineLvl w:val="9"/>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服务</w:t>
            </w:r>
            <w:r>
              <w:rPr>
                <w:rFonts w:hint="eastAsia" w:ascii="仿宋" w:hAnsi="仿宋" w:eastAsia="仿宋" w:cs="仿宋"/>
                <w:b w:val="0"/>
                <w:bCs w:val="0"/>
                <w:color w:val="auto"/>
                <w:sz w:val="24"/>
                <w:szCs w:val="24"/>
                <w:highlight w:val="none"/>
                <w:lang w:val="en-US" w:eastAsia="zh-CN"/>
              </w:rPr>
              <w:t>质量</w:t>
            </w:r>
            <w:r>
              <w:rPr>
                <w:rFonts w:hint="eastAsia" w:ascii="仿宋" w:hAnsi="仿宋" w:eastAsia="仿宋" w:cs="仿宋"/>
                <w:b w:val="0"/>
                <w:bCs w:val="0"/>
                <w:color w:val="auto"/>
                <w:sz w:val="24"/>
                <w:szCs w:val="24"/>
                <w:highlight w:val="none"/>
              </w:rPr>
              <w:t>要求</w:t>
            </w:r>
          </w:p>
        </w:tc>
        <w:tc>
          <w:tcPr>
            <w:tcW w:w="1369" w:type="dxa"/>
            <w:vAlign w:val="center"/>
          </w:tcPr>
          <w:p w14:paraId="4D1C4265">
            <w:pPr>
              <w:pStyle w:val="59"/>
              <w:keepNext w:val="0"/>
              <w:keepLines w:val="0"/>
              <w:pageBreakBefore w:val="0"/>
              <w:widowControl w:val="0"/>
              <w:kinsoku/>
              <w:wordWrap/>
              <w:overflowPunct/>
              <w:topLinePunct w:val="0"/>
              <w:autoSpaceDE w:val="0"/>
              <w:autoSpaceDN w:val="0"/>
              <w:bidi w:val="0"/>
              <w:adjustRightInd/>
              <w:snapToGrid/>
              <w:spacing w:before="65" w:line="360" w:lineRule="auto"/>
              <w:ind w:right="0"/>
              <w:jc w:val="center"/>
              <w:textAlignment w:val="auto"/>
              <w:outlineLvl w:val="9"/>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服务地点</w:t>
            </w:r>
          </w:p>
        </w:tc>
      </w:tr>
      <w:tr w14:paraId="63E83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8" w:hRule="atLeast"/>
        </w:trPr>
        <w:tc>
          <w:tcPr>
            <w:tcW w:w="2406" w:type="dxa"/>
            <w:vAlign w:val="center"/>
          </w:tcPr>
          <w:p w14:paraId="7D900077">
            <w:pPr>
              <w:pStyle w:val="59"/>
              <w:keepNext w:val="0"/>
              <w:keepLines w:val="0"/>
              <w:pageBreakBefore w:val="0"/>
              <w:widowControl w:val="0"/>
              <w:kinsoku/>
              <w:wordWrap/>
              <w:overflowPunct/>
              <w:topLinePunct w:val="0"/>
              <w:autoSpaceDE w:val="0"/>
              <w:autoSpaceDN w:val="0"/>
              <w:bidi w:val="0"/>
              <w:adjustRightInd/>
              <w:snapToGrid/>
              <w:spacing w:before="1" w:line="360" w:lineRule="auto"/>
              <w:ind w:right="0"/>
              <w:jc w:val="both"/>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汤阴县林业发展中心安阳市汤阴县五陵镇旱塔河村绿化美化示范项目</w:t>
            </w:r>
          </w:p>
        </w:tc>
        <w:tc>
          <w:tcPr>
            <w:tcW w:w="2325" w:type="dxa"/>
            <w:vAlign w:val="center"/>
          </w:tcPr>
          <w:p w14:paraId="31AD4F7D">
            <w:pPr>
              <w:pStyle w:val="59"/>
              <w:keepNext w:val="0"/>
              <w:keepLines w:val="0"/>
              <w:pageBreakBefore w:val="0"/>
              <w:widowControl w:val="0"/>
              <w:kinsoku/>
              <w:wordWrap/>
              <w:overflowPunct/>
              <w:topLinePunct w:val="0"/>
              <w:autoSpaceDE w:val="0"/>
              <w:autoSpaceDN w:val="0"/>
              <w:bidi w:val="0"/>
              <w:adjustRightInd/>
              <w:snapToGrid/>
              <w:spacing w:before="1" w:line="360" w:lineRule="auto"/>
              <w:ind w:right="0"/>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bidi="ar-SA"/>
              </w:rPr>
              <w:t>汤阴县五陵镇旱塔河村绿化美化（包含栽(补)植、浇水、中耕除草、修剪、病虫害防治等。）</w:t>
            </w:r>
            <w:r>
              <w:rPr>
                <w:rFonts w:hint="eastAsia" w:ascii="仿宋" w:hAnsi="仿宋" w:eastAsia="仿宋" w:cs="仿宋"/>
                <w:b w:val="0"/>
                <w:bCs w:val="0"/>
                <w:color w:val="auto"/>
                <w:sz w:val="24"/>
                <w:szCs w:val="24"/>
                <w:highlight w:val="none"/>
                <w:lang w:val="en-US" w:eastAsia="zh-CN"/>
              </w:rPr>
              <w:t>（具体内容详见磋商文件）</w:t>
            </w:r>
          </w:p>
        </w:tc>
        <w:tc>
          <w:tcPr>
            <w:tcW w:w="1978" w:type="dxa"/>
            <w:vAlign w:val="center"/>
          </w:tcPr>
          <w:p w14:paraId="4D1331DC">
            <w:pPr>
              <w:pStyle w:val="59"/>
              <w:keepNext w:val="0"/>
              <w:keepLines w:val="0"/>
              <w:pageBreakBefore w:val="0"/>
              <w:widowControl w:val="0"/>
              <w:kinsoku/>
              <w:wordWrap/>
              <w:overflowPunct/>
              <w:topLinePunct w:val="0"/>
              <w:autoSpaceDE w:val="0"/>
              <w:autoSpaceDN w:val="0"/>
              <w:bidi w:val="0"/>
              <w:adjustRightInd/>
              <w:snapToGrid/>
              <w:spacing w:before="1" w:line="360" w:lineRule="auto"/>
              <w:ind w:right="0"/>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建设周期1年，养护期1年</w:t>
            </w:r>
          </w:p>
        </w:tc>
        <w:tc>
          <w:tcPr>
            <w:tcW w:w="2433" w:type="dxa"/>
            <w:vAlign w:val="center"/>
          </w:tcPr>
          <w:p w14:paraId="38B59ACE">
            <w:pPr>
              <w:pStyle w:val="59"/>
              <w:keepNext w:val="0"/>
              <w:keepLines w:val="0"/>
              <w:pageBreakBefore w:val="0"/>
              <w:widowControl w:val="0"/>
              <w:kinsoku/>
              <w:wordWrap/>
              <w:overflowPunct/>
              <w:topLinePunct w:val="0"/>
              <w:autoSpaceDE w:val="0"/>
              <w:autoSpaceDN w:val="0"/>
              <w:bidi w:val="0"/>
              <w:adjustRightInd/>
              <w:snapToGrid/>
              <w:spacing w:before="1" w:line="360" w:lineRule="auto"/>
              <w:ind w:right="0"/>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所承担的服务工作应符合国家及行业现行相关规范和标准，并符合采购人的相关要求</w:t>
            </w:r>
          </w:p>
        </w:tc>
        <w:tc>
          <w:tcPr>
            <w:tcW w:w="1369" w:type="dxa"/>
            <w:vAlign w:val="center"/>
          </w:tcPr>
          <w:p w14:paraId="59077B8E">
            <w:pPr>
              <w:pStyle w:val="59"/>
              <w:keepNext w:val="0"/>
              <w:keepLines w:val="0"/>
              <w:pageBreakBefore w:val="0"/>
              <w:widowControl w:val="0"/>
              <w:kinsoku/>
              <w:wordWrap/>
              <w:overflowPunct/>
              <w:topLinePunct w:val="0"/>
              <w:autoSpaceDE w:val="0"/>
              <w:autoSpaceDN w:val="0"/>
              <w:bidi w:val="0"/>
              <w:adjustRightInd/>
              <w:snapToGrid/>
              <w:spacing w:before="1" w:line="360" w:lineRule="auto"/>
              <w:ind w:right="0"/>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bidi="ar-SA"/>
              </w:rPr>
              <w:t>汤阴县五陵镇旱塔河村</w:t>
            </w:r>
          </w:p>
        </w:tc>
      </w:tr>
    </w:tbl>
    <w:p w14:paraId="706B13E1">
      <w:pPr>
        <w:keepNext w:val="0"/>
        <w:keepLines w:val="0"/>
        <w:pageBreakBefore w:val="0"/>
        <w:widowControl w:val="0"/>
        <w:numPr>
          <w:ilvl w:val="0"/>
          <w:numId w:val="0"/>
        </w:numPr>
        <w:tabs>
          <w:tab w:val="left" w:pos="1763"/>
        </w:tabs>
        <w:kinsoku/>
        <w:wordWrap/>
        <w:overflowPunct/>
        <w:topLinePunct w:val="0"/>
        <w:autoSpaceDE w:val="0"/>
        <w:autoSpaceDN w:val="0"/>
        <w:bidi w:val="0"/>
        <w:adjustRightInd/>
        <w:snapToGrid/>
        <w:spacing w:after="0" w:line="360" w:lineRule="auto"/>
        <w:ind w:left="0" w:leftChars="0" w:right="0" w:rightChars="0" w:firstLine="482" w:firstLineChars="200"/>
        <w:jc w:val="left"/>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二.</w:t>
      </w:r>
      <w:r>
        <w:rPr>
          <w:rFonts w:hint="eastAsia" w:ascii="仿宋" w:hAnsi="仿宋" w:eastAsia="仿宋" w:cs="仿宋"/>
          <w:b/>
          <w:bCs/>
          <w:color w:val="auto"/>
          <w:sz w:val="24"/>
          <w:szCs w:val="24"/>
          <w:highlight w:val="none"/>
        </w:rPr>
        <w:t>响应报价（价格构成）</w:t>
      </w:r>
    </w:p>
    <w:p w14:paraId="21340B39">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textAlignment w:val="auto"/>
        <w:outlineLvl w:val="9"/>
        <w:rPr>
          <w:rFonts w:hint="eastAsia" w:ascii="仿宋" w:hAnsi="仿宋" w:eastAsia="仿宋" w:cs="仿宋"/>
          <w:b w:val="0"/>
          <w:bCs w:val="0"/>
          <w:color w:val="auto"/>
          <w:sz w:val="24"/>
          <w:szCs w:val="24"/>
          <w:highlight w:val="none"/>
          <w:lang w:val="zh-CN" w:eastAsia="zh-CN" w:bidi="zh-CN"/>
        </w:rPr>
      </w:pPr>
      <w:r>
        <w:rPr>
          <w:rFonts w:hint="eastAsia" w:ascii="仿宋" w:hAnsi="仿宋" w:eastAsia="仿宋" w:cs="仿宋"/>
          <w:b w:val="0"/>
          <w:bCs w:val="0"/>
          <w:color w:val="auto"/>
          <w:sz w:val="24"/>
          <w:szCs w:val="24"/>
          <w:highlight w:val="none"/>
          <w:lang w:val="en-US" w:eastAsia="zh-CN" w:bidi="zh-CN"/>
        </w:rPr>
        <w:t>2.1</w:t>
      </w:r>
      <w:r>
        <w:rPr>
          <w:rFonts w:hint="eastAsia" w:ascii="仿宋" w:hAnsi="仿宋" w:eastAsia="仿宋" w:cs="仿宋"/>
          <w:b w:val="0"/>
          <w:bCs w:val="0"/>
          <w:color w:val="auto"/>
          <w:sz w:val="24"/>
          <w:szCs w:val="24"/>
          <w:highlight w:val="none"/>
          <w:lang w:val="zh-CN" w:eastAsia="zh-CN" w:bidi="zh-CN"/>
        </w:rPr>
        <w:t>供应商应按包段（包） 进行投标，各包段（包）的磋商报价均应为达到服务要求下的目的地交验价，包括</w:t>
      </w:r>
      <w:r>
        <w:rPr>
          <w:rFonts w:hint="eastAsia" w:ascii="仿宋" w:hAnsi="仿宋" w:eastAsia="仿宋" w:cs="仿宋"/>
          <w:b w:val="0"/>
          <w:bCs w:val="0"/>
          <w:color w:val="auto"/>
          <w:sz w:val="24"/>
          <w:szCs w:val="24"/>
          <w:highlight w:val="none"/>
          <w:lang w:val="en-US" w:eastAsia="zh-CN" w:bidi="zh-CN"/>
        </w:rPr>
        <w:t>种植树木、花草费</w:t>
      </w:r>
      <w:r>
        <w:rPr>
          <w:rFonts w:hint="eastAsia" w:ascii="仿宋" w:hAnsi="仿宋" w:eastAsia="仿宋" w:cs="仿宋"/>
          <w:b w:val="0"/>
          <w:bCs w:val="0"/>
          <w:color w:val="auto"/>
          <w:sz w:val="24"/>
          <w:szCs w:val="24"/>
          <w:highlight w:val="none"/>
          <w:lang w:val="zh-CN" w:eastAsia="zh-CN" w:bidi="zh-CN"/>
        </w:rPr>
        <w:t>、</w:t>
      </w:r>
      <w:r>
        <w:rPr>
          <w:rFonts w:hint="eastAsia" w:ascii="仿宋" w:hAnsi="仿宋" w:eastAsia="仿宋" w:cs="仿宋"/>
          <w:b w:val="0"/>
          <w:bCs w:val="0"/>
          <w:color w:val="auto"/>
          <w:sz w:val="24"/>
          <w:szCs w:val="24"/>
          <w:highlight w:val="none"/>
          <w:lang w:val="en-US" w:eastAsia="zh-CN" w:bidi="zh-CN"/>
        </w:rPr>
        <w:t>人工费、机械费、病虫害防治所用药物等所有费用</w:t>
      </w:r>
      <w:r>
        <w:rPr>
          <w:rFonts w:hint="eastAsia" w:ascii="仿宋" w:hAnsi="仿宋" w:eastAsia="仿宋" w:cs="仿宋"/>
          <w:b w:val="0"/>
          <w:bCs w:val="0"/>
          <w:color w:val="auto"/>
          <w:sz w:val="24"/>
          <w:szCs w:val="24"/>
          <w:highlight w:val="none"/>
          <w:lang w:val="zh-CN" w:eastAsia="zh-CN" w:bidi="zh-CN"/>
        </w:rPr>
        <w:t>、</w:t>
      </w:r>
      <w:r>
        <w:rPr>
          <w:rFonts w:hint="eastAsia" w:ascii="仿宋" w:hAnsi="仿宋" w:eastAsia="仿宋" w:cs="仿宋"/>
          <w:b w:val="0"/>
          <w:bCs w:val="0"/>
          <w:color w:val="auto"/>
          <w:sz w:val="24"/>
          <w:szCs w:val="24"/>
          <w:highlight w:val="none"/>
          <w:lang w:val="en-US" w:eastAsia="zh-CN" w:bidi="zh-CN"/>
        </w:rPr>
        <w:t>代理服务费、税金、</w:t>
      </w:r>
      <w:r>
        <w:rPr>
          <w:rFonts w:hint="eastAsia" w:ascii="仿宋" w:hAnsi="仿宋" w:eastAsia="仿宋" w:cs="仿宋"/>
          <w:b w:val="0"/>
          <w:bCs w:val="0"/>
          <w:color w:val="auto"/>
          <w:sz w:val="24"/>
          <w:szCs w:val="24"/>
          <w:highlight w:val="none"/>
          <w:lang w:val="zh-CN" w:eastAsia="zh-CN" w:bidi="zh-CN"/>
        </w:rPr>
        <w:t>保险（如需）等与采购项目（包段（包））相关的、必须的款项及费用（包括未列明而完成交验所必须的所有费用、材料、工具、设施）。成交价格在成交合同范围内固定不变。</w:t>
      </w:r>
    </w:p>
    <w:p w14:paraId="1DD24835">
      <w:pPr>
        <w:pStyle w:val="69"/>
        <w:keepNext w:val="0"/>
        <w:keepLines w:val="0"/>
        <w:pageBreakBefore w:val="0"/>
        <w:widowControl w:val="0"/>
        <w:numPr>
          <w:ilvl w:val="0"/>
          <w:numId w:val="0"/>
        </w:numPr>
        <w:tabs>
          <w:tab w:val="left" w:pos="1820"/>
        </w:tabs>
        <w:kinsoku/>
        <w:wordWrap/>
        <w:overflowPunct/>
        <w:topLinePunct w:val="0"/>
        <w:autoSpaceDE w:val="0"/>
        <w:autoSpaceDN w:val="0"/>
        <w:bidi w:val="0"/>
        <w:adjustRightInd/>
        <w:snapToGrid/>
        <w:spacing w:before="0" w:after="0" w:line="360" w:lineRule="auto"/>
        <w:ind w:left="0" w:leftChars="0" w:right="0" w:rightChars="0" w:firstLine="480" w:firstLineChars="200"/>
        <w:jc w:val="left"/>
        <w:textAlignment w:val="auto"/>
        <w:outlineLvl w:val="9"/>
        <w:rPr>
          <w:rFonts w:hint="eastAsia" w:ascii="仿宋" w:hAnsi="仿宋" w:eastAsia="仿宋" w:cs="仿宋"/>
          <w:b w:val="0"/>
          <w:bCs w:val="0"/>
          <w:color w:val="auto"/>
          <w:sz w:val="24"/>
          <w:szCs w:val="24"/>
          <w:highlight w:val="none"/>
          <w:lang w:val="zh-CN" w:eastAsia="zh-CN" w:bidi="zh-CN"/>
        </w:rPr>
      </w:pPr>
      <w:r>
        <w:rPr>
          <w:rFonts w:hint="eastAsia" w:ascii="仿宋" w:hAnsi="仿宋" w:eastAsia="仿宋" w:cs="仿宋"/>
          <w:b w:val="0"/>
          <w:bCs w:val="0"/>
          <w:color w:val="auto"/>
          <w:sz w:val="24"/>
          <w:szCs w:val="24"/>
          <w:highlight w:val="none"/>
          <w:lang w:val="en-US" w:eastAsia="zh-CN" w:bidi="zh-CN"/>
        </w:rPr>
        <w:t>2.2</w:t>
      </w:r>
      <w:r>
        <w:rPr>
          <w:rFonts w:hint="eastAsia" w:ascii="仿宋" w:hAnsi="仿宋" w:eastAsia="仿宋" w:cs="仿宋"/>
          <w:b w:val="0"/>
          <w:bCs w:val="0"/>
          <w:color w:val="auto"/>
          <w:sz w:val="24"/>
          <w:szCs w:val="24"/>
          <w:highlight w:val="none"/>
          <w:lang w:val="zh-CN" w:eastAsia="zh-CN" w:bidi="zh-CN"/>
        </w:rPr>
        <w:t>本次竞争性磋商共二次报价（含系统中开标一览表报价共二次价格磋商）。磋商小组未对《磋商文件》作优化变更增加的，磋商中的报价均不应超过前次报价，供应商擅自调高报价的，磋商小组将按二次报价中的最低报价作为有效报价。供应商拒绝接受上述意见的，磋商小组将视为变相在提交《响应文件》截止时间后撤回《响应文件》，并评定其为无效投标，移交同级财政局政府采购监督管理部门对其违规行为进行处理。</w:t>
      </w:r>
    </w:p>
    <w:p w14:paraId="208AF96D">
      <w:pPr>
        <w:pStyle w:val="69"/>
        <w:keepNext w:val="0"/>
        <w:keepLines w:val="0"/>
        <w:pageBreakBefore w:val="0"/>
        <w:widowControl w:val="0"/>
        <w:numPr>
          <w:ilvl w:val="0"/>
          <w:numId w:val="0"/>
        </w:numPr>
        <w:tabs>
          <w:tab w:val="left" w:pos="1880"/>
        </w:tabs>
        <w:kinsoku/>
        <w:wordWrap/>
        <w:overflowPunct/>
        <w:topLinePunct w:val="0"/>
        <w:autoSpaceDE w:val="0"/>
        <w:autoSpaceDN w:val="0"/>
        <w:bidi w:val="0"/>
        <w:adjustRightInd/>
        <w:snapToGrid/>
        <w:spacing w:before="0" w:after="0" w:line="360" w:lineRule="auto"/>
        <w:ind w:left="0" w:leftChars="0" w:right="0" w:rightChars="0" w:firstLine="482" w:firstLineChars="200"/>
        <w:jc w:val="left"/>
        <w:textAlignment w:val="auto"/>
        <w:outlineLvl w:val="9"/>
        <w:rPr>
          <w:rFonts w:hint="eastAsia" w:ascii="仿宋" w:hAnsi="仿宋" w:eastAsia="仿宋" w:cs="仿宋"/>
          <w:b/>
          <w:bCs/>
          <w:color w:val="auto"/>
          <w:sz w:val="24"/>
          <w:szCs w:val="24"/>
          <w:highlight w:val="none"/>
          <w:lang w:val="zh-CN" w:eastAsia="zh-CN" w:bidi="zh-CN"/>
        </w:rPr>
      </w:pPr>
      <w:r>
        <w:rPr>
          <w:rFonts w:hint="eastAsia" w:ascii="仿宋" w:hAnsi="仿宋" w:eastAsia="仿宋" w:cs="仿宋"/>
          <w:b/>
          <w:bCs/>
          <w:color w:val="auto"/>
          <w:sz w:val="24"/>
          <w:szCs w:val="24"/>
          <w:highlight w:val="none"/>
          <w:lang w:val="en-US" w:eastAsia="zh-CN" w:bidi="zh-CN"/>
        </w:rPr>
        <w:t>2.3</w:t>
      </w:r>
      <w:r>
        <w:rPr>
          <w:rFonts w:hint="eastAsia" w:ascii="仿宋" w:hAnsi="仿宋" w:eastAsia="仿宋" w:cs="仿宋"/>
          <w:b/>
          <w:bCs/>
          <w:color w:val="auto"/>
          <w:sz w:val="24"/>
          <w:szCs w:val="24"/>
          <w:highlight w:val="none"/>
          <w:lang w:val="zh-CN" w:eastAsia="zh-CN" w:bidi="zh-CN"/>
        </w:rPr>
        <w:t>如供应商的投标报价未超过采购预算（见第一</w:t>
      </w:r>
      <w:r>
        <w:rPr>
          <w:rFonts w:hint="eastAsia" w:ascii="仿宋" w:hAnsi="仿宋" w:eastAsia="仿宋" w:cs="仿宋"/>
          <w:b/>
          <w:bCs/>
          <w:color w:val="auto"/>
          <w:sz w:val="24"/>
          <w:szCs w:val="24"/>
          <w:highlight w:val="none"/>
          <w:lang w:val="en-US" w:eastAsia="zh-CN" w:bidi="zh-CN"/>
        </w:rPr>
        <w:t xml:space="preserve">章 </w:t>
      </w:r>
      <w:r>
        <w:rPr>
          <w:rFonts w:hint="eastAsia" w:ascii="仿宋" w:hAnsi="仿宋" w:eastAsia="仿宋" w:cs="仿宋"/>
          <w:b/>
          <w:bCs/>
          <w:color w:val="auto"/>
          <w:sz w:val="24"/>
          <w:szCs w:val="24"/>
          <w:highlight w:val="none"/>
          <w:lang w:val="zh-CN" w:eastAsia="zh-CN" w:bidi="zh-CN"/>
        </w:rPr>
        <w:t>竞争性磋商公告）的供应商不足三家的，该</w:t>
      </w:r>
      <w:r>
        <w:rPr>
          <w:rFonts w:hint="eastAsia" w:ascii="仿宋" w:hAnsi="仿宋" w:eastAsia="仿宋" w:cs="仿宋"/>
          <w:b/>
          <w:bCs/>
          <w:color w:val="auto"/>
          <w:sz w:val="24"/>
          <w:szCs w:val="24"/>
          <w:highlight w:val="none"/>
          <w:lang w:val="en-US" w:eastAsia="zh-CN" w:bidi="zh-CN"/>
        </w:rPr>
        <w:t>项目作废</w:t>
      </w:r>
      <w:r>
        <w:rPr>
          <w:rFonts w:hint="eastAsia" w:ascii="仿宋" w:hAnsi="仿宋" w:eastAsia="仿宋" w:cs="仿宋"/>
          <w:b/>
          <w:bCs/>
          <w:color w:val="auto"/>
          <w:sz w:val="24"/>
          <w:szCs w:val="24"/>
          <w:highlight w:val="none"/>
          <w:lang w:val="zh-CN" w:eastAsia="zh-CN" w:bidi="zh-CN"/>
        </w:rPr>
        <w:t>标处理。</w:t>
      </w:r>
    </w:p>
    <w:p w14:paraId="46DA8F7E">
      <w:pPr>
        <w:pStyle w:val="69"/>
        <w:keepNext w:val="0"/>
        <w:keepLines w:val="0"/>
        <w:pageBreakBefore w:val="0"/>
        <w:widowControl w:val="0"/>
        <w:numPr>
          <w:ilvl w:val="0"/>
          <w:numId w:val="0"/>
        </w:numPr>
        <w:tabs>
          <w:tab w:val="left" w:pos="1880"/>
        </w:tabs>
        <w:kinsoku/>
        <w:wordWrap/>
        <w:overflowPunct/>
        <w:topLinePunct w:val="0"/>
        <w:autoSpaceDE w:val="0"/>
        <w:autoSpaceDN w:val="0"/>
        <w:bidi w:val="0"/>
        <w:adjustRightInd/>
        <w:snapToGrid/>
        <w:spacing w:before="0" w:after="0" w:line="360" w:lineRule="auto"/>
        <w:ind w:left="0" w:leftChars="0" w:right="0" w:rightChars="0" w:firstLine="482" w:firstLineChars="200"/>
        <w:jc w:val="left"/>
        <w:textAlignment w:val="auto"/>
        <w:outlineLvl w:val="9"/>
        <w:rPr>
          <w:rFonts w:hint="eastAsia" w:ascii="仿宋" w:hAnsi="仿宋" w:eastAsia="仿宋" w:cs="仿宋"/>
          <w:b/>
          <w:bCs/>
          <w:color w:val="auto"/>
          <w:sz w:val="24"/>
          <w:szCs w:val="24"/>
          <w:highlight w:val="none"/>
          <w:lang w:val="zh-CN" w:eastAsia="zh-CN" w:bidi="zh-CN"/>
        </w:rPr>
      </w:pPr>
      <w:r>
        <w:rPr>
          <w:rFonts w:hint="eastAsia" w:ascii="仿宋" w:hAnsi="仿宋" w:eastAsia="仿宋" w:cs="仿宋"/>
          <w:b/>
          <w:bCs/>
          <w:color w:val="auto"/>
          <w:sz w:val="24"/>
          <w:szCs w:val="24"/>
          <w:highlight w:val="none"/>
          <w:lang w:val="zh-CN" w:eastAsia="zh-CN" w:bidi="zh-CN"/>
        </w:rPr>
        <w:t>三、具体服务要求及标段（包）内容（范围）（</w:t>
      </w:r>
      <w:r>
        <w:rPr>
          <w:rFonts w:hint="eastAsia" w:ascii="宋体" w:hAnsi="宋体" w:eastAsia="宋体" w:cs="宋体"/>
          <w:b/>
          <w:spacing w:val="0"/>
          <w:sz w:val="24"/>
          <w:szCs w:val="24"/>
          <w:lang w:val="en-US" w:eastAsia="zh-CN"/>
        </w:rPr>
        <w:t>采购需求</w:t>
      </w:r>
      <w:r>
        <w:rPr>
          <w:rFonts w:hint="eastAsia" w:ascii="仿宋" w:hAnsi="仿宋" w:eastAsia="仿宋" w:cs="仿宋"/>
          <w:b/>
          <w:bCs/>
          <w:color w:val="auto"/>
          <w:sz w:val="24"/>
          <w:szCs w:val="24"/>
          <w:highlight w:val="none"/>
          <w:lang w:val="zh-CN" w:eastAsia="zh-CN" w:bidi="zh-CN"/>
        </w:rPr>
        <w:t>）</w:t>
      </w:r>
    </w:p>
    <w:p w14:paraId="590491B3">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spacing w:val="0"/>
          <w:sz w:val="24"/>
          <w:szCs w:val="24"/>
          <w:lang w:val="en-US" w:eastAsia="zh-CN"/>
        </w:rPr>
      </w:pPr>
      <w:r>
        <w:rPr>
          <w:rFonts w:hint="eastAsia" w:ascii="仿宋" w:hAnsi="仿宋" w:eastAsia="仿宋" w:cs="仿宋"/>
          <w:spacing w:val="0"/>
          <w:sz w:val="24"/>
          <w:szCs w:val="24"/>
          <w:lang w:val="en-US" w:eastAsia="zh-CN"/>
        </w:rPr>
        <w:t>3.1.</w:t>
      </w:r>
      <w:r>
        <w:rPr>
          <w:rFonts w:hint="eastAsia" w:ascii="仿宋" w:hAnsi="仿宋" w:eastAsia="仿宋" w:cs="仿宋"/>
          <w:b/>
          <w:spacing w:val="0"/>
          <w:sz w:val="24"/>
          <w:szCs w:val="24"/>
          <w:lang w:val="en-US" w:eastAsia="zh-CN"/>
        </w:rPr>
        <w:t>服务范围</w:t>
      </w:r>
    </w:p>
    <w:p w14:paraId="27324648">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zh-CN"/>
        </w:rPr>
      </w:pPr>
      <w:r>
        <w:rPr>
          <w:rFonts w:hint="eastAsia" w:ascii="仿宋" w:hAnsi="仿宋" w:eastAsia="仿宋" w:cs="仿宋"/>
          <w:b w:val="0"/>
          <w:bCs w:val="0"/>
          <w:color w:val="auto"/>
          <w:sz w:val="24"/>
          <w:szCs w:val="24"/>
          <w:highlight w:val="none"/>
          <w:lang w:val="en-US" w:eastAsia="zh-CN" w:bidi="zh-CN"/>
        </w:rPr>
        <w:t>3.1.</w:t>
      </w:r>
      <w:r>
        <w:rPr>
          <w:rFonts w:hint="eastAsia" w:ascii="仿宋" w:hAnsi="仿宋" w:eastAsia="仿宋" w:cs="仿宋"/>
          <w:b w:val="0"/>
          <w:bCs w:val="0"/>
          <w:color w:val="auto"/>
          <w:sz w:val="24"/>
          <w:szCs w:val="24"/>
          <w:highlight w:val="none"/>
          <w:lang w:val="zh-CN" w:eastAsia="zh-CN" w:bidi="zh-CN"/>
        </w:rPr>
        <w:t>1.</w:t>
      </w:r>
      <w:r>
        <w:rPr>
          <w:rFonts w:hint="eastAsia" w:ascii="仿宋" w:hAnsi="仿宋" w:eastAsia="仿宋" w:cs="仿宋"/>
          <w:b w:val="0"/>
          <w:bCs w:val="0"/>
          <w:color w:val="auto"/>
          <w:sz w:val="24"/>
          <w:szCs w:val="24"/>
          <w:highlight w:val="none"/>
          <w:lang w:val="en-US" w:eastAsia="zh-CN" w:bidi="zh-CN"/>
        </w:rPr>
        <w:t>根据设计图纸以及</w:t>
      </w:r>
      <w:r>
        <w:rPr>
          <w:rFonts w:hint="eastAsia" w:ascii="仿宋" w:hAnsi="仿宋" w:eastAsia="仿宋" w:cs="仿宋"/>
          <w:b w:val="0"/>
          <w:bCs w:val="0"/>
          <w:color w:val="auto"/>
          <w:sz w:val="24"/>
          <w:szCs w:val="24"/>
          <w:highlight w:val="none"/>
          <w:lang w:val="zh-CN" w:eastAsia="zh-CN" w:bidi="zh-CN"/>
        </w:rPr>
        <w:t>五陵镇旱塔河村村域面积规划及现状，对村庄空闲土地、廊道、村内主次街道两侧、居住区外围与农田结合处、一般农田一侧进行绿化。</w:t>
      </w:r>
    </w:p>
    <w:p w14:paraId="10347428">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zh-CN"/>
        </w:rPr>
      </w:pPr>
      <w:r>
        <w:rPr>
          <w:rFonts w:hint="eastAsia" w:ascii="仿宋" w:hAnsi="仿宋" w:eastAsia="仿宋" w:cs="仿宋"/>
          <w:b w:val="0"/>
          <w:bCs w:val="0"/>
          <w:color w:val="auto"/>
          <w:sz w:val="24"/>
          <w:szCs w:val="24"/>
          <w:highlight w:val="none"/>
          <w:lang w:val="en-US" w:eastAsia="zh-CN" w:bidi="zh-CN"/>
        </w:rPr>
        <w:t>3.2.服务内容及技术要求</w:t>
      </w:r>
    </w:p>
    <w:p w14:paraId="7CF055AA">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zh-CN"/>
        </w:rPr>
      </w:pPr>
      <w:r>
        <w:rPr>
          <w:rFonts w:hint="eastAsia" w:ascii="仿宋" w:hAnsi="仿宋" w:eastAsia="仿宋" w:cs="仿宋"/>
          <w:b w:val="0"/>
          <w:bCs w:val="0"/>
          <w:color w:val="auto"/>
          <w:sz w:val="24"/>
          <w:szCs w:val="24"/>
          <w:highlight w:val="none"/>
          <w:lang w:val="en-US" w:eastAsia="zh-CN" w:bidi="zh-CN"/>
        </w:rPr>
        <w:t>3.</w:t>
      </w:r>
      <w:r>
        <w:rPr>
          <w:rFonts w:hint="eastAsia" w:ascii="仿宋" w:hAnsi="仿宋" w:eastAsia="仿宋" w:cs="仿宋"/>
          <w:b w:val="0"/>
          <w:bCs w:val="0"/>
          <w:color w:val="auto"/>
          <w:sz w:val="24"/>
          <w:szCs w:val="24"/>
          <w:highlight w:val="none"/>
          <w:lang w:val="zh-CN" w:eastAsia="zh-CN" w:bidi="zh-CN"/>
        </w:rPr>
        <w:t>2.1</w:t>
      </w:r>
      <w:r>
        <w:rPr>
          <w:rFonts w:hint="eastAsia" w:ascii="仿宋" w:hAnsi="仿宋" w:eastAsia="仿宋" w:cs="仿宋"/>
          <w:b w:val="0"/>
          <w:bCs w:val="0"/>
          <w:color w:val="auto"/>
          <w:sz w:val="24"/>
          <w:szCs w:val="24"/>
          <w:highlight w:val="none"/>
          <w:lang w:val="en-US" w:eastAsia="zh-CN" w:bidi="zh-CN"/>
        </w:rPr>
        <w:t xml:space="preserve"> </w:t>
      </w:r>
      <w:r>
        <w:rPr>
          <w:rFonts w:hint="eastAsia" w:ascii="仿宋" w:hAnsi="仿宋" w:eastAsia="仿宋" w:cs="仿宋"/>
          <w:b w:val="0"/>
          <w:bCs w:val="0"/>
          <w:color w:val="auto"/>
          <w:sz w:val="24"/>
          <w:szCs w:val="24"/>
          <w:highlight w:val="none"/>
          <w:lang w:val="zh-CN" w:eastAsia="zh-CN" w:bidi="zh-CN"/>
        </w:rPr>
        <w:t>栽(补)植：种植海棠、山楂、晚樱等乔木绿化树种1220余株，新增造林面积24余亩；新建三叶草、百日菊、蒲公英等绿色植被4000平方米</w:t>
      </w:r>
      <w:r>
        <w:rPr>
          <w:rFonts w:hint="eastAsia" w:ascii="仿宋" w:hAnsi="仿宋" w:eastAsia="仿宋" w:cs="仿宋"/>
          <w:b w:val="0"/>
          <w:bCs w:val="0"/>
          <w:color w:val="auto"/>
          <w:sz w:val="24"/>
          <w:szCs w:val="24"/>
          <w:highlight w:val="none"/>
          <w:lang w:val="en-US" w:eastAsia="zh-CN" w:bidi="zh-CN"/>
        </w:rPr>
        <w:t>。</w:t>
      </w:r>
    </w:p>
    <w:p w14:paraId="15035940">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zh-CN" w:eastAsia="zh-CN" w:bidi="zh-CN"/>
        </w:rPr>
      </w:pPr>
      <w:r>
        <w:rPr>
          <w:rFonts w:hint="eastAsia" w:ascii="仿宋" w:hAnsi="仿宋" w:eastAsia="仿宋" w:cs="仿宋"/>
          <w:b w:val="0"/>
          <w:bCs w:val="0"/>
          <w:color w:val="auto"/>
          <w:sz w:val="24"/>
          <w:szCs w:val="24"/>
          <w:highlight w:val="none"/>
          <w:lang w:val="zh-CN" w:eastAsia="zh-CN" w:bidi="zh-CN"/>
        </w:rPr>
        <w:t>严格按设计规格要求选择苗木，选用苗木树干通直、带有土球的全冠苗，栽植时做到挖大坑、浇透水、封大堆、打支撑等，保证苗木栽植成活、纵成行、横成排。有缺株、死株按甲方要求及时进行补植补种。</w:t>
      </w:r>
    </w:p>
    <w:p w14:paraId="7133FDE0">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zh-CN" w:eastAsia="zh-CN" w:bidi="zh-CN"/>
        </w:rPr>
      </w:pPr>
      <w:r>
        <w:rPr>
          <w:rFonts w:hint="eastAsia" w:ascii="仿宋" w:hAnsi="仿宋" w:eastAsia="仿宋" w:cs="仿宋"/>
          <w:b w:val="0"/>
          <w:bCs w:val="0"/>
          <w:color w:val="auto"/>
          <w:sz w:val="24"/>
          <w:szCs w:val="24"/>
          <w:highlight w:val="none"/>
          <w:lang w:val="en-US" w:eastAsia="zh-CN" w:bidi="zh-CN"/>
        </w:rPr>
        <w:t>3.</w:t>
      </w:r>
      <w:r>
        <w:rPr>
          <w:rFonts w:hint="eastAsia" w:ascii="仿宋" w:hAnsi="仿宋" w:eastAsia="仿宋" w:cs="仿宋"/>
          <w:b w:val="0"/>
          <w:bCs w:val="0"/>
          <w:color w:val="auto"/>
          <w:sz w:val="24"/>
          <w:szCs w:val="24"/>
          <w:highlight w:val="none"/>
          <w:lang w:val="zh-CN" w:eastAsia="zh-CN" w:bidi="zh-CN"/>
        </w:rPr>
        <w:t>2.2 浇水：对树木及时浇水，保持树木正常生长。根据生长季节、天气情况、植被种类、环保要求适时安排，冲洗和浇水深度适宜，无旱涝现象，苗木不因缺水出现萎蔫、干旱现象。</w:t>
      </w:r>
    </w:p>
    <w:p w14:paraId="1E13FB25">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zh-CN" w:eastAsia="zh-CN" w:bidi="zh-CN"/>
        </w:rPr>
      </w:pPr>
      <w:r>
        <w:rPr>
          <w:rFonts w:hint="eastAsia" w:ascii="仿宋" w:hAnsi="仿宋" w:eastAsia="仿宋" w:cs="仿宋"/>
          <w:b w:val="0"/>
          <w:bCs w:val="0"/>
          <w:color w:val="auto"/>
          <w:sz w:val="24"/>
          <w:szCs w:val="24"/>
          <w:highlight w:val="none"/>
          <w:lang w:val="en-US" w:eastAsia="zh-CN" w:bidi="zh-CN"/>
        </w:rPr>
        <w:t>3.</w:t>
      </w:r>
      <w:r>
        <w:rPr>
          <w:rFonts w:hint="eastAsia" w:ascii="仿宋" w:hAnsi="仿宋" w:eastAsia="仿宋" w:cs="仿宋"/>
          <w:b w:val="0"/>
          <w:bCs w:val="0"/>
          <w:color w:val="auto"/>
          <w:sz w:val="24"/>
          <w:szCs w:val="24"/>
          <w:highlight w:val="none"/>
          <w:lang w:val="zh-CN" w:eastAsia="zh-CN" w:bidi="zh-CN"/>
        </w:rPr>
        <w:t>2.3 中耕除草：在生长季节，应及时中耕除草，以防杂草影响苗木生长，除草应本着除早，除小，除了的原则及时进行。</w:t>
      </w:r>
    </w:p>
    <w:p w14:paraId="2BB8348A">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zh-CN" w:eastAsia="zh-CN" w:bidi="zh-CN"/>
        </w:rPr>
      </w:pPr>
      <w:r>
        <w:rPr>
          <w:rFonts w:hint="eastAsia" w:ascii="仿宋" w:hAnsi="仿宋" w:eastAsia="仿宋" w:cs="仿宋"/>
          <w:b w:val="0"/>
          <w:bCs w:val="0"/>
          <w:color w:val="auto"/>
          <w:sz w:val="24"/>
          <w:szCs w:val="24"/>
          <w:highlight w:val="none"/>
          <w:lang w:val="en-US" w:eastAsia="zh-CN" w:bidi="zh-CN"/>
        </w:rPr>
        <w:t>3.</w:t>
      </w:r>
      <w:r>
        <w:rPr>
          <w:rFonts w:hint="eastAsia" w:ascii="仿宋" w:hAnsi="仿宋" w:eastAsia="仿宋" w:cs="仿宋"/>
          <w:b w:val="0"/>
          <w:bCs w:val="0"/>
          <w:color w:val="auto"/>
          <w:sz w:val="24"/>
          <w:szCs w:val="24"/>
          <w:highlight w:val="none"/>
          <w:lang w:val="zh-CN" w:eastAsia="zh-CN" w:bidi="zh-CN"/>
        </w:rPr>
        <w:t>2.4 修剪：在苗木生长旺季应及时进行整形修剪，确保树形美观，长势旺盛。</w:t>
      </w:r>
    </w:p>
    <w:p w14:paraId="5FD2BFB6">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zh-CN" w:eastAsia="zh-CN" w:bidi="zh-CN"/>
        </w:rPr>
      </w:pPr>
      <w:r>
        <w:rPr>
          <w:rFonts w:hint="eastAsia" w:ascii="仿宋" w:hAnsi="仿宋" w:eastAsia="仿宋" w:cs="仿宋"/>
          <w:b w:val="0"/>
          <w:bCs w:val="0"/>
          <w:color w:val="auto"/>
          <w:sz w:val="24"/>
          <w:szCs w:val="24"/>
          <w:highlight w:val="none"/>
          <w:lang w:val="en-US" w:eastAsia="zh-CN" w:bidi="zh-CN"/>
        </w:rPr>
        <w:t>3.</w:t>
      </w:r>
      <w:r>
        <w:rPr>
          <w:rFonts w:hint="eastAsia" w:ascii="仿宋" w:hAnsi="仿宋" w:eastAsia="仿宋" w:cs="仿宋"/>
          <w:b w:val="0"/>
          <w:bCs w:val="0"/>
          <w:color w:val="auto"/>
          <w:sz w:val="24"/>
          <w:szCs w:val="24"/>
          <w:highlight w:val="none"/>
          <w:lang w:val="zh-CN" w:eastAsia="zh-CN" w:bidi="zh-CN"/>
        </w:rPr>
        <w:t>2.5 病虫害防治：养护期必须做好病虫害防治工作，发现病虫害应及时采取人工、物理等无公害防治方式防治，做到勤观察、早发现、早防治。</w:t>
      </w:r>
    </w:p>
    <w:p w14:paraId="73B84589">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zh-CN" w:eastAsia="zh-CN" w:bidi="zh-CN"/>
        </w:rPr>
      </w:pPr>
      <w:r>
        <w:rPr>
          <w:rFonts w:hint="eastAsia" w:ascii="仿宋" w:hAnsi="仿宋" w:eastAsia="仿宋" w:cs="仿宋"/>
          <w:b w:val="0"/>
          <w:bCs w:val="0"/>
          <w:color w:val="auto"/>
          <w:sz w:val="24"/>
          <w:szCs w:val="24"/>
          <w:highlight w:val="none"/>
          <w:lang w:val="en-US" w:eastAsia="zh-CN" w:bidi="zh-CN"/>
        </w:rPr>
        <w:t>3.3</w:t>
      </w:r>
      <w:r>
        <w:rPr>
          <w:rFonts w:hint="eastAsia" w:ascii="仿宋" w:hAnsi="仿宋" w:eastAsia="仿宋" w:cs="仿宋"/>
          <w:b w:val="0"/>
          <w:bCs w:val="0"/>
          <w:color w:val="auto"/>
          <w:sz w:val="24"/>
          <w:szCs w:val="24"/>
          <w:highlight w:val="none"/>
          <w:lang w:val="zh-CN" w:eastAsia="zh-CN" w:bidi="zh-CN"/>
        </w:rPr>
        <w:t>、养护目标要求</w:t>
      </w:r>
    </w:p>
    <w:p w14:paraId="0B7E2399">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zh-CN" w:eastAsia="zh-CN" w:bidi="zh-CN"/>
        </w:rPr>
      </w:pPr>
      <w:r>
        <w:rPr>
          <w:rFonts w:hint="eastAsia" w:ascii="仿宋" w:hAnsi="仿宋" w:eastAsia="仿宋" w:cs="仿宋"/>
          <w:b w:val="0"/>
          <w:bCs w:val="0"/>
          <w:color w:val="auto"/>
          <w:sz w:val="24"/>
          <w:szCs w:val="24"/>
          <w:highlight w:val="none"/>
          <w:lang w:val="zh-CN" w:eastAsia="zh-CN" w:bidi="zh-CN"/>
        </w:rPr>
        <w:t>保证树木、花草等绿植健康成长，起到防风固土、水源涵养、绿化美化村域环境效果，逐步形成良好的、可持续的乡村生态循环体系，</w:t>
      </w:r>
      <w:r>
        <w:rPr>
          <w:rFonts w:hint="eastAsia" w:ascii="仿宋" w:hAnsi="仿宋" w:eastAsia="仿宋" w:cs="仿宋"/>
          <w:b w:val="0"/>
          <w:bCs w:val="0"/>
          <w:color w:val="auto"/>
          <w:sz w:val="24"/>
          <w:szCs w:val="24"/>
          <w:highlight w:val="none"/>
          <w:lang w:val="en-US" w:eastAsia="zh-CN" w:bidi="zh-CN"/>
        </w:rPr>
        <w:t>养护期结束后</w:t>
      </w:r>
      <w:r>
        <w:rPr>
          <w:rFonts w:hint="eastAsia" w:ascii="仿宋" w:hAnsi="仿宋" w:eastAsia="仿宋" w:cs="仿宋"/>
          <w:b w:val="0"/>
          <w:bCs w:val="0"/>
          <w:color w:val="auto"/>
          <w:sz w:val="24"/>
          <w:szCs w:val="24"/>
          <w:highlight w:val="none"/>
          <w:lang w:val="zh-CN" w:eastAsia="zh-CN" w:bidi="zh-CN"/>
        </w:rPr>
        <w:t>确保成活保存率在9</w:t>
      </w:r>
      <w:r>
        <w:rPr>
          <w:rFonts w:hint="eastAsia" w:ascii="仿宋" w:hAnsi="仿宋" w:eastAsia="仿宋" w:cs="仿宋"/>
          <w:b w:val="0"/>
          <w:bCs w:val="0"/>
          <w:color w:val="auto"/>
          <w:sz w:val="24"/>
          <w:szCs w:val="24"/>
          <w:highlight w:val="none"/>
          <w:lang w:val="en-US" w:eastAsia="zh-CN" w:bidi="zh-CN"/>
        </w:rPr>
        <w:t>0</w:t>
      </w:r>
      <w:r>
        <w:rPr>
          <w:rFonts w:hint="eastAsia" w:ascii="仿宋" w:hAnsi="仿宋" w:eastAsia="仿宋" w:cs="仿宋"/>
          <w:b w:val="0"/>
          <w:bCs w:val="0"/>
          <w:color w:val="auto"/>
          <w:sz w:val="24"/>
          <w:szCs w:val="24"/>
          <w:highlight w:val="none"/>
          <w:lang w:val="zh-CN" w:eastAsia="zh-CN" w:bidi="zh-CN"/>
        </w:rPr>
        <w:t>%以上。　</w:t>
      </w:r>
    </w:p>
    <w:p w14:paraId="3EF4BD13">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zh-CN"/>
        </w:rPr>
      </w:pPr>
      <w:r>
        <w:rPr>
          <w:rFonts w:hint="eastAsia" w:ascii="仿宋" w:hAnsi="仿宋" w:eastAsia="仿宋" w:cs="仿宋"/>
          <w:b w:val="0"/>
          <w:bCs w:val="0"/>
          <w:color w:val="auto"/>
          <w:sz w:val="24"/>
          <w:szCs w:val="24"/>
          <w:highlight w:val="none"/>
          <w:lang w:val="en-US" w:eastAsia="zh-CN" w:bidi="zh-CN"/>
        </w:rPr>
        <w:t>3.4 实施期目标要求</w:t>
      </w:r>
    </w:p>
    <w:p w14:paraId="33164FC4">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zh-CN"/>
        </w:rPr>
      </w:pPr>
      <w:r>
        <w:rPr>
          <w:rFonts w:hint="eastAsia" w:ascii="仿宋" w:hAnsi="仿宋" w:eastAsia="仿宋" w:cs="仿宋"/>
          <w:b w:val="0"/>
          <w:bCs w:val="0"/>
          <w:color w:val="auto"/>
          <w:sz w:val="24"/>
          <w:szCs w:val="24"/>
          <w:highlight w:val="none"/>
          <w:lang w:val="en-US" w:eastAsia="zh-CN" w:bidi="zh-CN"/>
        </w:rPr>
        <w:t>通过项目的实施，提升基层党组织的凝聚力、向心力，对于当前乡村振兴及整体协调发展具有重要的意义。改善当地的气候环境、降低空气以及噪音污染、调节空气温湿度、陶冶人们的情操，增强当地人民的幸福感，归属感，有效提升人们的生活质量和人与自然和谐、积极向上的生活氛围。</w:t>
      </w:r>
    </w:p>
    <w:p w14:paraId="69D5CF2D">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zh-CN" w:eastAsia="zh-CN" w:bidi="zh-CN"/>
        </w:rPr>
      </w:pPr>
      <w:r>
        <w:rPr>
          <w:rFonts w:hint="eastAsia" w:ascii="仿宋" w:hAnsi="仿宋" w:eastAsia="仿宋" w:cs="仿宋"/>
          <w:b w:val="0"/>
          <w:bCs w:val="0"/>
          <w:color w:val="auto"/>
          <w:sz w:val="24"/>
          <w:szCs w:val="24"/>
          <w:highlight w:val="none"/>
          <w:lang w:val="en-US" w:eastAsia="zh-CN" w:bidi="zh-CN"/>
        </w:rPr>
        <w:t>3.5</w:t>
      </w:r>
      <w:r>
        <w:rPr>
          <w:rFonts w:hint="eastAsia" w:ascii="仿宋" w:hAnsi="仿宋" w:eastAsia="仿宋" w:cs="仿宋"/>
          <w:b w:val="0"/>
          <w:bCs w:val="0"/>
          <w:color w:val="auto"/>
          <w:sz w:val="24"/>
          <w:szCs w:val="24"/>
          <w:highlight w:val="none"/>
          <w:lang w:val="zh-CN" w:eastAsia="zh-CN" w:bidi="zh-CN"/>
        </w:rPr>
        <w:t>、商务要求</w:t>
      </w:r>
    </w:p>
    <w:p w14:paraId="468F0995">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zh-CN" w:eastAsia="zh-CN" w:bidi="zh-CN"/>
        </w:rPr>
      </w:pPr>
      <w:r>
        <w:rPr>
          <w:rFonts w:hint="eastAsia" w:ascii="仿宋" w:hAnsi="仿宋" w:eastAsia="仿宋" w:cs="仿宋"/>
          <w:b w:val="0"/>
          <w:bCs w:val="0"/>
          <w:color w:val="auto"/>
          <w:sz w:val="24"/>
          <w:szCs w:val="24"/>
          <w:highlight w:val="none"/>
          <w:lang w:val="en-US" w:eastAsia="zh-CN" w:bidi="zh-CN"/>
        </w:rPr>
        <w:t>3.5.1</w:t>
      </w:r>
      <w:r>
        <w:rPr>
          <w:rFonts w:hint="eastAsia" w:ascii="仿宋" w:hAnsi="仿宋" w:eastAsia="仿宋" w:cs="仿宋"/>
          <w:b w:val="0"/>
          <w:bCs w:val="0"/>
          <w:color w:val="auto"/>
          <w:sz w:val="24"/>
          <w:szCs w:val="24"/>
          <w:highlight w:val="none"/>
          <w:lang w:val="zh-CN" w:eastAsia="zh-CN" w:bidi="zh-CN"/>
        </w:rPr>
        <w:t>.合同履行期限(服务期限):</w:t>
      </w:r>
      <w:r>
        <w:rPr>
          <w:rFonts w:hint="eastAsia" w:ascii="仿宋" w:hAnsi="仿宋" w:eastAsia="仿宋" w:cs="仿宋"/>
          <w:b w:val="0"/>
          <w:bCs w:val="0"/>
          <w:color w:val="auto"/>
          <w:sz w:val="24"/>
          <w:szCs w:val="24"/>
          <w:highlight w:val="none"/>
          <w:lang w:val="en-US" w:eastAsia="zh-CN" w:bidi="zh-CN"/>
        </w:rPr>
        <w:t>建设周期1年，养护期1年</w:t>
      </w:r>
      <w:r>
        <w:rPr>
          <w:rFonts w:hint="eastAsia" w:ascii="仿宋" w:hAnsi="仿宋" w:eastAsia="仿宋" w:cs="仿宋"/>
          <w:b w:val="0"/>
          <w:bCs w:val="0"/>
          <w:color w:val="auto"/>
          <w:sz w:val="24"/>
          <w:szCs w:val="24"/>
          <w:highlight w:val="none"/>
          <w:lang w:val="zh-CN" w:eastAsia="zh-CN" w:bidi="zh-CN"/>
        </w:rPr>
        <w:t>；</w:t>
      </w:r>
    </w:p>
    <w:p w14:paraId="0858DF39">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zh-CN" w:eastAsia="zh-CN" w:bidi="zh-CN"/>
        </w:rPr>
      </w:pPr>
      <w:r>
        <w:rPr>
          <w:rFonts w:hint="eastAsia" w:ascii="仿宋" w:hAnsi="仿宋" w:eastAsia="仿宋" w:cs="仿宋"/>
          <w:b w:val="0"/>
          <w:bCs w:val="0"/>
          <w:color w:val="auto"/>
          <w:sz w:val="24"/>
          <w:szCs w:val="24"/>
          <w:highlight w:val="none"/>
          <w:lang w:val="en-US" w:eastAsia="zh-CN" w:bidi="zh-CN"/>
        </w:rPr>
        <w:t>3.5.2</w:t>
      </w:r>
      <w:r>
        <w:rPr>
          <w:rFonts w:hint="eastAsia" w:ascii="仿宋" w:hAnsi="仿宋" w:eastAsia="仿宋" w:cs="仿宋"/>
          <w:b w:val="0"/>
          <w:bCs w:val="0"/>
          <w:color w:val="auto"/>
          <w:sz w:val="24"/>
          <w:szCs w:val="24"/>
          <w:highlight w:val="none"/>
          <w:lang w:val="zh-CN" w:eastAsia="zh-CN" w:bidi="zh-CN"/>
        </w:rPr>
        <w:t>.服务地点:汤阴县五陵镇旱塔河村；</w:t>
      </w:r>
    </w:p>
    <w:p w14:paraId="71E81068">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zh-CN" w:eastAsia="zh-CN" w:bidi="zh-CN"/>
        </w:rPr>
      </w:pPr>
      <w:r>
        <w:rPr>
          <w:rFonts w:hint="eastAsia" w:ascii="仿宋" w:hAnsi="仿宋" w:eastAsia="仿宋" w:cs="仿宋"/>
          <w:b w:val="0"/>
          <w:bCs w:val="0"/>
          <w:color w:val="auto"/>
          <w:sz w:val="24"/>
          <w:szCs w:val="24"/>
          <w:highlight w:val="none"/>
          <w:lang w:val="en-US" w:eastAsia="zh-CN" w:bidi="zh-CN"/>
        </w:rPr>
        <w:t>3.5.3 服务质量要求：所承担的服务工作应符合国家及行业现行相关规范和标准，并符合采购人的相关要求</w:t>
      </w:r>
    </w:p>
    <w:p w14:paraId="4E1A8E60">
      <w:pPr>
        <w:pStyle w:val="15"/>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zh-CN"/>
        </w:rPr>
      </w:pPr>
      <w:r>
        <w:rPr>
          <w:rFonts w:hint="eastAsia" w:ascii="仿宋" w:hAnsi="仿宋" w:eastAsia="仿宋" w:cs="仿宋"/>
          <w:b w:val="0"/>
          <w:bCs w:val="0"/>
          <w:color w:val="auto"/>
          <w:sz w:val="24"/>
          <w:szCs w:val="24"/>
          <w:highlight w:val="none"/>
          <w:lang w:val="en-US" w:eastAsia="zh-CN" w:bidi="zh-CN"/>
        </w:rPr>
        <w:t>3.6.工作要求</w:t>
      </w:r>
    </w:p>
    <w:p w14:paraId="20815B35">
      <w:pPr>
        <w:pStyle w:val="16"/>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firstLine="480" w:firstLineChars="200"/>
        <w:jc w:val="left"/>
        <w:textAlignment w:val="auto"/>
        <w:rPr>
          <w:rFonts w:hint="eastAsia" w:ascii="仿宋" w:hAnsi="仿宋" w:eastAsia="仿宋" w:cs="仿宋"/>
          <w:b w:val="0"/>
          <w:bCs w:val="0"/>
          <w:color w:val="auto"/>
          <w:sz w:val="24"/>
          <w:szCs w:val="24"/>
          <w:highlight w:val="none"/>
          <w:lang w:val="en-US" w:eastAsia="zh-CN" w:bidi="zh-CN"/>
        </w:rPr>
      </w:pPr>
      <w:r>
        <w:rPr>
          <w:rFonts w:hint="eastAsia" w:ascii="仿宋" w:hAnsi="仿宋" w:eastAsia="仿宋" w:cs="仿宋"/>
          <w:b w:val="0"/>
          <w:bCs w:val="0"/>
          <w:color w:val="auto"/>
          <w:sz w:val="24"/>
          <w:szCs w:val="24"/>
          <w:highlight w:val="none"/>
          <w:lang w:val="en-US" w:eastAsia="zh-CN" w:bidi="zh-CN"/>
        </w:rPr>
        <w:t>3.6.1.人员配备不少于9人，身体健康，能胜任本职工作（户外）。遇突击检查、重大活动时按要求增加人员。</w:t>
      </w:r>
    </w:p>
    <w:p w14:paraId="29082602">
      <w:pPr>
        <w:pStyle w:val="16"/>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firstLine="480" w:firstLineChars="200"/>
        <w:jc w:val="left"/>
        <w:textAlignment w:val="auto"/>
        <w:rPr>
          <w:rFonts w:hint="eastAsia" w:ascii="仿宋" w:hAnsi="仿宋" w:eastAsia="仿宋" w:cs="仿宋"/>
          <w:b w:val="0"/>
          <w:bCs w:val="0"/>
          <w:color w:val="auto"/>
          <w:sz w:val="24"/>
          <w:szCs w:val="24"/>
          <w:highlight w:val="none"/>
          <w:lang w:val="en-US" w:eastAsia="zh-CN" w:bidi="zh-CN"/>
        </w:rPr>
      </w:pPr>
      <w:r>
        <w:rPr>
          <w:rFonts w:hint="eastAsia" w:ascii="仿宋" w:hAnsi="仿宋" w:eastAsia="仿宋" w:cs="仿宋"/>
          <w:b w:val="0"/>
          <w:bCs w:val="0"/>
          <w:color w:val="auto"/>
          <w:sz w:val="24"/>
          <w:szCs w:val="24"/>
          <w:highlight w:val="none"/>
          <w:lang w:val="en-US" w:eastAsia="zh-CN" w:bidi="zh-CN"/>
        </w:rPr>
        <w:t>3.6.2.管理人员:中标人需设专职管理人员1人，要求管理员坚守工作岗位,负责人员的日常管理,与被服务单位相关部门的沟通与协调，服从被服务单位管理，高质量完成任务。</w:t>
      </w:r>
    </w:p>
    <w:p w14:paraId="3C26DC8E">
      <w:pPr>
        <w:pStyle w:val="16"/>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firstLine="480" w:firstLineChars="200"/>
        <w:jc w:val="left"/>
        <w:textAlignment w:val="auto"/>
        <w:rPr>
          <w:rFonts w:hint="eastAsia" w:ascii="仿宋" w:hAnsi="仿宋" w:eastAsia="仿宋" w:cs="仿宋"/>
          <w:b w:val="0"/>
          <w:bCs w:val="0"/>
          <w:color w:val="auto"/>
          <w:sz w:val="24"/>
          <w:szCs w:val="24"/>
          <w:highlight w:val="none"/>
          <w:lang w:val="en-US" w:eastAsia="zh-CN" w:bidi="zh-CN"/>
        </w:rPr>
      </w:pPr>
      <w:r>
        <w:rPr>
          <w:rFonts w:hint="eastAsia" w:ascii="仿宋" w:hAnsi="仿宋" w:eastAsia="仿宋" w:cs="仿宋"/>
          <w:b w:val="0"/>
          <w:bCs w:val="0"/>
          <w:color w:val="auto"/>
          <w:sz w:val="24"/>
          <w:szCs w:val="24"/>
          <w:highlight w:val="none"/>
          <w:lang w:val="en-US" w:eastAsia="zh-CN" w:bidi="zh-CN"/>
        </w:rPr>
        <w:t>3.6.3.工作人员:工作人员统一着装，干净整洁，自觉遵守《管理人员和工作人员劳动纪律考核办法》的规定，文明作业，优质服务。</w:t>
      </w:r>
    </w:p>
    <w:p w14:paraId="6309539B">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zh-CN"/>
        </w:rPr>
      </w:pPr>
      <w:r>
        <w:rPr>
          <w:rFonts w:hint="eastAsia" w:ascii="仿宋" w:hAnsi="仿宋" w:eastAsia="仿宋" w:cs="仿宋"/>
          <w:b w:val="0"/>
          <w:bCs w:val="0"/>
          <w:color w:val="auto"/>
          <w:sz w:val="24"/>
          <w:szCs w:val="24"/>
          <w:highlight w:val="none"/>
          <w:lang w:val="en-US" w:eastAsia="zh-CN" w:bidi="zh-CN"/>
        </w:rPr>
        <w:t>3.6.4 成交供应商工作人员在服务过程中应严格按照国家安全法规要求进行作业，如发生工伤、安全事故，一切责任和后果由成交供应商自负，采购人不承担任何责任。</w:t>
      </w:r>
    </w:p>
    <w:p w14:paraId="4E94B410">
      <w:pPr>
        <w:pStyle w:val="16"/>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firstLine="482" w:firstLineChars="200"/>
        <w:jc w:val="left"/>
        <w:textAlignment w:val="auto"/>
        <w:rPr>
          <w:rFonts w:hint="eastAsia" w:ascii="仿宋" w:hAnsi="仿宋" w:eastAsia="仿宋" w:cs="仿宋"/>
          <w:b/>
          <w:bCs/>
          <w:spacing w:val="0"/>
          <w:kern w:val="2"/>
          <w:sz w:val="24"/>
          <w:szCs w:val="24"/>
          <w:lang w:val="en-US" w:eastAsia="zh-CN" w:bidi="ar-SA"/>
        </w:rPr>
      </w:pPr>
      <w:r>
        <w:rPr>
          <w:rFonts w:hint="eastAsia" w:ascii="仿宋" w:hAnsi="仿宋" w:eastAsia="仿宋" w:cs="仿宋"/>
          <w:b/>
          <w:bCs/>
          <w:spacing w:val="0"/>
          <w:kern w:val="2"/>
          <w:sz w:val="24"/>
          <w:szCs w:val="24"/>
          <w:lang w:val="en-US" w:eastAsia="zh-CN" w:bidi="ar-SA"/>
        </w:rPr>
        <w:t>3.7.其他要求</w:t>
      </w:r>
    </w:p>
    <w:p w14:paraId="74A901F9">
      <w:pPr>
        <w:pStyle w:val="16"/>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firstLine="480" w:firstLineChars="200"/>
        <w:jc w:val="left"/>
        <w:textAlignment w:val="auto"/>
        <w:rPr>
          <w:rFonts w:hint="eastAsia" w:ascii="仿宋" w:hAnsi="仿宋" w:eastAsia="仿宋" w:cs="仿宋"/>
          <w:spacing w:val="0"/>
          <w:kern w:val="2"/>
          <w:sz w:val="24"/>
          <w:szCs w:val="24"/>
          <w:lang w:val="en-US" w:eastAsia="zh-CN" w:bidi="ar-SA"/>
        </w:rPr>
      </w:pPr>
      <w:r>
        <w:rPr>
          <w:rFonts w:hint="eastAsia" w:ascii="仿宋" w:hAnsi="仿宋" w:eastAsia="仿宋" w:cs="仿宋"/>
          <w:spacing w:val="0"/>
          <w:kern w:val="2"/>
          <w:sz w:val="24"/>
          <w:szCs w:val="24"/>
          <w:lang w:val="en-US" w:eastAsia="zh-CN" w:bidi="ar-SA"/>
        </w:rPr>
        <w:t>3.7.1.相应安全、防尘措施的配备。按照国家相关规定，行道树或乔灌木修剪按规范操作，施工人员要戴安全帽，上树人员必须系安全带，在施工范围周边要摆放隔离墩和警示标志提醒行人注意安全;施工过程中配备雾炮等防尘设施。</w:t>
      </w:r>
    </w:p>
    <w:p w14:paraId="56A0EE68">
      <w:pPr>
        <w:pStyle w:val="16"/>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firstLine="480" w:firstLineChars="200"/>
        <w:jc w:val="left"/>
        <w:textAlignment w:val="auto"/>
        <w:rPr>
          <w:rFonts w:hint="eastAsia" w:ascii="仿宋" w:hAnsi="仿宋" w:eastAsia="仿宋" w:cs="仿宋"/>
          <w:spacing w:val="0"/>
          <w:kern w:val="2"/>
          <w:sz w:val="24"/>
          <w:szCs w:val="24"/>
          <w:lang w:val="en-US" w:eastAsia="zh-CN" w:bidi="ar-SA"/>
        </w:rPr>
      </w:pPr>
      <w:r>
        <w:rPr>
          <w:rFonts w:hint="eastAsia" w:ascii="仿宋" w:hAnsi="仿宋" w:eastAsia="仿宋" w:cs="仿宋"/>
          <w:spacing w:val="0"/>
          <w:kern w:val="2"/>
          <w:sz w:val="24"/>
          <w:szCs w:val="24"/>
          <w:lang w:val="en-US" w:eastAsia="zh-CN" w:bidi="ar-SA"/>
        </w:rPr>
        <w:t>3.7.2.中标人必须配合采购人的一切生产工作要求，如春秋季种植补栽等。</w:t>
      </w:r>
    </w:p>
    <w:p w14:paraId="065E04C7">
      <w:pPr>
        <w:pStyle w:val="16"/>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firstLine="480" w:firstLineChars="200"/>
        <w:jc w:val="left"/>
        <w:textAlignment w:val="auto"/>
        <w:rPr>
          <w:rFonts w:hint="eastAsia" w:ascii="仿宋" w:hAnsi="仿宋" w:eastAsia="仿宋" w:cs="仿宋"/>
          <w:spacing w:val="0"/>
          <w:sz w:val="24"/>
          <w:szCs w:val="24"/>
          <w:lang w:val="en-US" w:eastAsia="zh-CN"/>
        </w:rPr>
      </w:pPr>
      <w:r>
        <w:rPr>
          <w:rFonts w:hint="eastAsia" w:ascii="仿宋" w:hAnsi="仿宋" w:eastAsia="仿宋" w:cs="仿宋"/>
          <w:spacing w:val="0"/>
          <w:kern w:val="2"/>
          <w:sz w:val="24"/>
          <w:szCs w:val="24"/>
          <w:lang w:val="en-US" w:eastAsia="zh-CN" w:bidi="ar-SA"/>
        </w:rPr>
        <w:t>3.7.3.与绿地管养有关的内容，全部包含在本次招标范围之内，包括管理人员工资、浇灌及冲洗植物水费、苗木补栽费用、病虫害防治所用药物等所有费用。</w:t>
      </w:r>
    </w:p>
    <w:p w14:paraId="3CDAE0DD">
      <w:pPr>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b/>
          <w:spacing w:val="0"/>
          <w:sz w:val="24"/>
          <w:szCs w:val="24"/>
          <w:lang w:eastAsia="zh-CN"/>
        </w:rPr>
      </w:pPr>
      <w:r>
        <w:rPr>
          <w:rFonts w:hint="eastAsia" w:ascii="仿宋" w:hAnsi="仿宋" w:eastAsia="仿宋" w:cs="仿宋"/>
          <w:spacing w:val="0"/>
          <w:sz w:val="24"/>
          <w:szCs w:val="24"/>
          <w:lang w:val="en-US" w:eastAsia="zh-CN"/>
        </w:rPr>
        <w:t>3.8</w:t>
      </w:r>
      <w:r>
        <w:rPr>
          <w:rFonts w:hint="eastAsia" w:ascii="仿宋" w:hAnsi="仿宋" w:eastAsia="仿宋" w:cs="仿宋"/>
          <w:spacing w:val="0"/>
          <w:sz w:val="24"/>
          <w:szCs w:val="24"/>
          <w:lang w:eastAsia="zh-CN"/>
        </w:rPr>
        <w:t>、</w:t>
      </w:r>
      <w:r>
        <w:rPr>
          <w:rFonts w:hint="eastAsia" w:ascii="仿宋" w:hAnsi="仿宋" w:eastAsia="仿宋" w:cs="仿宋"/>
          <w:b/>
          <w:spacing w:val="0"/>
          <w:sz w:val="24"/>
          <w:szCs w:val="24"/>
          <w:lang w:eastAsia="zh-CN"/>
        </w:rPr>
        <w:t>服务</w:t>
      </w:r>
      <w:r>
        <w:rPr>
          <w:rFonts w:hint="eastAsia" w:ascii="仿宋" w:hAnsi="仿宋" w:eastAsia="仿宋" w:cs="仿宋"/>
          <w:b/>
          <w:spacing w:val="0"/>
          <w:sz w:val="24"/>
          <w:szCs w:val="24"/>
          <w:lang w:val="en-US" w:eastAsia="zh-CN"/>
        </w:rPr>
        <w:t>具体</w:t>
      </w:r>
      <w:r>
        <w:rPr>
          <w:rFonts w:hint="eastAsia" w:ascii="仿宋" w:hAnsi="仿宋" w:eastAsia="仿宋" w:cs="仿宋"/>
          <w:b/>
          <w:spacing w:val="0"/>
          <w:sz w:val="24"/>
          <w:szCs w:val="24"/>
          <w:lang w:eastAsia="zh-CN"/>
        </w:rPr>
        <w:t>要求</w:t>
      </w:r>
    </w:p>
    <w:p w14:paraId="6735F280">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spacing w:val="0"/>
          <w:sz w:val="24"/>
          <w:szCs w:val="24"/>
          <w:lang w:val="en-US" w:eastAsia="zh-CN"/>
        </w:rPr>
      </w:pPr>
      <w:r>
        <w:rPr>
          <w:rFonts w:hint="eastAsia" w:ascii="仿宋" w:hAnsi="仿宋" w:eastAsia="仿宋" w:cs="仿宋"/>
          <w:spacing w:val="0"/>
          <w:sz w:val="24"/>
          <w:szCs w:val="24"/>
          <w:lang w:val="en-US" w:eastAsia="zh-CN"/>
        </w:rPr>
        <w:t>3.8.1.中标公司严格按照甲方要求进行种植养护，确保树木成活和景观效果。</w:t>
      </w:r>
    </w:p>
    <w:p w14:paraId="6A07DAED">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spacing w:val="0"/>
          <w:sz w:val="24"/>
          <w:szCs w:val="24"/>
          <w:lang w:val="en-US" w:eastAsia="zh-CN"/>
        </w:rPr>
      </w:pPr>
      <w:r>
        <w:rPr>
          <w:rFonts w:hint="eastAsia" w:ascii="仿宋" w:hAnsi="仿宋" w:eastAsia="仿宋" w:cs="仿宋"/>
          <w:spacing w:val="0"/>
          <w:sz w:val="24"/>
          <w:szCs w:val="24"/>
          <w:lang w:val="en-US" w:eastAsia="zh-CN"/>
        </w:rPr>
        <w:t>3.8.2.安全文明施工。养护人员应穿戴标志工作服，保证施工安全。</w:t>
      </w:r>
    </w:p>
    <w:p w14:paraId="22D3A43A">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spacing w:val="0"/>
          <w:sz w:val="24"/>
          <w:szCs w:val="24"/>
          <w:lang w:val="en-US" w:eastAsia="zh-CN"/>
        </w:rPr>
      </w:pPr>
      <w:r>
        <w:rPr>
          <w:rFonts w:hint="eastAsia" w:ascii="仿宋" w:hAnsi="仿宋" w:eastAsia="仿宋" w:cs="仿宋"/>
          <w:spacing w:val="0"/>
          <w:sz w:val="24"/>
          <w:szCs w:val="24"/>
          <w:lang w:val="en-US" w:eastAsia="zh-CN"/>
        </w:rPr>
        <w:t>3.8.3.树木生长正常，无枯枝、断枝和生长不良枝。</w:t>
      </w:r>
    </w:p>
    <w:p w14:paraId="0200F831">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spacing w:val="0"/>
          <w:sz w:val="24"/>
          <w:szCs w:val="24"/>
          <w:lang w:val="en-US" w:eastAsia="zh-CN"/>
        </w:rPr>
      </w:pPr>
      <w:r>
        <w:rPr>
          <w:rFonts w:hint="eastAsia" w:ascii="仿宋" w:hAnsi="仿宋" w:eastAsia="仿宋" w:cs="仿宋"/>
          <w:spacing w:val="0"/>
          <w:sz w:val="24"/>
          <w:szCs w:val="24"/>
          <w:lang w:val="en-US" w:eastAsia="zh-CN"/>
        </w:rPr>
        <w:t>3.8.4.修剪科学合理，适时适度。主侧枝分布均匀疏密得当，修剪强度适宜。</w:t>
      </w:r>
    </w:p>
    <w:p w14:paraId="25744C3A">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spacing w:val="0"/>
          <w:sz w:val="24"/>
          <w:szCs w:val="24"/>
          <w:lang w:val="en-US" w:eastAsia="zh-CN"/>
        </w:rPr>
      </w:pPr>
      <w:r>
        <w:rPr>
          <w:rFonts w:hint="eastAsia" w:ascii="仿宋" w:hAnsi="仿宋" w:eastAsia="仿宋" w:cs="仿宋"/>
          <w:spacing w:val="0"/>
          <w:sz w:val="24"/>
          <w:szCs w:val="24"/>
          <w:lang w:val="en-US" w:eastAsia="zh-CN"/>
        </w:rPr>
        <w:t>3.8.5.枯死枝、内膛乱枝、交叉枝、平行枝、下垂枝、劈裂枝等影响树势、树形的枝条应全部剪除，死株要及时清除。</w:t>
      </w:r>
    </w:p>
    <w:p w14:paraId="7267193C">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color w:val="auto"/>
          <w:spacing w:val="0"/>
          <w:sz w:val="24"/>
          <w:szCs w:val="24"/>
          <w:lang w:val="en-US" w:eastAsia="zh-CN"/>
        </w:rPr>
      </w:pPr>
      <w:r>
        <w:rPr>
          <w:rFonts w:hint="eastAsia" w:ascii="仿宋" w:hAnsi="仿宋" w:eastAsia="仿宋" w:cs="仿宋"/>
          <w:spacing w:val="0"/>
          <w:sz w:val="24"/>
          <w:szCs w:val="24"/>
          <w:lang w:val="en-US" w:eastAsia="zh-CN"/>
        </w:rPr>
        <w:t>3.8.6</w:t>
      </w:r>
      <w:r>
        <w:rPr>
          <w:rFonts w:hint="eastAsia" w:ascii="仿宋" w:hAnsi="仿宋" w:eastAsia="仿宋" w:cs="仿宋"/>
          <w:color w:val="auto"/>
          <w:spacing w:val="0"/>
          <w:sz w:val="24"/>
          <w:szCs w:val="24"/>
          <w:lang w:val="en-US" w:eastAsia="zh-CN"/>
        </w:rPr>
        <w:t>.签订合同日开始计日，一年内全部整形修剪一遍。凡是修剪过的树木应符合相应等级的要求并常年保持。及时抹芽除萌。</w:t>
      </w:r>
    </w:p>
    <w:p w14:paraId="20DAF0CA">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spacing w:val="0"/>
          <w:sz w:val="24"/>
          <w:szCs w:val="24"/>
          <w:lang w:val="en-US" w:eastAsia="zh-CN"/>
        </w:rPr>
      </w:pPr>
      <w:r>
        <w:rPr>
          <w:rFonts w:hint="eastAsia" w:ascii="仿宋" w:hAnsi="仿宋" w:eastAsia="仿宋" w:cs="仿宋"/>
          <w:spacing w:val="0"/>
          <w:sz w:val="24"/>
          <w:szCs w:val="24"/>
          <w:lang w:val="en-US" w:eastAsia="zh-CN"/>
        </w:rPr>
        <w:t>3.8.7.工具齐全，操作合理认真标准，剪口、锯口平滑，涂抹得当。</w:t>
      </w:r>
    </w:p>
    <w:p w14:paraId="269BC3A1">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spacing w:val="0"/>
          <w:sz w:val="24"/>
          <w:szCs w:val="24"/>
          <w:lang w:val="en-US" w:eastAsia="zh-CN"/>
        </w:rPr>
      </w:pPr>
      <w:r>
        <w:rPr>
          <w:rFonts w:hint="eastAsia" w:ascii="仿宋" w:hAnsi="仿宋" w:eastAsia="仿宋" w:cs="仿宋"/>
          <w:spacing w:val="0"/>
          <w:sz w:val="24"/>
          <w:szCs w:val="24"/>
          <w:lang w:val="en-US" w:eastAsia="zh-CN"/>
        </w:rPr>
        <w:t>3.8.8.树挂、非法悬挂物、非法附着物及时清除。</w:t>
      </w:r>
    </w:p>
    <w:p w14:paraId="56C1F95A">
      <w:pPr>
        <w:keepNext w:val="0"/>
        <w:keepLines w:val="0"/>
        <w:pageBreakBefore w:val="0"/>
        <w:widowControl w:val="0"/>
        <w:kinsoku/>
        <w:wordWrap w:val="0"/>
        <w:overflowPunct w:val="0"/>
        <w:topLinePunct/>
        <w:autoSpaceDE/>
        <w:autoSpaceDN/>
        <w:bidi w:val="0"/>
        <w:adjustRightInd/>
        <w:snapToGrid/>
        <w:spacing w:after="0" w:line="360" w:lineRule="auto"/>
        <w:ind w:firstLine="480" w:firstLineChars="200"/>
        <w:textAlignment w:val="auto"/>
        <w:rPr>
          <w:rFonts w:hint="eastAsia" w:ascii="仿宋" w:hAnsi="仿宋" w:eastAsia="仿宋" w:cs="仿宋"/>
          <w:spacing w:val="0"/>
          <w:sz w:val="24"/>
          <w:szCs w:val="24"/>
        </w:rPr>
      </w:pPr>
      <w:r>
        <w:rPr>
          <w:rFonts w:hint="eastAsia" w:ascii="仿宋" w:hAnsi="仿宋" w:eastAsia="仿宋" w:cs="仿宋"/>
          <w:spacing w:val="0"/>
          <w:sz w:val="24"/>
          <w:szCs w:val="24"/>
          <w:lang w:val="en-US" w:eastAsia="zh-CN"/>
        </w:rPr>
        <w:t>3.8.9.中标公司每月28号上报当月种植养护小结，包括用工费用明细、图片等。</w:t>
      </w:r>
    </w:p>
    <w:p w14:paraId="09854AD6">
      <w:pPr>
        <w:pStyle w:val="69"/>
        <w:keepNext w:val="0"/>
        <w:keepLines w:val="0"/>
        <w:pageBreakBefore w:val="0"/>
        <w:widowControl w:val="0"/>
        <w:numPr>
          <w:ilvl w:val="0"/>
          <w:numId w:val="0"/>
        </w:numPr>
        <w:tabs>
          <w:tab w:val="left" w:pos="1880"/>
        </w:tabs>
        <w:kinsoku/>
        <w:wordWrap/>
        <w:overflowPunct/>
        <w:topLinePunct w:val="0"/>
        <w:autoSpaceDE w:val="0"/>
        <w:autoSpaceDN w:val="0"/>
        <w:bidi w:val="0"/>
        <w:adjustRightInd/>
        <w:snapToGrid/>
        <w:spacing w:before="0" w:after="0" w:line="360" w:lineRule="auto"/>
        <w:ind w:left="0" w:leftChars="0" w:right="0" w:rightChars="0" w:firstLine="492" w:firstLineChars="20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3"/>
          <w:sz w:val="24"/>
          <w:szCs w:val="24"/>
          <w:highlight w:val="none"/>
          <w:lang w:eastAsia="zh-CN"/>
          <w14:textOutline w14:w="4354" w14:cap="flat" w14:cmpd="sng">
            <w14:solidFill>
              <w14:srgbClr w14:val="000000"/>
            </w14:solidFill>
            <w14:prstDash w14:val="solid"/>
            <w14:miter w14:val="0"/>
          </w14:textOutline>
        </w:rPr>
        <w:t>四</w:t>
      </w:r>
      <w:r>
        <w:rPr>
          <w:rFonts w:hint="eastAsia" w:ascii="仿宋" w:hAnsi="仿宋" w:eastAsia="仿宋" w:cs="仿宋"/>
          <w:b w:val="0"/>
          <w:bCs w:val="0"/>
          <w:spacing w:val="3"/>
          <w:sz w:val="24"/>
          <w:szCs w:val="24"/>
          <w:highlight w:val="none"/>
          <w14:textOutline w14:w="4354" w14:cap="flat" w14:cmpd="sng">
            <w14:solidFill>
              <w14:srgbClr w14:val="000000"/>
            </w14:solidFill>
            <w14:prstDash w14:val="solid"/>
            <w14:miter w14:val="0"/>
          </w14:textOutline>
        </w:rPr>
        <w:t>、项目落实的政府采购政策</w:t>
      </w:r>
    </w:p>
    <w:p w14:paraId="1EE77EE1">
      <w:pPr>
        <w:keepNext w:val="0"/>
        <w:keepLines w:val="0"/>
        <w:pageBreakBefore w:val="0"/>
        <w:widowControl w:val="0"/>
        <w:kinsoku/>
        <w:wordWrap w:val="0"/>
        <w:overflowPunct w:val="0"/>
        <w:topLinePunct/>
        <w:autoSpaceDE/>
        <w:autoSpaceDN/>
        <w:bidi w:val="0"/>
        <w:adjustRightInd/>
        <w:snapToGrid/>
        <w:spacing w:after="0" w:line="360" w:lineRule="auto"/>
        <w:ind w:left="0" w:right="0" w:firstLine="488" w:firstLineChars="200"/>
        <w:jc w:val="left"/>
        <w:textAlignment w:val="auto"/>
        <w:outlineLvl w:val="9"/>
        <w:rPr>
          <w:rFonts w:hint="eastAsia" w:ascii="仿宋" w:hAnsi="仿宋" w:eastAsia="仿宋" w:cs="仿宋"/>
          <w:b w:val="0"/>
          <w:bCs w:val="0"/>
          <w:spacing w:val="2"/>
          <w:sz w:val="24"/>
          <w:szCs w:val="24"/>
          <w:highlight w:val="none"/>
        </w:rPr>
      </w:pPr>
      <w:r>
        <w:rPr>
          <w:rFonts w:hint="eastAsia" w:ascii="仿宋" w:hAnsi="仿宋" w:eastAsia="仿宋" w:cs="仿宋"/>
          <w:b w:val="0"/>
          <w:bCs w:val="0"/>
          <w:spacing w:val="2"/>
          <w:sz w:val="24"/>
          <w:szCs w:val="24"/>
          <w:highlight w:val="none"/>
          <w:lang w:val="en-US" w:eastAsia="zh-CN"/>
        </w:rPr>
        <w:t>4.</w:t>
      </w:r>
      <w:r>
        <w:rPr>
          <w:rFonts w:hint="eastAsia" w:ascii="仿宋" w:hAnsi="仿宋" w:eastAsia="仿宋" w:cs="仿宋"/>
          <w:b w:val="0"/>
          <w:bCs w:val="0"/>
          <w:spacing w:val="2"/>
          <w:sz w:val="24"/>
          <w:szCs w:val="24"/>
          <w:highlight w:val="none"/>
        </w:rPr>
        <w:t>1、本次采购产品属于政府强制采购节能产品范围的，应为采购截止日当期“节能产品政府采购清单”所列产品，</w:t>
      </w:r>
      <w:r>
        <w:rPr>
          <w:rFonts w:hint="eastAsia" w:ascii="仿宋" w:hAnsi="仿宋" w:eastAsia="仿宋" w:cs="仿宋"/>
          <w:b w:val="0"/>
          <w:bCs w:val="0"/>
          <w:spacing w:val="2"/>
          <w:sz w:val="24"/>
          <w:szCs w:val="24"/>
          <w:highlight w:val="none"/>
          <w:lang w:eastAsia="zh-CN"/>
        </w:rPr>
        <w:t>响应文件</w:t>
      </w:r>
      <w:r>
        <w:rPr>
          <w:rFonts w:hint="eastAsia" w:ascii="仿宋" w:hAnsi="仿宋" w:eastAsia="仿宋" w:cs="仿宋"/>
          <w:b w:val="0"/>
          <w:bCs w:val="0"/>
          <w:spacing w:val="2"/>
          <w:sz w:val="24"/>
          <w:szCs w:val="24"/>
          <w:highlight w:val="none"/>
        </w:rPr>
        <w:t>应注明所供产品的“节字标志认证证书号”。</w:t>
      </w:r>
    </w:p>
    <w:p w14:paraId="36C16600">
      <w:pPr>
        <w:keepNext w:val="0"/>
        <w:keepLines w:val="0"/>
        <w:pageBreakBefore w:val="0"/>
        <w:widowControl w:val="0"/>
        <w:kinsoku/>
        <w:wordWrap w:val="0"/>
        <w:overflowPunct w:val="0"/>
        <w:topLinePunct/>
        <w:autoSpaceDE/>
        <w:autoSpaceDN/>
        <w:bidi w:val="0"/>
        <w:adjustRightInd/>
        <w:snapToGrid/>
        <w:spacing w:after="0" w:line="360" w:lineRule="auto"/>
        <w:ind w:left="0" w:right="0" w:firstLine="488" w:firstLineChars="200"/>
        <w:jc w:val="left"/>
        <w:textAlignment w:val="auto"/>
        <w:outlineLvl w:val="9"/>
        <w:rPr>
          <w:rFonts w:hint="eastAsia" w:ascii="仿宋" w:hAnsi="仿宋" w:eastAsia="仿宋" w:cs="仿宋"/>
          <w:b w:val="0"/>
          <w:bCs w:val="0"/>
          <w:spacing w:val="2"/>
          <w:sz w:val="24"/>
          <w:szCs w:val="24"/>
          <w:highlight w:val="none"/>
        </w:rPr>
      </w:pPr>
      <w:r>
        <w:rPr>
          <w:rFonts w:hint="eastAsia" w:ascii="仿宋" w:hAnsi="仿宋" w:eastAsia="仿宋" w:cs="仿宋"/>
          <w:b w:val="0"/>
          <w:bCs w:val="0"/>
          <w:spacing w:val="2"/>
          <w:sz w:val="24"/>
          <w:szCs w:val="24"/>
          <w:highlight w:val="none"/>
          <w:lang w:val="en-US" w:eastAsia="zh-CN"/>
        </w:rPr>
        <w:t>4.</w:t>
      </w:r>
      <w:r>
        <w:rPr>
          <w:rFonts w:hint="eastAsia" w:ascii="仿宋" w:hAnsi="仿宋" w:eastAsia="仿宋" w:cs="仿宋"/>
          <w:b w:val="0"/>
          <w:bCs w:val="0"/>
          <w:spacing w:val="2"/>
          <w:sz w:val="24"/>
          <w:szCs w:val="24"/>
          <w:highlight w:val="none"/>
        </w:rPr>
        <w:t>2、同等条件下，节能产品及环境标志产品优先采购。如所供产品有环保要求，应符合相关环保法律要求。</w:t>
      </w:r>
    </w:p>
    <w:p w14:paraId="1185D165">
      <w:pPr>
        <w:keepNext w:val="0"/>
        <w:keepLines w:val="0"/>
        <w:pageBreakBefore w:val="0"/>
        <w:widowControl w:val="0"/>
        <w:kinsoku/>
        <w:wordWrap w:val="0"/>
        <w:overflowPunct w:val="0"/>
        <w:topLinePunct/>
        <w:autoSpaceDE/>
        <w:autoSpaceDN/>
        <w:bidi w:val="0"/>
        <w:adjustRightInd/>
        <w:snapToGrid/>
        <w:spacing w:after="0" w:line="360" w:lineRule="auto"/>
        <w:ind w:left="0" w:right="0" w:firstLine="488" w:firstLineChars="200"/>
        <w:jc w:val="left"/>
        <w:textAlignment w:val="auto"/>
        <w:outlineLvl w:val="9"/>
        <w:rPr>
          <w:rFonts w:hint="eastAsia" w:ascii="仿宋" w:hAnsi="仿宋" w:eastAsia="仿宋" w:cs="仿宋"/>
          <w:b w:val="0"/>
          <w:bCs w:val="0"/>
          <w:spacing w:val="2"/>
          <w:sz w:val="24"/>
          <w:szCs w:val="24"/>
          <w:highlight w:val="none"/>
        </w:rPr>
      </w:pPr>
      <w:r>
        <w:rPr>
          <w:rFonts w:hint="eastAsia" w:ascii="仿宋" w:hAnsi="仿宋" w:eastAsia="仿宋" w:cs="仿宋"/>
          <w:b w:val="0"/>
          <w:bCs w:val="0"/>
          <w:spacing w:val="2"/>
          <w:sz w:val="24"/>
          <w:szCs w:val="24"/>
          <w:highlight w:val="none"/>
          <w:lang w:val="en-US" w:eastAsia="zh-CN"/>
        </w:rPr>
        <w:t>4.</w:t>
      </w:r>
      <w:r>
        <w:rPr>
          <w:rFonts w:hint="eastAsia" w:ascii="仿宋" w:hAnsi="仿宋" w:eastAsia="仿宋" w:cs="仿宋"/>
          <w:b w:val="0"/>
          <w:bCs w:val="0"/>
          <w:spacing w:val="2"/>
          <w:sz w:val="24"/>
          <w:szCs w:val="24"/>
          <w:highlight w:val="none"/>
        </w:rPr>
        <w:t>3、信息安全产品须通过国家信息安全认证中心认证，计算机产品须预装正版操作系统软件。</w:t>
      </w:r>
    </w:p>
    <w:p w14:paraId="69A0A48E">
      <w:pPr>
        <w:keepNext w:val="0"/>
        <w:keepLines w:val="0"/>
        <w:pageBreakBefore w:val="0"/>
        <w:widowControl w:val="0"/>
        <w:kinsoku/>
        <w:wordWrap w:val="0"/>
        <w:overflowPunct w:val="0"/>
        <w:topLinePunct/>
        <w:autoSpaceDE/>
        <w:autoSpaceDN/>
        <w:bidi w:val="0"/>
        <w:adjustRightInd/>
        <w:snapToGrid/>
        <w:spacing w:after="0" w:line="360" w:lineRule="auto"/>
        <w:ind w:left="0" w:right="0" w:firstLine="488" w:firstLineChars="200"/>
        <w:jc w:val="left"/>
        <w:textAlignment w:val="auto"/>
        <w:outlineLvl w:val="9"/>
        <w:rPr>
          <w:rFonts w:hint="eastAsia" w:ascii="仿宋" w:hAnsi="仿宋" w:eastAsia="仿宋" w:cs="仿宋"/>
          <w:b w:val="0"/>
          <w:bCs w:val="0"/>
          <w:spacing w:val="2"/>
          <w:sz w:val="24"/>
          <w:szCs w:val="24"/>
          <w:highlight w:val="none"/>
        </w:rPr>
      </w:pPr>
      <w:r>
        <w:rPr>
          <w:rFonts w:hint="eastAsia" w:ascii="仿宋" w:hAnsi="仿宋" w:eastAsia="仿宋" w:cs="仿宋"/>
          <w:b w:val="0"/>
          <w:bCs w:val="0"/>
          <w:spacing w:val="2"/>
          <w:sz w:val="24"/>
          <w:szCs w:val="24"/>
          <w:highlight w:val="none"/>
          <w:lang w:val="en-US" w:eastAsia="zh-CN"/>
        </w:rPr>
        <w:t>4.</w:t>
      </w:r>
      <w:r>
        <w:rPr>
          <w:rFonts w:hint="eastAsia" w:ascii="仿宋" w:hAnsi="仿宋" w:eastAsia="仿宋" w:cs="仿宋"/>
          <w:b w:val="0"/>
          <w:bCs w:val="0"/>
          <w:spacing w:val="2"/>
          <w:sz w:val="24"/>
          <w:szCs w:val="24"/>
          <w:highlight w:val="none"/>
        </w:rPr>
        <w:t>4、依据《财政部办公厅关于政府采购进口产品管理有关问题的通知》（财库〔2008〕248 号）文件要求，本项目不允许进口产品参加。</w:t>
      </w:r>
    </w:p>
    <w:p w14:paraId="5A5EDC8F">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0" w:firstLineChars="200"/>
        <w:jc w:val="left"/>
        <w:textAlignment w:val="auto"/>
        <w:outlineLvl w:val="9"/>
        <w:rPr>
          <w:rFonts w:hint="eastAsia" w:ascii="仿宋" w:hAnsi="仿宋" w:eastAsia="仿宋" w:cs="仿宋"/>
          <w:b/>
          <w:bCs/>
          <w:sz w:val="24"/>
          <w:szCs w:val="24"/>
          <w:highlight w:val="none"/>
        </w:rPr>
      </w:pPr>
      <w:r>
        <w:rPr>
          <w:rFonts w:hint="eastAsia" w:ascii="仿宋" w:hAnsi="仿宋" w:eastAsia="仿宋" w:cs="仿宋"/>
          <w:b/>
          <w:bCs/>
          <w:spacing w:val="2"/>
          <w:sz w:val="24"/>
          <w:szCs w:val="24"/>
          <w:highlight w:val="none"/>
          <w:lang w:eastAsia="zh-CN"/>
        </w:rPr>
        <w:t>五</w:t>
      </w:r>
      <w:r>
        <w:rPr>
          <w:rFonts w:hint="eastAsia" w:ascii="仿宋" w:hAnsi="仿宋" w:eastAsia="仿宋" w:cs="仿宋"/>
          <w:b/>
          <w:bCs/>
          <w:spacing w:val="2"/>
          <w:sz w:val="24"/>
          <w:szCs w:val="24"/>
          <w:highlight w:val="none"/>
        </w:rPr>
        <w:t>、促进中小企业发展扶持政策：</w:t>
      </w:r>
    </w:p>
    <w:p w14:paraId="5952E02D">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88" w:firstLineChars="200"/>
        <w:jc w:val="left"/>
        <w:textAlignment w:val="auto"/>
        <w:outlineLvl w:val="9"/>
        <w:rPr>
          <w:rFonts w:hint="eastAsia" w:ascii="仿宋" w:hAnsi="仿宋" w:eastAsia="仿宋" w:cs="仿宋"/>
          <w:b w:val="0"/>
          <w:bCs w:val="0"/>
          <w:spacing w:val="3"/>
          <w:sz w:val="24"/>
          <w:szCs w:val="24"/>
          <w:highlight w:val="none"/>
        </w:rPr>
      </w:pPr>
      <w:r>
        <w:rPr>
          <w:rFonts w:hint="eastAsia" w:ascii="仿宋" w:hAnsi="仿宋" w:eastAsia="仿宋" w:cs="仿宋"/>
          <w:b w:val="0"/>
          <w:bCs w:val="0"/>
          <w:spacing w:val="2"/>
          <w:sz w:val="24"/>
          <w:szCs w:val="24"/>
          <w:highlight w:val="none"/>
        </w:rPr>
        <w:t>5.1中小企业是指，在中华人民共和国境内依法设立，依据国务院批准的中小企业划分</w:t>
      </w:r>
      <w:r>
        <w:rPr>
          <w:rFonts w:hint="eastAsia" w:ascii="仿宋" w:hAnsi="仿宋" w:eastAsia="仿宋" w:cs="仿宋"/>
          <w:b w:val="0"/>
          <w:bCs w:val="0"/>
          <w:spacing w:val="3"/>
          <w:sz w:val="24"/>
          <w:szCs w:val="24"/>
          <w:highlight w:val="none"/>
        </w:rPr>
        <w:t>标准确定的中型、小型和微型企业，但与大企业的负责人为同一人，或者与大企业存在直接</w:t>
      </w:r>
      <w:r>
        <w:rPr>
          <w:rFonts w:hint="eastAsia" w:ascii="仿宋" w:hAnsi="仿宋" w:eastAsia="仿宋" w:cs="仿宋"/>
          <w:b w:val="0"/>
          <w:bCs w:val="0"/>
          <w:spacing w:val="12"/>
          <w:sz w:val="24"/>
          <w:szCs w:val="24"/>
          <w:highlight w:val="none"/>
        </w:rPr>
        <w:t xml:space="preserve"> </w:t>
      </w:r>
      <w:r>
        <w:rPr>
          <w:rFonts w:hint="eastAsia" w:ascii="仿宋" w:hAnsi="仿宋" w:eastAsia="仿宋" w:cs="仿宋"/>
          <w:b w:val="0"/>
          <w:bCs w:val="0"/>
          <w:spacing w:val="3"/>
          <w:sz w:val="24"/>
          <w:szCs w:val="24"/>
          <w:highlight w:val="none"/>
        </w:rPr>
        <w:t>控股、管理关系的除外。符合中小企业划分标准的个体工商户，在政府采购活动中视同中小企业。</w:t>
      </w:r>
    </w:p>
    <w:p w14:paraId="5D462673">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2" w:firstLineChars="200"/>
        <w:jc w:val="left"/>
        <w:textAlignment w:val="auto"/>
        <w:outlineLvl w:val="9"/>
        <w:rPr>
          <w:rFonts w:hint="eastAsia" w:ascii="仿宋" w:hAnsi="仿宋" w:eastAsia="仿宋" w:cs="仿宋"/>
          <w:b w:val="0"/>
          <w:bCs w:val="0"/>
          <w:spacing w:val="3"/>
          <w:sz w:val="24"/>
          <w:szCs w:val="24"/>
          <w:highlight w:val="none"/>
        </w:rPr>
      </w:pPr>
      <w:r>
        <w:rPr>
          <w:rFonts w:hint="eastAsia" w:ascii="仿宋" w:hAnsi="仿宋" w:eastAsia="仿宋" w:cs="仿宋"/>
          <w:b w:val="0"/>
          <w:bCs w:val="0"/>
          <w:spacing w:val="3"/>
          <w:sz w:val="24"/>
          <w:szCs w:val="24"/>
          <w:highlight w:val="none"/>
        </w:rPr>
        <w:t>5.2 本次政府采购活动中，供应商提供的货物、工程或者服务符合下列情形的，享受中小企业扶持政策：</w:t>
      </w:r>
    </w:p>
    <w:p w14:paraId="3B52A133">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2" w:firstLineChars="20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3"/>
          <w:sz w:val="24"/>
          <w:szCs w:val="24"/>
          <w:highlight w:val="none"/>
        </w:rPr>
        <w:t>（1）在货物采购项目中，货物由中小企业制造，即货物由中小企业生产且使用该中小</w:t>
      </w:r>
      <w:r>
        <w:rPr>
          <w:rFonts w:hint="eastAsia" w:ascii="仿宋" w:hAnsi="仿宋" w:eastAsia="仿宋" w:cs="仿宋"/>
          <w:b w:val="0"/>
          <w:bCs w:val="0"/>
          <w:spacing w:val="4"/>
          <w:sz w:val="24"/>
          <w:szCs w:val="24"/>
          <w:highlight w:val="none"/>
        </w:rPr>
        <w:t xml:space="preserve">  </w:t>
      </w:r>
      <w:r>
        <w:rPr>
          <w:rFonts w:hint="eastAsia" w:ascii="仿宋" w:hAnsi="仿宋" w:eastAsia="仿宋" w:cs="仿宋"/>
          <w:b w:val="0"/>
          <w:bCs w:val="0"/>
          <w:spacing w:val="3"/>
          <w:sz w:val="24"/>
          <w:szCs w:val="24"/>
          <w:highlight w:val="none"/>
        </w:rPr>
        <w:t>企业商号或者注册商标，但供应商提供的货物既有中小企业制造货物，也有大型企业制造货</w:t>
      </w:r>
      <w:r>
        <w:rPr>
          <w:rFonts w:hint="eastAsia" w:ascii="仿宋" w:hAnsi="仿宋" w:eastAsia="仿宋" w:cs="仿宋"/>
          <w:b w:val="0"/>
          <w:bCs w:val="0"/>
          <w:spacing w:val="2"/>
          <w:sz w:val="24"/>
          <w:szCs w:val="24"/>
          <w:highlight w:val="none"/>
        </w:rPr>
        <w:t>物的，不享受中小企业扶持政策；</w:t>
      </w:r>
    </w:p>
    <w:p w14:paraId="32074865">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2" w:firstLineChars="20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3"/>
          <w:sz w:val="24"/>
          <w:szCs w:val="24"/>
          <w:highlight w:val="none"/>
        </w:rPr>
        <w:t>（2）在工程采购项目中，工程由中小企业承建，即工程施工单位为中小企业；</w:t>
      </w:r>
    </w:p>
    <w:p w14:paraId="49FCBADB">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76" w:firstLineChars="20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1"/>
          <w:position w:val="17"/>
          <w:sz w:val="24"/>
          <w:szCs w:val="24"/>
          <w:highlight w:val="none"/>
        </w:rPr>
        <w:t>（3）在服务采购项目中，服务由中小企业承接，即提供服务的人员为中小企业依照《中</w:t>
      </w:r>
    </w:p>
    <w:p w14:paraId="6481DD4D">
      <w:pPr>
        <w:keepNext w:val="0"/>
        <w:keepLines w:val="0"/>
        <w:pageBreakBefore w:val="0"/>
        <w:widowControl w:val="0"/>
        <w:kinsoku/>
        <w:wordWrap/>
        <w:overflowPunct/>
        <w:topLinePunct w:val="0"/>
        <w:autoSpaceDE w:val="0"/>
        <w:autoSpaceDN w:val="0"/>
        <w:bidi w:val="0"/>
        <w:adjustRightInd/>
        <w:snapToGrid/>
        <w:spacing w:after="0" w:line="360" w:lineRule="auto"/>
        <w:ind w:right="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3"/>
          <w:sz w:val="24"/>
          <w:szCs w:val="24"/>
          <w:highlight w:val="none"/>
        </w:rPr>
        <w:t>华人民共和国</w:t>
      </w:r>
      <w:r>
        <w:rPr>
          <w:rFonts w:hint="eastAsia" w:ascii="仿宋" w:hAnsi="仿宋" w:eastAsia="仿宋" w:cs="仿宋"/>
          <w:b w:val="0"/>
          <w:bCs w:val="0"/>
          <w:spacing w:val="3"/>
          <w:sz w:val="24"/>
          <w:szCs w:val="24"/>
          <w:highlight w:val="yellow"/>
        </w:rPr>
        <w:t>劳动</w:t>
      </w:r>
      <w:r>
        <w:rPr>
          <w:rFonts w:hint="eastAsia" w:ascii="仿宋" w:hAnsi="仿宋" w:eastAsia="仿宋" w:cs="仿宋"/>
          <w:b w:val="0"/>
          <w:bCs w:val="0"/>
          <w:spacing w:val="3"/>
          <w:sz w:val="24"/>
          <w:szCs w:val="24"/>
          <w:highlight w:val="yellow"/>
          <w:lang w:eastAsia="zh-CN"/>
        </w:rPr>
        <w:t>法</w:t>
      </w:r>
      <w:r>
        <w:rPr>
          <w:rFonts w:hint="eastAsia" w:ascii="仿宋" w:hAnsi="仿宋" w:eastAsia="仿宋" w:cs="仿宋"/>
          <w:b w:val="0"/>
          <w:bCs w:val="0"/>
          <w:spacing w:val="3"/>
          <w:sz w:val="24"/>
          <w:szCs w:val="24"/>
          <w:highlight w:val="none"/>
        </w:rPr>
        <w:t>》订立劳动合同的从业人员；</w:t>
      </w:r>
    </w:p>
    <w:p w14:paraId="0E2521F9">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2" w:firstLineChars="20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3"/>
          <w:position w:val="17"/>
          <w:sz w:val="24"/>
          <w:szCs w:val="24"/>
          <w:highlight w:val="none"/>
        </w:rPr>
        <w:t>（4）以联合体形式参加政府采购活动，联合体各方均为中小企业的，联合体视同中小</w:t>
      </w:r>
    </w:p>
    <w:p w14:paraId="4AD44FFC">
      <w:pPr>
        <w:keepNext w:val="0"/>
        <w:keepLines w:val="0"/>
        <w:pageBreakBefore w:val="0"/>
        <w:widowControl w:val="0"/>
        <w:kinsoku/>
        <w:wordWrap/>
        <w:overflowPunct/>
        <w:topLinePunct w:val="0"/>
        <w:autoSpaceDE w:val="0"/>
        <w:autoSpaceDN w:val="0"/>
        <w:bidi w:val="0"/>
        <w:adjustRightInd/>
        <w:snapToGrid/>
        <w:spacing w:after="0" w:line="360" w:lineRule="auto"/>
        <w:ind w:right="0"/>
        <w:jc w:val="left"/>
        <w:textAlignment w:val="auto"/>
        <w:outlineLvl w:val="9"/>
        <w:rPr>
          <w:rFonts w:hint="eastAsia" w:ascii="仿宋" w:hAnsi="仿宋" w:eastAsia="仿宋" w:cs="仿宋"/>
          <w:b w:val="0"/>
          <w:bCs w:val="0"/>
          <w:spacing w:val="3"/>
          <w:sz w:val="24"/>
          <w:szCs w:val="24"/>
          <w:highlight w:val="none"/>
        </w:rPr>
      </w:pPr>
      <w:r>
        <w:rPr>
          <w:rFonts w:hint="eastAsia" w:ascii="仿宋" w:hAnsi="仿宋" w:eastAsia="仿宋" w:cs="仿宋"/>
          <w:b w:val="0"/>
          <w:bCs w:val="0"/>
          <w:spacing w:val="3"/>
          <w:sz w:val="24"/>
          <w:szCs w:val="24"/>
          <w:highlight w:val="none"/>
        </w:rPr>
        <w:t>企业。其中，联合体各方均为小微企业的，联合体视同小微企业。</w:t>
      </w:r>
    </w:p>
    <w:p w14:paraId="07C8F4F3">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2" w:firstLineChars="200"/>
        <w:jc w:val="left"/>
        <w:textAlignment w:val="auto"/>
        <w:outlineLvl w:val="9"/>
        <w:rPr>
          <w:rFonts w:hint="eastAsia" w:ascii="仿宋" w:hAnsi="仿宋" w:eastAsia="仿宋" w:cs="仿宋"/>
          <w:b w:val="0"/>
          <w:bCs w:val="0"/>
          <w:spacing w:val="3"/>
          <w:sz w:val="24"/>
          <w:szCs w:val="24"/>
          <w:highlight w:val="none"/>
        </w:rPr>
      </w:pPr>
      <w:r>
        <w:rPr>
          <w:rFonts w:hint="eastAsia" w:ascii="仿宋" w:hAnsi="仿宋" w:eastAsia="仿宋" w:cs="仿宋"/>
          <w:b w:val="0"/>
          <w:bCs w:val="0"/>
          <w:spacing w:val="3"/>
          <w:sz w:val="24"/>
          <w:szCs w:val="24"/>
          <w:highlight w:val="none"/>
        </w:rPr>
        <w:t>5.3 若本项目或采购包是专门预留采购份额面向中小企业采购的，则供应商必须提供相关证明材料予以证明，参加本项目或采购包的供应商不再享受价格扣除政策。</w:t>
      </w:r>
    </w:p>
    <w:p w14:paraId="4A8D81D6">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4" w:firstLineChars="200"/>
        <w:jc w:val="left"/>
        <w:textAlignment w:val="auto"/>
        <w:outlineLvl w:val="9"/>
        <w:rPr>
          <w:rFonts w:hint="eastAsia" w:ascii="仿宋" w:hAnsi="仿宋" w:eastAsia="仿宋" w:cs="仿宋"/>
          <w:b/>
          <w:bCs/>
          <w:spacing w:val="3"/>
          <w:sz w:val="24"/>
          <w:szCs w:val="24"/>
          <w:highlight w:val="none"/>
        </w:rPr>
      </w:pPr>
      <w:r>
        <w:rPr>
          <w:rFonts w:hint="eastAsia" w:ascii="仿宋" w:hAnsi="仿宋" w:eastAsia="仿宋" w:cs="仿宋"/>
          <w:b/>
          <w:bCs/>
          <w:spacing w:val="3"/>
          <w:sz w:val="24"/>
          <w:szCs w:val="24"/>
          <w:highlight w:val="none"/>
        </w:rPr>
        <w:t>本项目专门面向中小企业采购，不再执行价格评审优惠的扶持政策，须提供《中小企业声明函》。</w:t>
      </w:r>
      <w:r>
        <w:rPr>
          <w:rFonts w:hint="eastAsia" w:ascii="仿宋" w:hAnsi="仿宋" w:eastAsia="仿宋" w:cs="仿宋"/>
          <w:b/>
          <w:bCs/>
          <w:spacing w:val="3"/>
          <w:sz w:val="24"/>
          <w:szCs w:val="24"/>
          <w:highlight w:val="none"/>
          <w:lang w:val="en-US" w:eastAsia="zh-CN"/>
        </w:rPr>
        <w:t>供应商无需在“响应文件编制系统”分项报价表中选择“是否享受价格折扣、折扣率（%）”。</w:t>
      </w:r>
    </w:p>
    <w:p w14:paraId="50FE1430">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2" w:firstLineChars="200"/>
        <w:jc w:val="left"/>
        <w:textAlignment w:val="auto"/>
        <w:outlineLvl w:val="9"/>
        <w:rPr>
          <w:rFonts w:hint="eastAsia" w:ascii="仿宋" w:hAnsi="仿宋" w:eastAsia="仿宋" w:cs="仿宋"/>
          <w:b w:val="0"/>
          <w:bCs w:val="0"/>
          <w:spacing w:val="3"/>
          <w:sz w:val="24"/>
          <w:szCs w:val="24"/>
          <w:highlight w:val="none"/>
        </w:rPr>
      </w:pPr>
      <w:r>
        <w:rPr>
          <w:rFonts w:hint="eastAsia" w:ascii="仿宋" w:hAnsi="仿宋" w:eastAsia="仿宋" w:cs="仿宋"/>
          <w:b w:val="0"/>
          <w:bCs w:val="0"/>
          <w:spacing w:val="3"/>
          <w:sz w:val="24"/>
          <w:szCs w:val="24"/>
          <w:highlight w:val="none"/>
        </w:rPr>
        <w:t>5.4 若本项目或采购包是非专门预留采购份额面向中小企业采购的，则对小微企业的价格给予20%的扣除，用扣除后的价格参加评审。若本次政府采购活动允许大中型企业与小微企业组成联合体或者允许大中型企业向一家或者多家小微企业分包的，对于联合协议或者分 包意向协议约定小微企业的合同份额占到合同总金额 30%以上的，给予联合体或者大中型企业 4%的价格扣除，用扣除后的价格参加评审。</w:t>
      </w:r>
    </w:p>
    <w:p w14:paraId="27AF72A9">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2" w:firstLineChars="200"/>
        <w:jc w:val="left"/>
        <w:textAlignment w:val="auto"/>
        <w:outlineLvl w:val="9"/>
        <w:rPr>
          <w:rFonts w:hint="eastAsia" w:ascii="仿宋" w:hAnsi="仿宋" w:eastAsia="仿宋" w:cs="仿宋"/>
          <w:b w:val="0"/>
          <w:bCs w:val="0"/>
          <w:spacing w:val="3"/>
          <w:sz w:val="24"/>
          <w:szCs w:val="24"/>
          <w:highlight w:val="none"/>
        </w:rPr>
      </w:pPr>
      <w:r>
        <w:rPr>
          <w:rFonts w:hint="eastAsia" w:ascii="仿宋" w:hAnsi="仿宋" w:eastAsia="仿宋" w:cs="仿宋"/>
          <w:b w:val="0"/>
          <w:bCs w:val="0"/>
          <w:spacing w:val="3"/>
          <w:sz w:val="24"/>
          <w:szCs w:val="24"/>
          <w:highlight w:val="none"/>
        </w:rPr>
        <w:t>5.5 享受小微企业价格扣除的界定依据（未按要求提供相关资料的，不享受价格扣除扶持政策）：</w:t>
      </w:r>
    </w:p>
    <w:p w14:paraId="10308ADC">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2" w:firstLineChars="200"/>
        <w:jc w:val="left"/>
        <w:textAlignment w:val="auto"/>
        <w:outlineLvl w:val="9"/>
        <w:rPr>
          <w:rFonts w:hint="eastAsia" w:ascii="仿宋" w:hAnsi="仿宋" w:eastAsia="仿宋" w:cs="仿宋"/>
          <w:b w:val="0"/>
          <w:bCs w:val="0"/>
          <w:spacing w:val="3"/>
          <w:sz w:val="24"/>
          <w:szCs w:val="24"/>
          <w:highlight w:val="none"/>
        </w:rPr>
      </w:pPr>
      <w:r>
        <w:rPr>
          <w:rFonts w:hint="eastAsia" w:ascii="仿宋" w:hAnsi="仿宋" w:eastAsia="仿宋" w:cs="仿宋"/>
          <w:b w:val="0"/>
          <w:bCs w:val="0"/>
          <w:spacing w:val="3"/>
          <w:sz w:val="24"/>
          <w:szCs w:val="24"/>
          <w:highlight w:val="none"/>
        </w:rPr>
        <w:t>(1)参加本次政府采购活动的小微企业应按附件格式提供《中小企业声明函》；</w:t>
      </w:r>
    </w:p>
    <w:p w14:paraId="3EAF94E0">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2" w:firstLineChars="200"/>
        <w:jc w:val="left"/>
        <w:textAlignment w:val="auto"/>
        <w:outlineLvl w:val="9"/>
        <w:rPr>
          <w:rFonts w:hint="eastAsia" w:ascii="仿宋" w:hAnsi="仿宋" w:eastAsia="仿宋" w:cs="仿宋"/>
          <w:b w:val="0"/>
          <w:bCs w:val="0"/>
          <w:spacing w:val="3"/>
          <w:sz w:val="24"/>
          <w:szCs w:val="24"/>
          <w:highlight w:val="none"/>
        </w:rPr>
      </w:pPr>
      <w:r>
        <w:rPr>
          <w:rFonts w:hint="eastAsia" w:ascii="仿宋" w:hAnsi="仿宋" w:eastAsia="仿宋" w:cs="仿宋"/>
          <w:b w:val="0"/>
          <w:bCs w:val="0"/>
          <w:spacing w:val="3"/>
          <w:sz w:val="24"/>
          <w:szCs w:val="24"/>
          <w:highlight w:val="none"/>
        </w:rPr>
        <w:t>(2)供应商对申报的小微企业产品的价格扣除事项在附件《小微企业产品价格扣除明细</w:t>
      </w:r>
    </w:p>
    <w:p w14:paraId="5CFB2EC2">
      <w:pPr>
        <w:keepNext w:val="0"/>
        <w:keepLines w:val="0"/>
        <w:pageBreakBefore w:val="0"/>
        <w:widowControl w:val="0"/>
        <w:kinsoku/>
        <w:wordWrap/>
        <w:overflowPunct/>
        <w:topLinePunct w:val="0"/>
        <w:autoSpaceDE w:val="0"/>
        <w:autoSpaceDN w:val="0"/>
        <w:bidi w:val="0"/>
        <w:adjustRightInd/>
        <w:snapToGrid/>
        <w:spacing w:after="0" w:line="360" w:lineRule="auto"/>
        <w:ind w:right="0"/>
        <w:jc w:val="left"/>
        <w:textAlignment w:val="auto"/>
        <w:outlineLvl w:val="9"/>
        <w:rPr>
          <w:rFonts w:hint="eastAsia" w:ascii="仿宋" w:hAnsi="仿宋" w:eastAsia="仿宋" w:cs="仿宋"/>
          <w:b w:val="0"/>
          <w:bCs w:val="0"/>
          <w:spacing w:val="3"/>
          <w:sz w:val="24"/>
          <w:szCs w:val="24"/>
          <w:highlight w:val="none"/>
        </w:rPr>
      </w:pPr>
      <w:r>
        <w:rPr>
          <w:rFonts w:hint="eastAsia" w:ascii="仿宋" w:hAnsi="仿宋" w:eastAsia="仿宋" w:cs="仿宋"/>
          <w:b w:val="0"/>
          <w:bCs w:val="0"/>
          <w:spacing w:val="3"/>
          <w:sz w:val="24"/>
          <w:szCs w:val="24"/>
          <w:highlight w:val="none"/>
        </w:rPr>
        <w:t>表》和电子交易系统中如实认真填列。</w:t>
      </w:r>
    </w:p>
    <w:p w14:paraId="0354070F">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2" w:firstLineChars="20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3"/>
          <w:sz w:val="24"/>
          <w:szCs w:val="24"/>
          <w:highlight w:val="none"/>
        </w:rPr>
        <w:t>5.6 监狱企业视同小型、微型企业，享受预留份额、评审中价格扣除等政府采购促进中 小企业发展的政府采购政策。监狱企业参加政府采购活动时，应当提供由省级以上监狱管理局、戒毒管理局（含新疆生产建设兵团）出具的属于监狱企业的证明文件。</w:t>
      </w:r>
    </w:p>
    <w:p w14:paraId="0346A16E">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2" w:firstLineChars="20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3"/>
          <w:position w:val="17"/>
          <w:sz w:val="24"/>
          <w:szCs w:val="24"/>
          <w:highlight w:val="none"/>
        </w:rPr>
        <w:t xml:space="preserve">5.7 </w:t>
      </w:r>
      <w:r>
        <w:rPr>
          <w:rFonts w:hint="eastAsia" w:ascii="仿宋" w:hAnsi="仿宋" w:eastAsia="仿宋" w:cs="仿宋"/>
          <w:b w:val="0"/>
          <w:bCs w:val="0"/>
          <w:spacing w:val="3"/>
          <w:position w:val="17"/>
          <w:sz w:val="24"/>
          <w:szCs w:val="24"/>
          <w:highlight w:val="none"/>
          <w:lang w:eastAsia="zh-CN"/>
        </w:rPr>
        <w:t>磋商小组</w:t>
      </w:r>
      <w:r>
        <w:rPr>
          <w:rFonts w:hint="eastAsia" w:ascii="仿宋" w:hAnsi="仿宋" w:eastAsia="仿宋" w:cs="仿宋"/>
          <w:b w:val="0"/>
          <w:bCs w:val="0"/>
          <w:spacing w:val="3"/>
          <w:position w:val="17"/>
          <w:sz w:val="24"/>
          <w:szCs w:val="24"/>
          <w:highlight w:val="none"/>
        </w:rPr>
        <w:t>对供应商申报的小微企业产品的价格扣除事项 （</w:t>
      </w:r>
      <w:r>
        <w:rPr>
          <w:rFonts w:hint="eastAsia" w:ascii="仿宋" w:hAnsi="仿宋" w:eastAsia="仿宋" w:cs="仿宋"/>
          <w:b w:val="0"/>
          <w:bCs w:val="0"/>
          <w:spacing w:val="3"/>
          <w:position w:val="17"/>
          <w:sz w:val="24"/>
          <w:szCs w:val="24"/>
          <w:highlight w:val="none"/>
          <w:lang w:eastAsia="zh-CN"/>
        </w:rPr>
        <w:t>响应文件</w:t>
      </w:r>
      <w:r>
        <w:rPr>
          <w:rFonts w:hint="eastAsia" w:ascii="仿宋" w:hAnsi="仿宋" w:eastAsia="仿宋" w:cs="仿宋"/>
          <w:b w:val="0"/>
          <w:bCs w:val="0"/>
          <w:spacing w:val="3"/>
          <w:position w:val="17"/>
          <w:sz w:val="24"/>
          <w:szCs w:val="24"/>
          <w:highlight w:val="none"/>
        </w:rPr>
        <w:t>中相关明细</w:t>
      </w:r>
    </w:p>
    <w:p w14:paraId="5F3C5C3B">
      <w:pPr>
        <w:keepNext w:val="0"/>
        <w:keepLines w:val="0"/>
        <w:pageBreakBefore w:val="0"/>
        <w:widowControl w:val="0"/>
        <w:kinsoku/>
        <w:wordWrap/>
        <w:overflowPunct/>
        <w:topLinePunct w:val="0"/>
        <w:autoSpaceDE w:val="0"/>
        <w:autoSpaceDN w:val="0"/>
        <w:bidi w:val="0"/>
        <w:adjustRightInd/>
        <w:snapToGrid/>
        <w:spacing w:after="0" w:line="360" w:lineRule="auto"/>
        <w:ind w:right="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2"/>
          <w:sz w:val="24"/>
          <w:szCs w:val="24"/>
          <w:highlight w:val="none"/>
        </w:rPr>
        <w:t>表等）进行评审：</w:t>
      </w:r>
    </w:p>
    <w:p w14:paraId="69864D9E">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88" w:firstLineChars="20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2"/>
          <w:position w:val="17"/>
          <w:sz w:val="24"/>
          <w:szCs w:val="24"/>
          <w:highlight w:val="none"/>
        </w:rPr>
        <w:t>(1)</w:t>
      </w:r>
      <w:r>
        <w:rPr>
          <w:rFonts w:hint="eastAsia" w:ascii="仿宋" w:hAnsi="仿宋" w:eastAsia="仿宋" w:cs="仿宋"/>
          <w:b w:val="0"/>
          <w:bCs w:val="0"/>
          <w:spacing w:val="2"/>
          <w:position w:val="17"/>
          <w:sz w:val="24"/>
          <w:szCs w:val="24"/>
          <w:highlight w:val="none"/>
          <w:lang w:eastAsia="zh-CN"/>
        </w:rPr>
        <w:t>磋商小组</w:t>
      </w:r>
      <w:r>
        <w:rPr>
          <w:rFonts w:hint="eastAsia" w:ascii="仿宋" w:hAnsi="仿宋" w:eastAsia="仿宋" w:cs="仿宋"/>
          <w:b w:val="0"/>
          <w:bCs w:val="0"/>
          <w:spacing w:val="2"/>
          <w:position w:val="17"/>
          <w:sz w:val="24"/>
          <w:szCs w:val="24"/>
          <w:highlight w:val="none"/>
        </w:rPr>
        <w:t>对供应商申报的小微企业产品的价格扣除事项的评审结论，分为合格与</w:t>
      </w:r>
    </w:p>
    <w:p w14:paraId="1503150C">
      <w:pPr>
        <w:keepNext w:val="0"/>
        <w:keepLines w:val="0"/>
        <w:pageBreakBefore w:val="0"/>
        <w:widowControl w:val="0"/>
        <w:kinsoku/>
        <w:wordWrap/>
        <w:overflowPunct/>
        <w:topLinePunct w:val="0"/>
        <w:autoSpaceDE w:val="0"/>
        <w:autoSpaceDN w:val="0"/>
        <w:bidi w:val="0"/>
        <w:adjustRightInd/>
        <w:snapToGrid/>
        <w:spacing w:after="0" w:line="360" w:lineRule="auto"/>
        <w:ind w:right="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11"/>
          <w:sz w:val="24"/>
          <w:szCs w:val="24"/>
          <w:highlight w:val="none"/>
        </w:rPr>
        <w:t>不合格；</w:t>
      </w:r>
    </w:p>
    <w:p w14:paraId="6C9A4801">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60" w:firstLineChars="20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5"/>
          <w:sz w:val="24"/>
          <w:szCs w:val="24"/>
          <w:highlight w:val="none"/>
        </w:rPr>
        <w:t>(2)经评审、申报的价格扣除事项如有计算错误（明细金额或总金额有元以上计算错误）、</w:t>
      </w:r>
      <w:r>
        <w:rPr>
          <w:rFonts w:hint="eastAsia" w:ascii="仿宋" w:hAnsi="仿宋" w:eastAsia="仿宋" w:cs="仿宋"/>
          <w:b w:val="0"/>
          <w:bCs w:val="0"/>
          <w:spacing w:val="15"/>
          <w:sz w:val="24"/>
          <w:szCs w:val="24"/>
          <w:highlight w:val="none"/>
        </w:rPr>
        <w:t xml:space="preserve"> </w:t>
      </w:r>
      <w:r>
        <w:rPr>
          <w:rFonts w:hint="eastAsia" w:ascii="仿宋" w:hAnsi="仿宋" w:eastAsia="仿宋" w:cs="仿宋"/>
          <w:b w:val="0"/>
          <w:bCs w:val="0"/>
          <w:spacing w:val="3"/>
          <w:sz w:val="24"/>
          <w:szCs w:val="24"/>
          <w:highlight w:val="none"/>
        </w:rPr>
        <w:t>多报产品、错报产品、明细报价不合理对价格扣除产生重要影响、缺失声明函等任一不符</w:t>
      </w:r>
      <w:r>
        <w:rPr>
          <w:rFonts w:hint="eastAsia" w:ascii="仿宋" w:hAnsi="仿宋" w:eastAsia="仿宋" w:cs="仿宋"/>
          <w:b w:val="0"/>
          <w:bCs w:val="0"/>
          <w:spacing w:val="2"/>
          <w:sz w:val="24"/>
          <w:szCs w:val="24"/>
          <w:highlight w:val="none"/>
        </w:rPr>
        <w:t>合</w:t>
      </w:r>
      <w:r>
        <w:rPr>
          <w:rFonts w:hint="eastAsia" w:ascii="仿宋" w:hAnsi="仿宋" w:eastAsia="仿宋" w:cs="仿宋"/>
          <w:b w:val="0"/>
          <w:bCs w:val="0"/>
          <w:spacing w:val="3"/>
          <w:sz w:val="24"/>
          <w:szCs w:val="24"/>
          <w:highlight w:val="none"/>
        </w:rPr>
        <w:t>政策要求及不准确的事项，</w:t>
      </w:r>
      <w:r>
        <w:rPr>
          <w:rFonts w:hint="eastAsia" w:ascii="仿宋" w:hAnsi="仿宋" w:eastAsia="仿宋" w:cs="仿宋"/>
          <w:b w:val="0"/>
          <w:bCs w:val="0"/>
          <w:spacing w:val="3"/>
          <w:sz w:val="24"/>
          <w:szCs w:val="24"/>
          <w:highlight w:val="none"/>
          <w:lang w:eastAsia="zh-CN"/>
        </w:rPr>
        <w:t>磋商小组</w:t>
      </w:r>
      <w:r>
        <w:rPr>
          <w:rFonts w:hint="eastAsia" w:ascii="仿宋" w:hAnsi="仿宋" w:eastAsia="仿宋" w:cs="仿宋"/>
          <w:b w:val="0"/>
          <w:bCs w:val="0"/>
          <w:spacing w:val="3"/>
          <w:sz w:val="24"/>
          <w:szCs w:val="24"/>
          <w:highlight w:val="none"/>
        </w:rPr>
        <w:t>将评审为不合格，该供应商申报的价格扣除事项不予</w:t>
      </w:r>
      <w:r>
        <w:rPr>
          <w:rFonts w:hint="eastAsia" w:ascii="仿宋" w:hAnsi="仿宋" w:eastAsia="仿宋" w:cs="仿宋"/>
          <w:b w:val="0"/>
          <w:bCs w:val="0"/>
          <w:spacing w:val="-13"/>
          <w:sz w:val="24"/>
          <w:szCs w:val="24"/>
          <w:highlight w:val="none"/>
        </w:rPr>
        <w:t>接受；</w:t>
      </w:r>
    </w:p>
    <w:p w14:paraId="062A2BF5">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60" w:firstLineChars="200"/>
        <w:jc w:val="left"/>
        <w:textAlignment w:val="auto"/>
        <w:outlineLvl w:val="9"/>
        <w:rPr>
          <w:rFonts w:hint="eastAsia" w:ascii="仿宋" w:hAnsi="仿宋" w:eastAsia="仿宋" w:cs="仿宋"/>
          <w:b w:val="0"/>
          <w:bCs w:val="0"/>
          <w:spacing w:val="-5"/>
          <w:sz w:val="24"/>
          <w:szCs w:val="24"/>
          <w:highlight w:val="none"/>
        </w:rPr>
      </w:pPr>
      <w:r>
        <w:rPr>
          <w:rFonts w:hint="eastAsia" w:ascii="仿宋" w:hAnsi="仿宋" w:eastAsia="仿宋" w:cs="仿宋"/>
          <w:b w:val="0"/>
          <w:bCs w:val="0"/>
          <w:spacing w:val="-5"/>
          <w:sz w:val="24"/>
          <w:szCs w:val="24"/>
          <w:highlight w:val="none"/>
        </w:rPr>
        <w:t>(3)评审合格的，接受其申报的小微企业产品的价格扣除总金额，用扣除后的价格参与评审。</w:t>
      </w:r>
    </w:p>
    <w:p w14:paraId="74BE534C">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60" w:firstLineChars="200"/>
        <w:jc w:val="left"/>
        <w:textAlignment w:val="auto"/>
        <w:outlineLvl w:val="9"/>
        <w:rPr>
          <w:rFonts w:hint="eastAsia" w:ascii="仿宋" w:hAnsi="仿宋" w:eastAsia="仿宋" w:cs="仿宋"/>
          <w:b w:val="0"/>
          <w:bCs w:val="0"/>
          <w:spacing w:val="-5"/>
          <w:sz w:val="24"/>
          <w:szCs w:val="24"/>
          <w:highlight w:val="none"/>
        </w:rPr>
      </w:pPr>
      <w:r>
        <w:rPr>
          <w:rFonts w:hint="eastAsia" w:ascii="仿宋" w:hAnsi="仿宋" w:eastAsia="仿宋" w:cs="仿宋"/>
          <w:b w:val="0"/>
          <w:bCs w:val="0"/>
          <w:spacing w:val="-5"/>
          <w:sz w:val="24"/>
          <w:szCs w:val="24"/>
          <w:highlight w:val="none"/>
        </w:rPr>
        <w:t>5.8 享受扶持政策获得政府采购合同的小微企业不得将合同分包给大中型企业，中型企业不得将合同分包给大型企业。</w:t>
      </w:r>
    </w:p>
    <w:p w14:paraId="1ED3D7B6">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62" w:firstLineChars="200"/>
        <w:jc w:val="left"/>
        <w:textAlignment w:val="auto"/>
        <w:outlineLvl w:val="9"/>
        <w:rPr>
          <w:rFonts w:hint="eastAsia" w:ascii="仿宋" w:hAnsi="仿宋" w:eastAsia="仿宋" w:cs="仿宋"/>
          <w:b/>
          <w:bCs/>
          <w:spacing w:val="-5"/>
          <w:sz w:val="24"/>
          <w:szCs w:val="24"/>
          <w:highlight w:val="none"/>
        </w:rPr>
      </w:pPr>
      <w:r>
        <w:rPr>
          <w:rFonts w:hint="eastAsia" w:ascii="仿宋" w:hAnsi="仿宋" w:eastAsia="仿宋" w:cs="仿宋"/>
          <w:b/>
          <w:bCs/>
          <w:spacing w:val="-5"/>
          <w:sz w:val="24"/>
          <w:szCs w:val="24"/>
          <w:highlight w:val="none"/>
          <w:lang w:eastAsia="zh-CN"/>
        </w:rPr>
        <w:t>六、</w:t>
      </w:r>
      <w:r>
        <w:rPr>
          <w:rFonts w:hint="eastAsia" w:ascii="仿宋" w:hAnsi="仿宋" w:eastAsia="仿宋" w:cs="仿宋"/>
          <w:b/>
          <w:bCs/>
          <w:spacing w:val="-5"/>
          <w:sz w:val="24"/>
          <w:szCs w:val="24"/>
          <w:highlight w:val="none"/>
        </w:rPr>
        <w:t>促进残疾人就业政策</w:t>
      </w:r>
    </w:p>
    <w:p w14:paraId="73522746">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92" w:firstLineChars="20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3"/>
          <w:sz w:val="24"/>
          <w:szCs w:val="24"/>
          <w:highlight w:val="none"/>
        </w:rPr>
        <w:t>6.1 享受政府采购支持政策的残疾人福利性单位应当同时满足以下条件：</w:t>
      </w:r>
    </w:p>
    <w:p w14:paraId="15B45FBA">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88" w:firstLineChars="20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2"/>
          <w:position w:val="17"/>
          <w:sz w:val="24"/>
          <w:szCs w:val="24"/>
          <w:highlight w:val="none"/>
        </w:rPr>
        <w:t xml:space="preserve">(1)安置的残疾人占本单位在职职工人数的比例不低于 </w:t>
      </w:r>
      <w:r>
        <w:rPr>
          <w:rFonts w:hint="eastAsia" w:ascii="仿宋" w:hAnsi="仿宋" w:eastAsia="仿宋" w:cs="仿宋"/>
          <w:b w:val="0"/>
          <w:bCs w:val="0"/>
          <w:spacing w:val="1"/>
          <w:position w:val="17"/>
          <w:sz w:val="24"/>
          <w:szCs w:val="24"/>
          <w:highlight w:val="none"/>
        </w:rPr>
        <w:t>25%（含 25%</w:t>
      </w:r>
      <w:r>
        <w:rPr>
          <w:rFonts w:hint="eastAsia" w:ascii="仿宋" w:hAnsi="仿宋" w:eastAsia="仿宋" w:cs="仿宋"/>
          <w:b w:val="0"/>
          <w:bCs w:val="0"/>
          <w:spacing w:val="-51"/>
          <w:position w:val="17"/>
          <w:sz w:val="24"/>
          <w:szCs w:val="24"/>
          <w:highlight w:val="none"/>
        </w:rPr>
        <w:t>），</w:t>
      </w:r>
      <w:r>
        <w:rPr>
          <w:rFonts w:hint="eastAsia" w:ascii="仿宋" w:hAnsi="仿宋" w:eastAsia="仿宋" w:cs="仿宋"/>
          <w:b w:val="0"/>
          <w:bCs w:val="0"/>
          <w:spacing w:val="1"/>
          <w:position w:val="17"/>
          <w:sz w:val="24"/>
          <w:szCs w:val="24"/>
          <w:highlight w:val="none"/>
        </w:rPr>
        <w:t>并且安置的残疾</w:t>
      </w:r>
    </w:p>
    <w:p w14:paraId="3F54527A">
      <w:pPr>
        <w:keepNext w:val="0"/>
        <w:keepLines w:val="0"/>
        <w:pageBreakBefore w:val="0"/>
        <w:widowControl w:val="0"/>
        <w:kinsoku/>
        <w:wordWrap/>
        <w:overflowPunct/>
        <w:topLinePunct w:val="0"/>
        <w:autoSpaceDE w:val="0"/>
        <w:autoSpaceDN w:val="0"/>
        <w:bidi w:val="0"/>
        <w:adjustRightInd/>
        <w:snapToGrid/>
        <w:spacing w:after="0" w:line="360" w:lineRule="auto"/>
        <w:ind w:right="0"/>
        <w:jc w:val="left"/>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pacing w:val="-3"/>
          <w:sz w:val="24"/>
          <w:szCs w:val="24"/>
          <w:highlight w:val="none"/>
        </w:rPr>
        <w:t>人人数不少于10 人（含10人</w:t>
      </w:r>
      <w:r>
        <w:rPr>
          <w:rFonts w:hint="eastAsia" w:ascii="仿宋" w:hAnsi="仿宋" w:eastAsia="仿宋" w:cs="仿宋"/>
          <w:b w:val="0"/>
          <w:bCs w:val="0"/>
          <w:spacing w:val="-65"/>
          <w:sz w:val="24"/>
          <w:szCs w:val="24"/>
          <w:highlight w:val="none"/>
        </w:rPr>
        <w:t>）；</w:t>
      </w:r>
    </w:p>
    <w:p w14:paraId="76847E50">
      <w:pPr>
        <w:keepNext w:val="0"/>
        <w:keepLines w:val="0"/>
        <w:pageBreakBefore w:val="0"/>
        <w:widowControl w:val="0"/>
        <w:kinsoku/>
        <w:wordWrap/>
        <w:overflowPunct/>
        <w:topLinePunct/>
        <w:autoSpaceDE/>
        <w:autoSpaceDN/>
        <w:bidi w:val="0"/>
        <w:adjustRightInd/>
        <w:snapToGrid/>
        <w:spacing w:after="0" w:line="360" w:lineRule="auto"/>
        <w:ind w:left="0" w:right="0" w:firstLine="448" w:firstLineChars="200"/>
        <w:jc w:val="left"/>
        <w:textAlignment w:val="auto"/>
        <w:outlineLvl w:val="9"/>
        <w:rPr>
          <w:rFonts w:hint="eastAsia" w:ascii="仿宋" w:hAnsi="仿宋" w:eastAsia="仿宋" w:cs="仿宋"/>
          <w:b w:val="0"/>
          <w:bCs w:val="0"/>
          <w:spacing w:val="-8"/>
          <w:sz w:val="24"/>
          <w:szCs w:val="24"/>
          <w:highlight w:val="none"/>
        </w:rPr>
      </w:pPr>
      <w:r>
        <w:rPr>
          <w:rFonts w:hint="eastAsia" w:ascii="仿宋" w:hAnsi="仿宋" w:eastAsia="仿宋" w:cs="仿宋"/>
          <w:b w:val="0"/>
          <w:bCs w:val="0"/>
          <w:spacing w:val="-8"/>
          <w:sz w:val="24"/>
          <w:szCs w:val="24"/>
          <w:highlight w:val="none"/>
        </w:rPr>
        <w:t>(2)依法与安置的每位残疾人签订了一年以上（含一年）的劳动合同或服务协议；</w:t>
      </w:r>
    </w:p>
    <w:p w14:paraId="7DF30DB4">
      <w:pPr>
        <w:keepNext w:val="0"/>
        <w:keepLines w:val="0"/>
        <w:pageBreakBefore w:val="0"/>
        <w:widowControl w:val="0"/>
        <w:kinsoku/>
        <w:wordWrap/>
        <w:overflowPunct/>
        <w:topLinePunct/>
        <w:autoSpaceDE/>
        <w:autoSpaceDN/>
        <w:bidi w:val="0"/>
        <w:adjustRightInd/>
        <w:snapToGrid/>
        <w:spacing w:after="0" w:line="360" w:lineRule="auto"/>
        <w:ind w:left="0" w:right="0" w:firstLine="448" w:firstLineChars="200"/>
        <w:jc w:val="left"/>
        <w:textAlignment w:val="auto"/>
        <w:outlineLvl w:val="9"/>
        <w:rPr>
          <w:rFonts w:hint="eastAsia" w:ascii="仿宋" w:hAnsi="仿宋" w:eastAsia="仿宋" w:cs="仿宋"/>
          <w:b w:val="0"/>
          <w:bCs w:val="0"/>
          <w:spacing w:val="-8"/>
          <w:sz w:val="24"/>
          <w:szCs w:val="24"/>
          <w:highlight w:val="none"/>
        </w:rPr>
      </w:pPr>
      <w:r>
        <w:rPr>
          <w:rFonts w:hint="eastAsia" w:ascii="仿宋" w:hAnsi="仿宋" w:eastAsia="仿宋" w:cs="仿宋"/>
          <w:b w:val="0"/>
          <w:bCs w:val="0"/>
          <w:spacing w:val="-8"/>
          <w:sz w:val="24"/>
          <w:szCs w:val="24"/>
          <w:highlight w:val="none"/>
        </w:rPr>
        <w:t>(3)为安置的每位残疾人按月足额缴纳了基本养老保险、基本医疗保险、失业保险、工伤保险和生育保险等社会保险费；</w:t>
      </w:r>
    </w:p>
    <w:p w14:paraId="0D748CE2">
      <w:pPr>
        <w:keepNext w:val="0"/>
        <w:keepLines w:val="0"/>
        <w:pageBreakBefore w:val="0"/>
        <w:widowControl w:val="0"/>
        <w:kinsoku/>
        <w:wordWrap/>
        <w:overflowPunct/>
        <w:topLinePunct/>
        <w:autoSpaceDE/>
        <w:autoSpaceDN/>
        <w:bidi w:val="0"/>
        <w:adjustRightInd/>
        <w:snapToGrid/>
        <w:spacing w:after="0" w:line="360" w:lineRule="auto"/>
        <w:ind w:left="0" w:right="0" w:firstLine="448" w:firstLineChars="200"/>
        <w:jc w:val="left"/>
        <w:textAlignment w:val="auto"/>
        <w:outlineLvl w:val="9"/>
        <w:rPr>
          <w:rFonts w:hint="eastAsia" w:ascii="仿宋" w:hAnsi="仿宋" w:eastAsia="仿宋" w:cs="仿宋"/>
          <w:b w:val="0"/>
          <w:bCs w:val="0"/>
          <w:spacing w:val="-8"/>
          <w:sz w:val="24"/>
          <w:szCs w:val="24"/>
          <w:highlight w:val="none"/>
        </w:rPr>
      </w:pPr>
      <w:r>
        <w:rPr>
          <w:rFonts w:hint="eastAsia" w:ascii="仿宋" w:hAnsi="仿宋" w:eastAsia="仿宋" w:cs="仿宋"/>
          <w:b w:val="0"/>
          <w:bCs w:val="0"/>
          <w:spacing w:val="-8"/>
          <w:sz w:val="24"/>
          <w:szCs w:val="24"/>
          <w:highlight w:val="none"/>
        </w:rPr>
        <w:t>(4)通过银行等金融机构向安置的每位残疾人，按月支付了不低于单位所在区县适用的经省级人民政府批准的月最低工资标准的工资；</w:t>
      </w:r>
    </w:p>
    <w:p w14:paraId="08C3DFF7">
      <w:pPr>
        <w:keepNext w:val="0"/>
        <w:keepLines w:val="0"/>
        <w:pageBreakBefore w:val="0"/>
        <w:widowControl w:val="0"/>
        <w:kinsoku/>
        <w:wordWrap/>
        <w:overflowPunct/>
        <w:topLinePunct/>
        <w:autoSpaceDE/>
        <w:autoSpaceDN/>
        <w:bidi w:val="0"/>
        <w:adjustRightInd/>
        <w:snapToGrid/>
        <w:spacing w:after="0" w:line="360" w:lineRule="auto"/>
        <w:ind w:left="0" w:right="0" w:firstLine="448" w:firstLineChars="200"/>
        <w:jc w:val="left"/>
        <w:textAlignment w:val="auto"/>
        <w:outlineLvl w:val="9"/>
        <w:rPr>
          <w:rFonts w:hint="eastAsia" w:ascii="仿宋" w:hAnsi="仿宋" w:eastAsia="仿宋" w:cs="仿宋"/>
          <w:b w:val="0"/>
          <w:bCs w:val="0"/>
          <w:spacing w:val="-8"/>
          <w:sz w:val="24"/>
          <w:szCs w:val="24"/>
          <w:highlight w:val="none"/>
        </w:rPr>
      </w:pPr>
      <w:r>
        <w:rPr>
          <w:rFonts w:hint="eastAsia" w:ascii="仿宋" w:hAnsi="仿宋" w:eastAsia="仿宋" w:cs="仿宋"/>
          <w:b w:val="0"/>
          <w:bCs w:val="0"/>
          <w:spacing w:val="-8"/>
          <w:sz w:val="24"/>
          <w:szCs w:val="24"/>
          <w:highlight w:val="none"/>
        </w:rPr>
        <w:t>(5)提供本单位制造的货物、承担的工程或者服务（以下简称产品），或者提供其他残疾人福利性单位制造的货物（不包括使用非残疾人福利性单位注册商标的货物）。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52E61F48">
      <w:pPr>
        <w:keepNext w:val="0"/>
        <w:keepLines w:val="0"/>
        <w:pageBreakBefore w:val="0"/>
        <w:widowControl w:val="0"/>
        <w:kinsoku/>
        <w:wordWrap/>
        <w:overflowPunct/>
        <w:topLinePunct/>
        <w:autoSpaceDE/>
        <w:autoSpaceDN/>
        <w:bidi w:val="0"/>
        <w:adjustRightInd/>
        <w:snapToGrid/>
        <w:spacing w:after="0" w:line="360" w:lineRule="auto"/>
        <w:ind w:left="0" w:right="0" w:firstLine="448" w:firstLineChars="200"/>
        <w:jc w:val="left"/>
        <w:textAlignment w:val="auto"/>
        <w:outlineLvl w:val="9"/>
        <w:rPr>
          <w:rFonts w:hint="eastAsia" w:ascii="仿宋" w:hAnsi="仿宋" w:eastAsia="仿宋" w:cs="仿宋"/>
          <w:b w:val="0"/>
          <w:bCs w:val="0"/>
          <w:spacing w:val="-8"/>
          <w:sz w:val="24"/>
          <w:szCs w:val="24"/>
          <w:highlight w:val="none"/>
        </w:rPr>
      </w:pPr>
      <w:r>
        <w:rPr>
          <w:rFonts w:hint="eastAsia" w:ascii="仿宋" w:hAnsi="仿宋" w:eastAsia="仿宋" w:cs="仿宋"/>
          <w:b w:val="0"/>
          <w:bCs w:val="0"/>
          <w:spacing w:val="-8"/>
          <w:sz w:val="24"/>
          <w:szCs w:val="24"/>
          <w:highlight w:val="none"/>
        </w:rPr>
        <w:t>6.2 符合条件的残疾人福利性单位在参加政府采购活动时，应当提供《残疾人福利性单位声明函》，并对声明的真实性负责。在本次活动中，残疾人福利性单位视同小型、微型企业，享受预留份额、评审中价格扣除等促进中小企业发展的政府采购政策。残疾人福利性单位属于小型、微型企业的，不重复享受政策。</w:t>
      </w:r>
    </w:p>
    <w:p w14:paraId="1D5719D9">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66" w:firstLineChars="200"/>
        <w:jc w:val="left"/>
        <w:textAlignment w:val="auto"/>
        <w:outlineLvl w:val="9"/>
        <w:rPr>
          <w:rFonts w:hint="eastAsia" w:ascii="仿宋" w:hAnsi="仿宋" w:eastAsia="仿宋" w:cs="仿宋"/>
          <w:b/>
          <w:bCs/>
          <w:sz w:val="24"/>
          <w:szCs w:val="24"/>
          <w:highlight w:val="none"/>
        </w:rPr>
      </w:pPr>
      <w:r>
        <w:rPr>
          <w:rFonts w:hint="eastAsia" w:ascii="仿宋" w:hAnsi="仿宋" w:eastAsia="仿宋" w:cs="仿宋"/>
          <w:b/>
          <w:bCs/>
          <w:spacing w:val="-4"/>
          <w:sz w:val="24"/>
          <w:szCs w:val="24"/>
          <w:highlight w:val="none"/>
          <w:lang w:eastAsia="zh-CN"/>
        </w:rPr>
        <w:t>七</w:t>
      </w:r>
      <w:r>
        <w:rPr>
          <w:rFonts w:hint="eastAsia" w:ascii="仿宋" w:hAnsi="仿宋" w:eastAsia="仿宋" w:cs="仿宋"/>
          <w:b/>
          <w:bCs/>
          <w:spacing w:val="-4"/>
          <w:sz w:val="24"/>
          <w:szCs w:val="24"/>
          <w:highlight w:val="none"/>
        </w:rPr>
        <w:t>、其他</w:t>
      </w:r>
    </w:p>
    <w:p w14:paraId="4A879A1B">
      <w:pPr>
        <w:keepNext w:val="0"/>
        <w:keepLines w:val="0"/>
        <w:pageBreakBefore w:val="0"/>
        <w:widowControl w:val="0"/>
        <w:kinsoku/>
        <w:wordWrap/>
        <w:overflowPunct/>
        <w:topLinePunct/>
        <w:autoSpaceDE/>
        <w:autoSpaceDN/>
        <w:bidi w:val="0"/>
        <w:adjustRightInd/>
        <w:snapToGrid/>
        <w:spacing w:after="0" w:line="360" w:lineRule="auto"/>
        <w:ind w:left="0" w:right="0" w:firstLine="448" w:firstLineChars="200"/>
        <w:jc w:val="left"/>
        <w:textAlignment w:val="auto"/>
        <w:outlineLvl w:val="9"/>
        <w:rPr>
          <w:rFonts w:hint="eastAsia" w:ascii="仿宋" w:hAnsi="仿宋" w:eastAsia="仿宋" w:cs="仿宋"/>
          <w:b w:val="0"/>
          <w:bCs w:val="0"/>
          <w:spacing w:val="-8"/>
          <w:sz w:val="24"/>
          <w:szCs w:val="24"/>
          <w:highlight w:val="none"/>
        </w:rPr>
      </w:pPr>
      <w:r>
        <w:rPr>
          <w:rFonts w:hint="eastAsia" w:ascii="仿宋" w:hAnsi="仿宋" w:eastAsia="仿宋" w:cs="仿宋"/>
          <w:b w:val="0"/>
          <w:bCs w:val="0"/>
          <w:spacing w:val="-8"/>
          <w:sz w:val="24"/>
          <w:szCs w:val="24"/>
          <w:highlight w:val="none"/>
          <w:lang w:val="en-US" w:eastAsia="zh-CN"/>
        </w:rPr>
        <w:t>7</w:t>
      </w:r>
      <w:r>
        <w:rPr>
          <w:rFonts w:hint="eastAsia" w:ascii="仿宋" w:hAnsi="仿宋" w:eastAsia="仿宋" w:cs="仿宋"/>
          <w:b w:val="0"/>
          <w:bCs w:val="0"/>
          <w:spacing w:val="-8"/>
          <w:sz w:val="24"/>
          <w:szCs w:val="24"/>
          <w:highlight w:val="none"/>
        </w:rPr>
        <w:t>.1 安全：响应服务（及所涉货物材料设施）应符合国家、行业的各项安全标准，供应 商对响应服务（及所涉货物材料设施）的安全性承担全部责任。服务期内不符合保障人身、 财产安全的国家标准、行业标准的服务（及所涉货物材料设施），将依法承担民事及相应刑事责任。合同履行中的安全责任由成交供应商承担全部责任。</w:t>
      </w:r>
    </w:p>
    <w:p w14:paraId="6739C2AB">
      <w:pPr>
        <w:keepNext w:val="0"/>
        <w:keepLines w:val="0"/>
        <w:pageBreakBefore w:val="0"/>
        <w:widowControl w:val="0"/>
        <w:kinsoku/>
        <w:wordWrap/>
        <w:overflowPunct/>
        <w:topLinePunct/>
        <w:autoSpaceDE/>
        <w:autoSpaceDN/>
        <w:bidi w:val="0"/>
        <w:adjustRightInd/>
        <w:snapToGrid/>
        <w:spacing w:after="0" w:line="360" w:lineRule="auto"/>
        <w:ind w:left="0" w:right="0" w:firstLine="448" w:firstLineChars="200"/>
        <w:jc w:val="left"/>
        <w:textAlignment w:val="auto"/>
        <w:outlineLvl w:val="9"/>
        <w:rPr>
          <w:rFonts w:hint="eastAsia" w:ascii="仿宋" w:hAnsi="仿宋" w:eastAsia="仿宋" w:cs="仿宋"/>
          <w:b w:val="0"/>
          <w:bCs w:val="0"/>
          <w:spacing w:val="-8"/>
          <w:sz w:val="24"/>
          <w:szCs w:val="24"/>
          <w:highlight w:val="none"/>
        </w:rPr>
      </w:pPr>
      <w:r>
        <w:rPr>
          <w:rFonts w:hint="eastAsia" w:ascii="仿宋" w:hAnsi="仿宋" w:eastAsia="仿宋" w:cs="仿宋"/>
          <w:b w:val="0"/>
          <w:bCs w:val="0"/>
          <w:spacing w:val="-8"/>
          <w:sz w:val="24"/>
          <w:szCs w:val="24"/>
          <w:highlight w:val="none"/>
          <w:lang w:val="en-US" w:eastAsia="zh-CN"/>
        </w:rPr>
        <w:t>7</w:t>
      </w:r>
      <w:r>
        <w:rPr>
          <w:rFonts w:hint="eastAsia" w:ascii="仿宋" w:hAnsi="仿宋" w:eastAsia="仿宋" w:cs="仿宋"/>
          <w:b w:val="0"/>
          <w:bCs w:val="0"/>
          <w:spacing w:val="-8"/>
          <w:sz w:val="24"/>
          <w:szCs w:val="24"/>
          <w:highlight w:val="none"/>
        </w:rPr>
        <w:t>.2 保险（如需）：供应商应遵循国家相关保险的规定，依照法规规定，根据项目属性需要，办理货物设施等的财产保险、危险作业人员的工伤和意外伤害保险、设计和工程保险、第三方责任险，相关保险费用及相应责任由成交人承担。</w:t>
      </w:r>
    </w:p>
    <w:p w14:paraId="65258D5A">
      <w:pPr>
        <w:keepNext w:val="0"/>
        <w:keepLines w:val="0"/>
        <w:pageBreakBefore w:val="0"/>
        <w:widowControl w:val="0"/>
        <w:kinsoku/>
        <w:wordWrap/>
        <w:overflowPunct/>
        <w:topLinePunct/>
        <w:autoSpaceDE/>
        <w:autoSpaceDN/>
        <w:bidi w:val="0"/>
        <w:adjustRightInd/>
        <w:snapToGrid/>
        <w:spacing w:after="0" w:line="360" w:lineRule="auto"/>
        <w:ind w:left="0" w:right="0" w:firstLine="448" w:firstLineChars="200"/>
        <w:jc w:val="left"/>
        <w:textAlignment w:val="auto"/>
        <w:outlineLvl w:val="9"/>
        <w:rPr>
          <w:rFonts w:hint="eastAsia" w:ascii="仿宋" w:hAnsi="仿宋" w:eastAsia="仿宋" w:cs="仿宋"/>
          <w:b w:val="0"/>
          <w:bCs w:val="0"/>
          <w:spacing w:val="-8"/>
          <w:sz w:val="24"/>
          <w:szCs w:val="24"/>
          <w:highlight w:val="none"/>
        </w:rPr>
      </w:pPr>
      <w:r>
        <w:rPr>
          <w:rFonts w:hint="eastAsia" w:ascii="仿宋" w:hAnsi="仿宋" w:eastAsia="仿宋" w:cs="仿宋"/>
          <w:b w:val="0"/>
          <w:bCs w:val="0"/>
          <w:spacing w:val="-8"/>
          <w:sz w:val="24"/>
          <w:szCs w:val="24"/>
          <w:highlight w:val="none"/>
          <w:lang w:val="en-US" w:eastAsia="zh-CN"/>
        </w:rPr>
        <w:t>7</w:t>
      </w:r>
      <w:r>
        <w:rPr>
          <w:rFonts w:hint="eastAsia" w:ascii="仿宋" w:hAnsi="仿宋" w:eastAsia="仿宋" w:cs="仿宋"/>
          <w:b w:val="0"/>
          <w:bCs w:val="0"/>
          <w:spacing w:val="-8"/>
          <w:sz w:val="24"/>
          <w:szCs w:val="24"/>
          <w:highlight w:val="none"/>
        </w:rPr>
        <w:t>.3 其他未尽事宜由供需双方在采购合同中详细约定。</w:t>
      </w:r>
    </w:p>
    <w:p w14:paraId="096A0404">
      <w:pPr>
        <w:rPr>
          <w:rFonts w:hint="eastAsia" w:ascii="仿宋" w:hAnsi="仿宋" w:eastAsia="仿宋" w:cs="仿宋"/>
          <w:b/>
          <w:bCs/>
          <w:color w:val="auto"/>
          <w:sz w:val="28"/>
          <w:szCs w:val="28"/>
        </w:rPr>
      </w:pPr>
      <w:bookmarkStart w:id="33" w:name="_Toc24921_WPSOffice_Level1"/>
      <w:r>
        <w:rPr>
          <w:rFonts w:hint="eastAsia" w:ascii="仿宋" w:hAnsi="仿宋" w:eastAsia="仿宋" w:cs="仿宋"/>
          <w:b/>
          <w:bCs/>
          <w:color w:val="auto"/>
          <w:sz w:val="28"/>
          <w:szCs w:val="28"/>
        </w:rPr>
        <w:br w:type="page"/>
      </w:r>
    </w:p>
    <w:p w14:paraId="0C979E97">
      <w:pPr>
        <w:keepNext w:val="0"/>
        <w:keepLines w:val="0"/>
        <w:pageBreakBefore w:val="0"/>
        <w:widowControl w:val="0"/>
        <w:kinsoku/>
        <w:wordWrap w:val="0"/>
        <w:overflowPunct w:val="0"/>
        <w:topLinePunct/>
        <w:autoSpaceDE/>
        <w:autoSpaceDN/>
        <w:bidi w:val="0"/>
        <w:adjustRightInd/>
        <w:snapToGrid w:val="0"/>
        <w:spacing w:line="360" w:lineRule="auto"/>
        <w:ind w:firstLine="562" w:firstLineChars="20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附件:《中小企业划型标准规定》(工信部联企业(2011)300号)</w:t>
      </w:r>
    </w:p>
    <w:p w14:paraId="1D220F33">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一、根据《中华人民共和国中小企业促进法》和《国务院关于进一步促进中小企业发展的若干意见》(国发(2009)36号)，制定本规定。</w:t>
      </w:r>
    </w:p>
    <w:p w14:paraId="15474158">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二、中小企业划分为中型、小型、微型三种类型，具体标准根据企业从业人员、营业收入、资产总额等指标，结合行业特点制定。</w:t>
      </w:r>
    </w:p>
    <w:p w14:paraId="619BC937">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47290EB">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四、各行业划型标准为:</w:t>
      </w:r>
    </w:p>
    <w:p w14:paraId="0526A3FC">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(一)农、林、牧、渔业。营业收入20000万元以下的为中小微型企业。其中，营业收入500万元及以上的为中型企业，营业收入50万元及以上的为小型企业，营业收入50万元以下的为微型企业。</w:t>
      </w:r>
    </w:p>
    <w:p w14:paraId="5CA8336D">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(二)工业。从业人员 1000 人以下或营业收入40000万元以下的为中小微型企业。其中，从业人员300人及以上，且营业收入2000万元及以上的为中型企业 从业人员20人及以上，且营业收入300万元及以上的为小型企业:从业人员20人以下或营业收入300万元以下的为微型企业。</w:t>
      </w:r>
    </w:p>
    <w:p w14:paraId="15BEEA05">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2C2FF22">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（四）批发业。从业人员200人以下或营业收入40000万元以下的为中小微型企业。</w:t>
      </w:r>
    </w:p>
    <w:p w14:paraId="292EC917">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其中，从业人员20人及以上，且营业收入5000万元及以上的为中型企业；从业人员5人及以上，且营业收入1000万元及以上的为小型企业；从业人员 5 人以下或营业收入1000万元以下的为微型企业。</w:t>
      </w:r>
    </w:p>
    <w:p w14:paraId="2E4989AF">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B9DC7EE">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1D4D0B39">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604B3640">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300EDF5F">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（九）住宿业。从业人员 300 人以下或营业收入 10000 万元以下的为中小微型企业。其中，从业人员 100 人及以上，且营业收入 2000 万元及以上的为中型企业；从业人员 10人及以上，且营业收入 100 万元及以上的为小型企业；从业人员 10 人以下或营业收入100 万元以下的为微型企业。 </w:t>
      </w:r>
    </w:p>
    <w:p w14:paraId="5E893027">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（十）餐饮业。从业人员 300 人以下或营业收入 10000 万元以下的为中小微型企业。其中，从业人员 100 人及以上，且营业收入 2000 万元及以上的为中型企业；从业人员10人及以上，且营业收入100万元及以上的为小型企业；从业人员10人以下或营业收入100万元以下的为微型企业。</w:t>
      </w:r>
    </w:p>
    <w:p w14:paraId="25AAA751">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A631265">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6C2ABA9">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B14CC14">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F618F88">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675BA10C">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b/>
          <w:bCs/>
          <w:color w:val="auto"/>
          <w:sz w:val="24"/>
          <w:szCs w:val="24"/>
        </w:rPr>
      </w:pPr>
      <w:r>
        <w:rPr>
          <w:rFonts w:hint="eastAsia" w:ascii="仿宋" w:hAnsi="仿宋" w:eastAsia="仿宋" w:cs="仿宋"/>
          <w:color w:val="auto"/>
          <w:sz w:val="24"/>
          <w:szCs w:val="24"/>
        </w:rPr>
        <w:t>（十六）</w:t>
      </w:r>
      <w:r>
        <w:rPr>
          <w:rFonts w:hint="eastAsia" w:ascii="仿宋" w:hAnsi="仿宋" w:eastAsia="仿宋" w:cs="仿宋"/>
          <w:b/>
          <w:bCs/>
          <w:color w:val="auto"/>
          <w:sz w:val="24"/>
          <w:szCs w:val="24"/>
        </w:rPr>
        <w:t>其他未列明行业。从业人员300人以下的为中小微型企业。其中，从业人员100人及以上的为中型企业；从业人员10人及以上的为小型企业；从业人员10人以下的为微型企业。</w:t>
      </w:r>
    </w:p>
    <w:p w14:paraId="27E57EC5">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五、企业类型的划分以统计部门的统计数据为依据。</w:t>
      </w:r>
    </w:p>
    <w:p w14:paraId="08DF7E10">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六、本规定适用于在中华人民共和国境内依法设立的各类所有制和各种组织形式的企业。个体工商户和本规定以外的行业，参照本规定进行划型。</w:t>
      </w:r>
    </w:p>
    <w:p w14:paraId="7405E0AB">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七、本规定的中型企业标准上限即为大型企业标准的下限，国家统计部门据此制定大中小微型企业的统计分类。国务院有关部门据此进行相关数据分析，不得制定与本规定不一致的企业划型标准。</w:t>
      </w:r>
    </w:p>
    <w:p w14:paraId="5D30B6AA">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八、本规定由工业和信息化部、国家统计局会同有关部门根据《国民经济行业分类》修订情况和企业发展变化情况适时修订。</w:t>
      </w:r>
    </w:p>
    <w:p w14:paraId="7BA47466">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九、本规定由工业和信息化部、国家统计局会同有关部门负责解释。</w:t>
      </w:r>
    </w:p>
    <w:p w14:paraId="46D714FC">
      <w:pPr>
        <w:keepNext w:val="0"/>
        <w:keepLines w:val="0"/>
        <w:pageBreakBefore w:val="0"/>
        <w:widowControl w:val="0"/>
        <w:kinsoku/>
        <w:wordWrap w:val="0"/>
        <w:overflowPunct w:val="0"/>
        <w:topLinePunct/>
        <w:autoSpaceDE/>
        <w:autoSpaceDN/>
        <w:bidi w:val="0"/>
        <w:adjustRightInd/>
        <w:snapToGrid w:val="0"/>
        <w:spacing w:line="360" w:lineRule="auto"/>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十、本规定自发布之日起执行，原国家经贸委、原国家计委、财政部和国家统计局2003年颁布的《中小企业标准暂行规定》国经贸中小企[2003]143号同时废止。</w:t>
      </w:r>
    </w:p>
    <w:p w14:paraId="6A2B01BA">
      <w:pPr>
        <w:rPr>
          <w:rFonts w:hint="eastAsia" w:ascii="仿宋" w:hAnsi="仿宋" w:eastAsia="仿宋" w:cs="仿宋"/>
          <w:color w:val="auto"/>
        </w:rPr>
      </w:pPr>
      <w:r>
        <w:rPr>
          <w:rFonts w:hint="eastAsia" w:ascii="仿宋" w:hAnsi="仿宋" w:eastAsia="仿宋" w:cs="仿宋"/>
          <w:color w:val="auto"/>
        </w:rPr>
        <w:br w:type="page"/>
      </w:r>
    </w:p>
    <w:bookmarkEnd w:id="7"/>
    <w:bookmarkEnd w:id="8"/>
    <w:bookmarkEnd w:id="33"/>
    <w:p w14:paraId="1E8B9B7D">
      <w:pPr>
        <w:jc w:val="center"/>
        <w:rPr>
          <w:rFonts w:hint="eastAsia" w:ascii="仿宋" w:hAnsi="仿宋" w:eastAsia="仿宋" w:cs="仿宋"/>
          <w:b/>
          <w:bCs/>
          <w:color w:val="auto"/>
          <w:sz w:val="28"/>
          <w:szCs w:val="28"/>
          <w:highlight w:val="none"/>
          <w:lang w:eastAsia="zh-CN"/>
        </w:rPr>
      </w:pPr>
      <w:bookmarkStart w:id="34" w:name="_bookmark2"/>
      <w:bookmarkEnd w:id="34"/>
      <w:bookmarkStart w:id="35" w:name="第三部分__评审办法"/>
      <w:bookmarkEnd w:id="35"/>
      <w:bookmarkStart w:id="36" w:name="_Toc19480"/>
      <w:bookmarkStart w:id="37" w:name="_Toc18680_WPSOffice_Level1"/>
      <w:bookmarkStart w:id="38" w:name="_Toc5316"/>
      <w:bookmarkStart w:id="39" w:name="_Toc7013"/>
      <w:r>
        <w:rPr>
          <w:rFonts w:hint="eastAsia" w:ascii="仿宋" w:hAnsi="仿宋" w:eastAsia="仿宋" w:cs="仿宋"/>
          <w:b/>
          <w:bCs/>
          <w:color w:val="auto"/>
          <w:sz w:val="28"/>
          <w:szCs w:val="28"/>
          <w:highlight w:val="none"/>
          <w:lang w:val="en-US" w:eastAsia="zh-CN" w:bidi="ar-SA"/>
        </w:rPr>
        <w:t xml:space="preserve">第四章  </w:t>
      </w:r>
      <w:bookmarkEnd w:id="36"/>
      <w:bookmarkEnd w:id="37"/>
      <w:bookmarkEnd w:id="38"/>
      <w:bookmarkEnd w:id="39"/>
      <w:r>
        <w:rPr>
          <w:rFonts w:hint="eastAsia" w:ascii="仿宋" w:hAnsi="仿宋" w:eastAsia="仿宋" w:cs="仿宋"/>
          <w:b/>
          <w:bCs/>
          <w:color w:val="auto"/>
          <w:sz w:val="28"/>
          <w:szCs w:val="28"/>
          <w:highlight w:val="none"/>
          <w:lang w:eastAsia="zh-CN"/>
        </w:rPr>
        <w:t>评审标准和评审办法</w:t>
      </w:r>
    </w:p>
    <w:p w14:paraId="6431930E">
      <w:pPr>
        <w:pStyle w:val="7"/>
        <w:ind w:left="0" w:lef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评审标准和评审办法</w:t>
      </w:r>
      <w:r>
        <w:rPr>
          <w:rFonts w:hint="eastAsia" w:ascii="仿宋" w:hAnsi="仿宋" w:eastAsia="仿宋" w:cs="仿宋"/>
          <w:color w:val="auto"/>
          <w:sz w:val="24"/>
          <w:szCs w:val="24"/>
          <w:highlight w:val="none"/>
        </w:rPr>
        <w:t>前附表</w:t>
      </w:r>
    </w:p>
    <w:tbl>
      <w:tblPr>
        <w:tblStyle w:val="32"/>
        <w:tblpPr w:leftFromText="180" w:rightFromText="180" w:vertAnchor="text" w:horzAnchor="page" w:tblpX="733" w:tblpY="587"/>
        <w:tblOverlap w:val="never"/>
        <w:tblW w:w="101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1"/>
        <w:gridCol w:w="1005"/>
        <w:gridCol w:w="2505"/>
        <w:gridCol w:w="5879"/>
      </w:tblGrid>
      <w:tr w14:paraId="76EEA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1756" w:type="dxa"/>
            <w:gridSpan w:val="2"/>
            <w:vAlign w:val="center"/>
          </w:tcPr>
          <w:p w14:paraId="59C1863F">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条款号</w:t>
            </w:r>
          </w:p>
        </w:tc>
        <w:tc>
          <w:tcPr>
            <w:tcW w:w="2505" w:type="dxa"/>
            <w:vAlign w:val="center"/>
          </w:tcPr>
          <w:p w14:paraId="110AEBA7">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评审因素</w:t>
            </w:r>
          </w:p>
        </w:tc>
        <w:tc>
          <w:tcPr>
            <w:tcW w:w="5879" w:type="dxa"/>
            <w:vAlign w:val="center"/>
          </w:tcPr>
          <w:p w14:paraId="7D8DC466">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评审标准</w:t>
            </w:r>
          </w:p>
        </w:tc>
      </w:tr>
      <w:tr w14:paraId="54A6A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trPr>
        <w:tc>
          <w:tcPr>
            <w:tcW w:w="751" w:type="dxa"/>
            <w:vMerge w:val="restart"/>
            <w:vAlign w:val="center"/>
          </w:tcPr>
          <w:p w14:paraId="48CC0228">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2.1.1</w:t>
            </w:r>
          </w:p>
        </w:tc>
        <w:tc>
          <w:tcPr>
            <w:tcW w:w="1005" w:type="dxa"/>
            <w:vMerge w:val="restart"/>
            <w:vAlign w:val="center"/>
          </w:tcPr>
          <w:p w14:paraId="5C8AA6E1">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资格</w:t>
            </w:r>
          </w:p>
          <w:p w14:paraId="3C904CA3">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审查</w:t>
            </w:r>
          </w:p>
        </w:tc>
        <w:tc>
          <w:tcPr>
            <w:tcW w:w="2505" w:type="dxa"/>
            <w:vAlign w:val="center"/>
          </w:tcPr>
          <w:p w14:paraId="369F5BAA">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资格要求</w:t>
            </w:r>
          </w:p>
        </w:tc>
        <w:tc>
          <w:tcPr>
            <w:tcW w:w="5879" w:type="dxa"/>
            <w:vAlign w:val="center"/>
          </w:tcPr>
          <w:p w14:paraId="608A9C2C">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符合第一章“竞争性磋商公告”的</w:t>
            </w:r>
            <w:r>
              <w:rPr>
                <w:rFonts w:hint="eastAsia" w:ascii="仿宋" w:hAnsi="仿宋" w:eastAsia="仿宋" w:cs="仿宋"/>
                <w:color w:val="auto"/>
                <w:sz w:val="24"/>
                <w:szCs w:val="24"/>
                <w:highlight w:val="none"/>
                <w:lang w:val="en-US" w:eastAsia="zh-CN"/>
              </w:rPr>
              <w:t>三、</w:t>
            </w:r>
            <w:r>
              <w:rPr>
                <w:rFonts w:hint="eastAsia" w:ascii="仿宋" w:hAnsi="仿宋" w:eastAsia="仿宋" w:cs="仿宋"/>
                <w:b/>
                <w:color w:val="auto"/>
                <w:sz w:val="24"/>
                <w:szCs w:val="24"/>
                <w:highlight w:val="none"/>
              </w:rPr>
              <w:t>申请人资格要求</w:t>
            </w:r>
            <w:r>
              <w:rPr>
                <w:rFonts w:hint="eastAsia" w:ascii="仿宋" w:hAnsi="仿宋" w:eastAsia="仿宋" w:cs="仿宋"/>
                <w:color w:val="auto"/>
                <w:sz w:val="24"/>
                <w:szCs w:val="24"/>
                <w:highlight w:val="none"/>
              </w:rPr>
              <w:t>规定</w:t>
            </w:r>
          </w:p>
        </w:tc>
      </w:tr>
      <w:tr w14:paraId="64118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751" w:type="dxa"/>
            <w:vMerge w:val="continue"/>
            <w:tcBorders>
              <w:top w:val="nil"/>
            </w:tcBorders>
            <w:vAlign w:val="center"/>
          </w:tcPr>
          <w:p w14:paraId="2CB121EF">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1005" w:type="dxa"/>
            <w:vMerge w:val="continue"/>
            <w:tcBorders>
              <w:top w:val="nil"/>
            </w:tcBorders>
            <w:vAlign w:val="center"/>
          </w:tcPr>
          <w:p w14:paraId="46ADFC6E">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2505" w:type="dxa"/>
            <w:vAlign w:val="center"/>
          </w:tcPr>
          <w:p w14:paraId="00B99FE4">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其他要求</w:t>
            </w:r>
          </w:p>
        </w:tc>
        <w:tc>
          <w:tcPr>
            <w:tcW w:w="5879" w:type="dxa"/>
            <w:vAlign w:val="center"/>
          </w:tcPr>
          <w:p w14:paraId="63AED6BC">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符合第一章“竞争性磋商公告”的</w:t>
            </w:r>
            <w:r>
              <w:rPr>
                <w:rFonts w:hint="eastAsia" w:ascii="仿宋" w:hAnsi="仿宋" w:eastAsia="仿宋" w:cs="仿宋"/>
                <w:color w:val="auto"/>
                <w:sz w:val="24"/>
                <w:szCs w:val="24"/>
                <w:highlight w:val="none"/>
                <w:lang w:val="en-US" w:eastAsia="zh-CN"/>
              </w:rPr>
              <w:t>三、</w:t>
            </w:r>
            <w:r>
              <w:rPr>
                <w:rFonts w:hint="eastAsia" w:ascii="仿宋" w:hAnsi="仿宋" w:eastAsia="仿宋" w:cs="仿宋"/>
                <w:b/>
                <w:color w:val="auto"/>
                <w:sz w:val="24"/>
                <w:szCs w:val="24"/>
                <w:highlight w:val="none"/>
              </w:rPr>
              <w:t>申请人资格要求</w:t>
            </w:r>
            <w:r>
              <w:rPr>
                <w:rFonts w:hint="eastAsia" w:ascii="仿宋" w:hAnsi="仿宋" w:eastAsia="仿宋" w:cs="仿宋"/>
                <w:color w:val="auto"/>
                <w:sz w:val="24"/>
                <w:szCs w:val="24"/>
                <w:highlight w:val="none"/>
              </w:rPr>
              <w:t>规定</w:t>
            </w:r>
          </w:p>
        </w:tc>
      </w:tr>
      <w:tr w14:paraId="6F81E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751" w:type="dxa"/>
            <w:vMerge w:val="restart"/>
            <w:vAlign w:val="center"/>
          </w:tcPr>
          <w:p w14:paraId="45F91556">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p w14:paraId="392F68AD">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2.1.2</w:t>
            </w:r>
          </w:p>
        </w:tc>
        <w:tc>
          <w:tcPr>
            <w:tcW w:w="1005" w:type="dxa"/>
            <w:vMerge w:val="restart"/>
            <w:vAlign w:val="center"/>
          </w:tcPr>
          <w:p w14:paraId="7F3D2FAD">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符合性</w:t>
            </w:r>
          </w:p>
          <w:p w14:paraId="3DB81158">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审查</w:t>
            </w:r>
          </w:p>
        </w:tc>
        <w:tc>
          <w:tcPr>
            <w:tcW w:w="2505" w:type="dxa"/>
            <w:tcBorders>
              <w:bottom w:val="single" w:color="auto" w:sz="4" w:space="0"/>
            </w:tcBorders>
            <w:vAlign w:val="center"/>
          </w:tcPr>
          <w:p w14:paraId="152A96B8">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w:t>
            </w:r>
          </w:p>
        </w:tc>
        <w:tc>
          <w:tcPr>
            <w:tcW w:w="5879" w:type="dxa"/>
            <w:vAlign w:val="center"/>
          </w:tcPr>
          <w:p w14:paraId="0F4139FA">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与</w:t>
            </w:r>
            <w:r>
              <w:rPr>
                <w:rFonts w:hint="eastAsia" w:ascii="仿宋" w:hAnsi="仿宋" w:eastAsia="仿宋" w:cs="仿宋"/>
                <w:color w:val="auto"/>
                <w:sz w:val="24"/>
                <w:szCs w:val="24"/>
                <w:highlight w:val="none"/>
                <w:lang w:eastAsia="zh-CN"/>
              </w:rPr>
              <w:t>营业执照</w:t>
            </w:r>
            <w:r>
              <w:rPr>
                <w:rFonts w:hint="eastAsia" w:ascii="仿宋" w:hAnsi="仿宋" w:eastAsia="仿宋" w:cs="仿宋"/>
                <w:color w:val="auto"/>
                <w:sz w:val="24"/>
                <w:szCs w:val="24"/>
                <w:highlight w:val="none"/>
              </w:rPr>
              <w:t>等证照及签章一致</w:t>
            </w:r>
          </w:p>
        </w:tc>
      </w:tr>
      <w:tr w14:paraId="5CECA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8" w:hRule="atLeast"/>
        </w:trPr>
        <w:tc>
          <w:tcPr>
            <w:tcW w:w="751" w:type="dxa"/>
            <w:vMerge w:val="continue"/>
            <w:vAlign w:val="center"/>
          </w:tcPr>
          <w:p w14:paraId="2792D36B">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1005" w:type="dxa"/>
            <w:vMerge w:val="continue"/>
            <w:vAlign w:val="center"/>
          </w:tcPr>
          <w:p w14:paraId="323FC43C">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2505" w:type="dxa"/>
            <w:tcBorders>
              <w:top w:val="single" w:color="auto" w:sz="4" w:space="0"/>
            </w:tcBorders>
            <w:vAlign w:val="center"/>
          </w:tcPr>
          <w:p w14:paraId="07D53030">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签章和签名要求</w:t>
            </w:r>
          </w:p>
        </w:tc>
        <w:tc>
          <w:tcPr>
            <w:tcW w:w="5879" w:type="dxa"/>
            <w:vAlign w:val="center"/>
          </w:tcPr>
          <w:p w14:paraId="6A4623AB">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电子响应文件应按采购文件要求加盖供应商机构CA数字证书、法定代表人个人CA数字证书。</w:t>
            </w:r>
          </w:p>
        </w:tc>
      </w:tr>
      <w:tr w14:paraId="23BDF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751" w:type="dxa"/>
            <w:vMerge w:val="continue"/>
          </w:tcPr>
          <w:p w14:paraId="55B58217">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1005" w:type="dxa"/>
            <w:vMerge w:val="continue"/>
          </w:tcPr>
          <w:p w14:paraId="4168C8FA">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2505" w:type="dxa"/>
            <w:tcBorders>
              <w:bottom w:val="single" w:color="auto" w:sz="4" w:space="0"/>
            </w:tcBorders>
          </w:tcPr>
          <w:p w14:paraId="4ECFE703">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bidi="ar-SA"/>
              </w:rPr>
              <w:t>合同履行期限</w:t>
            </w:r>
          </w:p>
        </w:tc>
        <w:tc>
          <w:tcPr>
            <w:tcW w:w="5879" w:type="dxa"/>
          </w:tcPr>
          <w:p w14:paraId="4523C19C">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符合第二章“供应商须知”</w:t>
            </w:r>
            <w:r>
              <w:rPr>
                <w:rFonts w:hint="eastAsia" w:ascii="仿宋" w:hAnsi="仿宋" w:eastAsia="仿宋" w:cs="仿宋"/>
                <w:b/>
                <w:bCs/>
                <w:color w:val="auto"/>
                <w:sz w:val="24"/>
                <w:szCs w:val="24"/>
                <w:highlight w:val="none"/>
                <w:lang w:val="en-US" w:eastAsia="zh-CN"/>
              </w:rPr>
              <w:t>的规定</w:t>
            </w:r>
          </w:p>
        </w:tc>
      </w:tr>
      <w:tr w14:paraId="29B82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751" w:type="dxa"/>
            <w:vMerge w:val="continue"/>
          </w:tcPr>
          <w:p w14:paraId="4F926A20">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1005" w:type="dxa"/>
            <w:vMerge w:val="continue"/>
          </w:tcPr>
          <w:p w14:paraId="1887D8C9">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2505" w:type="dxa"/>
            <w:tcBorders>
              <w:top w:val="single" w:color="auto" w:sz="4" w:space="0"/>
              <w:bottom w:val="single" w:color="auto" w:sz="4" w:space="0"/>
            </w:tcBorders>
          </w:tcPr>
          <w:p w14:paraId="10814C0D">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磋商内容及范围</w:t>
            </w:r>
          </w:p>
        </w:tc>
        <w:tc>
          <w:tcPr>
            <w:tcW w:w="5879" w:type="dxa"/>
            <w:tcBorders>
              <w:bottom w:val="single" w:color="auto" w:sz="4" w:space="0"/>
            </w:tcBorders>
          </w:tcPr>
          <w:p w14:paraId="261A1DCB">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符合第二章“供应商须知”</w:t>
            </w:r>
            <w:r>
              <w:rPr>
                <w:rFonts w:hint="eastAsia" w:ascii="仿宋" w:hAnsi="仿宋" w:eastAsia="仿宋" w:cs="仿宋"/>
                <w:b/>
                <w:bCs/>
                <w:color w:val="auto"/>
                <w:sz w:val="24"/>
                <w:szCs w:val="24"/>
                <w:highlight w:val="none"/>
                <w:lang w:val="en-US" w:eastAsia="zh-CN"/>
              </w:rPr>
              <w:t>的规定</w:t>
            </w:r>
          </w:p>
        </w:tc>
      </w:tr>
      <w:tr w14:paraId="35CF7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751" w:type="dxa"/>
            <w:vMerge w:val="continue"/>
          </w:tcPr>
          <w:p w14:paraId="4440B74B">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1005" w:type="dxa"/>
            <w:vMerge w:val="continue"/>
          </w:tcPr>
          <w:p w14:paraId="09C27587">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2505" w:type="dxa"/>
            <w:tcBorders>
              <w:top w:val="single" w:color="auto" w:sz="4" w:space="0"/>
              <w:bottom w:val="single" w:color="auto" w:sz="4" w:space="0"/>
            </w:tcBorders>
          </w:tcPr>
          <w:p w14:paraId="5A3405F2">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服务</w:t>
            </w:r>
            <w:r>
              <w:rPr>
                <w:rFonts w:hint="eastAsia" w:ascii="仿宋" w:hAnsi="仿宋" w:eastAsia="仿宋" w:cs="仿宋"/>
                <w:b/>
                <w:color w:val="auto"/>
                <w:sz w:val="24"/>
                <w:szCs w:val="24"/>
                <w:highlight w:val="none"/>
                <w:lang w:val="en-US" w:eastAsia="zh-CN"/>
              </w:rPr>
              <w:t>质量</w:t>
            </w:r>
            <w:r>
              <w:rPr>
                <w:rFonts w:hint="eastAsia" w:ascii="仿宋" w:hAnsi="仿宋" w:eastAsia="仿宋" w:cs="仿宋"/>
                <w:b/>
                <w:color w:val="auto"/>
                <w:sz w:val="24"/>
                <w:szCs w:val="24"/>
                <w:highlight w:val="none"/>
              </w:rPr>
              <w:t>要求</w:t>
            </w:r>
          </w:p>
        </w:tc>
        <w:tc>
          <w:tcPr>
            <w:tcW w:w="5879" w:type="dxa"/>
            <w:tcBorders>
              <w:top w:val="single" w:color="auto" w:sz="4" w:space="0"/>
              <w:bottom w:val="single" w:color="auto" w:sz="4" w:space="0"/>
            </w:tcBorders>
            <w:vAlign w:val="top"/>
          </w:tcPr>
          <w:p w14:paraId="457A2DD7">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符合第二章“供应商须知”</w:t>
            </w:r>
            <w:r>
              <w:rPr>
                <w:rFonts w:hint="eastAsia" w:ascii="仿宋" w:hAnsi="仿宋" w:eastAsia="仿宋" w:cs="仿宋"/>
                <w:b/>
                <w:bCs/>
                <w:color w:val="auto"/>
                <w:sz w:val="24"/>
                <w:szCs w:val="24"/>
                <w:highlight w:val="none"/>
                <w:lang w:val="en-US" w:eastAsia="zh-CN"/>
              </w:rPr>
              <w:t>的规定</w:t>
            </w:r>
          </w:p>
        </w:tc>
      </w:tr>
      <w:tr w14:paraId="23D0A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751" w:type="dxa"/>
            <w:vMerge w:val="continue"/>
          </w:tcPr>
          <w:p w14:paraId="02EC94BD">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1005" w:type="dxa"/>
            <w:vMerge w:val="continue"/>
          </w:tcPr>
          <w:p w14:paraId="3B73D25F">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2505" w:type="dxa"/>
            <w:tcBorders>
              <w:top w:val="single" w:color="auto" w:sz="4" w:space="0"/>
              <w:bottom w:val="single" w:color="auto" w:sz="4" w:space="0"/>
            </w:tcBorders>
          </w:tcPr>
          <w:p w14:paraId="3D07B2D9">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服务地点</w:t>
            </w:r>
          </w:p>
        </w:tc>
        <w:tc>
          <w:tcPr>
            <w:tcW w:w="5879" w:type="dxa"/>
            <w:tcBorders>
              <w:top w:val="single" w:color="auto" w:sz="4" w:space="0"/>
            </w:tcBorders>
            <w:vAlign w:val="top"/>
          </w:tcPr>
          <w:p w14:paraId="4778B0AD">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符合第二章“供应商须知”的规定</w:t>
            </w:r>
          </w:p>
        </w:tc>
      </w:tr>
      <w:tr w14:paraId="0F7EB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751" w:type="dxa"/>
            <w:vMerge w:val="continue"/>
          </w:tcPr>
          <w:p w14:paraId="66972A76">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1005" w:type="dxa"/>
            <w:vMerge w:val="continue"/>
          </w:tcPr>
          <w:p w14:paraId="1859E164">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2505" w:type="dxa"/>
            <w:tcBorders>
              <w:top w:val="single" w:color="auto" w:sz="4" w:space="0"/>
              <w:bottom w:val="single" w:color="auto" w:sz="4" w:space="0"/>
            </w:tcBorders>
          </w:tcPr>
          <w:p w14:paraId="763A8A8A">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磋商保证金</w:t>
            </w:r>
          </w:p>
        </w:tc>
        <w:tc>
          <w:tcPr>
            <w:tcW w:w="5879" w:type="dxa"/>
          </w:tcPr>
          <w:p w14:paraId="3BA7DD67">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kern w:val="0"/>
                <w:sz w:val="24"/>
                <w:szCs w:val="24"/>
                <w:highlight w:val="none"/>
                <w:lang w:val="en-US" w:eastAsia="zh-CN" w:bidi="ar-SA"/>
              </w:rPr>
              <w:t>以投标承诺函形式替代磋商保证金</w:t>
            </w:r>
          </w:p>
        </w:tc>
      </w:tr>
      <w:tr w14:paraId="21001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51" w:type="dxa"/>
            <w:vMerge w:val="continue"/>
          </w:tcPr>
          <w:p w14:paraId="19E682AC">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1005" w:type="dxa"/>
            <w:vMerge w:val="continue"/>
          </w:tcPr>
          <w:p w14:paraId="35A546F6">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2505" w:type="dxa"/>
            <w:tcBorders>
              <w:top w:val="single" w:color="auto" w:sz="4" w:space="0"/>
            </w:tcBorders>
          </w:tcPr>
          <w:p w14:paraId="2037786D">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响应报价</w:t>
            </w:r>
          </w:p>
        </w:tc>
        <w:tc>
          <w:tcPr>
            <w:tcW w:w="5879" w:type="dxa"/>
            <w:vAlign w:val="top"/>
          </w:tcPr>
          <w:p w14:paraId="76ACAD86">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不得超过最高限价</w:t>
            </w:r>
          </w:p>
        </w:tc>
      </w:tr>
      <w:tr w14:paraId="2FC4A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751" w:type="dxa"/>
            <w:vMerge w:val="continue"/>
          </w:tcPr>
          <w:p w14:paraId="74414B26">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1005" w:type="dxa"/>
            <w:vMerge w:val="continue"/>
          </w:tcPr>
          <w:p w14:paraId="23F1367C">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2505" w:type="dxa"/>
            <w:tcBorders>
              <w:top w:val="single" w:color="auto" w:sz="4" w:space="0"/>
              <w:bottom w:val="single" w:color="auto" w:sz="4" w:space="0"/>
            </w:tcBorders>
          </w:tcPr>
          <w:p w14:paraId="47434F33">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磋商有效期</w:t>
            </w:r>
          </w:p>
        </w:tc>
        <w:tc>
          <w:tcPr>
            <w:tcW w:w="5879" w:type="dxa"/>
          </w:tcPr>
          <w:p w14:paraId="3926D3BC">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符合第</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章“供应商须知”项规定</w:t>
            </w:r>
          </w:p>
        </w:tc>
      </w:tr>
      <w:tr w14:paraId="08895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atLeast"/>
        </w:trPr>
        <w:tc>
          <w:tcPr>
            <w:tcW w:w="751" w:type="dxa"/>
            <w:vMerge w:val="continue"/>
          </w:tcPr>
          <w:p w14:paraId="06131611">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1005" w:type="dxa"/>
            <w:vMerge w:val="continue"/>
          </w:tcPr>
          <w:p w14:paraId="53CECBC8">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p>
        </w:tc>
        <w:tc>
          <w:tcPr>
            <w:tcW w:w="2505" w:type="dxa"/>
            <w:tcBorders>
              <w:top w:val="single" w:color="auto" w:sz="4" w:space="0"/>
            </w:tcBorders>
          </w:tcPr>
          <w:p w14:paraId="114193E2">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其他要求</w:t>
            </w:r>
          </w:p>
        </w:tc>
        <w:tc>
          <w:tcPr>
            <w:tcW w:w="5879" w:type="dxa"/>
          </w:tcPr>
          <w:p w14:paraId="0E9DB66C">
            <w:pPr>
              <w:keepNext w:val="0"/>
              <w:keepLines w:val="0"/>
              <w:pageBreakBefore w:val="0"/>
              <w:widowControl/>
              <w:kinsoku/>
              <w:wordWrap/>
              <w:overflowPunct/>
              <w:topLinePunct w:val="0"/>
              <w:bidi w:val="0"/>
              <w:snapToGrid/>
              <w:spacing w:after="0" w:line="460" w:lineRule="atLeas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符合磋商文件</w:t>
            </w:r>
            <w:r>
              <w:rPr>
                <w:rFonts w:hint="eastAsia" w:ascii="仿宋" w:hAnsi="仿宋" w:eastAsia="仿宋" w:cs="仿宋"/>
                <w:color w:val="auto"/>
                <w:sz w:val="24"/>
                <w:szCs w:val="24"/>
                <w:highlight w:val="none"/>
                <w:lang w:val="en-US" w:eastAsia="zh-CN"/>
              </w:rPr>
              <w:t>的其他</w:t>
            </w:r>
            <w:r>
              <w:rPr>
                <w:rFonts w:hint="eastAsia" w:ascii="仿宋" w:hAnsi="仿宋" w:eastAsia="仿宋" w:cs="仿宋"/>
                <w:color w:val="auto"/>
                <w:sz w:val="24"/>
                <w:szCs w:val="24"/>
                <w:highlight w:val="none"/>
              </w:rPr>
              <w:t>要求</w:t>
            </w:r>
          </w:p>
        </w:tc>
      </w:tr>
    </w:tbl>
    <w:p w14:paraId="1F0F2F81">
      <w:pPr>
        <w:pStyle w:val="12"/>
        <w:rPr>
          <w:rFonts w:hint="eastAsia" w:ascii="仿宋" w:hAnsi="仿宋" w:eastAsia="仿宋" w:cs="仿宋"/>
          <w:b/>
          <w:bCs/>
          <w:color w:val="auto"/>
          <w:sz w:val="24"/>
          <w:szCs w:val="24"/>
          <w:highlight w:val="none"/>
        </w:rPr>
      </w:pPr>
    </w:p>
    <w:p w14:paraId="593A6CE9">
      <w:pPr>
        <w:pStyle w:val="12"/>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注：只有通过了资格审查和</w:t>
      </w:r>
      <w:r>
        <w:rPr>
          <w:rFonts w:hint="eastAsia" w:ascii="仿宋" w:hAnsi="仿宋" w:eastAsia="仿宋" w:cs="仿宋"/>
          <w:b/>
          <w:color w:val="auto"/>
          <w:sz w:val="24"/>
          <w:szCs w:val="24"/>
          <w:highlight w:val="none"/>
        </w:rPr>
        <w:t>符合性</w:t>
      </w:r>
      <w:r>
        <w:rPr>
          <w:rFonts w:hint="eastAsia" w:ascii="仿宋" w:hAnsi="仿宋" w:eastAsia="仿宋" w:cs="仿宋"/>
          <w:b/>
          <w:bCs/>
          <w:color w:val="auto"/>
          <w:sz w:val="24"/>
          <w:szCs w:val="24"/>
          <w:highlight w:val="none"/>
        </w:rPr>
        <w:t>评审的响应文件才能进入详细评审，如通过资格审查和</w:t>
      </w:r>
      <w:r>
        <w:rPr>
          <w:rFonts w:hint="eastAsia" w:ascii="仿宋" w:hAnsi="仿宋" w:eastAsia="仿宋" w:cs="仿宋"/>
          <w:b/>
          <w:color w:val="auto"/>
          <w:sz w:val="24"/>
          <w:szCs w:val="24"/>
          <w:highlight w:val="none"/>
        </w:rPr>
        <w:t>符合性</w:t>
      </w:r>
      <w:r>
        <w:rPr>
          <w:rFonts w:hint="eastAsia" w:ascii="仿宋" w:hAnsi="仿宋" w:eastAsia="仿宋" w:cs="仿宋"/>
          <w:b/>
          <w:bCs/>
          <w:color w:val="auto"/>
          <w:sz w:val="24"/>
          <w:szCs w:val="24"/>
          <w:highlight w:val="none"/>
        </w:rPr>
        <w:t>评审的供应商不足三家，本</w:t>
      </w:r>
      <w:r>
        <w:rPr>
          <w:rFonts w:hint="eastAsia" w:ascii="仿宋" w:hAnsi="仿宋" w:eastAsia="仿宋" w:cs="仿宋"/>
          <w:b/>
          <w:bCs/>
          <w:color w:val="auto"/>
          <w:sz w:val="24"/>
          <w:szCs w:val="24"/>
          <w:highlight w:val="none"/>
          <w:lang w:val="en-US" w:eastAsia="zh-CN"/>
        </w:rPr>
        <w:t>次磋商采购</w:t>
      </w:r>
      <w:r>
        <w:rPr>
          <w:rFonts w:hint="eastAsia" w:ascii="仿宋" w:hAnsi="仿宋" w:eastAsia="仿宋" w:cs="仿宋"/>
          <w:b/>
          <w:bCs/>
          <w:color w:val="auto"/>
          <w:sz w:val="24"/>
          <w:szCs w:val="24"/>
          <w:highlight w:val="none"/>
        </w:rPr>
        <w:t>项目将予以流标，并重新组织招标</w:t>
      </w:r>
      <w:r>
        <w:rPr>
          <w:rFonts w:hint="eastAsia" w:ascii="仿宋" w:hAnsi="仿宋" w:eastAsia="仿宋" w:cs="仿宋"/>
          <w:b/>
          <w:bCs/>
          <w:color w:val="auto"/>
          <w:sz w:val="24"/>
          <w:szCs w:val="24"/>
          <w:highlight w:val="none"/>
          <w:lang w:val="en-US" w:eastAsia="zh-CN"/>
        </w:rPr>
        <w:t>采购</w:t>
      </w:r>
      <w:r>
        <w:rPr>
          <w:rFonts w:hint="eastAsia" w:ascii="仿宋" w:hAnsi="仿宋" w:eastAsia="仿宋" w:cs="仿宋"/>
          <w:b/>
          <w:bCs/>
          <w:color w:val="auto"/>
          <w:sz w:val="24"/>
          <w:szCs w:val="24"/>
          <w:highlight w:val="none"/>
        </w:rPr>
        <w:t>。</w:t>
      </w:r>
    </w:p>
    <w:p w14:paraId="1ECDCEED">
      <w:pPr>
        <w:pStyle w:val="12"/>
        <w:numPr>
          <w:ilvl w:val="0"/>
          <w:numId w:val="0"/>
        </w:numPr>
        <w:jc w:val="center"/>
        <w:rPr>
          <w:rFonts w:hint="eastAsia" w:ascii="仿宋" w:hAnsi="仿宋" w:eastAsia="仿宋" w:cs="仿宋"/>
          <w:b/>
          <w:color w:val="auto"/>
          <w:sz w:val="24"/>
          <w:szCs w:val="24"/>
          <w:highlight w:val="none"/>
        </w:rPr>
      </w:pPr>
    </w:p>
    <w:p w14:paraId="57F8CE37">
      <w:pPr>
        <w:rPr>
          <w:rFonts w:hint="eastAsia" w:ascii="仿宋" w:hAnsi="仿宋" w:eastAsia="仿宋" w:cs="仿宋"/>
          <w:b/>
          <w:color w:val="auto"/>
          <w:sz w:val="24"/>
          <w:szCs w:val="24"/>
          <w:highlight w:val="none"/>
        </w:rPr>
      </w:pPr>
    </w:p>
    <w:p w14:paraId="3A66FA36">
      <w:pPr>
        <w:pStyle w:val="12"/>
        <w:numPr>
          <w:ilvl w:val="0"/>
          <w:numId w:val="0"/>
        </w:numPr>
        <w:jc w:val="center"/>
        <w:rPr>
          <w:rFonts w:hint="eastAsia" w:ascii="仿宋" w:hAnsi="仿宋" w:eastAsia="仿宋" w:cs="仿宋"/>
          <w:color w:val="auto"/>
          <w:highlight w:val="none"/>
        </w:rPr>
      </w:pPr>
      <w:r>
        <w:rPr>
          <w:rFonts w:hint="eastAsia" w:ascii="仿宋" w:hAnsi="仿宋" w:eastAsia="仿宋" w:cs="仿宋"/>
          <w:b/>
          <w:color w:val="auto"/>
          <w:sz w:val="24"/>
          <w:szCs w:val="24"/>
          <w:highlight w:val="none"/>
        </w:rPr>
        <w:t>分值构成及评分办法</w:t>
      </w:r>
    </w:p>
    <w:tbl>
      <w:tblPr>
        <w:tblStyle w:val="84"/>
        <w:tblW w:w="96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74"/>
        <w:gridCol w:w="1279"/>
        <w:gridCol w:w="7034"/>
      </w:tblGrid>
      <w:tr w14:paraId="734DB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 w:hRule="atLeast"/>
          <w:jc w:val="center"/>
        </w:trPr>
        <w:tc>
          <w:tcPr>
            <w:tcW w:w="9687" w:type="dxa"/>
            <w:gridSpan w:val="3"/>
          </w:tcPr>
          <w:p w14:paraId="110B2316">
            <w:pPr>
              <w:pStyle w:val="79"/>
              <w:spacing w:before="165" w:line="360" w:lineRule="auto"/>
              <w:jc w:val="center"/>
              <w:rPr>
                <w:rFonts w:hint="eastAsia" w:ascii="宋体" w:hAnsi="宋体" w:eastAsia="宋体" w:cs="宋体"/>
                <w:color w:val="auto"/>
                <w:sz w:val="24"/>
                <w:szCs w:val="24"/>
              </w:rPr>
            </w:pPr>
            <w:bookmarkStart w:id="40" w:name="_Toc63669162"/>
            <w:bookmarkStart w:id="41" w:name="_Toc3688"/>
            <w:r>
              <w:rPr>
                <w:rFonts w:hint="eastAsia" w:ascii="宋体" w:hAnsi="宋体" w:eastAsia="宋体" w:cs="宋体"/>
                <w:color w:val="auto"/>
                <w:spacing w:val="-3"/>
                <w:sz w:val="24"/>
                <w:szCs w:val="24"/>
                <w14:textOutline w14:w="4356" w14:cap="flat" w14:cmpd="sng" w14:algn="ctr">
                  <w14:solidFill>
                    <w14:srgbClr w14:val="000000"/>
                  </w14:solidFill>
                  <w14:prstDash w14:val="solid"/>
                  <w14:miter w14:val="0"/>
                </w14:textOutline>
              </w:rPr>
              <w:t>编列内容</w:t>
            </w:r>
          </w:p>
        </w:tc>
      </w:tr>
      <w:tr w14:paraId="712C6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74" w:type="dxa"/>
            <w:vAlign w:val="center"/>
          </w:tcPr>
          <w:p w14:paraId="0732CD36">
            <w:pPr>
              <w:pStyle w:val="79"/>
              <w:spacing w:before="143" w:line="360" w:lineRule="auto"/>
              <w:ind w:left="239" w:right="109" w:hanging="123"/>
              <w:jc w:val="center"/>
              <w:rPr>
                <w:rFonts w:hint="eastAsia" w:ascii="宋体" w:hAnsi="宋体" w:eastAsia="宋体" w:cs="宋体"/>
                <w:color w:val="auto"/>
                <w:sz w:val="24"/>
                <w:szCs w:val="24"/>
              </w:rPr>
            </w:pPr>
            <w:r>
              <w:rPr>
                <w:rFonts w:hint="eastAsia" w:ascii="宋体" w:hAnsi="宋体" w:eastAsia="宋体" w:cs="宋体"/>
                <w:color w:val="auto"/>
                <w:spacing w:val="-4"/>
                <w:sz w:val="24"/>
                <w:szCs w:val="24"/>
              </w:rPr>
              <w:t>分值构成</w:t>
            </w:r>
            <w:r>
              <w:rPr>
                <w:rFonts w:hint="eastAsia" w:ascii="宋体" w:hAnsi="宋体" w:eastAsia="宋体" w:cs="宋体"/>
                <w:color w:val="auto"/>
                <w:spacing w:val="-6"/>
                <w:sz w:val="24"/>
                <w:szCs w:val="24"/>
              </w:rPr>
              <w:t>（总分</w:t>
            </w:r>
            <w:r>
              <w:rPr>
                <w:rFonts w:hint="eastAsia" w:ascii="宋体" w:hAnsi="宋体" w:eastAsia="宋体" w:cs="宋体"/>
                <w:color w:val="auto"/>
                <w:spacing w:val="-9"/>
                <w:sz w:val="24"/>
                <w:szCs w:val="24"/>
              </w:rPr>
              <w:t>100分）</w:t>
            </w:r>
          </w:p>
        </w:tc>
        <w:tc>
          <w:tcPr>
            <w:tcW w:w="8313" w:type="dxa"/>
            <w:gridSpan w:val="2"/>
          </w:tcPr>
          <w:p w14:paraId="42F734CF">
            <w:pPr>
              <w:spacing w:before="307" w:line="240" w:lineRule="auto"/>
              <w:ind w:left="110" w:right="102" w:hanging="1"/>
              <w:rPr>
                <w:rFonts w:hint="eastAsia" w:ascii="宋体" w:hAnsi="宋体" w:eastAsia="宋体" w:cs="宋体"/>
                <w:bCs/>
                <w:snapToGrid w:val="0"/>
                <w:color w:val="auto"/>
                <w:sz w:val="24"/>
                <w:szCs w:val="24"/>
              </w:rPr>
            </w:pPr>
            <w:r>
              <w:rPr>
                <w:rFonts w:hint="eastAsia" w:ascii="宋体" w:hAnsi="宋体" w:eastAsia="宋体" w:cs="宋体"/>
                <w:bCs/>
                <w:snapToGrid w:val="0"/>
                <w:color w:val="auto"/>
                <w:sz w:val="24"/>
                <w:szCs w:val="24"/>
                <w:lang w:eastAsia="zh-CN"/>
              </w:rPr>
              <w:t>投标报价</w:t>
            </w:r>
            <w:r>
              <w:rPr>
                <w:rFonts w:hint="eastAsia" w:ascii="宋体" w:hAnsi="宋体" w:eastAsia="宋体" w:cs="宋体"/>
                <w:bCs/>
                <w:snapToGrid w:val="0"/>
                <w:color w:val="auto"/>
                <w:sz w:val="24"/>
                <w:szCs w:val="24"/>
              </w:rPr>
              <w:t>：30分</w:t>
            </w:r>
          </w:p>
          <w:p w14:paraId="20B1B8C6">
            <w:pPr>
              <w:spacing w:before="307" w:line="240" w:lineRule="auto"/>
              <w:ind w:left="110" w:right="102" w:hanging="1"/>
              <w:rPr>
                <w:rFonts w:hint="eastAsia" w:ascii="宋体" w:hAnsi="宋体" w:eastAsia="宋体" w:cs="宋体"/>
                <w:bCs/>
                <w:snapToGrid w:val="0"/>
                <w:color w:val="auto"/>
                <w:sz w:val="24"/>
                <w:szCs w:val="24"/>
              </w:rPr>
            </w:pPr>
            <w:r>
              <w:rPr>
                <w:rFonts w:hint="eastAsia" w:ascii="宋体" w:hAnsi="宋体" w:eastAsia="宋体" w:cs="宋体"/>
                <w:bCs/>
                <w:snapToGrid w:val="0"/>
                <w:color w:val="auto"/>
                <w:sz w:val="24"/>
                <w:szCs w:val="24"/>
              </w:rPr>
              <w:t>商务部分：55分</w:t>
            </w:r>
          </w:p>
          <w:p w14:paraId="5D0A5A05">
            <w:pPr>
              <w:spacing w:before="307" w:line="240" w:lineRule="auto"/>
              <w:ind w:left="110" w:right="102" w:hanging="1"/>
              <w:rPr>
                <w:rFonts w:hint="eastAsia" w:ascii="宋体" w:hAnsi="宋体" w:eastAsia="宋体" w:cs="宋体"/>
                <w:color w:val="auto"/>
                <w:sz w:val="24"/>
                <w:szCs w:val="24"/>
              </w:rPr>
            </w:pPr>
            <w:r>
              <w:rPr>
                <w:rFonts w:hint="eastAsia" w:ascii="宋体" w:hAnsi="宋体" w:eastAsia="宋体" w:cs="宋体"/>
                <w:bCs/>
                <w:snapToGrid w:val="0"/>
                <w:color w:val="auto"/>
                <w:sz w:val="24"/>
                <w:szCs w:val="24"/>
              </w:rPr>
              <w:t>服务方案:</w:t>
            </w:r>
            <w:r>
              <w:rPr>
                <w:rFonts w:hint="eastAsia" w:ascii="宋体" w:hAnsi="宋体" w:eastAsia="宋体" w:cs="宋体"/>
                <w:bCs/>
                <w:snapToGrid w:val="0"/>
                <w:color w:val="auto"/>
                <w:sz w:val="24"/>
                <w:szCs w:val="24"/>
                <w:lang w:val="en-US" w:eastAsia="zh-CN"/>
              </w:rPr>
              <w:t xml:space="preserve"> </w:t>
            </w:r>
            <w:r>
              <w:rPr>
                <w:rFonts w:hint="eastAsia" w:ascii="宋体" w:hAnsi="宋体" w:eastAsia="宋体" w:cs="宋体"/>
                <w:bCs/>
                <w:snapToGrid w:val="0"/>
                <w:color w:val="auto"/>
                <w:sz w:val="24"/>
                <w:szCs w:val="24"/>
              </w:rPr>
              <w:t>15分</w:t>
            </w:r>
          </w:p>
        </w:tc>
      </w:tr>
      <w:tr w14:paraId="093DE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1374" w:type="dxa"/>
          </w:tcPr>
          <w:p w14:paraId="4F6CEF04">
            <w:pPr>
              <w:pStyle w:val="79"/>
              <w:spacing w:before="199" w:line="360" w:lineRule="auto"/>
              <w:ind w:left="104"/>
              <w:jc w:val="center"/>
              <w:rPr>
                <w:rFonts w:hint="eastAsia" w:ascii="宋体" w:hAnsi="宋体" w:eastAsia="宋体" w:cs="宋体"/>
                <w:color w:val="auto"/>
                <w:sz w:val="24"/>
                <w:szCs w:val="24"/>
              </w:rPr>
            </w:pPr>
            <w:r>
              <w:rPr>
                <w:rFonts w:hint="eastAsia" w:ascii="宋体" w:hAnsi="宋体" w:eastAsia="宋体" w:cs="宋体"/>
                <w:color w:val="auto"/>
                <w:spacing w:val="-2"/>
                <w:sz w:val="24"/>
                <w:szCs w:val="24"/>
                <w14:textOutline w14:w="4356" w14:cap="flat" w14:cmpd="sng" w14:algn="ctr">
                  <w14:solidFill>
                    <w14:srgbClr w14:val="000000"/>
                  </w14:solidFill>
                  <w14:prstDash w14:val="solid"/>
                  <w14:miter w14:val="0"/>
                </w14:textOutline>
              </w:rPr>
              <w:t>评分因素</w:t>
            </w:r>
          </w:p>
        </w:tc>
        <w:tc>
          <w:tcPr>
            <w:tcW w:w="8313" w:type="dxa"/>
            <w:gridSpan w:val="2"/>
          </w:tcPr>
          <w:p w14:paraId="211A4E63">
            <w:pPr>
              <w:pStyle w:val="79"/>
              <w:spacing w:before="198" w:line="360" w:lineRule="auto"/>
              <w:jc w:val="center"/>
              <w:rPr>
                <w:rFonts w:hint="eastAsia" w:ascii="宋体" w:hAnsi="宋体" w:eastAsia="宋体" w:cs="宋体"/>
                <w:color w:val="auto"/>
                <w:sz w:val="24"/>
                <w:szCs w:val="24"/>
              </w:rPr>
            </w:pPr>
            <w:r>
              <w:rPr>
                <w:rFonts w:hint="eastAsia" w:ascii="宋体" w:hAnsi="宋体" w:eastAsia="宋体" w:cs="宋体"/>
                <w:color w:val="auto"/>
                <w:spacing w:val="-2"/>
                <w:sz w:val="24"/>
                <w:szCs w:val="24"/>
                <w14:textOutline w14:w="4356" w14:cap="flat" w14:cmpd="sng" w14:algn="ctr">
                  <w14:solidFill>
                    <w14:srgbClr w14:val="000000"/>
                  </w14:solidFill>
                  <w14:prstDash w14:val="solid"/>
                  <w14:miter w14:val="0"/>
                </w14:textOutline>
              </w:rPr>
              <w:t>评分标准</w:t>
            </w:r>
          </w:p>
        </w:tc>
      </w:tr>
      <w:tr w14:paraId="2E263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jc w:val="center"/>
        </w:trPr>
        <w:tc>
          <w:tcPr>
            <w:tcW w:w="1374" w:type="dxa"/>
            <w:vAlign w:val="center"/>
          </w:tcPr>
          <w:p w14:paraId="5A9E08F6">
            <w:pPr>
              <w:pStyle w:val="79"/>
              <w:spacing w:before="78" w:line="360" w:lineRule="auto"/>
              <w:ind w:left="114"/>
              <w:jc w:val="center"/>
              <w:rPr>
                <w:rFonts w:hint="eastAsia" w:ascii="宋体" w:hAnsi="宋体" w:eastAsia="宋体" w:cs="宋体"/>
                <w:color w:val="auto"/>
                <w:sz w:val="24"/>
                <w:szCs w:val="24"/>
              </w:rPr>
            </w:pPr>
            <w:r>
              <w:rPr>
                <w:rFonts w:hint="eastAsia" w:ascii="宋体" w:hAnsi="宋体" w:eastAsia="宋体" w:cs="宋体"/>
                <w:color w:val="auto"/>
                <w:spacing w:val="-3"/>
                <w:position w:val="15"/>
                <w:sz w:val="24"/>
                <w:szCs w:val="24"/>
                <w:lang w:eastAsia="zh-CN"/>
              </w:rPr>
              <w:t>投标报价</w:t>
            </w:r>
            <w:r>
              <w:rPr>
                <w:rFonts w:hint="eastAsia" w:ascii="宋体" w:hAnsi="宋体" w:eastAsia="宋体" w:cs="宋体"/>
                <w:color w:val="auto"/>
                <w:spacing w:val="-3"/>
                <w:position w:val="15"/>
                <w:sz w:val="24"/>
                <w:szCs w:val="24"/>
              </w:rPr>
              <w:t>（</w:t>
            </w:r>
            <w:r>
              <w:rPr>
                <w:rFonts w:hint="eastAsia" w:ascii="宋体" w:hAnsi="宋体" w:eastAsia="宋体" w:cs="宋体"/>
                <w:color w:val="auto"/>
                <w:spacing w:val="-3"/>
                <w:position w:val="15"/>
                <w:sz w:val="24"/>
                <w:szCs w:val="24"/>
                <w:lang w:eastAsia="zh-CN"/>
              </w:rPr>
              <w:t>30分）</w:t>
            </w:r>
          </w:p>
        </w:tc>
        <w:tc>
          <w:tcPr>
            <w:tcW w:w="8313" w:type="dxa"/>
            <w:gridSpan w:val="2"/>
          </w:tcPr>
          <w:p w14:paraId="7BCABAC7">
            <w:pPr>
              <w:pStyle w:val="16"/>
              <w:keepNext w:val="0"/>
              <w:keepLines w:val="0"/>
              <w:pageBreakBefore w:val="0"/>
              <w:widowControl w:val="0"/>
              <w:tabs>
                <w:tab w:val="left" w:pos="0"/>
              </w:tabs>
              <w:kinsoku/>
              <w:wordWrap w:val="0"/>
              <w:overflowPunct w:val="0"/>
              <w:topLinePunct/>
              <w:autoSpaceDE/>
              <w:autoSpaceDN/>
              <w:bidi w:val="0"/>
              <w:adjustRightInd/>
              <w:snapToGrid/>
              <w:spacing w:after="0" w:line="360" w:lineRule="auto"/>
              <w:ind w:left="0" w:leftChars="0" w:right="0" w:firstLine="464" w:firstLineChars="200"/>
              <w:jc w:val="left"/>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lang w:val="en-US" w:eastAsia="zh-CN"/>
              </w:rPr>
              <w:t>投标报价得</w:t>
            </w:r>
            <w:r>
              <w:rPr>
                <w:rFonts w:hint="eastAsia" w:ascii="宋体" w:hAnsi="宋体" w:eastAsia="宋体" w:cs="宋体"/>
                <w:color w:val="auto"/>
                <w:spacing w:val="-4"/>
                <w:sz w:val="24"/>
                <w:szCs w:val="24"/>
              </w:rPr>
              <w:t>分统一采用低价优先法计算，即满足</w:t>
            </w:r>
            <w:r>
              <w:rPr>
                <w:rFonts w:hint="eastAsia" w:ascii="宋体" w:hAnsi="宋体" w:eastAsia="宋体" w:cs="宋体"/>
                <w:color w:val="auto"/>
                <w:spacing w:val="-4"/>
                <w:sz w:val="24"/>
                <w:szCs w:val="24"/>
                <w:lang w:eastAsia="zh-CN"/>
              </w:rPr>
              <w:t>磋商文件</w:t>
            </w:r>
            <w:r>
              <w:rPr>
                <w:rFonts w:hint="eastAsia" w:ascii="宋体" w:hAnsi="宋体" w:eastAsia="宋体" w:cs="宋体"/>
                <w:color w:val="auto"/>
                <w:spacing w:val="-4"/>
                <w:sz w:val="24"/>
                <w:szCs w:val="24"/>
              </w:rPr>
              <w:t>要求且最终投标价格最低的投标报价为评标基准价。其他供应商的</w:t>
            </w:r>
            <w:r>
              <w:rPr>
                <w:rFonts w:hint="eastAsia" w:ascii="宋体" w:hAnsi="宋体" w:eastAsia="宋体" w:cs="宋体"/>
                <w:color w:val="auto"/>
                <w:spacing w:val="-4"/>
                <w:sz w:val="24"/>
                <w:szCs w:val="24"/>
                <w:lang w:eastAsia="zh-CN"/>
              </w:rPr>
              <w:t>投标报价得分</w:t>
            </w:r>
            <w:r>
              <w:rPr>
                <w:rFonts w:hint="eastAsia" w:ascii="宋体" w:hAnsi="宋体" w:eastAsia="宋体" w:cs="宋体"/>
                <w:color w:val="auto"/>
                <w:spacing w:val="-4"/>
                <w:sz w:val="24"/>
                <w:szCs w:val="24"/>
              </w:rPr>
              <w:t>统一按照下列公式计算：</w:t>
            </w:r>
          </w:p>
          <w:p w14:paraId="2B6C5656">
            <w:pPr>
              <w:pStyle w:val="15"/>
              <w:keepNext w:val="0"/>
              <w:keepLines w:val="0"/>
              <w:pageBreakBefore w:val="0"/>
              <w:widowControl w:val="0"/>
              <w:tabs>
                <w:tab w:val="left" w:pos="180"/>
                <w:tab w:val="left" w:pos="482"/>
                <w:tab w:val="left" w:pos="2183"/>
                <w:tab w:val="left" w:pos="3884"/>
                <w:tab w:val="left" w:pos="5585"/>
              </w:tabs>
              <w:kinsoku/>
              <w:wordWrap w:val="0"/>
              <w:overflowPunct w:val="0"/>
              <w:topLinePunct/>
              <w:autoSpaceDE/>
              <w:autoSpaceDN/>
              <w:bidi w:val="0"/>
              <w:adjustRightInd/>
              <w:snapToGrid/>
              <w:spacing w:after="0" w:line="360" w:lineRule="auto"/>
              <w:ind w:left="0" w:right="0" w:firstLine="464" w:firstLineChars="200"/>
              <w:jc w:val="left"/>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投标报价得分=评标基准价/投标报价 ×30</w:t>
            </w:r>
          </w:p>
          <w:p w14:paraId="7638E666">
            <w:pPr>
              <w:pStyle w:val="16"/>
              <w:keepNext w:val="0"/>
              <w:keepLines w:val="0"/>
              <w:pageBreakBefore w:val="0"/>
              <w:widowControl w:val="0"/>
              <w:tabs>
                <w:tab w:val="left" w:pos="0"/>
              </w:tabs>
              <w:kinsoku/>
              <w:wordWrap w:val="0"/>
              <w:overflowPunct w:val="0"/>
              <w:topLinePunct/>
              <w:autoSpaceDE/>
              <w:autoSpaceDN/>
              <w:bidi w:val="0"/>
              <w:adjustRightInd/>
              <w:snapToGrid/>
              <w:spacing w:after="0" w:line="360" w:lineRule="auto"/>
              <w:ind w:left="0" w:leftChars="0" w:right="0" w:firstLine="464" w:firstLineChars="200"/>
              <w:jc w:val="left"/>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有效供应商是指实质上响应且满足</w:t>
            </w:r>
            <w:r>
              <w:rPr>
                <w:rFonts w:hint="eastAsia" w:ascii="宋体" w:hAnsi="宋体" w:eastAsia="宋体" w:cs="宋体"/>
                <w:color w:val="auto"/>
                <w:spacing w:val="-4"/>
                <w:sz w:val="24"/>
                <w:szCs w:val="24"/>
                <w:lang w:eastAsia="zh-CN"/>
              </w:rPr>
              <w:t>磋商文件</w:t>
            </w:r>
            <w:r>
              <w:rPr>
                <w:rFonts w:hint="eastAsia" w:ascii="宋体" w:hAnsi="宋体" w:eastAsia="宋体" w:cs="宋体"/>
                <w:color w:val="auto"/>
                <w:spacing w:val="-4"/>
                <w:sz w:val="24"/>
                <w:szCs w:val="24"/>
              </w:rPr>
              <w:t>技术要求并通过资格性、符合性审核未被废标的所有供应商。</w:t>
            </w:r>
          </w:p>
          <w:p w14:paraId="7FEBC9FE">
            <w:pPr>
              <w:keepNext w:val="0"/>
              <w:keepLines w:val="0"/>
              <w:pageBreakBefore w:val="0"/>
              <w:widowControl w:val="0"/>
              <w:kinsoku/>
              <w:wordWrap w:val="0"/>
              <w:overflowPunct w:val="0"/>
              <w:topLinePunct/>
              <w:autoSpaceDE/>
              <w:autoSpaceDN/>
              <w:bidi w:val="0"/>
              <w:adjustRightInd/>
              <w:snapToGrid/>
              <w:spacing w:line="360" w:lineRule="auto"/>
              <w:ind w:left="0" w:right="0" w:firstLine="466" w:firstLineChars="200"/>
              <w:textAlignment w:val="auto"/>
              <w:rPr>
                <w:rFonts w:hint="eastAsia" w:ascii="宋体" w:hAnsi="宋体" w:eastAsia="宋体" w:cs="宋体"/>
                <w:color w:val="auto"/>
                <w:spacing w:val="-4"/>
                <w:sz w:val="24"/>
                <w:szCs w:val="24"/>
              </w:rPr>
            </w:pPr>
            <w:r>
              <w:rPr>
                <w:rFonts w:hint="eastAsia" w:ascii="宋体" w:hAnsi="宋体" w:eastAsia="宋体" w:cs="宋体"/>
                <w:b/>
                <w:bCs/>
                <w:color w:val="auto"/>
                <w:spacing w:val="-4"/>
                <w:sz w:val="24"/>
                <w:szCs w:val="24"/>
              </w:rPr>
              <w:t>本项目专门针对中小企业进行采购，所有</w:t>
            </w:r>
            <w:r>
              <w:rPr>
                <w:rFonts w:hint="eastAsia" w:ascii="宋体" w:hAnsi="宋体" w:eastAsia="宋体" w:cs="宋体"/>
                <w:b/>
                <w:bCs/>
                <w:color w:val="auto"/>
                <w:spacing w:val="-4"/>
                <w:sz w:val="24"/>
                <w:szCs w:val="24"/>
                <w:lang w:eastAsia="zh-CN"/>
              </w:rPr>
              <w:t>供应商</w:t>
            </w:r>
            <w:r>
              <w:rPr>
                <w:rFonts w:hint="eastAsia" w:ascii="宋体" w:hAnsi="宋体" w:eastAsia="宋体" w:cs="宋体"/>
                <w:b/>
                <w:bCs/>
                <w:color w:val="auto"/>
                <w:spacing w:val="-4"/>
                <w:sz w:val="24"/>
                <w:szCs w:val="24"/>
              </w:rPr>
              <w:t>报价不再享受折扣。</w:t>
            </w:r>
          </w:p>
          <w:p w14:paraId="13B107B1">
            <w:pPr>
              <w:keepNext w:val="0"/>
              <w:keepLines w:val="0"/>
              <w:pageBreakBefore w:val="0"/>
              <w:widowControl w:val="0"/>
              <w:kinsoku/>
              <w:wordWrap w:val="0"/>
              <w:overflowPunct w:val="0"/>
              <w:topLinePunct/>
              <w:autoSpaceDE/>
              <w:autoSpaceDN/>
              <w:bidi w:val="0"/>
              <w:adjustRightInd/>
              <w:snapToGri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注：投标报价分计算保留小数点后二位，小数点后第三位进行“四舍五入”。</w:t>
            </w:r>
          </w:p>
          <w:p w14:paraId="0980D2DE">
            <w:pPr>
              <w:keepNext w:val="0"/>
              <w:keepLines w:val="0"/>
              <w:pageBreakBefore w:val="0"/>
              <w:widowControl w:val="0"/>
              <w:kinsoku/>
              <w:wordWrap w:val="0"/>
              <w:overflowPunct w:val="0"/>
              <w:topLinePunct/>
              <w:autoSpaceDE/>
              <w:autoSpaceDN/>
              <w:bidi w:val="0"/>
              <w:adjustRightInd/>
              <w:snapToGrid/>
              <w:spacing w:line="360" w:lineRule="auto"/>
              <w:ind w:left="0" w:right="0" w:firstLine="464" w:firstLineChars="200"/>
              <w:textAlignment w:val="auto"/>
              <w:rPr>
                <w:rFonts w:hint="eastAsia" w:ascii="宋体" w:hAnsi="宋体" w:eastAsia="宋体" w:cs="宋体"/>
                <w:color w:val="auto"/>
                <w:spacing w:val="-2"/>
                <w:sz w:val="24"/>
                <w:szCs w:val="24"/>
              </w:rPr>
            </w:pPr>
            <w:r>
              <w:rPr>
                <w:rFonts w:hint="eastAsia" w:ascii="宋体" w:hAnsi="宋体" w:eastAsia="宋体" w:cs="宋体"/>
                <w:color w:val="auto"/>
                <w:spacing w:val="-4"/>
                <w:sz w:val="24"/>
                <w:szCs w:val="24"/>
              </w:rPr>
              <w:t>有效投标报价：①低于预算价及最高限价；②通过评委组的初步评审未按废标处理；③符合</w:t>
            </w:r>
            <w:r>
              <w:rPr>
                <w:rFonts w:hint="eastAsia" w:ascii="宋体" w:hAnsi="宋体" w:eastAsia="宋体" w:cs="宋体"/>
                <w:color w:val="auto"/>
                <w:spacing w:val="-4"/>
                <w:sz w:val="24"/>
                <w:szCs w:val="24"/>
                <w:lang w:eastAsia="zh-CN"/>
              </w:rPr>
              <w:t>磋商文件</w:t>
            </w:r>
            <w:r>
              <w:rPr>
                <w:rFonts w:hint="eastAsia" w:ascii="宋体" w:hAnsi="宋体" w:eastAsia="宋体" w:cs="宋体"/>
                <w:color w:val="auto"/>
                <w:spacing w:val="-4"/>
                <w:sz w:val="24"/>
                <w:szCs w:val="24"/>
              </w:rPr>
              <w:t>技术要求，证明材料提供完整并逐一体现，技术要求未按无效标处理；④供应商的投标报价明显低于其他投标报价时，该供应商需作出书面说明和提供相关的证明材料，不能合理说明情况或相关证明材料不被</w:t>
            </w:r>
            <w:r>
              <w:rPr>
                <w:rFonts w:hint="eastAsia" w:ascii="宋体" w:hAnsi="宋体" w:eastAsia="宋体" w:cs="宋体"/>
                <w:color w:val="auto"/>
                <w:spacing w:val="-4"/>
                <w:sz w:val="24"/>
                <w:szCs w:val="24"/>
                <w:lang w:eastAsia="zh-CN"/>
              </w:rPr>
              <w:t>磋商小组</w:t>
            </w:r>
            <w:r>
              <w:rPr>
                <w:rFonts w:hint="eastAsia" w:ascii="宋体" w:hAnsi="宋体" w:eastAsia="宋体" w:cs="宋体"/>
                <w:color w:val="auto"/>
                <w:spacing w:val="-4"/>
                <w:sz w:val="24"/>
                <w:szCs w:val="24"/>
              </w:rPr>
              <w:t>接受的按无效报价。</w:t>
            </w:r>
          </w:p>
        </w:tc>
      </w:tr>
      <w:tr w14:paraId="4E411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9" w:hRule="atLeast"/>
          <w:jc w:val="center"/>
        </w:trPr>
        <w:tc>
          <w:tcPr>
            <w:tcW w:w="1374" w:type="dxa"/>
            <w:vMerge w:val="restart"/>
            <w:vAlign w:val="center"/>
          </w:tcPr>
          <w:p w14:paraId="341F2F89">
            <w:pPr>
              <w:pStyle w:val="16"/>
              <w:keepNext w:val="0"/>
              <w:keepLines w:val="0"/>
              <w:pageBreakBefore w:val="0"/>
              <w:widowControl w:val="0"/>
              <w:tabs>
                <w:tab w:val="left" w:pos="0"/>
              </w:tabs>
              <w:kinsoku/>
              <w:wordWrap w:val="0"/>
              <w:overflowPunct w:val="0"/>
              <w:topLinePunct/>
              <w:autoSpaceDE/>
              <w:autoSpaceDN/>
              <w:bidi w:val="0"/>
              <w:adjustRightInd/>
              <w:snapToGrid/>
              <w:spacing w:after="0" w:line="360" w:lineRule="auto"/>
              <w:ind w:left="0" w:leftChars="0" w:right="0" w:firstLine="0" w:firstLineChars="0"/>
              <w:jc w:val="center"/>
              <w:textAlignment w:val="auto"/>
              <w:rPr>
                <w:rFonts w:hint="eastAsia" w:ascii="宋体" w:hAnsi="宋体" w:eastAsia="宋体" w:cs="宋体"/>
                <w:color w:val="auto"/>
                <w:spacing w:val="-4"/>
                <w:sz w:val="24"/>
                <w:szCs w:val="24"/>
                <w:lang w:val="en-US" w:eastAsia="zh-CN"/>
              </w:rPr>
            </w:pPr>
            <w:r>
              <w:rPr>
                <w:rFonts w:hint="eastAsia" w:ascii="宋体" w:hAnsi="宋体" w:eastAsia="宋体" w:cs="宋体"/>
                <w:color w:val="auto"/>
                <w:spacing w:val="-4"/>
                <w:sz w:val="24"/>
                <w:szCs w:val="24"/>
                <w:lang w:val="en-US" w:eastAsia="zh-CN"/>
              </w:rPr>
              <w:t>服务方案</w:t>
            </w:r>
          </w:p>
        </w:tc>
        <w:tc>
          <w:tcPr>
            <w:tcW w:w="1279" w:type="dxa"/>
            <w:vAlign w:val="center"/>
          </w:tcPr>
          <w:p w14:paraId="08D01B7C">
            <w:pPr>
              <w:pStyle w:val="12"/>
              <w:spacing w:line="240" w:lineRule="auto"/>
              <w:jc w:val="center"/>
              <w:rPr>
                <w:rFonts w:hint="eastAsia" w:ascii="宋体" w:hAnsi="宋体" w:eastAsia="宋体" w:cs="宋体"/>
                <w:color w:val="auto"/>
                <w:spacing w:val="-4"/>
                <w:sz w:val="24"/>
                <w:szCs w:val="24"/>
                <w:lang w:val="en-US" w:eastAsia="zh-CN" w:bidi="ar-SA"/>
              </w:rPr>
            </w:pPr>
            <w:r>
              <w:rPr>
                <w:rFonts w:hint="eastAsia" w:ascii="宋体" w:hAnsi="宋体" w:eastAsia="宋体" w:cs="宋体"/>
                <w:color w:val="auto"/>
                <w:spacing w:val="-4"/>
                <w:sz w:val="24"/>
                <w:szCs w:val="24"/>
                <w:lang w:val="en-US" w:eastAsia="zh-CN" w:bidi="ar-SA"/>
              </w:rPr>
              <w:t>建立健全的管理制度</w:t>
            </w:r>
          </w:p>
          <w:p w14:paraId="2B6F67A6">
            <w:pPr>
              <w:pStyle w:val="12"/>
              <w:spacing w:line="240" w:lineRule="auto"/>
              <w:jc w:val="center"/>
              <w:rPr>
                <w:rFonts w:hint="eastAsia" w:ascii="宋体" w:hAnsi="宋体" w:eastAsia="宋体" w:cs="宋体"/>
                <w:color w:val="auto"/>
                <w:spacing w:val="-4"/>
                <w:sz w:val="24"/>
                <w:szCs w:val="24"/>
                <w:lang w:val="en-US" w:eastAsia="zh-CN" w:bidi="ar-SA"/>
              </w:rPr>
            </w:pPr>
            <w:r>
              <w:rPr>
                <w:rFonts w:hint="eastAsia" w:ascii="宋体" w:hAnsi="宋体" w:eastAsia="宋体" w:cs="宋体"/>
                <w:color w:val="auto"/>
                <w:spacing w:val="-4"/>
                <w:sz w:val="24"/>
                <w:szCs w:val="24"/>
                <w:lang w:val="en-US" w:eastAsia="zh-CN" w:bidi="ar-SA"/>
              </w:rPr>
              <w:t>（5分）</w:t>
            </w:r>
          </w:p>
        </w:tc>
        <w:tc>
          <w:tcPr>
            <w:tcW w:w="7034" w:type="dxa"/>
            <w:tcBorders>
              <w:bottom w:val="single" w:color="auto" w:sz="4" w:space="0"/>
            </w:tcBorders>
            <w:vAlign w:val="center"/>
          </w:tcPr>
          <w:p w14:paraId="745B98DE">
            <w:pPr>
              <w:spacing w:line="240" w:lineRule="auto"/>
              <w:jc w:val="left"/>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同时具备养护档案管理、安全文明作业管理完整制度；台账归档、巡护记录、月报报送、人员安全防护、现场警示防护、应急处置、岗位职责、工作流程齐全，结合本项目实际，责任明确、可操作性强，得5分</w:t>
            </w:r>
          </w:p>
          <w:p w14:paraId="144E1531">
            <w:pPr>
              <w:spacing w:line="240" w:lineRule="auto"/>
              <w:jc w:val="left"/>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具备养护档案管理、安全文明作业管理两大模块，但部分内容简单笼统，流程、责任划分不够细化，基本满足项目管理需要，得3分。</w:t>
            </w:r>
          </w:p>
          <w:p w14:paraId="0C3C05D6">
            <w:pPr>
              <w:spacing w:line="240" w:lineRule="auto"/>
              <w:jc w:val="left"/>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缺失养护档案管理或安全文明作业管理其中一项核心模块；或制度内容空洞，未结合本项目，可操作性差，得1分</w:t>
            </w:r>
          </w:p>
          <w:p w14:paraId="536469F0">
            <w:pPr>
              <w:spacing w:line="240" w:lineRule="auto"/>
              <w:jc w:val="left"/>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未提供绿地管养管理制度，得0 分。</w:t>
            </w:r>
          </w:p>
        </w:tc>
      </w:tr>
      <w:tr w14:paraId="5A1ED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1374" w:type="dxa"/>
            <w:vMerge w:val="continue"/>
            <w:vAlign w:val="center"/>
          </w:tcPr>
          <w:p w14:paraId="5E7B1278">
            <w:pPr>
              <w:pStyle w:val="16"/>
              <w:keepNext w:val="0"/>
              <w:keepLines w:val="0"/>
              <w:pageBreakBefore w:val="0"/>
              <w:widowControl w:val="0"/>
              <w:tabs>
                <w:tab w:val="left" w:pos="0"/>
              </w:tabs>
              <w:kinsoku/>
              <w:wordWrap w:val="0"/>
              <w:overflowPunct w:val="0"/>
              <w:topLinePunct/>
              <w:autoSpaceDE/>
              <w:autoSpaceDN/>
              <w:bidi w:val="0"/>
              <w:adjustRightInd/>
              <w:snapToGrid/>
              <w:spacing w:after="0" w:line="360" w:lineRule="auto"/>
              <w:ind w:left="0" w:leftChars="0" w:right="0" w:firstLine="0" w:firstLineChars="0"/>
              <w:jc w:val="center"/>
              <w:textAlignment w:val="auto"/>
              <w:rPr>
                <w:rFonts w:hint="eastAsia" w:ascii="宋体" w:hAnsi="宋体" w:eastAsia="宋体" w:cs="宋体"/>
                <w:color w:val="auto"/>
                <w:spacing w:val="-4"/>
                <w:sz w:val="24"/>
                <w:szCs w:val="24"/>
                <w:lang w:val="en-US" w:eastAsia="zh-CN"/>
              </w:rPr>
            </w:pPr>
          </w:p>
        </w:tc>
        <w:tc>
          <w:tcPr>
            <w:tcW w:w="1279" w:type="dxa"/>
            <w:vAlign w:val="center"/>
          </w:tcPr>
          <w:p w14:paraId="7A4F4B34">
            <w:pPr>
              <w:pStyle w:val="12"/>
              <w:spacing w:line="360" w:lineRule="auto"/>
              <w:jc w:val="center"/>
              <w:rPr>
                <w:rFonts w:hint="eastAsia" w:ascii="宋体" w:hAnsi="宋体" w:eastAsia="宋体" w:cs="宋体"/>
                <w:color w:val="auto"/>
                <w:spacing w:val="-4"/>
                <w:sz w:val="24"/>
                <w:szCs w:val="24"/>
              </w:rPr>
            </w:pPr>
            <w:r>
              <w:rPr>
                <w:rFonts w:hint="eastAsia" w:ascii="宋体" w:hAnsi="宋体" w:eastAsia="宋体" w:cs="宋体"/>
                <w:spacing w:val="0"/>
                <w:sz w:val="24"/>
                <w:szCs w:val="24"/>
              </w:rPr>
              <w:t>各类植物</w:t>
            </w:r>
            <w:r>
              <w:rPr>
                <w:rFonts w:hint="eastAsia" w:ascii="宋体" w:hAnsi="宋体" w:eastAsia="宋体" w:cs="宋体"/>
                <w:spacing w:val="0"/>
                <w:sz w:val="24"/>
                <w:szCs w:val="24"/>
                <w:lang w:val="en-US" w:eastAsia="zh-CN"/>
              </w:rPr>
              <w:t>种植、</w:t>
            </w:r>
            <w:r>
              <w:rPr>
                <w:rFonts w:hint="eastAsia" w:ascii="宋体" w:hAnsi="宋体" w:eastAsia="宋体" w:cs="宋体"/>
                <w:spacing w:val="0"/>
                <w:sz w:val="24"/>
                <w:szCs w:val="24"/>
              </w:rPr>
              <w:t>养护方案</w:t>
            </w: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5分</w:t>
            </w:r>
            <w:r>
              <w:rPr>
                <w:rFonts w:hint="eastAsia" w:ascii="宋体" w:hAnsi="宋体" w:eastAsia="宋体" w:cs="宋体"/>
                <w:spacing w:val="0"/>
                <w:sz w:val="24"/>
                <w:szCs w:val="24"/>
                <w:lang w:eastAsia="zh-CN"/>
              </w:rPr>
              <w:t>）</w:t>
            </w:r>
          </w:p>
        </w:tc>
        <w:tc>
          <w:tcPr>
            <w:tcW w:w="7034" w:type="dxa"/>
            <w:tcBorders>
              <w:top w:val="single" w:color="auto" w:sz="4" w:space="0"/>
            </w:tcBorders>
            <w:vAlign w:val="center"/>
          </w:tcPr>
          <w:p w14:paraId="2D243F37">
            <w:pPr>
              <w:spacing w:line="240" w:lineRule="auto"/>
              <w:jc w:val="left"/>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eastAsia="zh-CN"/>
              </w:rPr>
              <w:t>方案针对本项目苗木品种特点，完整包含栽植补植、分季节水肥管控、中耕除草、整形修剪、无公害病虫害防治、死苗缺株补植等内容；季节节点清晰，措施具体，针对村庄露天绿化场景，可落地实施，充分保障苗木保存率达到 90% 以上养护目标，</w:t>
            </w:r>
            <w:r>
              <w:rPr>
                <w:rFonts w:hint="eastAsia" w:ascii="宋体" w:hAnsi="宋体" w:eastAsia="宋体" w:cs="宋体"/>
                <w:spacing w:val="0"/>
                <w:sz w:val="24"/>
                <w:szCs w:val="24"/>
                <w:lang w:val="en-US" w:eastAsia="zh-CN"/>
              </w:rPr>
              <w:t>得5分</w:t>
            </w:r>
          </w:p>
          <w:p w14:paraId="5DB2A177">
            <w:pPr>
              <w:spacing w:line="240" w:lineRule="auto"/>
              <w:jc w:val="left"/>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具备栽植补植、季节养护、修剪、病虫害防治、补植相关主要模块；但部分技术措施表述笼统，季节管控、品种针对性不足，基本可以满足本项目养护需要，</w:t>
            </w:r>
            <w:r>
              <w:rPr>
                <w:rFonts w:hint="eastAsia" w:ascii="宋体" w:hAnsi="宋体" w:eastAsia="宋体" w:cs="宋体"/>
                <w:spacing w:val="0"/>
                <w:sz w:val="24"/>
                <w:szCs w:val="24"/>
                <w:lang w:val="en-US" w:eastAsia="zh-CN"/>
              </w:rPr>
              <w:t>得3分</w:t>
            </w:r>
          </w:p>
          <w:p w14:paraId="15529B8A">
            <w:pPr>
              <w:spacing w:line="240" w:lineRule="auto"/>
              <w:jc w:val="left"/>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缺失栽植补植、分季节养护、病虫害防治、补植中任意一项核心模块；或方案通用套话多，未结合本项目苗木及乡村绿化实际，操作性较差，</w:t>
            </w:r>
            <w:r>
              <w:rPr>
                <w:rFonts w:hint="eastAsia" w:ascii="宋体" w:hAnsi="宋体" w:eastAsia="宋体" w:cs="宋体"/>
                <w:spacing w:val="0"/>
                <w:sz w:val="24"/>
                <w:szCs w:val="24"/>
                <w:lang w:val="en-US" w:eastAsia="zh-CN"/>
              </w:rPr>
              <w:t>得1分</w:t>
            </w:r>
          </w:p>
          <w:p w14:paraId="673B153D">
            <w:pPr>
              <w:spacing w:line="240" w:lineRule="auto"/>
              <w:jc w:val="left"/>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未提供本项目种植养护相关方案，</w:t>
            </w:r>
            <w:r>
              <w:rPr>
                <w:rFonts w:hint="eastAsia" w:ascii="宋体" w:hAnsi="宋体" w:eastAsia="宋体" w:cs="宋体"/>
                <w:spacing w:val="0"/>
                <w:sz w:val="24"/>
                <w:szCs w:val="24"/>
                <w:lang w:val="en-US" w:eastAsia="zh-CN"/>
              </w:rPr>
              <w:t>得0分</w:t>
            </w:r>
          </w:p>
        </w:tc>
      </w:tr>
      <w:tr w14:paraId="23995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1" w:hRule="atLeast"/>
          <w:jc w:val="center"/>
        </w:trPr>
        <w:tc>
          <w:tcPr>
            <w:tcW w:w="1374" w:type="dxa"/>
            <w:vMerge w:val="continue"/>
            <w:vAlign w:val="center"/>
          </w:tcPr>
          <w:p w14:paraId="1FBC58D7">
            <w:pPr>
              <w:pStyle w:val="16"/>
              <w:keepNext w:val="0"/>
              <w:keepLines w:val="0"/>
              <w:pageBreakBefore w:val="0"/>
              <w:widowControl w:val="0"/>
              <w:tabs>
                <w:tab w:val="left" w:pos="0"/>
              </w:tabs>
              <w:kinsoku/>
              <w:wordWrap w:val="0"/>
              <w:overflowPunct w:val="0"/>
              <w:topLinePunct/>
              <w:autoSpaceDE/>
              <w:autoSpaceDN/>
              <w:bidi w:val="0"/>
              <w:adjustRightInd/>
              <w:snapToGrid/>
              <w:spacing w:after="0" w:line="360" w:lineRule="auto"/>
              <w:ind w:left="0" w:leftChars="0" w:right="0" w:firstLine="464" w:firstLineChars="200"/>
              <w:jc w:val="left"/>
              <w:textAlignment w:val="auto"/>
              <w:rPr>
                <w:rFonts w:hint="eastAsia" w:ascii="宋体" w:hAnsi="宋体" w:eastAsia="宋体" w:cs="宋体"/>
                <w:color w:val="auto"/>
                <w:spacing w:val="-4"/>
                <w:sz w:val="24"/>
                <w:szCs w:val="24"/>
                <w:lang w:eastAsia="zh-CN"/>
              </w:rPr>
            </w:pPr>
          </w:p>
        </w:tc>
        <w:tc>
          <w:tcPr>
            <w:tcW w:w="1279" w:type="dxa"/>
            <w:vAlign w:val="center"/>
          </w:tcPr>
          <w:p w14:paraId="5E33752E">
            <w:pPr>
              <w:pStyle w:val="12"/>
              <w:spacing w:line="360" w:lineRule="auto"/>
              <w:jc w:val="center"/>
              <w:rPr>
                <w:rFonts w:hint="eastAsia" w:ascii="宋体" w:hAnsi="宋体" w:eastAsia="宋体" w:cs="宋体"/>
                <w:color w:val="auto"/>
                <w:spacing w:val="-4"/>
                <w:sz w:val="24"/>
                <w:szCs w:val="24"/>
              </w:rPr>
            </w:pPr>
            <w:r>
              <w:rPr>
                <w:rFonts w:hint="eastAsia" w:ascii="宋体" w:hAnsi="宋体" w:eastAsia="宋体" w:cs="宋体"/>
                <w:spacing w:val="0"/>
                <w:sz w:val="24"/>
                <w:szCs w:val="24"/>
              </w:rPr>
              <w:t>人员管理机构及人员安排</w:t>
            </w: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5分</w:t>
            </w:r>
            <w:r>
              <w:rPr>
                <w:rFonts w:hint="eastAsia" w:ascii="宋体" w:hAnsi="宋体" w:eastAsia="宋体" w:cs="宋体"/>
                <w:spacing w:val="0"/>
                <w:sz w:val="24"/>
                <w:szCs w:val="24"/>
                <w:lang w:eastAsia="zh-CN"/>
              </w:rPr>
              <w:t>）</w:t>
            </w:r>
          </w:p>
        </w:tc>
        <w:tc>
          <w:tcPr>
            <w:tcW w:w="7034" w:type="dxa"/>
            <w:vAlign w:val="center"/>
          </w:tcPr>
          <w:p w14:paraId="50C93B8A">
            <w:pPr>
              <w:spacing w:line="240" w:lineRule="auto"/>
              <w:jc w:val="left"/>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具备清晰的项目组织管理架构，明确设置本项目专职管理人员 1 名；现场作业人员配置</w:t>
            </w:r>
            <w:r>
              <w:rPr>
                <w:rFonts w:hint="eastAsia" w:cs="宋体"/>
                <w:spacing w:val="0"/>
                <w:sz w:val="24"/>
                <w:szCs w:val="24"/>
                <w:lang w:val="en-US" w:eastAsia="zh-CN"/>
              </w:rPr>
              <w:t>大于等于</w:t>
            </w:r>
            <w:r>
              <w:rPr>
                <w:rFonts w:hint="eastAsia" w:ascii="宋体" w:hAnsi="宋体" w:eastAsia="宋体" w:cs="宋体"/>
                <w:spacing w:val="0"/>
                <w:sz w:val="24"/>
                <w:szCs w:val="24"/>
                <w:lang w:eastAsia="zh-CN"/>
              </w:rPr>
              <w:t>9人；各岗位、各专业工种（栽植、修剪、病虫害防治、除草养护、安全作业等）岗位职责划分清晰；劳动力排班、分工安排合理，针对本项目村庄绿化施工养护全周期，人员保障措施完备，可满足项目现场作业需要，</w:t>
            </w:r>
            <w:r>
              <w:rPr>
                <w:rFonts w:hint="eastAsia" w:ascii="宋体" w:hAnsi="宋体" w:eastAsia="宋体" w:cs="宋体"/>
                <w:spacing w:val="0"/>
                <w:sz w:val="24"/>
                <w:szCs w:val="24"/>
                <w:lang w:val="en-US" w:eastAsia="zh-CN"/>
              </w:rPr>
              <w:t>得5分</w:t>
            </w:r>
          </w:p>
          <w:p w14:paraId="1F41856C">
            <w:pPr>
              <w:spacing w:line="240" w:lineRule="auto"/>
              <w:jc w:val="left"/>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设有项目管理机构及专职管理人员1名，作业人员配置满足不少于9 人要求；具备主要岗位及工种分工，但岗位职责、劳动力排班计划部分内容较为笼统，基本能够满足本项目养护管理工作，</w:t>
            </w:r>
            <w:r>
              <w:rPr>
                <w:rFonts w:hint="eastAsia" w:ascii="宋体" w:hAnsi="宋体" w:eastAsia="宋体" w:cs="宋体"/>
                <w:spacing w:val="0"/>
                <w:sz w:val="24"/>
                <w:szCs w:val="24"/>
                <w:lang w:val="en-US" w:eastAsia="zh-CN"/>
              </w:rPr>
              <w:t>得3分</w:t>
            </w:r>
          </w:p>
          <w:p w14:paraId="11FE14F6">
            <w:pPr>
              <w:spacing w:line="240" w:lineRule="auto"/>
              <w:jc w:val="left"/>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未设置本项目专职管理人员，或现场作业人员配置不足9人；虽提供人员安排，但岗位分工简单，缺少工种划分，针对性弱，</w:t>
            </w:r>
            <w:r>
              <w:rPr>
                <w:rFonts w:hint="eastAsia" w:ascii="宋体" w:hAnsi="宋体" w:eastAsia="宋体" w:cs="宋体"/>
                <w:spacing w:val="0"/>
                <w:sz w:val="24"/>
                <w:szCs w:val="24"/>
                <w:lang w:val="en-US" w:eastAsia="zh-CN"/>
              </w:rPr>
              <w:t>得1分</w:t>
            </w:r>
          </w:p>
          <w:p w14:paraId="07E62801">
            <w:pPr>
              <w:spacing w:line="240" w:lineRule="auto"/>
              <w:jc w:val="left"/>
              <w:rPr>
                <w:rFonts w:hint="eastAsia" w:ascii="宋体" w:hAnsi="宋体" w:eastAsia="宋体" w:cs="宋体"/>
                <w:color w:val="auto"/>
                <w:spacing w:val="-4"/>
                <w:sz w:val="24"/>
                <w:szCs w:val="24"/>
              </w:rPr>
            </w:pPr>
            <w:r>
              <w:rPr>
                <w:rFonts w:hint="eastAsia" w:ascii="宋体" w:hAnsi="宋体" w:eastAsia="宋体" w:cs="宋体"/>
                <w:spacing w:val="0"/>
                <w:sz w:val="24"/>
                <w:szCs w:val="24"/>
                <w:lang w:eastAsia="zh-CN"/>
              </w:rPr>
              <w:t>未提供项目管理机构及人员安排相关内容，</w:t>
            </w:r>
            <w:r>
              <w:rPr>
                <w:rFonts w:hint="eastAsia" w:ascii="宋体" w:hAnsi="宋体" w:eastAsia="宋体" w:cs="宋体"/>
                <w:spacing w:val="0"/>
                <w:sz w:val="24"/>
                <w:szCs w:val="24"/>
                <w:lang w:val="en-US" w:eastAsia="zh-CN"/>
              </w:rPr>
              <w:t>得0分</w:t>
            </w:r>
          </w:p>
        </w:tc>
      </w:tr>
      <w:tr w14:paraId="1A897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1" w:hRule="atLeast"/>
          <w:jc w:val="center"/>
        </w:trPr>
        <w:tc>
          <w:tcPr>
            <w:tcW w:w="1374" w:type="dxa"/>
            <w:vMerge w:val="restart"/>
            <w:vAlign w:val="center"/>
          </w:tcPr>
          <w:p w14:paraId="38F9E1E9">
            <w:pPr>
              <w:pStyle w:val="16"/>
              <w:keepNext w:val="0"/>
              <w:keepLines w:val="0"/>
              <w:pageBreakBefore w:val="0"/>
              <w:widowControl w:val="0"/>
              <w:tabs>
                <w:tab w:val="left" w:pos="0"/>
              </w:tabs>
              <w:kinsoku/>
              <w:wordWrap w:val="0"/>
              <w:overflowPunct w:val="0"/>
              <w:topLinePunct/>
              <w:autoSpaceDE/>
              <w:autoSpaceDN/>
              <w:bidi w:val="0"/>
              <w:adjustRightInd/>
              <w:snapToGrid/>
              <w:spacing w:after="0" w:line="360" w:lineRule="auto"/>
              <w:ind w:left="0" w:leftChars="0" w:right="0" w:firstLine="0" w:firstLineChars="0"/>
              <w:jc w:val="left"/>
              <w:textAlignment w:val="auto"/>
              <w:rPr>
                <w:rFonts w:hint="eastAsia" w:ascii="宋体" w:hAnsi="宋体" w:eastAsia="宋体" w:cs="宋体"/>
                <w:color w:val="auto"/>
                <w:spacing w:val="-4"/>
                <w:sz w:val="24"/>
                <w:szCs w:val="24"/>
                <w:lang w:eastAsia="zh-CN"/>
              </w:rPr>
            </w:pPr>
            <w:r>
              <w:rPr>
                <w:rFonts w:hint="eastAsia" w:ascii="宋体" w:hAnsi="宋体" w:eastAsia="宋体" w:cs="宋体"/>
                <w:color w:val="auto"/>
                <w:spacing w:val="-4"/>
                <w:sz w:val="24"/>
                <w:szCs w:val="24"/>
                <w:lang w:eastAsia="zh-CN"/>
              </w:rPr>
              <w:t>履约能力55分</w:t>
            </w:r>
          </w:p>
        </w:tc>
        <w:tc>
          <w:tcPr>
            <w:tcW w:w="1279" w:type="dxa"/>
            <w:vMerge w:val="restart"/>
            <w:tcBorders>
              <w:right w:val="single" w:color="auto" w:sz="4" w:space="0"/>
            </w:tcBorders>
            <w:vAlign w:val="center"/>
          </w:tcPr>
          <w:p w14:paraId="655C87B3">
            <w:pPr>
              <w:spacing w:line="360" w:lineRule="auto"/>
              <w:jc w:val="center"/>
              <w:rPr>
                <w:rFonts w:hint="eastAsia" w:ascii="宋体" w:hAnsi="宋体" w:eastAsia="宋体" w:cs="宋体"/>
                <w:color w:val="auto"/>
                <w:spacing w:val="-4"/>
                <w:sz w:val="24"/>
                <w:szCs w:val="24"/>
                <w:lang w:val="en-US" w:eastAsia="zh-CN"/>
              </w:rPr>
            </w:pPr>
            <w:r>
              <w:rPr>
                <w:rFonts w:hint="eastAsia" w:ascii="宋体" w:hAnsi="宋体" w:eastAsia="宋体" w:cs="宋体"/>
                <w:color w:val="auto"/>
                <w:spacing w:val="0"/>
                <w:sz w:val="24"/>
                <w:szCs w:val="24"/>
                <w:lang w:eastAsia="zh-CN"/>
              </w:rPr>
              <w:t>项目管理成员（</w:t>
            </w:r>
            <w:r>
              <w:rPr>
                <w:rFonts w:hint="eastAsia" w:cs="宋体"/>
                <w:color w:val="auto"/>
                <w:spacing w:val="0"/>
                <w:sz w:val="24"/>
                <w:szCs w:val="24"/>
                <w:lang w:val="en-US" w:eastAsia="zh-CN"/>
              </w:rPr>
              <w:t>41</w:t>
            </w:r>
            <w:r>
              <w:rPr>
                <w:rFonts w:hint="eastAsia" w:ascii="宋体" w:hAnsi="宋体" w:eastAsia="宋体" w:cs="宋体"/>
                <w:color w:val="auto"/>
                <w:spacing w:val="0"/>
                <w:sz w:val="24"/>
                <w:szCs w:val="24"/>
                <w:lang w:val="en-US" w:eastAsia="zh-CN"/>
              </w:rPr>
              <w:t>分</w:t>
            </w:r>
            <w:r>
              <w:rPr>
                <w:rFonts w:hint="eastAsia" w:ascii="宋体" w:hAnsi="宋体" w:eastAsia="宋体" w:cs="宋体"/>
                <w:color w:val="auto"/>
                <w:spacing w:val="0"/>
                <w:sz w:val="24"/>
                <w:szCs w:val="24"/>
                <w:lang w:eastAsia="zh-CN"/>
              </w:rPr>
              <w:t>）</w:t>
            </w:r>
          </w:p>
        </w:tc>
        <w:tc>
          <w:tcPr>
            <w:tcW w:w="7034" w:type="dxa"/>
            <w:tcBorders>
              <w:left w:val="single" w:color="auto" w:sz="4" w:space="0"/>
              <w:bottom w:val="single" w:color="auto" w:sz="4" w:space="0"/>
            </w:tcBorders>
            <w:vAlign w:val="center"/>
          </w:tcPr>
          <w:p w14:paraId="74E2B21D">
            <w:pPr>
              <w:spacing w:line="240" w:lineRule="auto"/>
              <w:jc w:val="left"/>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供应商拟派项目负责人具有</w:t>
            </w:r>
            <w:r>
              <w:rPr>
                <w:rFonts w:hint="eastAsia" w:ascii="宋体" w:hAnsi="宋体" w:eastAsia="宋体" w:cs="宋体"/>
                <w:b/>
                <w:bCs/>
                <w:spacing w:val="0"/>
                <w:sz w:val="24"/>
                <w:szCs w:val="24"/>
                <w:lang w:val="en-US" w:eastAsia="zh-CN"/>
              </w:rPr>
              <w:t>市政</w:t>
            </w:r>
            <w:r>
              <w:rPr>
                <w:rFonts w:hint="eastAsia" w:cs="宋体"/>
                <w:b/>
                <w:bCs/>
                <w:spacing w:val="0"/>
                <w:sz w:val="24"/>
                <w:szCs w:val="24"/>
                <w:lang w:val="en-US" w:eastAsia="zh-CN"/>
              </w:rPr>
              <w:t>或者</w:t>
            </w:r>
            <w:r>
              <w:rPr>
                <w:rFonts w:hint="eastAsia" w:ascii="宋体" w:hAnsi="宋体" w:eastAsia="宋体" w:cs="宋体"/>
                <w:b/>
                <w:bCs/>
                <w:spacing w:val="0"/>
                <w:sz w:val="24"/>
                <w:szCs w:val="24"/>
                <w:lang w:val="en-US" w:eastAsia="zh-CN"/>
              </w:rPr>
              <w:t>建筑或者园林绿化</w:t>
            </w:r>
            <w:r>
              <w:rPr>
                <w:rFonts w:hint="eastAsia" w:ascii="宋体" w:hAnsi="宋体" w:eastAsia="宋体" w:cs="宋体"/>
                <w:spacing w:val="0"/>
                <w:sz w:val="24"/>
                <w:szCs w:val="24"/>
                <w:lang w:val="en-US" w:eastAsia="zh-CN"/>
              </w:rPr>
              <w:t>相关专业中级及以上职称证的，得5分。（需提供人员身份证、相关证书扫描件、近1个月社会保险个人参保证明）</w:t>
            </w:r>
          </w:p>
        </w:tc>
      </w:tr>
      <w:tr w14:paraId="2C3B4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1374" w:type="dxa"/>
            <w:vMerge w:val="continue"/>
            <w:vAlign w:val="center"/>
          </w:tcPr>
          <w:p w14:paraId="127BC888">
            <w:pPr>
              <w:pStyle w:val="16"/>
              <w:keepNext w:val="0"/>
              <w:keepLines w:val="0"/>
              <w:pageBreakBefore w:val="0"/>
              <w:widowControl w:val="0"/>
              <w:tabs>
                <w:tab w:val="left" w:pos="0"/>
              </w:tabs>
              <w:kinsoku/>
              <w:wordWrap w:val="0"/>
              <w:overflowPunct w:val="0"/>
              <w:topLinePunct/>
              <w:autoSpaceDE/>
              <w:autoSpaceDN/>
              <w:bidi w:val="0"/>
              <w:adjustRightInd/>
              <w:snapToGrid/>
              <w:spacing w:after="0" w:line="360" w:lineRule="auto"/>
              <w:ind w:left="0" w:leftChars="0" w:right="0" w:firstLine="464" w:firstLineChars="200"/>
              <w:jc w:val="left"/>
              <w:textAlignment w:val="auto"/>
              <w:rPr>
                <w:rFonts w:hint="eastAsia" w:ascii="宋体" w:hAnsi="宋体" w:eastAsia="宋体" w:cs="宋体"/>
                <w:color w:val="auto"/>
                <w:spacing w:val="-4"/>
                <w:sz w:val="24"/>
                <w:szCs w:val="24"/>
                <w:lang w:eastAsia="zh-CN"/>
              </w:rPr>
            </w:pPr>
          </w:p>
        </w:tc>
        <w:tc>
          <w:tcPr>
            <w:tcW w:w="1279" w:type="dxa"/>
            <w:vMerge w:val="continue"/>
            <w:tcBorders>
              <w:bottom w:val="single" w:color="auto" w:sz="4" w:space="0"/>
              <w:right w:val="single" w:color="auto" w:sz="4" w:space="0"/>
            </w:tcBorders>
            <w:vAlign w:val="center"/>
          </w:tcPr>
          <w:p w14:paraId="31C8CC78">
            <w:pPr>
              <w:spacing w:line="360" w:lineRule="auto"/>
              <w:jc w:val="center"/>
              <w:rPr>
                <w:rFonts w:hint="eastAsia" w:ascii="宋体" w:hAnsi="宋体" w:eastAsia="宋体" w:cs="宋体"/>
                <w:color w:val="auto"/>
                <w:spacing w:val="-4"/>
                <w:sz w:val="24"/>
                <w:szCs w:val="24"/>
                <w:lang w:val="en-US" w:eastAsia="zh-CN"/>
              </w:rPr>
            </w:pPr>
          </w:p>
        </w:tc>
        <w:tc>
          <w:tcPr>
            <w:tcW w:w="7034" w:type="dxa"/>
            <w:tcBorders>
              <w:top w:val="single" w:color="auto" w:sz="4" w:space="0"/>
              <w:left w:val="single" w:color="auto" w:sz="4" w:space="0"/>
              <w:bottom w:val="single" w:color="auto" w:sz="4" w:space="0"/>
            </w:tcBorders>
            <w:vAlign w:val="center"/>
          </w:tcPr>
          <w:p w14:paraId="1C3BC810">
            <w:pPr>
              <w:spacing w:line="240" w:lineRule="auto"/>
              <w:jc w:val="left"/>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供应商项目组成人员（不含项目负责人）中具有</w:t>
            </w:r>
            <w:r>
              <w:rPr>
                <w:rFonts w:hint="eastAsia" w:ascii="宋体" w:hAnsi="宋体" w:eastAsia="宋体" w:cs="宋体"/>
                <w:b/>
                <w:bCs/>
                <w:spacing w:val="0"/>
                <w:sz w:val="24"/>
                <w:szCs w:val="24"/>
                <w:lang w:val="en-US" w:eastAsia="zh-CN"/>
              </w:rPr>
              <w:t>市政</w:t>
            </w:r>
            <w:r>
              <w:rPr>
                <w:rFonts w:hint="eastAsia" w:cs="宋体"/>
                <w:b/>
                <w:bCs/>
                <w:spacing w:val="0"/>
                <w:sz w:val="24"/>
                <w:szCs w:val="24"/>
                <w:lang w:val="en-US" w:eastAsia="zh-CN"/>
              </w:rPr>
              <w:t>或者</w:t>
            </w:r>
            <w:r>
              <w:rPr>
                <w:rFonts w:hint="eastAsia" w:ascii="宋体" w:hAnsi="宋体" w:eastAsia="宋体" w:cs="宋体"/>
                <w:b/>
                <w:bCs/>
                <w:spacing w:val="0"/>
                <w:sz w:val="24"/>
                <w:szCs w:val="24"/>
                <w:lang w:val="en-US" w:eastAsia="zh-CN"/>
              </w:rPr>
              <w:t>建筑</w:t>
            </w:r>
            <w:r>
              <w:rPr>
                <w:rFonts w:hint="eastAsia" w:ascii="宋体" w:hAnsi="宋体" w:eastAsia="宋体" w:cs="宋体"/>
                <w:spacing w:val="0"/>
                <w:sz w:val="24"/>
                <w:szCs w:val="24"/>
                <w:lang w:val="en-US" w:eastAsia="zh-CN"/>
              </w:rPr>
              <w:t>或者园林绿化相关专业中级及以上职称证的，提供一本，得4分，该项最多得36分。（需提供人员身份证、相关证书扫描件、近1个月社会保险个人参保证明，人员不重复得分）</w:t>
            </w:r>
          </w:p>
        </w:tc>
      </w:tr>
      <w:tr w14:paraId="4815D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374" w:type="dxa"/>
            <w:vMerge w:val="continue"/>
            <w:vAlign w:val="center"/>
          </w:tcPr>
          <w:p w14:paraId="793BBDCD">
            <w:pPr>
              <w:pStyle w:val="16"/>
              <w:keepNext w:val="0"/>
              <w:keepLines w:val="0"/>
              <w:pageBreakBefore w:val="0"/>
              <w:widowControl w:val="0"/>
              <w:tabs>
                <w:tab w:val="left" w:pos="0"/>
              </w:tabs>
              <w:kinsoku/>
              <w:wordWrap w:val="0"/>
              <w:overflowPunct w:val="0"/>
              <w:topLinePunct/>
              <w:autoSpaceDE/>
              <w:autoSpaceDN/>
              <w:bidi w:val="0"/>
              <w:adjustRightInd/>
              <w:snapToGrid/>
              <w:spacing w:after="0" w:line="360" w:lineRule="auto"/>
              <w:ind w:left="0" w:leftChars="0" w:right="0" w:firstLine="464" w:firstLineChars="200"/>
              <w:jc w:val="left"/>
              <w:textAlignment w:val="auto"/>
              <w:rPr>
                <w:rFonts w:hint="eastAsia" w:ascii="宋体" w:hAnsi="宋体" w:eastAsia="宋体" w:cs="宋体"/>
                <w:color w:val="auto"/>
                <w:spacing w:val="-4"/>
                <w:sz w:val="24"/>
                <w:szCs w:val="24"/>
                <w:lang w:eastAsia="zh-CN"/>
              </w:rPr>
            </w:pPr>
          </w:p>
        </w:tc>
        <w:tc>
          <w:tcPr>
            <w:tcW w:w="1279" w:type="dxa"/>
            <w:tcBorders>
              <w:top w:val="single" w:color="auto" w:sz="4" w:space="0"/>
              <w:right w:val="single" w:color="auto" w:sz="4" w:space="0"/>
            </w:tcBorders>
            <w:vAlign w:val="center"/>
          </w:tcPr>
          <w:p w14:paraId="62C08953">
            <w:pPr>
              <w:spacing w:line="360" w:lineRule="auto"/>
              <w:jc w:val="center"/>
              <w:rPr>
                <w:rFonts w:hint="eastAsia" w:ascii="宋体" w:hAnsi="宋体" w:eastAsia="宋体" w:cs="宋体"/>
                <w:color w:val="auto"/>
                <w:spacing w:val="0"/>
                <w:kern w:val="0"/>
                <w:sz w:val="24"/>
                <w:szCs w:val="24"/>
                <w:highlight w:val="none"/>
                <w:lang w:eastAsia="zh-CN"/>
              </w:rPr>
            </w:pPr>
            <w:r>
              <w:rPr>
                <w:rFonts w:hint="eastAsia" w:ascii="宋体" w:hAnsi="宋体" w:eastAsia="宋体" w:cs="宋体"/>
                <w:color w:val="auto"/>
                <w:spacing w:val="0"/>
                <w:kern w:val="0"/>
                <w:sz w:val="24"/>
                <w:szCs w:val="24"/>
                <w:highlight w:val="none"/>
                <w:lang w:eastAsia="zh-CN"/>
              </w:rPr>
              <w:t>类似业绩</w:t>
            </w:r>
          </w:p>
          <w:p w14:paraId="5D4E8B14">
            <w:pPr>
              <w:spacing w:line="360" w:lineRule="auto"/>
              <w:jc w:val="center"/>
              <w:rPr>
                <w:rFonts w:hint="eastAsia" w:ascii="宋体" w:hAnsi="宋体" w:eastAsia="宋体" w:cs="宋体"/>
                <w:color w:val="auto"/>
                <w:spacing w:val="-4"/>
                <w:sz w:val="24"/>
                <w:szCs w:val="24"/>
                <w:lang w:val="en-US" w:eastAsia="zh-CN"/>
              </w:rPr>
            </w:pPr>
            <w:r>
              <w:rPr>
                <w:rFonts w:hint="eastAsia" w:ascii="宋体" w:hAnsi="宋体" w:eastAsia="宋体" w:cs="宋体"/>
                <w:color w:val="auto"/>
                <w:spacing w:val="0"/>
                <w:kern w:val="0"/>
                <w:sz w:val="24"/>
                <w:szCs w:val="24"/>
                <w:highlight w:val="none"/>
              </w:rPr>
              <w:t>（</w:t>
            </w:r>
            <w:r>
              <w:rPr>
                <w:rFonts w:hint="eastAsia" w:cs="宋体"/>
                <w:color w:val="auto"/>
                <w:spacing w:val="0"/>
                <w:kern w:val="0"/>
                <w:sz w:val="24"/>
                <w:szCs w:val="24"/>
                <w:highlight w:val="none"/>
                <w:lang w:val="en-US" w:eastAsia="zh-CN"/>
              </w:rPr>
              <w:t>8</w:t>
            </w:r>
            <w:r>
              <w:rPr>
                <w:rFonts w:hint="eastAsia" w:ascii="宋体" w:hAnsi="宋体" w:eastAsia="宋体" w:cs="宋体"/>
                <w:color w:val="auto"/>
                <w:spacing w:val="0"/>
                <w:kern w:val="0"/>
                <w:sz w:val="24"/>
                <w:szCs w:val="24"/>
                <w:highlight w:val="none"/>
              </w:rPr>
              <w:t>分）</w:t>
            </w:r>
          </w:p>
        </w:tc>
        <w:tc>
          <w:tcPr>
            <w:tcW w:w="7034" w:type="dxa"/>
            <w:tcBorders>
              <w:top w:val="single" w:color="auto" w:sz="4" w:space="0"/>
              <w:left w:val="single" w:color="auto" w:sz="4" w:space="0"/>
            </w:tcBorders>
            <w:vAlign w:val="center"/>
          </w:tcPr>
          <w:p w14:paraId="342F2D32">
            <w:pPr>
              <w:spacing w:line="240" w:lineRule="auto"/>
              <w:jc w:val="left"/>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rPr>
              <w:t>供应商20</w:t>
            </w:r>
            <w:r>
              <w:rPr>
                <w:rFonts w:hint="eastAsia" w:ascii="宋体" w:hAnsi="宋体" w:eastAsia="宋体" w:cs="宋体"/>
                <w:color w:val="auto"/>
                <w:spacing w:val="0"/>
                <w:sz w:val="24"/>
                <w:szCs w:val="24"/>
                <w:highlight w:val="none"/>
                <w:lang w:val="en-US" w:eastAsia="zh-CN"/>
              </w:rPr>
              <w:t>21</w:t>
            </w:r>
            <w:r>
              <w:rPr>
                <w:rFonts w:hint="eastAsia" w:ascii="宋体" w:hAnsi="宋体" w:eastAsia="宋体" w:cs="宋体"/>
                <w:color w:val="auto"/>
                <w:spacing w:val="0"/>
                <w:sz w:val="24"/>
                <w:szCs w:val="24"/>
                <w:highlight w:val="none"/>
              </w:rPr>
              <w:t>年1月</w:t>
            </w:r>
            <w:r>
              <w:rPr>
                <w:rFonts w:hint="eastAsia" w:ascii="宋体" w:hAnsi="宋体" w:eastAsia="宋体" w:cs="宋体"/>
                <w:color w:val="auto"/>
                <w:spacing w:val="0"/>
                <w:sz w:val="24"/>
                <w:szCs w:val="24"/>
                <w:highlight w:val="none"/>
                <w:lang w:val="en-US" w:eastAsia="zh-CN"/>
              </w:rPr>
              <w:t>1日</w:t>
            </w:r>
            <w:r>
              <w:rPr>
                <w:rFonts w:hint="eastAsia" w:ascii="宋体" w:hAnsi="宋体" w:eastAsia="宋体" w:cs="宋体"/>
                <w:color w:val="auto"/>
                <w:spacing w:val="0"/>
                <w:sz w:val="24"/>
                <w:szCs w:val="24"/>
                <w:highlight w:val="none"/>
              </w:rPr>
              <w:t>以来承担过</w:t>
            </w:r>
            <w:r>
              <w:rPr>
                <w:rFonts w:hint="eastAsia" w:ascii="宋体" w:hAnsi="宋体" w:eastAsia="宋体" w:cs="宋体"/>
                <w:color w:val="auto"/>
                <w:spacing w:val="0"/>
                <w:sz w:val="24"/>
                <w:szCs w:val="24"/>
                <w:highlight w:val="none"/>
                <w:lang w:eastAsia="zh-CN"/>
              </w:rPr>
              <w:t>类似</w:t>
            </w:r>
            <w:r>
              <w:rPr>
                <w:rFonts w:hint="eastAsia" w:ascii="宋体" w:hAnsi="宋体" w:eastAsia="宋体" w:cs="宋体"/>
                <w:color w:val="auto"/>
                <w:spacing w:val="0"/>
                <w:sz w:val="24"/>
                <w:szCs w:val="24"/>
                <w:highlight w:val="none"/>
              </w:rPr>
              <w:t>项目的，每有</w:t>
            </w:r>
            <w:r>
              <w:rPr>
                <w:rFonts w:hint="eastAsia" w:ascii="宋体" w:hAnsi="宋体" w:eastAsia="宋体" w:cs="宋体"/>
                <w:color w:val="auto"/>
                <w:spacing w:val="0"/>
                <w:sz w:val="24"/>
                <w:szCs w:val="24"/>
                <w:highlight w:val="none"/>
                <w:lang w:val="en-US" w:eastAsia="zh-CN"/>
              </w:rPr>
              <w:t>1项</w:t>
            </w:r>
            <w:r>
              <w:rPr>
                <w:rFonts w:hint="eastAsia" w:ascii="宋体" w:hAnsi="宋体" w:eastAsia="宋体" w:cs="宋体"/>
                <w:color w:val="auto"/>
                <w:spacing w:val="0"/>
                <w:sz w:val="24"/>
                <w:szCs w:val="24"/>
                <w:highlight w:val="none"/>
              </w:rPr>
              <w:t>得</w:t>
            </w:r>
            <w:r>
              <w:rPr>
                <w:rFonts w:hint="eastAsia" w:cs="宋体"/>
                <w:color w:val="auto"/>
                <w:spacing w:val="0"/>
                <w:sz w:val="24"/>
                <w:szCs w:val="24"/>
                <w:highlight w:val="none"/>
                <w:lang w:val="en-US" w:eastAsia="zh-CN"/>
              </w:rPr>
              <w:t>4</w:t>
            </w:r>
            <w:r>
              <w:rPr>
                <w:rFonts w:hint="eastAsia" w:ascii="宋体" w:hAnsi="宋体" w:eastAsia="宋体" w:cs="宋体"/>
                <w:color w:val="auto"/>
                <w:spacing w:val="0"/>
                <w:sz w:val="24"/>
                <w:szCs w:val="24"/>
                <w:highlight w:val="none"/>
              </w:rPr>
              <w:t>分，最多得</w:t>
            </w:r>
            <w:r>
              <w:rPr>
                <w:rFonts w:hint="eastAsia" w:cs="宋体"/>
                <w:color w:val="auto"/>
                <w:spacing w:val="0"/>
                <w:sz w:val="24"/>
                <w:szCs w:val="24"/>
                <w:highlight w:val="none"/>
                <w:lang w:val="en-US" w:eastAsia="zh-CN"/>
              </w:rPr>
              <w:t>8</w:t>
            </w:r>
            <w:r>
              <w:rPr>
                <w:rFonts w:hint="eastAsia" w:ascii="宋体" w:hAnsi="宋体" w:eastAsia="宋体" w:cs="宋体"/>
                <w:color w:val="auto"/>
                <w:spacing w:val="0"/>
                <w:sz w:val="24"/>
                <w:szCs w:val="24"/>
                <w:highlight w:val="none"/>
              </w:rPr>
              <w:t>分</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类似业绩指的是绿化工程类或者绿化养护类相关项目</w:t>
            </w:r>
          </w:p>
          <w:p w14:paraId="30B23F99">
            <w:pPr>
              <w:spacing w:line="240" w:lineRule="auto"/>
              <w:jc w:val="left"/>
              <w:rPr>
                <w:rFonts w:hint="eastAsia" w:ascii="宋体" w:hAnsi="宋体" w:eastAsia="宋体" w:cs="宋体"/>
                <w:color w:val="auto"/>
                <w:spacing w:val="-4"/>
                <w:sz w:val="24"/>
                <w:szCs w:val="24"/>
                <w:highlight w:val="none"/>
                <w:lang w:val="en-US" w:eastAsia="zh-CN"/>
              </w:rPr>
            </w:pPr>
            <w:r>
              <w:rPr>
                <w:rFonts w:hint="eastAsia" w:ascii="宋体" w:hAnsi="宋体" w:eastAsia="宋体" w:cs="宋体"/>
                <w:color w:val="auto"/>
                <w:spacing w:val="0"/>
                <w:sz w:val="24"/>
                <w:szCs w:val="24"/>
                <w:highlight w:val="none"/>
              </w:rPr>
              <w:t>注:提供</w:t>
            </w:r>
            <w:r>
              <w:rPr>
                <w:rFonts w:hint="eastAsia" w:ascii="宋体" w:hAnsi="宋体" w:eastAsia="宋体" w:cs="宋体"/>
                <w:color w:val="auto"/>
                <w:spacing w:val="0"/>
                <w:sz w:val="24"/>
                <w:szCs w:val="24"/>
                <w:highlight w:val="none"/>
                <w:lang w:val="en-US" w:eastAsia="zh-CN"/>
              </w:rPr>
              <w:t>中标通知书、</w:t>
            </w:r>
            <w:r>
              <w:rPr>
                <w:rFonts w:hint="eastAsia" w:ascii="宋体" w:hAnsi="宋体" w:eastAsia="宋体" w:cs="宋体"/>
                <w:color w:val="auto"/>
                <w:spacing w:val="0"/>
                <w:sz w:val="24"/>
                <w:szCs w:val="24"/>
                <w:highlight w:val="none"/>
              </w:rPr>
              <w:t>合同扫描件，日期以合同签订时间为准。</w:t>
            </w:r>
          </w:p>
        </w:tc>
      </w:tr>
      <w:tr w14:paraId="7D9D0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9" w:hRule="atLeast"/>
          <w:jc w:val="center"/>
        </w:trPr>
        <w:tc>
          <w:tcPr>
            <w:tcW w:w="1374" w:type="dxa"/>
            <w:vMerge w:val="continue"/>
            <w:vAlign w:val="center"/>
          </w:tcPr>
          <w:p w14:paraId="09AA3B9A">
            <w:pPr>
              <w:pStyle w:val="16"/>
              <w:keepNext w:val="0"/>
              <w:keepLines w:val="0"/>
              <w:pageBreakBefore w:val="0"/>
              <w:widowControl w:val="0"/>
              <w:tabs>
                <w:tab w:val="left" w:pos="0"/>
              </w:tabs>
              <w:kinsoku/>
              <w:wordWrap w:val="0"/>
              <w:overflowPunct w:val="0"/>
              <w:topLinePunct/>
              <w:autoSpaceDE/>
              <w:autoSpaceDN/>
              <w:bidi w:val="0"/>
              <w:adjustRightInd/>
              <w:snapToGrid/>
              <w:spacing w:after="0" w:line="360" w:lineRule="auto"/>
              <w:ind w:left="0" w:leftChars="0" w:right="0" w:firstLine="464" w:firstLineChars="200"/>
              <w:jc w:val="left"/>
              <w:textAlignment w:val="auto"/>
              <w:rPr>
                <w:rFonts w:hint="eastAsia" w:ascii="宋体" w:hAnsi="宋体" w:eastAsia="宋体" w:cs="宋体"/>
                <w:color w:val="auto"/>
                <w:spacing w:val="-4"/>
                <w:sz w:val="24"/>
                <w:szCs w:val="24"/>
                <w:lang w:eastAsia="zh-CN"/>
              </w:rPr>
            </w:pPr>
          </w:p>
        </w:tc>
        <w:tc>
          <w:tcPr>
            <w:tcW w:w="1279" w:type="dxa"/>
            <w:tcBorders>
              <w:right w:val="single" w:color="auto" w:sz="4" w:space="0"/>
            </w:tcBorders>
            <w:vAlign w:val="center"/>
          </w:tcPr>
          <w:p w14:paraId="62BD281C">
            <w:pPr>
              <w:spacing w:line="360" w:lineRule="auto"/>
              <w:jc w:val="center"/>
              <w:rPr>
                <w:rFonts w:hint="eastAsia" w:ascii="宋体" w:hAnsi="宋体" w:eastAsia="宋体" w:cs="宋体"/>
                <w:color w:val="auto"/>
                <w:spacing w:val="-4"/>
                <w:sz w:val="24"/>
                <w:szCs w:val="24"/>
                <w:lang w:val="en-US" w:eastAsia="zh-CN"/>
              </w:rPr>
            </w:pPr>
            <w:r>
              <w:rPr>
                <w:rFonts w:hint="eastAsia" w:ascii="宋体" w:hAnsi="宋体" w:eastAsia="宋体" w:cs="宋体"/>
                <w:spacing w:val="0"/>
                <w:sz w:val="24"/>
                <w:szCs w:val="24"/>
                <w:lang w:eastAsia="zh-CN"/>
              </w:rPr>
              <w:t>自有设备情况</w:t>
            </w:r>
            <w:r>
              <w:rPr>
                <w:rFonts w:hint="eastAsia" w:ascii="宋体" w:hAnsi="宋体" w:eastAsia="宋体" w:cs="宋体"/>
                <w:spacing w:val="0"/>
                <w:sz w:val="24"/>
                <w:szCs w:val="24"/>
              </w:rPr>
              <w:t>（</w:t>
            </w:r>
            <w:r>
              <w:rPr>
                <w:rFonts w:hint="eastAsia" w:cs="宋体"/>
                <w:spacing w:val="0"/>
                <w:sz w:val="24"/>
                <w:szCs w:val="24"/>
                <w:lang w:val="en-US" w:eastAsia="zh-CN"/>
              </w:rPr>
              <w:t>6</w:t>
            </w:r>
            <w:r>
              <w:rPr>
                <w:rFonts w:hint="eastAsia" w:ascii="宋体" w:hAnsi="宋体" w:eastAsia="宋体" w:cs="宋体"/>
                <w:spacing w:val="0"/>
                <w:sz w:val="24"/>
                <w:szCs w:val="24"/>
              </w:rPr>
              <w:t>分）</w:t>
            </w:r>
          </w:p>
        </w:tc>
        <w:tc>
          <w:tcPr>
            <w:tcW w:w="7034" w:type="dxa"/>
            <w:tcBorders>
              <w:top w:val="single" w:color="auto" w:sz="4" w:space="0"/>
              <w:left w:val="single" w:color="auto" w:sz="4" w:space="0"/>
            </w:tcBorders>
            <w:vAlign w:val="center"/>
          </w:tcPr>
          <w:p w14:paraId="48D492DD">
            <w:pPr>
              <w:spacing w:line="240" w:lineRule="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供应商具有</w:t>
            </w:r>
            <w:r>
              <w:rPr>
                <w:rFonts w:hint="eastAsia" w:ascii="宋体" w:hAnsi="宋体" w:eastAsia="宋体" w:cs="宋体"/>
                <w:color w:val="auto"/>
                <w:spacing w:val="0"/>
                <w:sz w:val="24"/>
                <w:szCs w:val="24"/>
                <w:lang w:eastAsia="zh-CN"/>
              </w:rPr>
              <w:t>打药机</w:t>
            </w:r>
            <w:r>
              <w:rPr>
                <w:rFonts w:hint="eastAsia" w:ascii="宋体" w:hAnsi="宋体" w:eastAsia="宋体" w:cs="宋体"/>
                <w:color w:val="auto"/>
                <w:spacing w:val="0"/>
                <w:sz w:val="24"/>
                <w:szCs w:val="24"/>
              </w:rPr>
              <w:t>、树枝粉碎机、洒水车、</w:t>
            </w:r>
            <w:r>
              <w:rPr>
                <w:rFonts w:hint="eastAsia" w:ascii="宋体" w:hAnsi="宋体" w:eastAsia="宋体" w:cs="宋体"/>
                <w:color w:val="auto"/>
                <w:spacing w:val="0"/>
                <w:sz w:val="24"/>
                <w:szCs w:val="24"/>
                <w:lang w:eastAsia="zh-CN"/>
              </w:rPr>
              <w:t>草坪机</w:t>
            </w:r>
            <w:r>
              <w:rPr>
                <w:rFonts w:hint="eastAsia" w:ascii="宋体" w:hAnsi="宋体" w:eastAsia="宋体" w:cs="宋体"/>
                <w:color w:val="auto"/>
                <w:spacing w:val="0"/>
                <w:sz w:val="24"/>
                <w:szCs w:val="24"/>
              </w:rPr>
              <w:t>、货车</w:t>
            </w:r>
            <w:r>
              <w:rPr>
                <w:rFonts w:hint="eastAsia" w:ascii="宋体" w:hAnsi="宋体" w:eastAsia="宋体" w:cs="宋体"/>
                <w:color w:val="auto"/>
                <w:spacing w:val="0"/>
                <w:sz w:val="24"/>
                <w:szCs w:val="24"/>
                <w:lang w:val="en-US" w:eastAsia="zh-CN"/>
              </w:rPr>
              <w:t>或者工具车</w:t>
            </w:r>
            <w:r>
              <w:rPr>
                <w:rFonts w:hint="eastAsia" w:ascii="宋体" w:hAnsi="宋体" w:eastAsia="宋体" w:cs="宋体"/>
                <w:color w:val="auto"/>
                <w:spacing w:val="0"/>
                <w:sz w:val="24"/>
                <w:szCs w:val="24"/>
              </w:rPr>
              <w:t>、割草机</w:t>
            </w:r>
            <w:r>
              <w:rPr>
                <w:rFonts w:hint="eastAsia" w:ascii="宋体" w:hAnsi="宋体" w:eastAsia="宋体" w:cs="宋体"/>
                <w:color w:val="auto"/>
                <w:spacing w:val="0"/>
                <w:sz w:val="24"/>
                <w:szCs w:val="24"/>
                <w:lang w:eastAsia="zh-CN"/>
              </w:rPr>
              <w:t>、</w:t>
            </w:r>
            <w:r>
              <w:rPr>
                <w:rFonts w:hint="eastAsia" w:ascii="宋体" w:hAnsi="宋体" w:eastAsia="宋体" w:cs="宋体"/>
                <w:color w:val="auto"/>
                <w:spacing w:val="0"/>
                <w:sz w:val="24"/>
                <w:szCs w:val="24"/>
                <w:lang w:val="en-US" w:eastAsia="zh-CN"/>
              </w:rPr>
              <w:t>割灌机、油锯</w:t>
            </w:r>
            <w:r>
              <w:rPr>
                <w:rFonts w:hint="eastAsia" w:ascii="宋体" w:hAnsi="宋体" w:eastAsia="宋体" w:cs="宋体"/>
                <w:color w:val="auto"/>
                <w:spacing w:val="0"/>
                <w:sz w:val="24"/>
                <w:szCs w:val="24"/>
              </w:rPr>
              <w:t>，</w:t>
            </w:r>
            <w:r>
              <w:rPr>
                <w:rFonts w:hint="eastAsia" w:ascii="宋体" w:hAnsi="宋体" w:eastAsia="宋体" w:cs="宋体"/>
                <w:color w:val="auto"/>
                <w:spacing w:val="0"/>
                <w:sz w:val="24"/>
                <w:szCs w:val="24"/>
                <w:lang w:val="en-US" w:eastAsia="zh-CN"/>
              </w:rPr>
              <w:t>提供以上一种设备得2分，最多</w:t>
            </w:r>
            <w:r>
              <w:rPr>
                <w:rFonts w:hint="eastAsia" w:cs="宋体"/>
                <w:color w:val="auto"/>
                <w:spacing w:val="0"/>
                <w:sz w:val="24"/>
                <w:szCs w:val="24"/>
                <w:lang w:val="en-US" w:eastAsia="zh-CN"/>
              </w:rPr>
              <w:t>得</w:t>
            </w:r>
            <w:r>
              <w:rPr>
                <w:rFonts w:hint="eastAsia" w:ascii="宋体" w:hAnsi="宋体" w:eastAsia="宋体" w:cs="宋体"/>
                <w:color w:val="auto"/>
                <w:spacing w:val="0"/>
                <w:sz w:val="24"/>
                <w:szCs w:val="24"/>
                <w:lang w:val="en-US" w:eastAsia="zh-CN"/>
              </w:rPr>
              <w:t>6分</w:t>
            </w:r>
            <w:r>
              <w:rPr>
                <w:rFonts w:hint="eastAsia" w:ascii="宋体" w:hAnsi="宋体" w:eastAsia="宋体" w:cs="宋体"/>
                <w:color w:val="auto"/>
                <w:spacing w:val="0"/>
                <w:sz w:val="24"/>
                <w:szCs w:val="24"/>
              </w:rPr>
              <w:t>。</w:t>
            </w:r>
          </w:p>
          <w:p w14:paraId="2825E42A">
            <w:pPr>
              <w:spacing w:line="240" w:lineRule="auto"/>
              <w:rPr>
                <w:rFonts w:hint="eastAsia" w:ascii="宋体" w:hAnsi="宋体" w:eastAsia="宋体" w:cs="宋体"/>
                <w:color w:val="auto"/>
                <w:spacing w:val="-4"/>
                <w:sz w:val="24"/>
                <w:szCs w:val="24"/>
                <w:lang w:val="en-US" w:eastAsia="zh-CN"/>
              </w:rPr>
            </w:pPr>
            <w:r>
              <w:rPr>
                <w:rFonts w:hint="eastAsia" w:ascii="宋体" w:hAnsi="宋体" w:eastAsia="宋体" w:cs="宋体"/>
                <w:color w:val="auto"/>
                <w:spacing w:val="0"/>
                <w:sz w:val="24"/>
                <w:szCs w:val="24"/>
              </w:rPr>
              <w:t>注:提供设备购置发票或</w:t>
            </w:r>
            <w:r>
              <w:rPr>
                <w:rFonts w:hint="eastAsia" w:ascii="宋体" w:hAnsi="宋体" w:eastAsia="宋体" w:cs="宋体"/>
                <w:color w:val="auto"/>
                <w:spacing w:val="0"/>
                <w:sz w:val="24"/>
                <w:szCs w:val="24"/>
                <w:lang w:val="en-US" w:eastAsia="zh-CN"/>
              </w:rPr>
              <w:t>租赁协议或者其他相关证明材料</w:t>
            </w:r>
            <w:r>
              <w:rPr>
                <w:rFonts w:hint="eastAsia" w:ascii="宋体" w:hAnsi="宋体" w:eastAsia="宋体" w:cs="宋体"/>
                <w:color w:val="auto"/>
                <w:spacing w:val="0"/>
                <w:sz w:val="24"/>
                <w:szCs w:val="24"/>
                <w:highlight w:val="none"/>
                <w:lang w:eastAsia="zh-CN"/>
              </w:rPr>
              <w:t>的</w:t>
            </w:r>
            <w:r>
              <w:rPr>
                <w:rFonts w:hint="eastAsia" w:ascii="宋体" w:hAnsi="宋体" w:eastAsia="宋体" w:cs="宋体"/>
                <w:color w:val="auto"/>
                <w:spacing w:val="0"/>
                <w:sz w:val="24"/>
                <w:szCs w:val="24"/>
                <w:highlight w:val="none"/>
              </w:rPr>
              <w:t>扫描件</w:t>
            </w:r>
            <w:r>
              <w:rPr>
                <w:rFonts w:hint="eastAsia" w:ascii="宋体" w:hAnsi="宋体" w:eastAsia="宋体" w:cs="宋体"/>
                <w:color w:val="auto"/>
                <w:spacing w:val="0"/>
                <w:sz w:val="24"/>
                <w:szCs w:val="24"/>
                <w:highlight w:val="none"/>
                <w:lang w:eastAsia="zh-CN"/>
              </w:rPr>
              <w:t>。</w:t>
            </w:r>
          </w:p>
        </w:tc>
      </w:tr>
    </w:tbl>
    <w:p w14:paraId="2831FF86">
      <w:pPr>
        <w:rPr>
          <w:rFonts w:hint="eastAsia" w:ascii="仿宋" w:hAnsi="仿宋" w:eastAsia="仿宋" w:cs="仿宋"/>
          <w:color w:val="auto"/>
          <w:sz w:val="24"/>
          <w:szCs w:val="24"/>
          <w:highlight w:val="none"/>
          <w:lang w:val="en-US" w:eastAsia="zh-CN"/>
        </w:rPr>
      </w:pPr>
    </w:p>
    <w:p w14:paraId="19CBCD17">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评审方法（评定成交的标准）</w:t>
      </w:r>
      <w:bookmarkEnd w:id="40"/>
      <w:bookmarkEnd w:id="41"/>
    </w:p>
    <w:p w14:paraId="712555D8">
      <w:pPr>
        <w:pStyle w:val="5"/>
        <w:spacing w:after="0" w:line="360" w:lineRule="auto"/>
        <w:ind w:right="164" w:firstLine="616"/>
        <w:rPr>
          <w:rFonts w:hint="eastAsia" w:ascii="仿宋" w:hAnsi="仿宋" w:eastAsia="仿宋" w:cs="仿宋"/>
          <w:color w:val="auto"/>
          <w:highlight w:val="none"/>
        </w:rPr>
      </w:pPr>
      <w:r>
        <w:rPr>
          <w:rFonts w:hint="eastAsia" w:ascii="仿宋" w:hAnsi="仿宋" w:eastAsia="仿宋" w:cs="仿宋"/>
          <w:color w:val="auto"/>
          <w:highlight w:val="none"/>
        </w:rPr>
        <w:t>本次政府采购项目的评审方法采用《政府采购竞争性磋商采购方式管理暂行办法》中的“综合评分法”，由磋商小组采用综合评分法对提交最后报价的供应商的响应文件和最后报价进行综合评分，响应文件满足磋商文件全部实质性要求且按评审因素的量化指标评审得分</w:t>
      </w:r>
      <w:r>
        <w:rPr>
          <w:rFonts w:hint="eastAsia" w:ascii="仿宋" w:hAnsi="仿宋" w:eastAsia="仿宋" w:cs="仿宋"/>
          <w:color w:val="auto"/>
          <w:highlight w:val="none"/>
          <w:lang w:eastAsia="zh-CN"/>
        </w:rPr>
        <w:t>最多</w:t>
      </w:r>
      <w:r>
        <w:rPr>
          <w:rFonts w:hint="eastAsia" w:ascii="仿宋" w:hAnsi="仿宋" w:eastAsia="仿宋" w:cs="仿宋"/>
          <w:color w:val="auto"/>
          <w:highlight w:val="none"/>
        </w:rPr>
        <w:t>的供应商为该项目成交候选供应商。</w:t>
      </w:r>
    </w:p>
    <w:p w14:paraId="6A5CD234">
      <w:pPr>
        <w:spacing w:after="0" w:line="360" w:lineRule="auto"/>
        <w:ind w:firstLine="723" w:firstLineChars="3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评审得分相同的，按照最后报价由低到高的顺序推荐。评审得分且最后报价相同的，按照技术指标优劣顺序推荐。</w:t>
      </w:r>
    </w:p>
    <w:p w14:paraId="4396F4A7">
      <w:pPr>
        <w:pStyle w:val="3"/>
        <w:numPr>
          <w:ilvl w:val="3"/>
          <w:numId w:val="12"/>
        </w:numPr>
        <w:spacing w:before="0" w:after="0" w:line="360" w:lineRule="auto"/>
        <w:ind w:left="942"/>
        <w:jc w:val="left"/>
        <w:rPr>
          <w:rFonts w:hint="eastAsia" w:ascii="仿宋" w:hAnsi="仿宋" w:eastAsia="仿宋" w:cs="仿宋"/>
          <w:color w:val="auto"/>
          <w:sz w:val="24"/>
          <w:szCs w:val="24"/>
          <w:highlight w:val="none"/>
        </w:rPr>
      </w:pPr>
      <w:bookmarkStart w:id="42" w:name="2._评审标准"/>
      <w:bookmarkEnd w:id="42"/>
      <w:bookmarkStart w:id="43" w:name="_Toc32076"/>
      <w:bookmarkStart w:id="44" w:name="_Toc63669163"/>
      <w:r>
        <w:rPr>
          <w:rFonts w:hint="eastAsia" w:ascii="仿宋" w:hAnsi="仿宋" w:eastAsia="仿宋" w:cs="仿宋"/>
          <w:color w:val="auto"/>
          <w:sz w:val="24"/>
          <w:szCs w:val="24"/>
          <w:highlight w:val="none"/>
        </w:rPr>
        <w:t>评审标准</w:t>
      </w:r>
      <w:bookmarkEnd w:id="43"/>
      <w:bookmarkEnd w:id="44"/>
    </w:p>
    <w:p w14:paraId="76CCE9B7">
      <w:pPr>
        <w:pStyle w:val="5"/>
        <w:numPr>
          <w:ilvl w:val="4"/>
          <w:numId w:val="12"/>
        </w:numPr>
        <w:spacing w:after="0" w:line="360" w:lineRule="auto"/>
        <w:rPr>
          <w:rFonts w:hint="eastAsia" w:ascii="仿宋" w:hAnsi="仿宋" w:eastAsia="仿宋" w:cs="仿宋"/>
          <w:color w:val="auto"/>
          <w:highlight w:val="none"/>
        </w:rPr>
      </w:pPr>
      <w:r>
        <w:rPr>
          <w:rFonts w:hint="eastAsia" w:ascii="仿宋" w:hAnsi="仿宋" w:eastAsia="仿宋" w:cs="仿宋"/>
          <w:color w:val="auto"/>
          <w:highlight w:val="none"/>
        </w:rPr>
        <w:t>初步评审标准</w:t>
      </w:r>
    </w:p>
    <w:p w14:paraId="016F70A1">
      <w:pPr>
        <w:pStyle w:val="57"/>
        <w:numPr>
          <w:ilvl w:val="5"/>
          <w:numId w:val="12"/>
        </w:numPr>
        <w:spacing w:after="0" w:line="360" w:lineRule="auto"/>
        <w:ind w:left="1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资格性审查标准：见</w:t>
      </w:r>
      <w:r>
        <w:rPr>
          <w:rFonts w:hint="eastAsia" w:ascii="仿宋" w:hAnsi="仿宋" w:eastAsia="仿宋" w:cs="仿宋"/>
          <w:color w:val="auto"/>
          <w:sz w:val="24"/>
          <w:szCs w:val="24"/>
          <w:highlight w:val="none"/>
          <w:lang w:eastAsia="zh-CN"/>
        </w:rPr>
        <w:t>评审标准和评审办法</w:t>
      </w:r>
      <w:r>
        <w:rPr>
          <w:rFonts w:hint="eastAsia" w:ascii="仿宋" w:hAnsi="仿宋" w:eastAsia="仿宋" w:cs="仿宋"/>
          <w:color w:val="auto"/>
          <w:sz w:val="24"/>
          <w:szCs w:val="24"/>
          <w:highlight w:val="none"/>
        </w:rPr>
        <w:t>前附表。</w:t>
      </w:r>
    </w:p>
    <w:p w14:paraId="4B127A1C">
      <w:pPr>
        <w:pStyle w:val="57"/>
        <w:numPr>
          <w:ilvl w:val="5"/>
          <w:numId w:val="12"/>
        </w:numPr>
        <w:spacing w:after="0" w:line="360" w:lineRule="auto"/>
        <w:ind w:left="1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符合性审查标准：见</w:t>
      </w:r>
      <w:r>
        <w:rPr>
          <w:rFonts w:hint="eastAsia" w:ascii="仿宋" w:hAnsi="仿宋" w:eastAsia="仿宋" w:cs="仿宋"/>
          <w:color w:val="auto"/>
          <w:sz w:val="24"/>
          <w:szCs w:val="24"/>
          <w:highlight w:val="none"/>
          <w:lang w:eastAsia="zh-CN"/>
        </w:rPr>
        <w:t>评审标准和评审办法</w:t>
      </w:r>
      <w:r>
        <w:rPr>
          <w:rFonts w:hint="eastAsia" w:ascii="仿宋" w:hAnsi="仿宋" w:eastAsia="仿宋" w:cs="仿宋"/>
          <w:color w:val="auto"/>
          <w:sz w:val="24"/>
          <w:szCs w:val="24"/>
          <w:highlight w:val="none"/>
        </w:rPr>
        <w:t>前附表。</w:t>
      </w:r>
    </w:p>
    <w:p w14:paraId="1CAAD904">
      <w:pPr>
        <w:pStyle w:val="5"/>
        <w:numPr>
          <w:ilvl w:val="4"/>
          <w:numId w:val="12"/>
        </w:numPr>
        <w:spacing w:after="0" w:line="360" w:lineRule="auto"/>
        <w:rPr>
          <w:rFonts w:hint="eastAsia" w:ascii="仿宋" w:hAnsi="仿宋" w:eastAsia="仿宋" w:cs="仿宋"/>
          <w:color w:val="auto"/>
          <w:highlight w:val="none"/>
        </w:rPr>
      </w:pPr>
      <w:r>
        <w:rPr>
          <w:rFonts w:hint="eastAsia" w:ascii="仿宋" w:hAnsi="仿宋" w:eastAsia="仿宋" w:cs="仿宋"/>
          <w:color w:val="auto"/>
          <w:highlight w:val="none"/>
        </w:rPr>
        <w:t>详细评审标准</w:t>
      </w:r>
    </w:p>
    <w:p w14:paraId="6B7FE1C6">
      <w:pPr>
        <w:pStyle w:val="57"/>
        <w:numPr>
          <w:ilvl w:val="5"/>
          <w:numId w:val="12"/>
        </w:numPr>
        <w:spacing w:after="0" w:line="360" w:lineRule="auto"/>
        <w:ind w:left="1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分值构成：见</w:t>
      </w:r>
      <w:r>
        <w:rPr>
          <w:rFonts w:hint="eastAsia" w:ascii="仿宋" w:hAnsi="仿宋" w:eastAsia="仿宋" w:cs="仿宋"/>
          <w:color w:val="auto"/>
          <w:sz w:val="24"/>
          <w:szCs w:val="24"/>
          <w:highlight w:val="none"/>
          <w:lang w:eastAsia="zh-CN"/>
        </w:rPr>
        <w:t>评审标准和评审办法</w:t>
      </w:r>
      <w:r>
        <w:rPr>
          <w:rFonts w:hint="eastAsia" w:ascii="仿宋" w:hAnsi="仿宋" w:eastAsia="仿宋" w:cs="仿宋"/>
          <w:color w:val="auto"/>
          <w:sz w:val="24"/>
          <w:szCs w:val="24"/>
          <w:highlight w:val="none"/>
        </w:rPr>
        <w:t>前附表</w:t>
      </w:r>
    </w:p>
    <w:p w14:paraId="66F84716">
      <w:pPr>
        <w:pStyle w:val="57"/>
        <w:numPr>
          <w:ilvl w:val="5"/>
          <w:numId w:val="12"/>
        </w:numPr>
        <w:spacing w:after="0" w:line="360" w:lineRule="auto"/>
        <w:ind w:left="1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评分标准：见</w:t>
      </w:r>
      <w:r>
        <w:rPr>
          <w:rFonts w:hint="eastAsia" w:ascii="仿宋" w:hAnsi="仿宋" w:eastAsia="仿宋" w:cs="仿宋"/>
          <w:color w:val="auto"/>
          <w:sz w:val="24"/>
          <w:szCs w:val="24"/>
          <w:highlight w:val="none"/>
          <w:lang w:eastAsia="zh-CN"/>
        </w:rPr>
        <w:t>评审标准和评审办法</w:t>
      </w:r>
      <w:r>
        <w:rPr>
          <w:rFonts w:hint="eastAsia" w:ascii="仿宋" w:hAnsi="仿宋" w:eastAsia="仿宋" w:cs="仿宋"/>
          <w:color w:val="auto"/>
          <w:sz w:val="24"/>
          <w:szCs w:val="24"/>
          <w:highlight w:val="none"/>
        </w:rPr>
        <w:t>前附表</w:t>
      </w:r>
    </w:p>
    <w:p w14:paraId="37BFF2B7">
      <w:pPr>
        <w:pStyle w:val="3"/>
        <w:numPr>
          <w:ilvl w:val="3"/>
          <w:numId w:val="12"/>
        </w:numPr>
        <w:spacing w:before="0" w:after="0" w:line="360" w:lineRule="auto"/>
        <w:jc w:val="left"/>
        <w:rPr>
          <w:rFonts w:hint="eastAsia" w:ascii="仿宋" w:hAnsi="仿宋" w:eastAsia="仿宋" w:cs="仿宋"/>
          <w:color w:val="auto"/>
          <w:sz w:val="24"/>
          <w:szCs w:val="24"/>
          <w:highlight w:val="none"/>
        </w:rPr>
      </w:pPr>
      <w:bookmarkStart w:id="45" w:name="3._评审程序"/>
      <w:bookmarkEnd w:id="45"/>
      <w:bookmarkStart w:id="46" w:name="_Toc63669164"/>
      <w:bookmarkStart w:id="47" w:name="_Toc5639"/>
      <w:r>
        <w:rPr>
          <w:rFonts w:hint="eastAsia" w:ascii="仿宋" w:hAnsi="仿宋" w:eastAsia="仿宋" w:cs="仿宋"/>
          <w:color w:val="auto"/>
          <w:sz w:val="24"/>
          <w:szCs w:val="24"/>
          <w:highlight w:val="none"/>
        </w:rPr>
        <w:t>评审程序</w:t>
      </w:r>
      <w:bookmarkEnd w:id="46"/>
      <w:bookmarkEnd w:id="47"/>
    </w:p>
    <w:p w14:paraId="49107737">
      <w:pPr>
        <w:adjustRightIn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磋商小组成员应当按照客观、公正、审慎的原则，根据磋商文件规定的评审程序、评审方法和评审标准进行独立评审。</w:t>
      </w:r>
    </w:p>
    <w:p w14:paraId="46D9EFEB">
      <w:pPr>
        <w:adjustRightInd w:val="0"/>
        <w:spacing w:after="0" w:line="360" w:lineRule="auto"/>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3.1 符合性评审</w:t>
      </w:r>
    </w:p>
    <w:p w14:paraId="6A066690">
      <w:pPr>
        <w:adjustRightIn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投标报价有算术错误的，</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按以下原则对投标报价进行修正，修正的价格经供应商书面确认后具有约束力。供应商不接受修正价格的，其投标作废标处理。</w:t>
      </w:r>
    </w:p>
    <w:p w14:paraId="15E4AA33">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 投标报价以《磋商函》所报金额为准。</w:t>
      </w:r>
    </w:p>
    <w:p w14:paraId="74C8AFDB">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 响应文件中的大写金额与小写金额不一致的，以大写金额为准； </w:t>
      </w:r>
    </w:p>
    <w:p w14:paraId="3126F89E">
      <w:pPr>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 总价金额与依据单价计算出的结果不一致的，以单价金额为准修正总价，但单价金额小数点有明显错误的除外。 </w:t>
      </w:r>
    </w:p>
    <w:p w14:paraId="13C8A8B7">
      <w:pPr>
        <w:pStyle w:val="57"/>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left="0" w:leftChars="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3.1.1 </w:t>
      </w:r>
      <w:r>
        <w:rPr>
          <w:rFonts w:hint="eastAsia" w:ascii="仿宋" w:hAnsi="仿宋" w:eastAsia="仿宋" w:cs="仿宋"/>
          <w:color w:val="auto"/>
          <w:sz w:val="24"/>
          <w:szCs w:val="24"/>
          <w:highlight w:val="none"/>
        </w:rPr>
        <w:t>价格磋商</w:t>
      </w:r>
    </w:p>
    <w:p w14:paraId="324DA36D">
      <w:pPr>
        <w:pStyle w:val="57"/>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left="0" w:leftChars="0" w:right="0" w:righ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3.1.1.1 </w:t>
      </w:r>
      <w:r>
        <w:rPr>
          <w:rFonts w:hint="eastAsia" w:ascii="仿宋" w:hAnsi="仿宋" w:eastAsia="仿宋" w:cs="仿宋"/>
          <w:color w:val="auto"/>
          <w:sz w:val="24"/>
          <w:szCs w:val="24"/>
          <w:highlight w:val="none"/>
        </w:rPr>
        <w:t>磋商小组应当要求所有继续参加磋商的供应商在规定时间内提交最后报价，提交最后报价的供应商不得少于3家。最后报价是响应文件的有效组成部分。</w:t>
      </w:r>
    </w:p>
    <w:p w14:paraId="370DFDB3">
      <w:pPr>
        <w:pStyle w:val="57"/>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left="0" w:leftChars="0" w:right="0" w:righ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3.1.1.2 </w:t>
      </w:r>
      <w:r>
        <w:rPr>
          <w:rFonts w:hint="eastAsia" w:ascii="仿宋" w:hAnsi="仿宋" w:eastAsia="仿宋" w:cs="仿宋"/>
          <w:color w:val="auto"/>
          <w:sz w:val="24"/>
          <w:szCs w:val="24"/>
          <w:highlight w:val="none"/>
        </w:rPr>
        <w:t>磋商文件的实质性变动影响到供应商因此无法继续参加磋商的，供应商可以在提交最后报价之前退出磋商。其响应文件按无效处理的供应商， 所提交的最后报价也按无效处理。</w:t>
      </w:r>
    </w:p>
    <w:p w14:paraId="5F76F441">
      <w:pPr>
        <w:pStyle w:val="57"/>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left="0" w:leftChars="0" w:right="0" w:righ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3.1.1.3 </w:t>
      </w:r>
      <w:r>
        <w:rPr>
          <w:rFonts w:hint="eastAsia" w:ascii="仿宋" w:hAnsi="仿宋" w:eastAsia="仿宋" w:cs="仿宋"/>
          <w:b/>
          <w:bCs/>
          <w:color w:val="auto"/>
          <w:sz w:val="24"/>
          <w:szCs w:val="24"/>
          <w:highlight w:val="none"/>
        </w:rPr>
        <w:t>供应商在竞争性磋商响应文件中应</w:t>
      </w:r>
      <w:r>
        <w:rPr>
          <w:rFonts w:hint="eastAsia" w:ascii="仿宋" w:hAnsi="仿宋" w:eastAsia="仿宋" w:cs="仿宋"/>
          <w:b/>
          <w:bCs/>
          <w:color w:val="auto"/>
          <w:sz w:val="24"/>
          <w:szCs w:val="24"/>
          <w:highlight w:val="none"/>
          <w:lang w:val="en-US" w:eastAsia="zh-CN"/>
        </w:rPr>
        <w:t>填写</w:t>
      </w:r>
      <w:r>
        <w:rPr>
          <w:rFonts w:hint="eastAsia" w:ascii="仿宋" w:hAnsi="仿宋" w:eastAsia="仿宋" w:cs="仿宋"/>
          <w:b/>
          <w:bCs/>
          <w:color w:val="auto"/>
          <w:sz w:val="24"/>
          <w:szCs w:val="24"/>
          <w:highlight w:val="none"/>
        </w:rPr>
        <w:t>第一次报价</w:t>
      </w:r>
      <w:r>
        <w:rPr>
          <w:rFonts w:hint="eastAsia" w:ascii="仿宋" w:hAnsi="仿宋" w:eastAsia="仿宋" w:cs="仿宋"/>
          <w:color w:val="auto"/>
          <w:sz w:val="24"/>
          <w:szCs w:val="24"/>
          <w:highlight w:val="none"/>
        </w:rPr>
        <w:t>，</w:t>
      </w:r>
      <w:r>
        <w:rPr>
          <w:rFonts w:hint="eastAsia" w:ascii="仿宋" w:hAnsi="仿宋" w:eastAsia="仿宋" w:cs="仿宋"/>
          <w:b/>
          <w:bCs/>
          <w:color w:val="auto"/>
          <w:sz w:val="24"/>
          <w:szCs w:val="24"/>
          <w:highlight w:val="none"/>
        </w:rPr>
        <w:t>第二次报价只填写最终投标报价的总价。第二次报价不能高于第一次报价，第二次报价即为最后报价。</w:t>
      </w:r>
      <w:r>
        <w:rPr>
          <w:rFonts w:hint="eastAsia" w:ascii="仿宋" w:hAnsi="仿宋" w:eastAsia="仿宋" w:cs="仿宋"/>
          <w:color w:val="auto"/>
          <w:sz w:val="24"/>
          <w:szCs w:val="24"/>
          <w:highlight w:val="none"/>
        </w:rPr>
        <w:t>每次投标报价不得超过采购预算价，投标报价超过采购预算价的按废标处理。</w:t>
      </w:r>
    </w:p>
    <w:p w14:paraId="7F1F9602">
      <w:pPr>
        <w:pStyle w:val="57"/>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left="0" w:leftChars="0" w:right="0" w:rightChars="0" w:firstLine="480"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lang w:val="en-US" w:eastAsia="zh-CN"/>
        </w:rPr>
        <w:t xml:space="preserve">3.1.1.4 </w:t>
      </w:r>
      <w:r>
        <w:rPr>
          <w:rFonts w:hint="eastAsia" w:ascii="仿宋" w:hAnsi="仿宋" w:eastAsia="仿宋" w:cs="仿宋"/>
          <w:b/>
          <w:bCs/>
          <w:color w:val="auto"/>
          <w:sz w:val="24"/>
          <w:szCs w:val="24"/>
          <w:highlight w:val="none"/>
        </w:rPr>
        <w:t>本项目在开标后只进行一轮报价，即最后报价。网上交易系统中管理员发起最后报价后，未在规定时间内提出最终报价的，视同退出磋商活动，不再参与后续磋商评审。</w:t>
      </w:r>
    </w:p>
    <w:p w14:paraId="2B3E9F2F">
      <w:pPr>
        <w:pStyle w:val="57"/>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left="0" w:leftChars="0" w:right="0" w:righ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3.1.1.5 </w:t>
      </w:r>
      <w:r>
        <w:rPr>
          <w:rFonts w:hint="eastAsia" w:ascii="仿宋" w:hAnsi="仿宋" w:eastAsia="仿宋" w:cs="仿宋"/>
          <w:color w:val="auto"/>
          <w:sz w:val="24"/>
          <w:szCs w:val="24"/>
          <w:highlight w:val="none"/>
        </w:rPr>
        <w:t>注：最后报价由代理机构或采购人通知，供应商应在规定的时间内通过系统完成报价，否则后果自行承担。</w:t>
      </w:r>
    </w:p>
    <w:p w14:paraId="74B39E22">
      <w:pPr>
        <w:pStyle w:val="57"/>
        <w:keepNext w:val="0"/>
        <w:keepLines w:val="0"/>
        <w:pageBreakBefore w:val="0"/>
        <w:widowControl w:val="0"/>
        <w:numPr>
          <w:ilvl w:val="0"/>
          <w:numId w:val="0"/>
        </w:numPr>
        <w:kinsoku/>
        <w:wordWrap w:val="0"/>
        <w:overflowPunct w:val="0"/>
        <w:topLinePunct/>
        <w:autoSpaceDE/>
        <w:autoSpaceDN/>
        <w:bidi w:val="0"/>
        <w:adjustRightInd/>
        <w:snapToGrid/>
        <w:spacing w:after="0" w:line="360" w:lineRule="auto"/>
        <w:ind w:left="0" w:leftChars="0" w:right="0" w:righ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3.1.1.6 </w:t>
      </w:r>
      <w:r>
        <w:rPr>
          <w:rFonts w:hint="eastAsia" w:ascii="仿宋" w:hAnsi="仿宋" w:eastAsia="仿宋" w:cs="仿宋"/>
          <w:color w:val="auto"/>
          <w:sz w:val="24"/>
          <w:szCs w:val="24"/>
          <w:highlight w:val="none"/>
        </w:rPr>
        <w:t>供应商在网上报价过程中，如遇到网上投标系统的操作问题，可通过网上预留的咨询电话进行咨询。供应商因未按照要求进行操作、供应商办理的数字证书失效等其他自身原因导致响应文件错误或无效的，磋商小组将认定其为无效投标。</w:t>
      </w:r>
    </w:p>
    <w:p w14:paraId="1BB617CF">
      <w:pPr>
        <w:keepNext w:val="0"/>
        <w:keepLines w:val="0"/>
        <w:pageBreakBefore w:val="0"/>
        <w:widowControl w:val="0"/>
        <w:kinsoku/>
        <w:wordWrap w:val="0"/>
        <w:overflowPunct w:val="0"/>
        <w:topLinePunct/>
        <w:autoSpaceDE/>
        <w:autoSpaceDN/>
        <w:bidi w:val="0"/>
        <w:adjustRightInd/>
        <w:snapToGrid/>
        <w:spacing w:after="0" w:line="360" w:lineRule="auto"/>
        <w:ind w:left="0" w:right="0"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3.2 详细评审</w:t>
      </w:r>
    </w:p>
    <w:p w14:paraId="0A911197">
      <w:pPr>
        <w:keepNext w:val="0"/>
        <w:keepLines w:val="0"/>
        <w:pageBreakBefore w:val="0"/>
        <w:widowControl w:val="0"/>
        <w:kinsoku/>
        <w:wordWrap w:val="0"/>
        <w:overflowPunct w:val="0"/>
        <w:topLinePunct/>
        <w:autoSpaceDE/>
        <w:autoSpaceDN/>
        <w:bidi w:val="0"/>
        <w:adjustRightInd/>
        <w:snapToGrid/>
        <w:spacing w:after="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3.2.1 </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按本章第2.2 款规定的量化因素和分值进行打分，并计算出综合评估得分。</w:t>
      </w:r>
    </w:p>
    <w:p w14:paraId="3E485159">
      <w:pPr>
        <w:keepNext w:val="0"/>
        <w:keepLines w:val="0"/>
        <w:pageBreakBefore w:val="0"/>
        <w:widowControl w:val="0"/>
        <w:kinsoku/>
        <w:wordWrap w:val="0"/>
        <w:overflowPunct w:val="0"/>
        <w:topLinePunct/>
        <w:autoSpaceDE/>
        <w:autoSpaceDN/>
        <w:bidi w:val="0"/>
        <w:adjustRightInd/>
        <w:snapToGrid/>
        <w:spacing w:after="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3.2.2 评分分值计算保留小数点后两位，小数点后第三位“四舍五入”。</w:t>
      </w:r>
    </w:p>
    <w:p w14:paraId="507E5E3A">
      <w:pPr>
        <w:keepNext w:val="0"/>
        <w:keepLines w:val="0"/>
        <w:pageBreakBefore w:val="0"/>
        <w:widowControl w:val="0"/>
        <w:kinsoku/>
        <w:wordWrap w:val="0"/>
        <w:overflowPunct w:val="0"/>
        <w:topLinePunct/>
        <w:autoSpaceDE/>
        <w:autoSpaceDN/>
        <w:bidi w:val="0"/>
        <w:adjustRightInd/>
        <w:snapToGrid/>
        <w:spacing w:after="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3.2.3 供应商得分=各项得分总和。</w:t>
      </w:r>
    </w:p>
    <w:p w14:paraId="2A09A4E8">
      <w:pPr>
        <w:keepNext w:val="0"/>
        <w:keepLines w:val="0"/>
        <w:pageBreakBefore w:val="0"/>
        <w:widowControl w:val="0"/>
        <w:kinsoku/>
        <w:wordWrap w:val="0"/>
        <w:overflowPunct w:val="0"/>
        <w:topLinePunct/>
        <w:autoSpaceDE/>
        <w:autoSpaceDN/>
        <w:bidi w:val="0"/>
        <w:adjustRightInd/>
        <w:snapToGrid/>
        <w:spacing w:after="0" w:line="360" w:lineRule="auto"/>
        <w:ind w:left="0" w:right="0"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3.3 响应文件的澄清和补正</w:t>
      </w:r>
    </w:p>
    <w:p w14:paraId="665E2153">
      <w:pPr>
        <w:adjustRightIn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3.3.1 在评标过程中，</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可以书面形式要求供应商对所提交响应文件中不明确的内容进行书面澄清或说明，或者对细微偏差进行补正。</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不接受供应商主动提出的澄清、说明或补正。</w:t>
      </w:r>
    </w:p>
    <w:p w14:paraId="64482A30">
      <w:pPr>
        <w:adjustRightIn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3.3.2 澄清、说明和补正不得改变响应文件的实质性内容（算术性错误修正的除外）。供应商的书面澄清、说明和补正属于响应文件的组成部分。</w:t>
      </w:r>
    </w:p>
    <w:p w14:paraId="77527ED2">
      <w:pPr>
        <w:adjustRightIn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3.3.3 </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对供应商提交的澄清、说明或补正有疑问的，可以要求供应商进一步澄清、说明或补正，直至满足</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的要求。</w:t>
      </w:r>
    </w:p>
    <w:p w14:paraId="110585CE">
      <w:pPr>
        <w:adjustRightInd w:val="0"/>
        <w:spacing w:after="0" w:line="360" w:lineRule="auto"/>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3.4 评标结果</w:t>
      </w:r>
    </w:p>
    <w:p w14:paraId="1FAC718D">
      <w:pPr>
        <w:tabs>
          <w:tab w:val="left" w:pos="350"/>
        </w:tabs>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3.4.1 </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根据评标办法推荐1-3名中标候选人。</w:t>
      </w:r>
    </w:p>
    <w:p w14:paraId="1C5D2027">
      <w:pPr>
        <w:tabs>
          <w:tab w:val="left" w:pos="350"/>
        </w:tabs>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3.4.2 </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完成评标后，应当向招标人提交书面评标报告。</w:t>
      </w:r>
    </w:p>
    <w:p w14:paraId="0A428670">
      <w:pPr>
        <w:tabs>
          <w:tab w:val="left" w:pos="350"/>
        </w:tabs>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3.4.3 采购人应当确定排名第一的中标候选人为中标人。排名第一的中标候选人放弃中标、因不可抗力提出不能履行合同，或者被查实存在影响中标结果的违法行为等情形，不符合中标条件的，采购人可以按照</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提出的中标候选人名单顺序依次确定其他中标候选人为中标人，也可以重新招标。</w:t>
      </w:r>
    </w:p>
    <w:p w14:paraId="79D46EE8">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3.5 </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认为供应商的报价明显低于其他通过符合性审查供应商的报价，有可能影响产品质量或者不能诚信履约的，应当要求其在合理的时间内提供书面说明，必要时提交相关证明材料；供应商不能证明其报价合理性的，</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应当将其作为无效投标处理。</w:t>
      </w:r>
    </w:p>
    <w:p w14:paraId="1543B34B">
      <w:pPr>
        <w:snapToGrid w:val="0"/>
        <w:spacing w:after="0" w:line="360" w:lineRule="auto"/>
        <w:ind w:firstLine="555"/>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根据财政部财库〔2026〕2号文件规定，政府采购评审中出现下列情形之一的，磋商小组应当启动异常低价投标（响应）审查程序：</w:t>
      </w:r>
    </w:p>
    <w:p w14:paraId="1FFAEA5F">
      <w:pPr>
        <w:snapToGrid w:val="0"/>
        <w:spacing w:after="0" w:line="360" w:lineRule="auto"/>
        <w:ind w:firstLine="555"/>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1.投标（响应）报价低于全部通过符合性审查供应商投标（响应）报价平均值65%的，即投标（响应）报价&lt;全部通过符合性审查供应商投标（响应）报价平均值×65%；</w:t>
      </w:r>
    </w:p>
    <w:p w14:paraId="59323DC0">
      <w:pPr>
        <w:snapToGrid w:val="0"/>
        <w:spacing w:after="0" w:line="360" w:lineRule="auto"/>
        <w:ind w:firstLine="555"/>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2.投标（响应）报价低于通过符合性审查的次低报价供应商投标（响应）报价65%的，即投标（响应）报价&lt;通过符合性审查的次低报价供应商投标（响应）报价×65%；</w:t>
      </w:r>
    </w:p>
    <w:p w14:paraId="0822B7C7">
      <w:pPr>
        <w:snapToGrid w:val="0"/>
        <w:spacing w:after="0" w:line="360" w:lineRule="auto"/>
        <w:ind w:firstLine="555"/>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3.投标（响应）报价低于采购项目最高限价65%的，即投标（响应）报价&lt;采购项目最高限价×65%；</w:t>
      </w:r>
    </w:p>
    <w:p w14:paraId="0CF1E1F3">
      <w:pPr>
        <w:snapToGrid w:val="0"/>
        <w:spacing w:after="0" w:line="360" w:lineRule="auto"/>
        <w:ind w:firstLine="555"/>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4.评审委员会基于专业判断，认为供应商报价过低，有可能影响产品质量或者不能诚信履约的其他情形。</w:t>
      </w:r>
    </w:p>
    <w:p w14:paraId="1FA89122">
      <w:pPr>
        <w:snapToGrid w:val="0"/>
        <w:spacing w:after="0" w:line="360" w:lineRule="auto"/>
        <w:ind w:firstLine="555"/>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73F8D62">
      <w:pPr>
        <w:snapToGrid w:val="0"/>
        <w:spacing w:after="0" w:line="360" w:lineRule="auto"/>
        <w:ind w:firstLine="555"/>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1DE293E">
      <w:pPr>
        <w:snapToGrid w:val="0"/>
        <w:spacing w:after="0" w:line="360" w:lineRule="auto"/>
        <w:ind w:firstLine="555"/>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7FAE0B2">
      <w:pPr>
        <w:snapToGrid w:val="0"/>
        <w:spacing w:after="0" w:line="360" w:lineRule="auto"/>
        <w:ind w:firstLine="555"/>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44B09079">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3.6 </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发现磋商文件存在歧义、重大缺陷导致评标工作无法进行，或者磋商文件内容违反国家有关强制性规定的，应当停止评标工作，与采购人或者采购代理机构沟通并作书面记录。采购人或者采购代理机构确认后，将修改磋商文件，重新组织采购活动。</w:t>
      </w:r>
    </w:p>
    <w:p w14:paraId="3C766E29">
      <w:pPr>
        <w:snapToGrid w:val="0"/>
        <w:spacing w:after="0" w:line="36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3.7 出现下列情形之一的，本项目应予废标： </w:t>
      </w:r>
    </w:p>
    <w:p w14:paraId="2986712B">
      <w:pPr>
        <w:snapToGrid w:val="0"/>
        <w:spacing w:after="0" w:line="360" w:lineRule="auto"/>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符合专业条件的供应商或者对磋商文件</w:t>
      </w:r>
      <w:r>
        <w:rPr>
          <w:rFonts w:hint="eastAsia" w:ascii="仿宋" w:hAnsi="仿宋" w:eastAsia="仿宋" w:cs="仿宋"/>
          <w:color w:val="auto"/>
          <w:sz w:val="24"/>
          <w:szCs w:val="24"/>
          <w:highlight w:val="none"/>
          <w:lang w:eastAsia="zh-CN"/>
        </w:rPr>
        <w:t>做</w:t>
      </w:r>
      <w:r>
        <w:rPr>
          <w:rFonts w:hint="eastAsia" w:ascii="仿宋" w:hAnsi="仿宋" w:eastAsia="仿宋" w:cs="仿宋"/>
          <w:color w:val="auto"/>
          <w:sz w:val="24"/>
          <w:szCs w:val="24"/>
          <w:highlight w:val="none"/>
        </w:rPr>
        <w:t xml:space="preserve">实质响应的供应商不足三家的； </w:t>
      </w:r>
    </w:p>
    <w:p w14:paraId="735EBB20">
      <w:pPr>
        <w:snapToGrid w:val="0"/>
        <w:spacing w:after="0" w:line="360" w:lineRule="auto"/>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 xml:space="preserve">）出现影响采购公正的违法、违规行为的； </w:t>
      </w:r>
    </w:p>
    <w:p w14:paraId="68EF280B">
      <w:pPr>
        <w:snapToGrid w:val="0"/>
        <w:spacing w:after="0" w:line="360" w:lineRule="auto"/>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 xml:space="preserve">）供应商的报价均超过了采购预算，采购人不能支付的； </w:t>
      </w:r>
    </w:p>
    <w:p w14:paraId="75B39889">
      <w:pPr>
        <w:snapToGrid w:val="0"/>
        <w:spacing w:after="0" w:line="360" w:lineRule="auto"/>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）因重大变故，采购任务取消的。</w:t>
      </w:r>
    </w:p>
    <w:p w14:paraId="47EDD3A2">
      <w:pPr>
        <w:pStyle w:val="5"/>
        <w:spacing w:after="0" w:line="360" w:lineRule="auto"/>
        <w:ind w:left="580" w:firstLine="0"/>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废标后，采购人应当将废标理由通知所有供应商。</w:t>
      </w:r>
    </w:p>
    <w:p w14:paraId="6D385993">
      <w:pPr>
        <w:snapToGrid w:val="0"/>
        <w:spacing w:after="0" w:line="360" w:lineRule="auto"/>
        <w:ind w:firstLine="360" w:firstLineChars="150"/>
        <w:rPr>
          <w:rFonts w:hint="eastAsia" w:ascii="仿宋" w:hAnsi="仿宋" w:eastAsia="仿宋" w:cs="仿宋"/>
          <w:color w:val="auto"/>
          <w:sz w:val="24"/>
          <w:szCs w:val="24"/>
          <w:highlight w:val="none"/>
        </w:rPr>
      </w:pPr>
      <w:bookmarkStart w:id="48" w:name="4._政府采购促进中小企业发展扶持政策"/>
      <w:bookmarkEnd w:id="48"/>
      <w:bookmarkStart w:id="49" w:name="_Toc23989"/>
      <w:bookmarkStart w:id="50" w:name="_Toc23079"/>
      <w:r>
        <w:rPr>
          <w:rFonts w:hint="eastAsia" w:ascii="仿宋" w:hAnsi="仿宋" w:eastAsia="仿宋" w:cs="仿宋"/>
          <w:color w:val="auto"/>
          <w:sz w:val="24"/>
          <w:szCs w:val="24"/>
          <w:highlight w:val="none"/>
          <w:lang w:val="en-US" w:eastAsia="zh-CN"/>
        </w:rPr>
        <w:t xml:space="preserve">3.8 </w:t>
      </w:r>
      <w:r>
        <w:rPr>
          <w:rFonts w:hint="eastAsia" w:ascii="仿宋" w:hAnsi="仿宋" w:eastAsia="仿宋" w:cs="仿宋"/>
          <w:color w:val="auto"/>
          <w:sz w:val="24"/>
          <w:szCs w:val="24"/>
          <w:highlight w:val="none"/>
        </w:rPr>
        <w:t>复核：</w:t>
      </w:r>
    </w:p>
    <w:p w14:paraId="56172039">
      <w:pPr>
        <w:snapToGrid w:val="0"/>
        <w:spacing w:after="0" w:line="360" w:lineRule="auto"/>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磋商小组要对评分汇总情况进行复核，对评审数据进行校对、核对，特别是对排名第一的、报价最低的、被认定为无效的情形进行重点复核。</w:t>
      </w:r>
    </w:p>
    <w:p w14:paraId="4C95F7E4">
      <w:pPr>
        <w:widowControl/>
        <w:autoSpaceDE/>
        <w:autoSpaceDN/>
        <w:spacing w:after="160" w:line="259"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p w14:paraId="7087992F">
      <w:pPr>
        <w:spacing w:after="0" w:line="360" w:lineRule="auto"/>
        <w:jc w:val="center"/>
        <w:outlineLvl w:val="0"/>
        <w:rPr>
          <w:rFonts w:hint="eastAsia" w:ascii="仿宋" w:hAnsi="仿宋" w:eastAsia="仿宋" w:cs="仿宋"/>
          <w:b/>
          <w:bCs/>
          <w:color w:val="auto"/>
          <w:sz w:val="28"/>
          <w:szCs w:val="28"/>
          <w:highlight w:val="none"/>
        </w:rPr>
      </w:pPr>
      <w:bookmarkStart w:id="51" w:name="_Toc9232"/>
      <w:bookmarkStart w:id="52" w:name="_Toc8583_WPSOffice_Level1"/>
      <w:r>
        <w:rPr>
          <w:rFonts w:hint="eastAsia" w:ascii="仿宋" w:hAnsi="仿宋" w:eastAsia="仿宋" w:cs="仿宋"/>
          <w:b/>
          <w:bCs/>
          <w:color w:val="auto"/>
          <w:sz w:val="28"/>
          <w:szCs w:val="28"/>
          <w:highlight w:val="none"/>
        </w:rPr>
        <w:t>第</w:t>
      </w:r>
      <w:r>
        <w:rPr>
          <w:rFonts w:hint="eastAsia" w:ascii="仿宋" w:hAnsi="仿宋" w:eastAsia="仿宋" w:cs="仿宋"/>
          <w:b/>
          <w:bCs/>
          <w:color w:val="auto"/>
          <w:sz w:val="28"/>
          <w:szCs w:val="28"/>
          <w:highlight w:val="none"/>
          <w:lang w:eastAsia="zh-CN"/>
        </w:rPr>
        <w:t>五章</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rPr>
        <w:t>合同</w:t>
      </w:r>
      <w:bookmarkEnd w:id="49"/>
      <w:bookmarkEnd w:id="50"/>
      <w:r>
        <w:rPr>
          <w:rFonts w:hint="eastAsia" w:ascii="仿宋" w:hAnsi="仿宋" w:eastAsia="仿宋" w:cs="仿宋"/>
          <w:b/>
          <w:bCs/>
          <w:color w:val="auto"/>
          <w:sz w:val="28"/>
          <w:szCs w:val="28"/>
          <w:highlight w:val="none"/>
        </w:rPr>
        <w:t>格式</w:t>
      </w:r>
      <w:bookmarkEnd w:id="51"/>
      <w:bookmarkEnd w:id="52"/>
    </w:p>
    <w:p w14:paraId="3AC87876">
      <w:pPr>
        <w:pStyle w:val="12"/>
        <w:spacing w:after="0"/>
        <w:jc w:val="center"/>
        <w:rPr>
          <w:rFonts w:hint="eastAsia" w:ascii="仿宋" w:hAnsi="仿宋" w:eastAsia="仿宋" w:cs="仿宋"/>
          <w:b/>
          <w:bCs/>
          <w:color w:val="auto"/>
          <w:spacing w:val="-20"/>
          <w:kern w:val="44"/>
          <w:sz w:val="44"/>
          <w:szCs w:val="44"/>
          <w:highlight w:val="none"/>
        </w:rPr>
      </w:pPr>
      <w:bookmarkStart w:id="53" w:name="_Toc15998"/>
      <w:bookmarkStart w:id="54" w:name="_Toc6315_WPSOffice_Level1"/>
    </w:p>
    <w:p w14:paraId="6F86AA21">
      <w:pPr>
        <w:pStyle w:val="12"/>
        <w:spacing w:after="0"/>
        <w:jc w:val="center"/>
        <w:rPr>
          <w:rFonts w:hint="eastAsia" w:ascii="仿宋" w:hAnsi="仿宋" w:eastAsia="仿宋" w:cs="仿宋"/>
          <w:b/>
          <w:bCs/>
          <w:color w:val="auto"/>
          <w:spacing w:val="-20"/>
          <w:kern w:val="44"/>
          <w:sz w:val="44"/>
          <w:szCs w:val="44"/>
          <w:highlight w:val="none"/>
        </w:rPr>
      </w:pPr>
    </w:p>
    <w:p w14:paraId="7019F89D">
      <w:pPr>
        <w:pStyle w:val="12"/>
        <w:spacing w:after="0"/>
        <w:jc w:val="center"/>
        <w:rPr>
          <w:rFonts w:hint="eastAsia" w:ascii="仿宋" w:hAnsi="仿宋" w:eastAsia="仿宋" w:cs="仿宋"/>
          <w:b/>
          <w:bCs/>
          <w:color w:val="auto"/>
          <w:spacing w:val="-20"/>
          <w:kern w:val="44"/>
          <w:sz w:val="44"/>
          <w:szCs w:val="44"/>
          <w:highlight w:val="none"/>
        </w:rPr>
      </w:pPr>
    </w:p>
    <w:p w14:paraId="7F00E6C2">
      <w:pPr>
        <w:pStyle w:val="12"/>
        <w:spacing w:after="0"/>
        <w:jc w:val="center"/>
        <w:rPr>
          <w:rFonts w:hint="eastAsia" w:ascii="仿宋" w:hAnsi="仿宋" w:eastAsia="仿宋" w:cs="仿宋"/>
          <w:b/>
          <w:bCs/>
          <w:color w:val="auto"/>
          <w:spacing w:val="-20"/>
          <w:kern w:val="44"/>
          <w:sz w:val="44"/>
          <w:szCs w:val="44"/>
          <w:highlight w:val="none"/>
        </w:rPr>
      </w:pPr>
    </w:p>
    <w:p w14:paraId="46C5BF36">
      <w:pPr>
        <w:pStyle w:val="12"/>
        <w:spacing w:after="0"/>
        <w:jc w:val="center"/>
        <w:rPr>
          <w:rFonts w:hint="eastAsia" w:ascii="仿宋" w:hAnsi="仿宋" w:eastAsia="仿宋" w:cs="仿宋"/>
          <w:b/>
          <w:bCs/>
          <w:color w:val="auto"/>
          <w:spacing w:val="-20"/>
          <w:kern w:val="44"/>
          <w:sz w:val="44"/>
          <w:szCs w:val="44"/>
          <w:highlight w:val="none"/>
        </w:rPr>
      </w:pPr>
    </w:p>
    <w:p w14:paraId="78C0D785">
      <w:pPr>
        <w:pStyle w:val="12"/>
        <w:spacing w:after="0"/>
        <w:jc w:val="center"/>
        <w:rPr>
          <w:rFonts w:hint="eastAsia" w:ascii="仿宋" w:hAnsi="仿宋" w:eastAsia="仿宋" w:cs="仿宋"/>
          <w:b/>
          <w:bCs/>
          <w:color w:val="auto"/>
          <w:spacing w:val="-20"/>
          <w:kern w:val="44"/>
          <w:sz w:val="44"/>
          <w:szCs w:val="44"/>
          <w:highlight w:val="none"/>
        </w:rPr>
      </w:pPr>
      <w:r>
        <w:rPr>
          <w:rFonts w:hint="eastAsia" w:ascii="仿宋" w:hAnsi="仿宋" w:eastAsia="仿宋" w:cs="仿宋"/>
          <w:b/>
          <w:bCs/>
          <w:color w:val="auto"/>
          <w:spacing w:val="-20"/>
          <w:kern w:val="44"/>
          <w:sz w:val="44"/>
          <w:szCs w:val="44"/>
          <w:highlight w:val="none"/>
        </w:rPr>
        <w:t>政府采购</w:t>
      </w:r>
      <w:r>
        <w:rPr>
          <w:rFonts w:hint="eastAsia" w:ascii="仿宋" w:hAnsi="仿宋" w:eastAsia="仿宋" w:cs="仿宋"/>
          <w:b/>
          <w:bCs/>
          <w:color w:val="auto"/>
          <w:spacing w:val="-20"/>
          <w:kern w:val="44"/>
          <w:sz w:val="44"/>
          <w:szCs w:val="44"/>
          <w:highlight w:val="none"/>
          <w:lang w:eastAsia="zh-CN"/>
        </w:rPr>
        <w:t>服务</w:t>
      </w:r>
      <w:r>
        <w:rPr>
          <w:rFonts w:hint="eastAsia" w:ascii="仿宋" w:hAnsi="仿宋" w:eastAsia="仿宋" w:cs="仿宋"/>
          <w:b/>
          <w:bCs/>
          <w:color w:val="auto"/>
          <w:spacing w:val="-20"/>
          <w:kern w:val="44"/>
          <w:sz w:val="44"/>
          <w:szCs w:val="44"/>
          <w:highlight w:val="none"/>
        </w:rPr>
        <w:t>合同</w:t>
      </w:r>
    </w:p>
    <w:p w14:paraId="263C02B2">
      <w:pPr>
        <w:rPr>
          <w:rFonts w:hint="eastAsia" w:ascii="仿宋" w:hAnsi="仿宋" w:eastAsia="仿宋" w:cs="仿宋"/>
          <w:b/>
          <w:bCs/>
          <w:color w:val="auto"/>
          <w:spacing w:val="-20"/>
          <w:kern w:val="44"/>
          <w:sz w:val="40"/>
          <w:szCs w:val="40"/>
          <w:highlight w:val="none"/>
        </w:rPr>
      </w:pPr>
    </w:p>
    <w:p w14:paraId="5BF9C8DF">
      <w:pPr>
        <w:jc w:val="center"/>
        <w:rPr>
          <w:rFonts w:hint="eastAsia" w:ascii="仿宋" w:hAnsi="仿宋" w:eastAsia="仿宋" w:cs="仿宋"/>
          <w:b/>
          <w:bCs/>
          <w:color w:val="auto"/>
          <w:spacing w:val="-20"/>
          <w:kern w:val="44"/>
          <w:sz w:val="28"/>
          <w:szCs w:val="28"/>
          <w:highlight w:val="none"/>
          <w:lang w:eastAsia="zh-CN"/>
        </w:rPr>
      </w:pPr>
      <w:r>
        <w:rPr>
          <w:rFonts w:hint="eastAsia" w:ascii="仿宋" w:hAnsi="仿宋" w:eastAsia="仿宋" w:cs="仿宋"/>
          <w:b/>
          <w:bCs/>
          <w:color w:val="auto"/>
          <w:spacing w:val="-20"/>
          <w:kern w:val="44"/>
          <w:sz w:val="28"/>
          <w:szCs w:val="28"/>
          <w:highlight w:val="none"/>
          <w:lang w:eastAsia="zh-CN"/>
        </w:rPr>
        <w:t>（</w:t>
      </w:r>
      <w:r>
        <w:rPr>
          <w:rFonts w:hint="eastAsia" w:ascii="仿宋" w:hAnsi="仿宋" w:eastAsia="仿宋" w:cs="仿宋"/>
          <w:b/>
          <w:bCs/>
          <w:color w:val="auto"/>
          <w:spacing w:val="-20"/>
          <w:kern w:val="44"/>
          <w:sz w:val="28"/>
          <w:szCs w:val="28"/>
          <w:highlight w:val="none"/>
        </w:rPr>
        <w:t>本合同为中小企业预留合同</w:t>
      </w:r>
      <w:r>
        <w:rPr>
          <w:rFonts w:hint="eastAsia" w:ascii="仿宋" w:hAnsi="仿宋" w:eastAsia="仿宋" w:cs="仿宋"/>
          <w:b/>
          <w:bCs/>
          <w:color w:val="auto"/>
          <w:spacing w:val="-20"/>
          <w:kern w:val="44"/>
          <w:sz w:val="28"/>
          <w:szCs w:val="28"/>
          <w:highlight w:val="none"/>
          <w:lang w:eastAsia="zh-CN"/>
        </w:rPr>
        <w:t>）</w:t>
      </w:r>
    </w:p>
    <w:p w14:paraId="34572B0B">
      <w:pPr>
        <w:rPr>
          <w:rFonts w:hint="eastAsia" w:ascii="仿宋" w:hAnsi="仿宋" w:eastAsia="仿宋" w:cs="仿宋"/>
          <w:b/>
          <w:bCs/>
          <w:color w:val="auto"/>
          <w:spacing w:val="-20"/>
          <w:kern w:val="44"/>
          <w:sz w:val="40"/>
          <w:szCs w:val="40"/>
          <w:highlight w:val="none"/>
        </w:rPr>
      </w:pPr>
    </w:p>
    <w:p w14:paraId="62DCDBE1">
      <w:pPr>
        <w:spacing w:line="360" w:lineRule="auto"/>
        <w:ind w:left="440" w:leftChars="200"/>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rPr>
        <w:t>项目名称：</w:t>
      </w:r>
      <w:r>
        <w:rPr>
          <w:rFonts w:hint="eastAsia" w:ascii="仿宋" w:hAnsi="仿宋" w:eastAsia="仿宋" w:cs="仿宋"/>
          <w:color w:val="auto"/>
          <w:sz w:val="32"/>
          <w:szCs w:val="32"/>
          <w:highlight w:val="none"/>
          <w:u w:val="single"/>
        </w:rPr>
        <w:t xml:space="preserve">                             </w:t>
      </w:r>
    </w:p>
    <w:p w14:paraId="749F0F1B">
      <w:pPr>
        <w:spacing w:line="360" w:lineRule="auto"/>
        <w:ind w:left="440" w:left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合同编号：</w:t>
      </w:r>
      <w:r>
        <w:rPr>
          <w:rFonts w:hint="eastAsia" w:ascii="仿宋" w:hAnsi="仿宋" w:eastAsia="仿宋" w:cs="仿宋"/>
          <w:color w:val="auto"/>
          <w:sz w:val="32"/>
          <w:szCs w:val="32"/>
          <w:highlight w:val="none"/>
          <w:u w:val="single"/>
        </w:rPr>
        <w:t xml:space="preserve">                             </w:t>
      </w:r>
    </w:p>
    <w:p w14:paraId="3A29F045">
      <w:pPr>
        <w:spacing w:line="360" w:lineRule="auto"/>
        <w:ind w:left="440" w:left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甲    方：</w:t>
      </w:r>
      <w:r>
        <w:rPr>
          <w:rFonts w:hint="eastAsia" w:ascii="仿宋" w:hAnsi="仿宋" w:eastAsia="仿宋" w:cs="仿宋"/>
          <w:color w:val="auto"/>
          <w:sz w:val="32"/>
          <w:szCs w:val="32"/>
          <w:highlight w:val="none"/>
          <w:u w:val="single"/>
        </w:rPr>
        <w:t xml:space="preserve">                             </w:t>
      </w:r>
    </w:p>
    <w:p w14:paraId="61DD1D2D">
      <w:pPr>
        <w:spacing w:line="360" w:lineRule="auto"/>
        <w:ind w:left="440" w:left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乙    方：</w:t>
      </w:r>
      <w:r>
        <w:rPr>
          <w:rFonts w:hint="eastAsia" w:ascii="仿宋" w:hAnsi="仿宋" w:eastAsia="仿宋" w:cs="仿宋"/>
          <w:color w:val="auto"/>
          <w:sz w:val="32"/>
          <w:szCs w:val="32"/>
          <w:highlight w:val="none"/>
          <w:u w:val="single"/>
        </w:rPr>
        <w:t xml:space="preserve">                             </w:t>
      </w:r>
    </w:p>
    <w:p w14:paraId="4D82B36F">
      <w:pPr>
        <w:spacing w:line="360" w:lineRule="auto"/>
        <w:ind w:left="440" w:left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签订时间：</w:t>
      </w:r>
      <w:r>
        <w:rPr>
          <w:rFonts w:hint="eastAsia" w:ascii="仿宋" w:hAnsi="仿宋" w:eastAsia="仿宋" w:cs="仿宋"/>
          <w:color w:val="auto"/>
          <w:sz w:val="32"/>
          <w:szCs w:val="32"/>
          <w:highlight w:val="none"/>
          <w:u w:val="single"/>
        </w:rPr>
        <w:t xml:space="preserve">                             </w:t>
      </w:r>
    </w:p>
    <w:p w14:paraId="7A3D5207">
      <w:pPr>
        <w:rPr>
          <w:rFonts w:hint="eastAsia" w:ascii="仿宋" w:hAnsi="仿宋" w:eastAsia="仿宋" w:cs="仿宋"/>
          <w:color w:val="auto"/>
          <w:highlight w:val="none"/>
        </w:rPr>
      </w:pPr>
    </w:p>
    <w:p w14:paraId="55E593E9">
      <w:pPr>
        <w:rPr>
          <w:rFonts w:hint="eastAsia" w:ascii="仿宋" w:hAnsi="仿宋" w:eastAsia="仿宋" w:cs="仿宋"/>
          <w:color w:val="auto"/>
          <w:sz w:val="44"/>
          <w:szCs w:val="44"/>
          <w:highlight w:val="none"/>
        </w:rPr>
      </w:pPr>
    </w:p>
    <w:p w14:paraId="208AED27">
      <w:pPr>
        <w:pStyle w:val="82"/>
        <w:rPr>
          <w:rFonts w:hint="eastAsia" w:ascii="仿宋" w:hAnsi="仿宋" w:eastAsia="仿宋" w:cs="仿宋"/>
          <w:color w:val="auto"/>
          <w:sz w:val="44"/>
          <w:szCs w:val="44"/>
          <w:highlight w:val="none"/>
        </w:rPr>
      </w:pPr>
    </w:p>
    <w:p w14:paraId="3D040880">
      <w:pPr>
        <w:pStyle w:val="82"/>
        <w:rPr>
          <w:rFonts w:hint="eastAsia" w:ascii="仿宋" w:hAnsi="仿宋" w:eastAsia="仿宋" w:cs="仿宋"/>
          <w:color w:val="auto"/>
          <w:sz w:val="44"/>
          <w:szCs w:val="44"/>
          <w:highlight w:val="none"/>
        </w:rPr>
      </w:pPr>
    </w:p>
    <w:p w14:paraId="30C0DE43">
      <w:pPr>
        <w:pStyle w:val="82"/>
        <w:rPr>
          <w:rFonts w:hint="eastAsia" w:ascii="仿宋" w:hAnsi="仿宋" w:eastAsia="仿宋" w:cs="仿宋"/>
          <w:color w:val="auto"/>
          <w:sz w:val="44"/>
          <w:szCs w:val="44"/>
          <w:highlight w:val="none"/>
        </w:rPr>
      </w:pPr>
    </w:p>
    <w:p w14:paraId="427A5989">
      <w:pPr>
        <w:jc w:val="center"/>
        <w:rPr>
          <w:rFonts w:hint="eastAsia" w:ascii="仿宋" w:hAnsi="仿宋" w:eastAsia="仿宋" w:cs="仿宋"/>
          <w:b/>
          <w:bCs/>
          <w:color w:val="auto"/>
          <w:sz w:val="44"/>
          <w:szCs w:val="44"/>
          <w:highlight w:val="none"/>
          <w:lang w:eastAsia="zh-CN"/>
        </w:rPr>
      </w:pPr>
      <w:r>
        <w:rPr>
          <w:rFonts w:hint="eastAsia" w:ascii="仿宋" w:hAnsi="仿宋" w:eastAsia="仿宋" w:cs="仿宋"/>
          <w:b/>
          <w:bCs/>
          <w:color w:val="auto"/>
          <w:sz w:val="44"/>
          <w:szCs w:val="44"/>
          <w:highlight w:val="none"/>
          <w:lang w:eastAsia="zh-CN"/>
        </w:rPr>
        <w:t>使</w:t>
      </w:r>
      <w:r>
        <w:rPr>
          <w:rFonts w:hint="eastAsia" w:ascii="仿宋" w:hAnsi="仿宋" w:eastAsia="仿宋" w:cs="仿宋"/>
          <w:b/>
          <w:bCs/>
          <w:color w:val="auto"/>
          <w:sz w:val="44"/>
          <w:szCs w:val="44"/>
          <w:highlight w:val="none"/>
          <w:lang w:val="en-US" w:eastAsia="zh-CN"/>
        </w:rPr>
        <w:t xml:space="preserve"> </w:t>
      </w:r>
      <w:r>
        <w:rPr>
          <w:rFonts w:hint="eastAsia" w:ascii="仿宋" w:hAnsi="仿宋" w:eastAsia="仿宋" w:cs="仿宋"/>
          <w:b/>
          <w:bCs/>
          <w:color w:val="auto"/>
          <w:sz w:val="44"/>
          <w:szCs w:val="44"/>
          <w:highlight w:val="none"/>
          <w:lang w:eastAsia="zh-CN"/>
        </w:rPr>
        <w:t>用</w:t>
      </w:r>
      <w:r>
        <w:rPr>
          <w:rFonts w:hint="eastAsia" w:ascii="仿宋" w:hAnsi="仿宋" w:eastAsia="仿宋" w:cs="仿宋"/>
          <w:b/>
          <w:bCs/>
          <w:color w:val="auto"/>
          <w:sz w:val="44"/>
          <w:szCs w:val="44"/>
          <w:highlight w:val="none"/>
          <w:lang w:val="en-US" w:eastAsia="zh-CN"/>
        </w:rPr>
        <w:t xml:space="preserve"> </w:t>
      </w:r>
      <w:r>
        <w:rPr>
          <w:rFonts w:hint="eastAsia" w:ascii="仿宋" w:hAnsi="仿宋" w:eastAsia="仿宋" w:cs="仿宋"/>
          <w:b/>
          <w:bCs/>
          <w:color w:val="auto"/>
          <w:sz w:val="44"/>
          <w:szCs w:val="44"/>
          <w:highlight w:val="none"/>
          <w:lang w:eastAsia="zh-CN"/>
        </w:rPr>
        <w:t>说</w:t>
      </w:r>
      <w:r>
        <w:rPr>
          <w:rFonts w:hint="eastAsia" w:ascii="仿宋" w:hAnsi="仿宋" w:eastAsia="仿宋" w:cs="仿宋"/>
          <w:b/>
          <w:bCs/>
          <w:color w:val="auto"/>
          <w:sz w:val="44"/>
          <w:szCs w:val="44"/>
          <w:highlight w:val="none"/>
          <w:lang w:val="en-US" w:eastAsia="zh-CN"/>
        </w:rPr>
        <w:t xml:space="preserve"> </w:t>
      </w:r>
      <w:r>
        <w:rPr>
          <w:rFonts w:hint="eastAsia" w:ascii="仿宋" w:hAnsi="仿宋" w:eastAsia="仿宋" w:cs="仿宋"/>
          <w:b/>
          <w:bCs/>
          <w:color w:val="auto"/>
          <w:sz w:val="44"/>
          <w:szCs w:val="44"/>
          <w:highlight w:val="none"/>
          <w:lang w:eastAsia="zh-CN"/>
        </w:rPr>
        <w:t>明</w:t>
      </w:r>
    </w:p>
    <w:p w14:paraId="5CF7024B">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1.本合同标准文本适用于购买现成服务的采购项目。</w:t>
      </w:r>
    </w:p>
    <w:p w14:paraId="0B9FDE9F">
      <w:pPr>
        <w:ind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2.本合同标准文本为政府采购服务合同编制提供参考，可以结合采购项目具体情况，对文本作必要的调整修订后使用。</w:t>
      </w:r>
    </w:p>
    <w:p w14:paraId="54AF711F">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3.本合同标准文本各条款中，如涉及填写多家供应商、制造商，多种采购标的、分包主要内容等信息的，可根据采购项目具体情况添加信息项。</w:t>
      </w:r>
    </w:p>
    <w:p w14:paraId="4C8414C8">
      <w:pPr>
        <w:ind w:firstLine="880" w:firstLineChars="200"/>
        <w:jc w:val="both"/>
        <w:rPr>
          <w:rFonts w:hint="eastAsia" w:ascii="仿宋" w:hAnsi="仿宋" w:eastAsia="仿宋" w:cs="仿宋"/>
          <w:color w:val="auto"/>
          <w:sz w:val="44"/>
          <w:szCs w:val="44"/>
          <w:highlight w:val="none"/>
        </w:rPr>
        <w:sectPr>
          <w:headerReference r:id="rId8" w:type="default"/>
          <w:footerReference r:id="rId9"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4B41361">
      <w:pPr>
        <w:pStyle w:val="3"/>
        <w:tabs>
          <w:tab w:val="left" w:pos="432"/>
        </w:tabs>
        <w:adjustRightInd w:val="0"/>
        <w:snapToGrid w:val="0"/>
        <w:spacing w:beforeLines="0" w:line="400" w:lineRule="exact"/>
        <w:jc w:val="center"/>
        <w:rPr>
          <w:rFonts w:hint="eastAsia" w:ascii="仿宋" w:hAnsi="仿宋" w:eastAsia="仿宋" w:cs="仿宋"/>
          <w:b/>
          <w:bCs/>
          <w:color w:val="auto"/>
          <w:sz w:val="32"/>
          <w:szCs w:val="32"/>
          <w:highlight w:val="none"/>
        </w:rPr>
      </w:pPr>
      <w:bookmarkStart w:id="55" w:name="_Toc22209"/>
      <w:r>
        <w:rPr>
          <w:rFonts w:hint="eastAsia" w:ascii="仿宋" w:hAnsi="仿宋" w:eastAsia="仿宋" w:cs="仿宋"/>
          <w:b/>
          <w:bCs/>
          <w:color w:val="auto"/>
          <w:sz w:val="32"/>
          <w:szCs w:val="32"/>
          <w:highlight w:val="none"/>
        </w:rPr>
        <w:t>第一节 政府采购合同协议书</w:t>
      </w:r>
      <w:bookmarkEnd w:id="55"/>
    </w:p>
    <w:p w14:paraId="7DAAE35A">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甲方（全称）：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（采购人</w:t>
      </w:r>
      <w:r>
        <w:rPr>
          <w:rFonts w:hint="eastAsia" w:ascii="仿宋" w:hAnsi="仿宋" w:eastAsia="仿宋" w:cs="仿宋"/>
          <w:color w:val="auto"/>
          <w:sz w:val="24"/>
          <w:szCs w:val="24"/>
          <w:highlight w:val="none"/>
          <w:lang w:eastAsia="zh-CN"/>
        </w:rPr>
        <w:t>、受采购人委托签订合同的单位</w:t>
      </w:r>
      <w:r>
        <w:rPr>
          <w:rFonts w:hint="eastAsia" w:ascii="仿宋" w:hAnsi="仿宋" w:eastAsia="仿宋" w:cs="仿宋"/>
          <w:color w:val="auto"/>
          <w:sz w:val="24"/>
          <w:szCs w:val="24"/>
          <w:highlight w:val="none"/>
        </w:rPr>
        <w:t>或采购文件约定的合同甲方）</w:t>
      </w:r>
    </w:p>
    <w:p w14:paraId="26E0CA4C">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（全称）：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（供应商）</w:t>
      </w:r>
    </w:p>
    <w:p w14:paraId="0F6758A8">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中华人民共和国政府采购法》、《中华人民共和国民法典》及其他有关法律法规之规定，本合同当事人遵循平等、自愿、公平和诚实信用原则，在本项目经过政府采购的基础上，经协商一致，同意按下述条款和条件签署本合同：</w:t>
      </w:r>
    </w:p>
    <w:p w14:paraId="2F9BD788">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定义</w:t>
      </w:r>
    </w:p>
    <w:p w14:paraId="2158F89A">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本合同中的下列词语应按以下内容进行解释：</w:t>
      </w:r>
    </w:p>
    <w:p w14:paraId="4B9F7756">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 “合同”系指采购人和中标（成交）供应商签订的载明双方当事人所达成的协议，并包括所有的附件、附录和构成合同的其他文件。</w:t>
      </w:r>
    </w:p>
    <w:p w14:paraId="49E8C68A">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 “合同金额”系指</w:t>
      </w:r>
      <w:bookmarkStart w:id="56" w:name="PO_合同金额说明12"/>
      <w:r>
        <w:rPr>
          <w:rFonts w:hint="eastAsia" w:ascii="仿宋" w:hAnsi="仿宋" w:eastAsia="仿宋" w:cs="仿宋"/>
          <w:color w:val="auto"/>
          <w:sz w:val="24"/>
          <w:szCs w:val="24"/>
          <w:highlight w:val="none"/>
        </w:rPr>
        <w:t>[合同金额说明]</w:t>
      </w:r>
      <w:bookmarkEnd w:id="56"/>
    </w:p>
    <w:p w14:paraId="71DCDDC4">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 “服务”系指中标（成交）供应商根据合同约定应向采购人履行的除货物和工程以外的其他政府采购对象，包括采购人自身需要的服务和向社会公众提供的公共服务。</w:t>
      </w:r>
    </w:p>
    <w:p w14:paraId="3F347320">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 “甲方”系指与中标（成交）供应商签署合同的采购人。</w:t>
      </w:r>
    </w:p>
    <w:p w14:paraId="04A6A20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 “乙方”系指根据合同约定提供服务的中标（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504FABC1">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二、合同主要要素</w:t>
      </w:r>
    </w:p>
    <w:p w14:paraId="72C9B004">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 项目服务内容及范围</w:t>
      </w:r>
    </w:p>
    <w:p w14:paraId="2B16EC58">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2.2 合同金额：人民币   元整（</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元整）。</w:t>
      </w:r>
    </w:p>
    <w:p w14:paraId="00E51C14">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 服务期限：</w:t>
      </w:r>
      <w:bookmarkStart w:id="57" w:name="PO_服务期限12"/>
      <w:r>
        <w:rPr>
          <w:rFonts w:hint="eastAsia" w:ascii="仿宋" w:hAnsi="仿宋" w:eastAsia="仿宋" w:cs="仿宋"/>
          <w:color w:val="auto"/>
          <w:sz w:val="24"/>
          <w:szCs w:val="24"/>
          <w:highlight w:val="none"/>
        </w:rPr>
        <w:t>[服务期限]</w:t>
      </w:r>
      <w:bookmarkEnd w:id="57"/>
    </w:p>
    <w:p w14:paraId="0335606F">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 服务地点：</w:t>
      </w:r>
      <w:bookmarkStart w:id="58" w:name="PO_服务地址12"/>
      <w:r>
        <w:rPr>
          <w:rFonts w:hint="eastAsia" w:ascii="仿宋" w:hAnsi="仿宋" w:eastAsia="仿宋" w:cs="仿宋"/>
          <w:color w:val="auto"/>
          <w:sz w:val="24"/>
          <w:szCs w:val="24"/>
          <w:highlight w:val="none"/>
        </w:rPr>
        <w:t>[服务地址]</w:t>
      </w:r>
      <w:bookmarkEnd w:id="58"/>
    </w:p>
    <w:p w14:paraId="68DEFE79">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 履约保证金：</w:t>
      </w:r>
      <w:bookmarkStart w:id="59" w:name="PO_履约保证金12"/>
      <w:r>
        <w:rPr>
          <w:rFonts w:hint="eastAsia" w:ascii="仿宋" w:hAnsi="仿宋" w:eastAsia="仿宋" w:cs="仿宋"/>
          <w:color w:val="auto"/>
          <w:sz w:val="24"/>
          <w:szCs w:val="24"/>
          <w:highlight w:val="none"/>
        </w:rPr>
        <w:t>[履约保证金]</w:t>
      </w:r>
      <w:bookmarkEnd w:id="59"/>
    </w:p>
    <w:p w14:paraId="1A2DE459">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 其它：</w:t>
      </w:r>
    </w:p>
    <w:p w14:paraId="7E785949">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三、合同文件的组成和解释顺序如下</w:t>
      </w:r>
    </w:p>
    <w:p w14:paraId="176207E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 本合同执行中双方共同签署的补充与修正文件及双方确认的明确双方权利、义务的会谈纪要；</w:t>
      </w:r>
    </w:p>
    <w:p w14:paraId="16BDB42D">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 本合同书；</w:t>
      </w:r>
    </w:p>
    <w:p w14:paraId="3D491F56">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 本项目中标或成交通知书；</w:t>
      </w:r>
    </w:p>
    <w:p w14:paraId="488D13CB">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 乙方的本项目</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w:t>
      </w:r>
    </w:p>
    <w:p w14:paraId="5862FAAA">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 本项目</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或采购文件中的合同条款；</w:t>
      </w:r>
    </w:p>
    <w:p w14:paraId="5F8D6811">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 本项目</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或采购文件中的采购需求；</w:t>
      </w:r>
    </w:p>
    <w:p w14:paraId="02D55A81">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 其他合同文件（需列明）。</w:t>
      </w:r>
    </w:p>
    <w:p w14:paraId="6625E741">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上述文件互相补充和解释，如有不明确或不一致之处，按照上述文件次序在先者为准。同一层次合同文件有矛盾的，以时间较后的为准。</w:t>
      </w:r>
    </w:p>
    <w:p w14:paraId="68B08DF9">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四、服务质量、权利瑕疵担保及验收</w:t>
      </w:r>
    </w:p>
    <w:p w14:paraId="72FE0B98">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 服务质量标准和要求</w:t>
      </w:r>
    </w:p>
    <w:p w14:paraId="1A55A934">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4.1.1</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（采购文件）规定的规范及要求明确的，乙方所提供的服务标准及质量要求应当符合</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（采购文件）规定的规范及要求，且应不低于国家强制性标准。</w:t>
      </w:r>
    </w:p>
    <w:p w14:paraId="7B3761FD">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4.1.2 </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采购文件）规定的规范及要求不明确的，乙方的服务标准及质量要求应按照最新的国家、地方标准或行业标准或企业标准确定，均有标准的以高者（严格者）为准。没有国家、地方标准、行业标准或企业标准的，按照通常标准或者符合合同目的的特定标准确定。</w:t>
      </w:r>
    </w:p>
    <w:p w14:paraId="429C6A7C">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4.1.3 乙方所提供的服务还应符合</w:t>
      </w:r>
      <w:r>
        <w:rPr>
          <w:rFonts w:hint="eastAsia" w:ascii="仿宋" w:hAnsi="仿宋" w:eastAsia="仿宋" w:cs="仿宋"/>
          <w:color w:val="auto"/>
          <w:sz w:val="24"/>
          <w:szCs w:val="24"/>
          <w:highlight w:val="none"/>
          <w:lang w:val="en-US" w:eastAsia="zh-CN"/>
        </w:rPr>
        <w:t>项目所在地</w:t>
      </w:r>
      <w:r>
        <w:rPr>
          <w:rFonts w:hint="eastAsia" w:ascii="仿宋" w:hAnsi="仿宋" w:eastAsia="仿宋" w:cs="仿宋"/>
          <w:color w:val="auto"/>
          <w:sz w:val="24"/>
          <w:szCs w:val="24"/>
          <w:highlight w:val="none"/>
        </w:rPr>
        <w:t>有关规定。</w:t>
      </w:r>
    </w:p>
    <w:p w14:paraId="0A264CC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4.1.4 乙方应建立和完善履行合同的内部质量保证体系，并依照甲方要求提供其相关内部规章制度，便于甲方的监督检查。</w:t>
      </w:r>
    </w:p>
    <w:p w14:paraId="6E15B106">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4.1.5乙方应保证履行合同的人员数量和素质、软件和硬件设备的配置、场地、环境和设施等符合其在</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中所作的响应及承诺，并应接受甲方的监督检查。</w:t>
      </w:r>
    </w:p>
    <w:p w14:paraId="4D8BCF4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4.1.6如本项目涉及商品包装和快递包装的，除</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或采购文件中的采购需求另有要求外，乙方所提供的包装应当参照财政部办公厅、生态环境部办公厅以及国家邮政局办公室联合发布的《商品包装政府采购需求标准（试行）》《快递包装政府采购需求标准（试行）》执行。</w:t>
      </w:r>
    </w:p>
    <w:p w14:paraId="644C56E2">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 权利瑕疵担保</w:t>
      </w:r>
    </w:p>
    <w:p w14:paraId="2D328267">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4.2.1 乙方保证对其提供的服务享有合法的权利，甲方接受乙方服务不会因此而侵犯任何人的合法权益。</w:t>
      </w:r>
    </w:p>
    <w:p w14:paraId="6E3BE69F">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4.2.2 乙方保证在提供服务上不存在任何未曾向甲方透露的担保物权，如抵押权、质押权、留置权等。甲方接受乙方服务不会因此而存在合同外义务的负担。</w:t>
      </w:r>
    </w:p>
    <w:p w14:paraId="41452EE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4.2.3 乙方保证其提供服务没有侵犯任何第三人的物权、知识产权和商业秘密等权利。</w:t>
      </w:r>
    </w:p>
    <w:p w14:paraId="1E013B1F">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4.2.4 如所提供服务构成上述侵权的，则由乙方承担全部责任。</w:t>
      </w:r>
    </w:p>
    <w:p w14:paraId="73DAA940">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  验收与检验</w:t>
      </w:r>
    </w:p>
    <w:p w14:paraId="17DC56F7">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bookmarkStart w:id="60" w:name="_Toc186431854"/>
      <w:r>
        <w:rPr>
          <w:rFonts w:hint="eastAsia" w:ascii="仿宋" w:hAnsi="仿宋" w:eastAsia="仿宋" w:cs="仿宋"/>
          <w:color w:val="auto"/>
          <w:sz w:val="24"/>
          <w:szCs w:val="24"/>
          <w:highlight w:val="none"/>
        </w:rPr>
        <w:t>4.3.1 甲方有权在其认为必要时，对乙方是否能够按照合同约定提供服务进行履约检查，以确保乙方所提供的服务能够依约满足甲方之项目需求，但不得因履约检查妨碍乙方的正常工作，乙方应予积极配合。</w:t>
      </w:r>
    </w:p>
    <w:p w14:paraId="4327F782">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4.3.2 乙方按照合同文件中的约定，定期向甲方提交服务报告，甲方按照合同文件中的相关约定进行定期验收。</w:t>
      </w:r>
    </w:p>
    <w:p w14:paraId="54D80BEC">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4.3.3合同履行期间，甲方有权将履行过程中出现的问题反馈给乙方，双方当事人应以书面形式约定需要完善和改进的内容</w:t>
      </w:r>
      <w:bookmarkEnd w:id="60"/>
      <w:bookmarkStart w:id="61" w:name="_Toc186431855"/>
      <w:r>
        <w:rPr>
          <w:rFonts w:hint="eastAsia" w:ascii="仿宋" w:hAnsi="仿宋" w:eastAsia="仿宋" w:cs="仿宋"/>
          <w:color w:val="auto"/>
          <w:sz w:val="24"/>
          <w:szCs w:val="24"/>
          <w:highlight w:val="none"/>
        </w:rPr>
        <w:t>。</w:t>
      </w:r>
    </w:p>
    <w:bookmarkEnd w:id="61"/>
    <w:p w14:paraId="54A6FDA7">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4.3.4 合同期满或者履行完毕后，甲方有权（包括依法邀请国家认可的质量检测机构参加）按照合同约定的标准，组织对乙方履约情况的验收；向社会公众提供的公共服务项目，验收时将邀请服务对象参与并出具意见，验收结果将向社会公告。</w:t>
      </w:r>
    </w:p>
    <w:p w14:paraId="3D4B782E">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五、服务费用的支付</w:t>
      </w:r>
    </w:p>
    <w:p w14:paraId="0746ED6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5.1合同金额</w:t>
      </w:r>
    </w:p>
    <w:p w14:paraId="454450D4">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本合同项目服务费用金额见本合同主要要素，乙方完成及达到本合同文件规定的要求与标准的与本服务项目有关的所有费用（包括应承担的各项税负）均包含在合同金额中，甲方不再另行支付任何费用。</w:t>
      </w:r>
    </w:p>
    <w:p w14:paraId="0512A3FC">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 付款方式</w:t>
      </w:r>
    </w:p>
    <w:p w14:paraId="62D78E15">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bookmarkStart w:id="62" w:name="PO_付款方法12"/>
      <w:r>
        <w:rPr>
          <w:rFonts w:hint="eastAsia" w:ascii="仿宋" w:hAnsi="仿宋" w:eastAsia="仿宋" w:cs="仿宋"/>
          <w:color w:val="auto"/>
          <w:sz w:val="24"/>
          <w:szCs w:val="24"/>
          <w:highlight w:val="none"/>
        </w:rPr>
        <w:t>[付款方法]</w:t>
      </w:r>
      <w:bookmarkEnd w:id="62"/>
    </w:p>
    <w:p w14:paraId="010177CC">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 税费</w:t>
      </w:r>
    </w:p>
    <w:p w14:paraId="50FEA5CE">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与合同有关的一切税费，均已包含在上述合同金额中。</w:t>
      </w:r>
    </w:p>
    <w:p w14:paraId="44E47E02">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六、履约保证金</w:t>
      </w:r>
    </w:p>
    <w:p w14:paraId="11B85206">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在签署本合同之前，乙方应向甲方提交一笔合同第2.5条规定的履约保证金。履约保证金可以采用支票、汇票、本票或者甲方认可的银行出具的履约保函，前述相应票据及保函的期限应覆盖自出具之日起至完成服务且验收合格之日止的期间，如未覆盖需重新按合同规定提交。乙方提交履约保证金所需的有关费用均由其自行负担。</w:t>
      </w:r>
    </w:p>
    <w:p w14:paraId="44488AFB">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6.2如乙方未能履行本合同规定的任何义务，则甲方有权从履约保证金中得到补偿。履约保证金不足弥补甲方损失的，乙方仍需承担赔偿责任。</w:t>
      </w:r>
    </w:p>
    <w:p w14:paraId="3E9A65F6">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6.3 履约保证金（全额或扣减后剩余金额部分）在按本合同规定验收合格后15日内退还乙方。上述履约保证金的“退还”是指：履约保证金采用支票、汇票、本票形式出具的，票据已兑付（或贴现或背书转让）的，退还方式为甲方将相应金额的钱款以银行转账方式无息退还至乙方账户，未兑付（或贴现或背书转让）的则将相应票据原件退还乙方；采用银行保函形式出具的，则甲方在前述期间内退还乙方提交的银行保函原件。</w:t>
      </w:r>
    </w:p>
    <w:p w14:paraId="0B4FC25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6.4 除合同规定情形外，如果因甲方自身原因未能按照前述规定期间向乙方退还相应履约保证金，甲方应以应退还履约保证金数额按人民银行同期存款基准利率按日向乙方承担利息损失，直至上述履约保证金退还乙方。</w:t>
      </w:r>
    </w:p>
    <w:p w14:paraId="6C99F7D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七、双方权利义务</w:t>
      </w:r>
    </w:p>
    <w:p w14:paraId="78DDD404">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 甲方的权利和义务</w:t>
      </w:r>
    </w:p>
    <w:p w14:paraId="572BEB3C">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7.1.1甲方有权向乙方询问工作进展情况及相关的内容, 有权检查和监督乙方的服务工作的质量、管理等情况，有权要求乙方以书面形式就前述内容进行汇报。</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7.1.2甲方有权对乙方服务过程中出现的具体问题提出建议和意见，有权通知乙方对违反合同规定的行为及时纠正，并按本合同有关规定给予处理。</w:t>
      </w:r>
    </w:p>
    <w:p w14:paraId="4A95D175">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7.1.3因乙方违反合同规定给甲方或相关方造成损失时，甲方有权要求乙方赔偿经济损失。</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7.1.4当甲方认定项目服务专业人员不按项目服务合同履行其职责，或专业能力、管理能力、责任心较差，不能有效与甲方配合并履行其项目服务义务，或与第三人串通给甲方造</w:t>
      </w:r>
      <w:r>
        <w:rPr>
          <w:rFonts w:hint="eastAsia" w:ascii="仿宋" w:hAnsi="仿宋" w:eastAsia="仿宋" w:cs="仿宋"/>
          <w:color w:val="auto"/>
          <w:sz w:val="24"/>
          <w:szCs w:val="24"/>
          <w:highlight w:val="none"/>
          <w:lang w:val="en-US" w:eastAsia="zh-CN"/>
        </w:rPr>
        <w:t>成</w:t>
      </w:r>
      <w:r>
        <w:rPr>
          <w:rFonts w:hint="eastAsia" w:ascii="仿宋" w:hAnsi="仿宋" w:eastAsia="仿宋" w:cs="仿宋"/>
          <w:color w:val="auto"/>
          <w:sz w:val="24"/>
          <w:szCs w:val="24"/>
          <w:highlight w:val="none"/>
        </w:rPr>
        <w:t>经济损失的，甲方有权要求乙方更换项目服务专业人员，如对甲方造成实际损失的，甲方有权终止合同并要求乙方承担相应的赔偿责任。</w:t>
      </w:r>
    </w:p>
    <w:p w14:paraId="6FCF097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7.1.5甲方有权同意或不同意乙方因自身工作需要而更换合同约定的主要工作小组成员的要求。</w:t>
      </w:r>
    </w:p>
    <w:p w14:paraId="26205641">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7.1.6甲方应当在合同履约中，督促、协调与本项目服务有关的第三人（与合同履行有关的相关单位）协同乙方办理有关服务事项。甲方就乙方书面提交并要求做出答复的事宜，在15个工作日内做出书面答复。乙方要求第三人提供有关资料时，甲方可根据自己的能力负责协调、转达及资料转送，但并不成为甲方当然的义务。</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7.1.7甲方应当履行本合同约定的义务，如有违反则应当承担违约责任，赔偿给乙方造成的直接经济损失。</w:t>
      </w:r>
    </w:p>
    <w:p w14:paraId="1B983528">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 乙方的权利和义务</w:t>
      </w:r>
    </w:p>
    <w:p w14:paraId="00BD5C16">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7.2.1乙方有权在履行合同期间内取得按合同约定应有的报酬。</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7.2.2乙方在项目服务过程中，如甲方提供的资料不明确时可向甲方提出书面报告。</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7.2.3乙方有权在合同履行期间得到甲方必要的支持，有权拒绝执行甲方任何不符合有关法律、法规规定的要求。</w:t>
      </w:r>
    </w:p>
    <w:p w14:paraId="15DE4B6A">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7.2.4乙方应严格遵守国家、地方的法律、法规的规定，保证在合法且不侵犯他人利益的原则下进行项目服务活动，并对其所进行的服务活动负责。</w:t>
      </w:r>
    </w:p>
    <w:p w14:paraId="3327553D">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7.2.5乙方应按本合同所述的时间、服务范围和内容,尽自己的一切努力,按本合同约定及行业通常接受的技术惯例和专业机构承认的标准，高效地履行自己的义务。在项目执行过程中支持和维护国家和甲方的合法利益。</w:t>
      </w:r>
    </w:p>
    <w:p w14:paraId="339AEDA0">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7.2.6向甲方提供与本项目服务有关的资料，包括项目服务单位、人员的资质证书及承担本合同业务的专业人员名单、项目服务工作计划等，并按合同约定的范围、时间、工作依据、工作标准等，出具内容齐全、规范、准确的相关报告等。</w:t>
      </w:r>
    </w:p>
    <w:p w14:paraId="5194045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7.2.7乙方应对履行本合同所规定的服务以及在履行中因自己违约而给甲方造成的损失承担责任并应当向甲方进行赔偿。但下例情况不视为乙方违约:</w:t>
      </w:r>
    </w:p>
    <w:p w14:paraId="6A4DC92D">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（1）非乙方的行为、过失、违约或失职造成的损失或伤害；</w:t>
      </w:r>
    </w:p>
    <w:p w14:paraId="6CE688C6">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（2）不可抗力造成的损失。</w:t>
      </w:r>
    </w:p>
    <w:p w14:paraId="1ECB9926">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7.2.8乙方必须为本项目涉及的各种资料、数据和收据等保密。未经甲方书面同意,乙方及乙方员工不得泄露、遗失、复印与本合同规定业务活动有关的一切资料和内容。所有甲方或第三人（与合同业务有关单位）提供的与本合同规定业务活动有关的一切资料，在合同结束后均应归还。</w:t>
      </w:r>
    </w:p>
    <w:p w14:paraId="6EF396F7">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7.2.9 乙方应对本项目所提供服务结果的可靠性、准确性、全面性向甲方负责，由于服务结果的可靠性、准确性、全面性不足而导致甲方工作偏差或失误，乙方应承担责任。</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7.2.10 乙方在履行合同期间或合同规定期限内，履行本合同所确定的项目负责人及主要专业技术、管理人员等必须是本单位职工和该项目的实际操作者，未经甲方同意，乙方不得调换或撤离上述人员。</w:t>
      </w:r>
    </w:p>
    <w:p w14:paraId="0671AAD9">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7.2.11按本合同支付给乙方的报酬应为本合同服务的唯一报酬。</w:t>
      </w:r>
    </w:p>
    <w:p w14:paraId="5F6DF1A4">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7.2.12乙方在本合同履行期间均不能直接或间接从事与本合同中活动相冲突的商业或职业活动，不得以任何理由向甲方任何工作人员行贿或有类似的行为。</w:t>
      </w:r>
    </w:p>
    <w:p w14:paraId="65875A06">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八、保密及廉洁条款</w:t>
      </w:r>
    </w:p>
    <w:p w14:paraId="7F29E9FC">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8.1保密</w:t>
      </w:r>
    </w:p>
    <w:p w14:paraId="1CABE5FA">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8.1.1 甲乙双方在履行本合同过程中，所提供、接触、知悉的对方相关仍处于不为公众所知悉或尚未主动对外公开的信息（包括但不限于有关人员、技术、经营、管理等方面的各类信息），均为本条款项下双方所应恪守保密义务所针对的对象，即使该等信息未能在本保密条款的约定中穷尽。</w:t>
      </w:r>
    </w:p>
    <w:p w14:paraId="723FEE79">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8.1.2 甲乙双方在合同中专辟本保密条款，视为双方已就相关需保密信息采取了必要、适当的保密措施。在履行本合同的过程中，除须配合司法调查的情形外，在未征得对方书面同意之前，甲乙双方均负有保密义务，不得向第三方泄露、披露、透露或促使第三方获得前述应当保密的信息。</w:t>
      </w:r>
    </w:p>
    <w:p w14:paraId="61F97BCF">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8.1.3 违反保密义务的，视为严重的根本违约行为，除应按合同约定承担有关违约责任外，还应当承担由此导致的行政乃至刑事法律责任，并应承担损失赔偿责任。</w:t>
      </w:r>
    </w:p>
    <w:p w14:paraId="45F5E451">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8.1.4 保密的内容包括但不限于书面、电子数据等承载保密信息的各种形式。</w:t>
      </w:r>
    </w:p>
    <w:p w14:paraId="328F533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8.1.5 前述保密义务条款为独立条款，不因本协议的解除、终止而失效。</w:t>
      </w:r>
    </w:p>
    <w:p w14:paraId="7CB50336">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8.2廉洁</w:t>
      </w:r>
    </w:p>
    <w:p w14:paraId="11AF5FE4">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8.2.1 乙方应当守法诚信，保证服务能力及服务质量，不得与甲方恶意串通操纵政府采购活动。</w:t>
      </w:r>
    </w:p>
    <w:p w14:paraId="719A14C7">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8.2.2甲方不得接受乙方组织的宴请、旅游、娱乐，不得收受礼品、现金、有价证券等，乙方亦不得向甲方提供或报销前述费用以及其他应当由个人承担的费用。若甲方工作人员要求乙方给予其任何形式的不正当利益，或发现甲方工作人员违反前述原则的行为，乙方应当及时向甲方举报，并提供相关证据给甲方，甲方经查实后作出处理，并为乙方保密。</w:t>
      </w:r>
    </w:p>
    <w:p w14:paraId="76F71FBE">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8.2.3 乙方承诺并且确认，违背本条款的廉洁及诚信义务，将被视为严重的根本违约行为，应按合同约定承担相应的违约责任，并对造成的损失承担赔偿责任。  </w:t>
      </w:r>
    </w:p>
    <w:p w14:paraId="28D586A5">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九、知识产权及所有权归属</w:t>
      </w:r>
    </w:p>
    <w:p w14:paraId="1C3CCC5F">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 知识产权</w:t>
      </w:r>
    </w:p>
    <w:p w14:paraId="181A5818">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在项目期间内，乙方根据本合同要求提交的项目文件及服务成果（包括但不限于阶段性、过程性成果等相关资料）的知识产权，归甲方所有并使用，乙方就此不做任何的权利保留。</w:t>
      </w:r>
    </w:p>
    <w:p w14:paraId="55B6E61A">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9.2 所有权</w:t>
      </w:r>
    </w:p>
    <w:p w14:paraId="7DC3650C">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项目期间内，乙方根据本合同要求提交的项目文件及服务成果（包括但不限于阶段性、过程性成果等相关资料）的所有权，归甲方所有，除公安机关、法院、检察院及其他相关政府部门依据相关法律法规查阅外，乙方需要查阅的，应向甲方提出申请，经甲方同意后可以查阅与其有关的材料（应对乙方保密的材料除外）。</w:t>
      </w:r>
    </w:p>
    <w:p w14:paraId="4B042D38">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十、违约责任</w:t>
      </w:r>
    </w:p>
    <w:p w14:paraId="7A5EA2C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10.1除合同规定外，如果甲方未能按照合同规定的时间足额支付相应服务费用的，应当按照未付服务费用的</w:t>
      </w:r>
      <w:r>
        <w:rPr>
          <w:rFonts w:hint="eastAsia" w:ascii="仿宋" w:hAnsi="仿宋" w:eastAsia="仿宋" w:cs="仿宋"/>
          <w:b/>
          <w:bCs/>
          <w:color w:val="auto"/>
          <w:sz w:val="24"/>
          <w:szCs w:val="24"/>
          <w:highlight w:val="none"/>
          <w:lang w:val="en-US" w:eastAsia="zh-CN"/>
        </w:rPr>
        <w:t>万分之五</w:t>
      </w:r>
      <w:r>
        <w:rPr>
          <w:rFonts w:hint="eastAsia" w:ascii="仿宋" w:hAnsi="仿宋" w:eastAsia="仿宋" w:cs="仿宋"/>
          <w:color w:val="auto"/>
          <w:sz w:val="24"/>
          <w:szCs w:val="24"/>
          <w:highlight w:val="none"/>
        </w:rPr>
        <w:t>按日计收延迟付款滞纳金，直至足额支付服务费用时止，但延迟付款滞纳金的最高限额不超过合同价的百分之</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%）。一旦达到延迟付款滞纳金的最高限额，乙方有权提前终止合同，并有权就由此造成损失向甲方主张赔偿或补偿。</w:t>
      </w:r>
    </w:p>
    <w:p w14:paraId="2180465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10.2在履行合同过程中，如果乙方可能遇到妨碍按时提供服务的情况时，应及时以书面形式将拖延的事实，可能拖延的期限和理由通知甲方。甲方在收到乙方通知后，应尽快对情况进行评价，并确定是否同意延期提供服务。除合同规定或甲方确定同意延期提供服务外，如果乙方没有按照合同规定的时间提供服务，甲方应从服务费用中扣除误期赔偿费而不影响合同项下的其他补救方法，赔偿费按每周赔偿延期服务的服务费用的百分之一（1%）计收，直至提供服务为止。但误期赔偿费的最高限额不超过合同价的百分之</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%）。一周按七天计算，不足七天按一周计算。一旦达到误期赔偿的最高限额，甲方可考虑终止合同。</w:t>
      </w:r>
    </w:p>
    <w:p w14:paraId="2C0CC066">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10.3乙方未按合同约定履行服务职责，但未给甲方造成损失的，甲方可要求乙方整改，乙方达到服务质量标准后，甲方应支付相应的服务费用。</w:t>
      </w:r>
    </w:p>
    <w:p w14:paraId="5A455565">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10.4乙方未按合同约定履行服务职责，给甲方造成损失的，乙方应按实赔偿，并向甲方支付违约金，违约金最高为合同金额的5%。因乙方服务能力、服务质量问题导致甲方无法实现合同目的的，甲方有权单方解除合同并根据情况向乙方追回已付合同款项及追索最高为合同金额5%的违约金。</w:t>
      </w:r>
    </w:p>
    <w:p w14:paraId="6EEA0EFF">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10.5因乙方原因导致违反法律、法规和规章规定的行为的，甲方有权单方解除合同，并要求乙方按合同10.4条承担违约金并赔偿相关损失。</w:t>
      </w:r>
    </w:p>
    <w:p w14:paraId="497D618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10.6合同履约过程中，未经甲方同意，乙方自行变动在合同中承诺的主要服务人员的、就合同项下的全部或部分义务进行转让或分包的、擅自中止合同履行的、履约过程侵害了包括甲方在内任何人合法权益及其他不适当履行本合同的违约情形，将按照合同10.4条的违约责任处理，情况严重者（如：未按甲方要求限期改正的），甲方有权终止合同。</w:t>
      </w:r>
    </w:p>
    <w:p w14:paraId="67C9EC10">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十一、不可抗力</w:t>
      </w:r>
    </w:p>
    <w:p w14:paraId="56B44799">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 如果合同各方因不可抗力而导致合同实施延误或不能履行合同义务的话，不应该承担误期赔偿或不能履行合同义务的责任。</w:t>
      </w:r>
    </w:p>
    <w:p w14:paraId="7FB04612">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11.2 本条所述的“不可抗力”系指那些双方不可预见、不可避免、不可克服的事件，但不包括双方的违约或疏忽。这些事件包括但不限于：战争、严重火灾、洪水、台风、地震、国家政策的重大变化（如突发应急事件，政府采取应急措施的），以及其它双方商定的其他事件（如黑客攻击、系统崩溃、互联网灾难等）。</w:t>
      </w:r>
    </w:p>
    <w:p w14:paraId="77D6A524">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11.3 在不可抗力事件发生后，当事方应尽快以书面形式将不可抗力的情况和原因通知对方，并在15日内将有关当局出具的不可抗力证明文件发送给另一方确认。合同各方应尽实际可能继续履行合同义务，并积极寻求采取合理的方案履行不受不可抗力影响的其他事项。合同各方应通过友好协商在合理的时间内达成进一步履行合同的协议。</w:t>
      </w:r>
    </w:p>
    <w:p w14:paraId="2C6C443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11.4 当不可抗力情形终止或消除后，受影响的一方应尽快以电话或传真通知对方，并以EMS证实。</w:t>
      </w:r>
    </w:p>
    <w:p w14:paraId="2C3C1A6C">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11.5 受不可抗力影响方应尽一切努力减少因不可抗力而产生的损失，否则应对扩大的损失承担责任。</w:t>
      </w:r>
    </w:p>
    <w:p w14:paraId="4F9ABAA0">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11.6 如不可抗力延续超过45日以上（含本数）时，双方应通过友好协商解决本合同的执行问题，并应尽快达成协议。</w:t>
      </w:r>
    </w:p>
    <w:p w14:paraId="07F90ED2">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十二、合同终止、中止、变更</w:t>
      </w:r>
    </w:p>
    <w:p w14:paraId="3E5962B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12.1合同终止</w:t>
      </w:r>
    </w:p>
    <w:p w14:paraId="74CD489B">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12.1.1违约终止合同</w:t>
      </w:r>
    </w:p>
    <w:p w14:paraId="3674AAB4">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12.1.1.1 在甲方针对乙方违约行为而采取的任何补救措施不受影响的情况下，甲方可在下列情况下向乙方发出书面通知书，提出终止部分或全部合同：</w:t>
      </w:r>
    </w:p>
    <w:p w14:paraId="109DB05C">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（1）如果乙方未能在合同规定的限期或甲方同意延长的限期内提供服务。</w:t>
      </w:r>
    </w:p>
    <w:p w14:paraId="141CDBFF">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（2）如果乙方的行为构成根本违约。</w:t>
      </w:r>
    </w:p>
    <w:p w14:paraId="7C870B9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（3）如果乙方未能履行合同规定的其它任何义务。</w:t>
      </w:r>
    </w:p>
    <w:p w14:paraId="1D7B5E3E">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12.1.1.2 如果甲方根据上述的规定，终止了全部或部分合同，甲方可以依其认为适当的条件和方法</w:t>
      </w:r>
      <w:r>
        <w:rPr>
          <w:rFonts w:ascii="宋体" w:hAnsi="宋体" w:eastAsia="宋体" w:cs="宋体"/>
          <w:sz w:val="24"/>
          <w:szCs w:val="24"/>
        </w:rPr>
        <w:t>另行购</w:t>
      </w:r>
      <w:r>
        <w:rPr>
          <w:rFonts w:hint="eastAsia" w:ascii="仿宋" w:hAnsi="仿宋" w:eastAsia="仿宋" w:cs="仿宋"/>
          <w:color w:val="auto"/>
          <w:sz w:val="24"/>
          <w:szCs w:val="24"/>
          <w:highlight w:val="none"/>
        </w:rPr>
        <w:t>买</w:t>
      </w:r>
      <w:r>
        <w:rPr>
          <w:rFonts w:hint="eastAsia" w:ascii="仿宋" w:hAnsi="仿宋" w:eastAsia="仿宋" w:cs="仿宋"/>
          <w:color w:val="auto"/>
          <w:sz w:val="24"/>
          <w:szCs w:val="24"/>
          <w:highlight w:val="none"/>
          <w:lang w:val="en-US" w:eastAsia="zh-CN"/>
        </w:rPr>
        <w:t>与乙方所提供</w:t>
      </w:r>
      <w:r>
        <w:rPr>
          <w:rFonts w:hint="eastAsia" w:ascii="仿宋" w:hAnsi="仿宋" w:eastAsia="仿宋" w:cs="仿宋"/>
          <w:color w:val="auto"/>
          <w:sz w:val="24"/>
          <w:szCs w:val="24"/>
          <w:highlight w:val="none"/>
        </w:rPr>
        <w:t>服务类似，乙方应对甲方另行购买类似服务所超出的那部分费用负责。但是，乙方应继续执行合同中未终止的部分。</w:t>
      </w:r>
    </w:p>
    <w:p w14:paraId="42B44910">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12.1.1.3 如果乙方在履行合同过程中有不正当竞争行为，甲方有权解除合同，并按《中华人民共和国反不正当竞争法》之规定向有关部门举报，追究其法律责任。</w:t>
      </w:r>
    </w:p>
    <w:p w14:paraId="356397FB">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12.1.2  破产终止合同</w:t>
      </w:r>
    </w:p>
    <w:p w14:paraId="6E05EFB2">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如果乙方破产、进入解散或清算程序，或丧失清偿能力（包括但不限于被有关部门列入执行黑名单、</w:t>
      </w:r>
      <w:r>
        <w:rPr>
          <w:rFonts w:hint="eastAsia" w:ascii="仿宋" w:hAnsi="仿宋" w:eastAsia="仿宋" w:cs="仿宋"/>
          <w:color w:val="auto"/>
          <w:sz w:val="24"/>
          <w:szCs w:val="24"/>
          <w:highlight w:val="none"/>
          <w:lang w:eastAsia="zh-CN"/>
        </w:rPr>
        <w:t>严重失信主体名单</w:t>
      </w:r>
      <w:r>
        <w:rPr>
          <w:rFonts w:hint="eastAsia" w:ascii="仿宋" w:hAnsi="仿宋" w:eastAsia="仿宋" w:cs="仿宋"/>
          <w:color w:val="auto"/>
          <w:sz w:val="24"/>
          <w:szCs w:val="24"/>
          <w:highlight w:val="none"/>
        </w:rPr>
        <w:t>名录等情形），视为乙方已无法履行本合同项下义务，甲方可在任何时候以书面形式通知乙方终止合同而不给乙方赔偿与补偿。该终止合同将不损害或影响甲方已经采取或将要采取的任何向乙方追究违约责任及追讨损失的行动或补救措施的权利。</w:t>
      </w:r>
    </w:p>
    <w:p w14:paraId="30917B08">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12.1.3 不可抗力终止合同</w:t>
      </w:r>
    </w:p>
    <w:p w14:paraId="67BEAEAA">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如因发生不可抗力事件导致合同无法履行的，或延迟履行会给一方或双方造成严重利益损害的，双方可协商终止本合同履行，双方互不承担违约及赔偿责任，但仍应就已履行部分进行费用结算。</w:t>
      </w:r>
    </w:p>
    <w:p w14:paraId="7A5BC961">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12.2合同中止</w:t>
      </w:r>
    </w:p>
    <w:p w14:paraId="120FD4DB">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12.2.1 除合同继续履行将损害国家利益和社会公共利益的情形外，双方当事人不得擅自中止合同。</w:t>
      </w:r>
    </w:p>
    <w:p w14:paraId="0D983B37">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12.2.2若发生不可抗力事件，但合同仍有继续履行可能的，双方当事人可协商中止履行本合同全部或部分内容。</w:t>
      </w:r>
    </w:p>
    <w:p w14:paraId="7808BC78">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12.3合同变更</w:t>
      </w:r>
    </w:p>
    <w:p w14:paraId="1EFF5902">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12.3.1 甲方需追加与合同标的相同服务的，在不改变合同其他条款的前提下，可以与乙方协商签订补充合同，但所有补充合同的采购金额不得超过本合同采购金额的百分之十。</w:t>
      </w:r>
    </w:p>
    <w:p w14:paraId="327E3717">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12.3.2除合同规定情形外，双方不得擅自变更合同。合同继续履行将损害国家利益和社会公共利益的，双方应当变更。有过错的一方应当承担赔偿责任，双方都有过错的，各自承担相应的责任。</w:t>
      </w:r>
    </w:p>
    <w:p w14:paraId="5541303B">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十三、合同转让和分包</w:t>
      </w:r>
    </w:p>
    <w:p w14:paraId="78DA8826">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13.1 乙方应完全、适当履行本合同项下义务，乙方不得转让或部分转让其应履行的合同义务。</w:t>
      </w:r>
    </w:p>
    <w:p w14:paraId="576E9ED8">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13.2 若根据</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（采购文件）规定可以采用分包方式履行本合同项下非主要部分合同义务的，乙方在其</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中明确说明分包并载明分包承担主体的，可进行分包，除了前述情形外，乙方一律不得进行对外分包。</w:t>
      </w:r>
    </w:p>
    <w:p w14:paraId="5CFF9D07">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13.3 可以分包的情形下，则：</w:t>
      </w:r>
    </w:p>
    <w:p w14:paraId="7146CA1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13.3.1 乙方应书面通知甲方本合同项下所授予的所有分包合同。乙方与分包单位签订分包合同前，应将副本送甲方认可。分包合同签订后，应将副本留存甲方处备案。若分包合同与本合同发生抵触，则以本合同为准。</w:t>
      </w:r>
    </w:p>
    <w:p w14:paraId="4F32399B">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13.3.2 乙方所选定的分包单位，必须具有相应的专业资质。乙方所签订的分包合同的服务标准不得低于本合同的服务标准，并对分包单位的服务行为向甲方承担连带责任。分包单位不得将分包项目再次转包。</w:t>
      </w:r>
    </w:p>
    <w:p w14:paraId="705F83D3">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13.3.3 分包合同不能解除乙方在本合同中应承担的任何义务和责任。乙方应对分包项目派驻相应监督管理人员，保证合同的履行。分包单位的任何违约或疏忽，均视为乙方的违约或疏忽。</w:t>
      </w:r>
    </w:p>
    <w:p w14:paraId="3FAE6284">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十四、争议解决及管辖、送达</w:t>
      </w:r>
    </w:p>
    <w:p w14:paraId="16994255">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14.1 双方发生争议的，可协商解决，或向有关部门申请调解；也可（请在选择项中打“√”）</w:t>
      </w:r>
    </w:p>
    <w:p w14:paraId="4172A9E8">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□提请</w:t>
      </w:r>
      <w:r>
        <w:rPr>
          <w:rFonts w:hint="eastAsia" w:ascii="仿宋" w:hAnsi="仿宋" w:eastAsia="仿宋" w:cs="仿宋"/>
          <w:color w:val="auto"/>
          <w:sz w:val="24"/>
          <w:szCs w:val="24"/>
          <w:highlight w:val="none"/>
          <w:lang w:eastAsia="zh-CN"/>
        </w:rPr>
        <w:t>本级</w:t>
      </w:r>
      <w:r>
        <w:rPr>
          <w:rFonts w:hint="eastAsia" w:ascii="仿宋" w:hAnsi="仿宋" w:eastAsia="仿宋" w:cs="仿宋"/>
          <w:color w:val="auto"/>
          <w:sz w:val="24"/>
          <w:szCs w:val="24"/>
          <w:highlight w:val="none"/>
        </w:rPr>
        <w:t>仲裁委员会仲裁。</w:t>
      </w:r>
    </w:p>
    <w:p w14:paraId="399E7A19">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向甲方所在地法院提起诉讼。</w:t>
      </w:r>
    </w:p>
    <w:p w14:paraId="2F76352E">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14.2 在仲裁或诉讼期间，除正在进行仲裁或诉讼的部分外，本合同的其它部分应继续执行。败诉一方应当承担包括但不限于诉讼费用、律师费用、公证费用等。</w:t>
      </w:r>
    </w:p>
    <w:p w14:paraId="21AD427E">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14.3本合同中双方的地址、传真等联系方式为各自文书、信息送达地址。以专人传送的，受送达人签收即构成送达；以邮件或快递形式送达的，对方签收、拒签、退回之日视为送达；如以传真形式送达，则以传真信息发送确认之日视为送达。前述地址同时也作为双方争议发生时的各自法律文书送达地址（包括原审、二审、再审、执行及仲裁等），变更须提前书面通知对方，原送达地址在收到变更通知之前仍为有效送达地址。</w:t>
      </w:r>
    </w:p>
    <w:p w14:paraId="75EEAF09">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十五、其他</w:t>
      </w:r>
    </w:p>
    <w:p w14:paraId="3F51B3D2">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15.1本合同于双方签订采购合同或纸质合同经双方签字、盖章，并且甲方收到乙方提供的履约保证金（如有）后生效。</w:t>
      </w:r>
    </w:p>
    <w:p w14:paraId="41E1FCFA">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15.2 本合同壹式</w:t>
      </w:r>
      <w:r>
        <w:rPr>
          <w:rFonts w:hint="eastAsia" w:ascii="仿宋" w:hAnsi="仿宋" w:eastAsia="仿宋" w:cs="仿宋"/>
          <w:color w:val="auto"/>
          <w:sz w:val="24"/>
          <w:szCs w:val="24"/>
          <w:highlight w:val="none"/>
          <w:lang w:val="en-US" w:eastAsia="zh-CN"/>
        </w:rPr>
        <w:t>肆</w:t>
      </w:r>
      <w:r>
        <w:rPr>
          <w:rFonts w:hint="eastAsia" w:ascii="仿宋" w:hAnsi="仿宋" w:eastAsia="仿宋" w:cs="仿宋"/>
          <w:color w:val="auto"/>
          <w:sz w:val="24"/>
          <w:szCs w:val="24"/>
          <w:highlight w:val="none"/>
        </w:rPr>
        <w:t>份，甲乙双方各执</w:t>
      </w:r>
      <w:r>
        <w:rPr>
          <w:rFonts w:hint="eastAsia" w:ascii="仿宋" w:hAnsi="仿宋" w:eastAsia="仿宋" w:cs="仿宋"/>
          <w:color w:val="auto"/>
          <w:sz w:val="24"/>
          <w:szCs w:val="24"/>
          <w:highlight w:val="none"/>
          <w:lang w:val="en-US" w:eastAsia="zh-CN"/>
        </w:rPr>
        <w:t>贰</w:t>
      </w:r>
      <w:r>
        <w:rPr>
          <w:rFonts w:hint="eastAsia" w:ascii="仿宋" w:hAnsi="仿宋" w:eastAsia="仿宋" w:cs="仿宋"/>
          <w:color w:val="auto"/>
          <w:sz w:val="24"/>
          <w:szCs w:val="24"/>
          <w:highlight w:val="none"/>
        </w:rPr>
        <w:t>份，并通过</w:t>
      </w:r>
      <w:r>
        <w:rPr>
          <w:rFonts w:hint="eastAsia" w:ascii="仿宋" w:hAnsi="仿宋" w:eastAsia="仿宋" w:cs="仿宋"/>
          <w:color w:val="auto"/>
          <w:sz w:val="24"/>
          <w:szCs w:val="24"/>
          <w:highlight w:val="none"/>
          <w:lang w:eastAsia="zh-CN"/>
        </w:rPr>
        <w:t>本级</w:t>
      </w:r>
      <w:r>
        <w:rPr>
          <w:rFonts w:hint="eastAsia" w:ascii="仿宋" w:hAnsi="仿宋" w:eastAsia="仿宋" w:cs="仿宋"/>
          <w:color w:val="auto"/>
          <w:sz w:val="24"/>
          <w:szCs w:val="24"/>
          <w:highlight w:val="none"/>
        </w:rPr>
        <w:t>财政局政府采购</w:t>
      </w:r>
      <w:r>
        <w:rPr>
          <w:rFonts w:hint="eastAsia" w:ascii="仿宋" w:hAnsi="仿宋" w:eastAsia="仿宋" w:cs="仿宋"/>
          <w:color w:val="auto"/>
          <w:sz w:val="24"/>
          <w:szCs w:val="24"/>
          <w:highlight w:val="none"/>
          <w:lang w:eastAsia="zh-CN"/>
        </w:rPr>
        <w:t>监督管理部门</w:t>
      </w:r>
      <w:r>
        <w:rPr>
          <w:rFonts w:hint="eastAsia" w:ascii="仿宋" w:hAnsi="仿宋" w:eastAsia="仿宋" w:cs="仿宋"/>
          <w:color w:val="auto"/>
          <w:sz w:val="24"/>
          <w:szCs w:val="24"/>
          <w:highlight w:val="none"/>
        </w:rPr>
        <w:t>备案。</w:t>
      </w:r>
    </w:p>
    <w:p w14:paraId="1B24F1CE">
      <w:pPr>
        <w:keepNext w:val="0"/>
        <w:keepLines/>
        <w:pageBreakBefore w:val="0"/>
        <w:widowControl/>
        <w:kinsoku/>
        <w:wordWrap w:val="0"/>
        <w:overflowPunct w:val="0"/>
        <w:topLinePunct/>
        <w:autoSpaceDE/>
        <w:autoSpaceDN/>
        <w:bidi w:val="0"/>
        <w:adjustRightInd/>
        <w:snapToGrid/>
        <w:spacing w:beforeLines="0" w:after="0" w:line="360" w:lineRule="auto"/>
        <w:ind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 本合同附件与合同具有同等效力。</w:t>
      </w:r>
    </w:p>
    <w:p w14:paraId="0B35DD46">
      <w:pPr>
        <w:adjustRightInd w:val="0"/>
        <w:snapToGrid w:val="0"/>
        <w:spacing w:before="0" w:beforeLines="0" w:line="400" w:lineRule="exact"/>
        <w:rPr>
          <w:rFonts w:hint="eastAsia" w:ascii="仿宋" w:hAnsi="仿宋" w:eastAsia="仿宋" w:cs="仿宋"/>
          <w:color w:val="auto"/>
          <w:sz w:val="24"/>
          <w:szCs w:val="24"/>
          <w:highlight w:val="none"/>
        </w:rPr>
      </w:pPr>
    </w:p>
    <w:p w14:paraId="7439E829">
      <w:pPr>
        <w:adjustRightInd w:val="0"/>
        <w:snapToGrid w:val="0"/>
        <w:spacing w:before="0" w:beforeLines="0" w:line="400" w:lineRule="exact"/>
        <w:rPr>
          <w:rFonts w:hint="eastAsia" w:ascii="仿宋" w:hAnsi="仿宋" w:eastAsia="仿宋" w:cs="仿宋"/>
          <w:color w:val="auto"/>
          <w:sz w:val="24"/>
          <w:szCs w:val="24"/>
          <w:highlight w:val="none"/>
        </w:rPr>
      </w:pPr>
    </w:p>
    <w:p w14:paraId="19425A31">
      <w:pPr>
        <w:adjustRightInd w:val="0"/>
        <w:snapToGrid w:val="0"/>
        <w:spacing w:before="0" w:beforeLines="0" w:line="400" w:lineRule="exact"/>
        <w:rPr>
          <w:rFonts w:hint="eastAsia" w:ascii="仿宋" w:hAnsi="仿宋" w:eastAsia="仿宋" w:cs="仿宋"/>
          <w:color w:val="auto"/>
          <w:sz w:val="24"/>
          <w:szCs w:val="24"/>
          <w:highlight w:val="none"/>
        </w:rPr>
      </w:pPr>
    </w:p>
    <w:p w14:paraId="242A485D">
      <w:pPr>
        <w:adjustRightInd w:val="0"/>
        <w:snapToGrid w:val="0"/>
        <w:spacing w:before="0" w:beforeLines="0"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签约各方：</w:t>
      </w:r>
    </w:p>
    <w:p w14:paraId="422B1E64">
      <w:pPr>
        <w:adjustRightInd w:val="0"/>
        <w:snapToGrid w:val="0"/>
        <w:spacing w:before="0" w:beforeLines="0"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甲方：                                   乙方： </w:t>
      </w:r>
    </w:p>
    <w:p w14:paraId="794C701E">
      <w:pPr>
        <w:adjustRightInd w:val="0"/>
        <w:snapToGrid w:val="0"/>
        <w:spacing w:before="0" w:beforeLines="0"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（盖章）                                （盖章）</w:t>
      </w:r>
    </w:p>
    <w:p w14:paraId="1FA86F40">
      <w:pPr>
        <w:adjustRightInd w:val="0"/>
        <w:snapToGrid w:val="0"/>
        <w:spacing w:before="0" w:beforeLines="0"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法定代表人或其授权委托人（签章）         法定代表人或其授权委托人（签章）</w:t>
      </w:r>
    </w:p>
    <w:p w14:paraId="47D331AB">
      <w:pPr>
        <w:adjustRightInd w:val="0"/>
        <w:snapToGrid w:val="0"/>
        <w:spacing w:before="0" w:beforeLines="0"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合同签订地点：                           合同签订地点：</w:t>
      </w:r>
    </w:p>
    <w:p w14:paraId="189371D2">
      <w:pPr>
        <w:adjustRightInd w:val="0"/>
        <w:snapToGrid w:val="0"/>
        <w:spacing w:before="0" w:beforeLines="0"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年  月   日                                 年   月   日</w:t>
      </w:r>
    </w:p>
    <w:p w14:paraId="74641C3A">
      <w:pPr>
        <w:snapToGrid w:val="0"/>
        <w:spacing w:line="560" w:lineRule="atLeast"/>
        <w:ind w:firstLine="560" w:firstLineChars="200"/>
        <w:rPr>
          <w:rFonts w:hint="eastAsia" w:ascii="仿宋" w:hAnsi="仿宋" w:eastAsia="仿宋" w:cs="仿宋"/>
          <w:sz w:val="28"/>
          <w:szCs w:val="28"/>
          <w:highlight w:val="none"/>
        </w:rPr>
      </w:pPr>
    </w:p>
    <w:p w14:paraId="3F40ADF1">
      <w:pPr>
        <w:rPr>
          <w:rFonts w:hint="eastAsia" w:ascii="仿宋" w:hAnsi="仿宋" w:eastAsia="仿宋" w:cs="仿宋"/>
          <w:b/>
          <w:color w:val="auto"/>
          <w:spacing w:val="20"/>
          <w:sz w:val="36"/>
          <w:szCs w:val="36"/>
          <w:highlight w:val="none"/>
        </w:rPr>
      </w:pPr>
      <w:r>
        <w:rPr>
          <w:rFonts w:hint="eastAsia" w:ascii="仿宋" w:hAnsi="仿宋" w:eastAsia="仿宋" w:cs="仿宋"/>
          <w:b/>
          <w:color w:val="auto"/>
          <w:spacing w:val="20"/>
          <w:sz w:val="36"/>
          <w:szCs w:val="36"/>
          <w:highlight w:val="none"/>
        </w:rPr>
        <w:tab/>
      </w:r>
    </w:p>
    <w:p w14:paraId="032BF902">
      <w:pPr>
        <w:rPr>
          <w:rFonts w:hint="eastAsia" w:ascii="仿宋" w:hAnsi="仿宋" w:eastAsia="仿宋" w:cs="仿宋"/>
          <w:b/>
          <w:color w:val="auto"/>
          <w:spacing w:val="20"/>
          <w:sz w:val="36"/>
          <w:szCs w:val="36"/>
          <w:highlight w:val="none"/>
        </w:rPr>
      </w:pPr>
      <w:r>
        <w:rPr>
          <w:rFonts w:hint="eastAsia" w:ascii="仿宋" w:hAnsi="仿宋" w:eastAsia="仿宋" w:cs="仿宋"/>
          <w:b/>
          <w:color w:val="auto"/>
          <w:spacing w:val="20"/>
          <w:sz w:val="36"/>
          <w:szCs w:val="36"/>
          <w:highlight w:val="none"/>
        </w:rPr>
        <w:tab/>
      </w:r>
    </w:p>
    <w:p w14:paraId="3003718A">
      <w:pPr>
        <w:rPr>
          <w:rFonts w:hint="eastAsia" w:ascii="仿宋" w:hAnsi="仿宋" w:eastAsia="仿宋" w:cs="仿宋"/>
          <w:b/>
          <w:color w:val="auto"/>
          <w:spacing w:val="20"/>
          <w:sz w:val="36"/>
          <w:szCs w:val="36"/>
          <w:highlight w:val="none"/>
        </w:rPr>
      </w:pPr>
      <w:r>
        <w:rPr>
          <w:rFonts w:hint="eastAsia" w:ascii="仿宋" w:hAnsi="仿宋" w:eastAsia="仿宋" w:cs="仿宋"/>
          <w:b/>
          <w:color w:val="auto"/>
          <w:spacing w:val="20"/>
          <w:sz w:val="36"/>
          <w:szCs w:val="36"/>
          <w:highlight w:val="none"/>
        </w:rPr>
        <w:br w:type="page"/>
      </w:r>
    </w:p>
    <w:p w14:paraId="34D851DC">
      <w:pPr>
        <w:jc w:val="center"/>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lang w:val="en-US" w:eastAsia="zh-CN" w:bidi="ar-SA"/>
        </w:rPr>
        <w:t xml:space="preserve">第六章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响应文件格式</w:t>
      </w:r>
      <w:bookmarkEnd w:id="53"/>
      <w:bookmarkEnd w:id="54"/>
    </w:p>
    <w:p w14:paraId="03B7B048">
      <w:pPr>
        <w:spacing w:before="936" w:beforeLines="300" w:after="312" w:afterLines="100" w:line="360" w:lineRule="auto"/>
        <w:ind w:firstLine="1341" w:firstLineChars="209"/>
        <w:jc w:val="both"/>
        <w:rPr>
          <w:rFonts w:hint="eastAsia" w:ascii="仿宋" w:hAnsi="仿宋" w:eastAsia="仿宋" w:cs="仿宋"/>
          <w:b/>
          <w:bCs/>
          <w:color w:val="auto"/>
          <w:spacing w:val="100"/>
          <w:sz w:val="44"/>
          <w:szCs w:val="44"/>
          <w:highlight w:val="none"/>
          <w:lang w:val="en-US" w:eastAsia="zh-CN"/>
        </w:rPr>
      </w:pPr>
      <w:bookmarkStart w:id="63" w:name="_Toc4946_WPSOffice_Level1"/>
      <w:bookmarkStart w:id="64" w:name="_Toc2187_WPSOffice_Level1"/>
      <w:bookmarkStart w:id="65" w:name="_Toc31306_WPSOffice_Level1"/>
      <w:r>
        <w:rPr>
          <w:rFonts w:hint="eastAsia" w:ascii="仿宋" w:hAnsi="仿宋" w:eastAsia="仿宋" w:cs="仿宋"/>
          <w:b/>
          <w:bCs/>
          <w:color w:val="auto"/>
          <w:spacing w:val="100"/>
          <w:sz w:val="44"/>
          <w:szCs w:val="44"/>
          <w:highlight w:val="none"/>
          <w:u w:val="single"/>
        </w:rPr>
        <w:t xml:space="preserve">   </w:t>
      </w:r>
      <w:r>
        <w:rPr>
          <w:rFonts w:hint="eastAsia" w:ascii="仿宋" w:hAnsi="仿宋" w:eastAsia="仿宋" w:cs="仿宋"/>
          <w:b/>
          <w:bCs/>
          <w:color w:val="auto"/>
          <w:spacing w:val="100"/>
          <w:sz w:val="44"/>
          <w:szCs w:val="44"/>
          <w:highlight w:val="none"/>
          <w:u w:val="single"/>
          <w:lang w:eastAsia="zh-CN"/>
        </w:rPr>
        <w:t>（</w:t>
      </w:r>
      <w:r>
        <w:rPr>
          <w:rFonts w:hint="eastAsia" w:ascii="仿宋" w:hAnsi="仿宋" w:eastAsia="仿宋" w:cs="仿宋"/>
          <w:b/>
          <w:bCs/>
          <w:color w:val="auto"/>
          <w:spacing w:val="100"/>
          <w:sz w:val="44"/>
          <w:szCs w:val="44"/>
          <w:highlight w:val="none"/>
          <w:u w:val="single"/>
          <w:lang w:val="en-US" w:eastAsia="zh-CN"/>
        </w:rPr>
        <w:t>项目名称</w:t>
      </w:r>
      <w:r>
        <w:rPr>
          <w:rFonts w:hint="eastAsia" w:ascii="仿宋" w:hAnsi="仿宋" w:eastAsia="仿宋" w:cs="仿宋"/>
          <w:b/>
          <w:bCs/>
          <w:color w:val="auto"/>
          <w:spacing w:val="100"/>
          <w:sz w:val="44"/>
          <w:szCs w:val="44"/>
          <w:highlight w:val="none"/>
          <w:u w:val="single"/>
          <w:lang w:eastAsia="zh-CN"/>
        </w:rPr>
        <w:t>）</w:t>
      </w:r>
      <w:r>
        <w:rPr>
          <w:rFonts w:hint="eastAsia" w:ascii="仿宋" w:hAnsi="仿宋" w:eastAsia="仿宋" w:cs="仿宋"/>
          <w:b/>
          <w:bCs/>
          <w:color w:val="auto"/>
          <w:spacing w:val="100"/>
          <w:sz w:val="44"/>
          <w:szCs w:val="44"/>
          <w:highlight w:val="none"/>
          <w:u w:val="single"/>
          <w:lang w:val="en-US" w:eastAsia="zh-CN"/>
        </w:rPr>
        <w:t xml:space="preserve">          </w:t>
      </w:r>
    </w:p>
    <w:p w14:paraId="4A1A6E0F">
      <w:pPr>
        <w:spacing w:before="156" w:beforeLines="50" w:after="156" w:afterLines="50" w:line="360" w:lineRule="auto"/>
        <w:jc w:val="center"/>
        <w:rPr>
          <w:rFonts w:hint="eastAsia" w:ascii="仿宋" w:hAnsi="仿宋" w:eastAsia="仿宋" w:cs="仿宋"/>
          <w:b/>
          <w:color w:val="auto"/>
          <w:sz w:val="56"/>
          <w:szCs w:val="56"/>
          <w:highlight w:val="none"/>
          <w:lang w:val="en-US" w:eastAsia="zh-CN"/>
        </w:rPr>
      </w:pPr>
    </w:p>
    <w:p w14:paraId="5BF3D890">
      <w:pPr>
        <w:spacing w:before="156" w:beforeLines="50" w:after="156" w:afterLines="50" w:line="360" w:lineRule="auto"/>
        <w:jc w:val="center"/>
        <w:rPr>
          <w:rFonts w:hint="eastAsia" w:ascii="仿宋" w:hAnsi="仿宋" w:eastAsia="仿宋" w:cs="仿宋"/>
          <w:b/>
          <w:color w:val="auto"/>
          <w:sz w:val="56"/>
          <w:szCs w:val="56"/>
          <w:highlight w:val="none"/>
          <w:lang w:val="en-US" w:eastAsia="zh-CN"/>
        </w:rPr>
      </w:pPr>
    </w:p>
    <w:p w14:paraId="6F66C9B0">
      <w:pPr>
        <w:spacing w:before="156" w:beforeLines="50" w:after="156" w:afterLines="50" w:line="360" w:lineRule="auto"/>
        <w:jc w:val="center"/>
        <w:rPr>
          <w:rFonts w:hint="eastAsia" w:ascii="仿宋" w:hAnsi="仿宋" w:eastAsia="仿宋" w:cs="仿宋"/>
          <w:b/>
          <w:color w:val="auto"/>
          <w:sz w:val="56"/>
          <w:szCs w:val="56"/>
          <w:highlight w:val="none"/>
          <w:lang w:val="en-US" w:eastAsia="zh-CN"/>
        </w:rPr>
      </w:pPr>
      <w:r>
        <w:rPr>
          <w:rFonts w:hint="eastAsia" w:ascii="仿宋" w:hAnsi="仿宋" w:eastAsia="仿宋" w:cs="仿宋"/>
          <w:b/>
          <w:color w:val="auto"/>
          <w:sz w:val="56"/>
          <w:szCs w:val="56"/>
          <w:highlight w:val="none"/>
          <w:lang w:val="en-US" w:eastAsia="zh-CN"/>
        </w:rPr>
        <w:t>资 格 性 证 明 文 件</w:t>
      </w:r>
    </w:p>
    <w:p w14:paraId="650287CC">
      <w:pPr>
        <w:spacing w:before="156" w:beforeLines="50" w:after="156" w:afterLines="50" w:line="360" w:lineRule="auto"/>
        <w:ind w:firstLine="3213" w:firstLineChars="1000"/>
        <w:rPr>
          <w:rFonts w:hint="eastAsia" w:ascii="仿宋" w:hAnsi="仿宋" w:eastAsia="仿宋" w:cs="仿宋"/>
          <w:b/>
          <w:color w:val="auto"/>
          <w:sz w:val="32"/>
          <w:szCs w:val="36"/>
          <w:highlight w:val="none"/>
          <w:u w:val="single"/>
        </w:rPr>
      </w:pPr>
      <w:r>
        <w:rPr>
          <w:rFonts w:hint="eastAsia" w:ascii="仿宋" w:hAnsi="仿宋" w:eastAsia="仿宋" w:cs="仿宋"/>
          <w:b/>
          <w:color w:val="auto"/>
          <w:sz w:val="32"/>
          <w:szCs w:val="36"/>
          <w:highlight w:val="none"/>
        </w:rPr>
        <w:t>采购编号：</w:t>
      </w:r>
      <w:r>
        <w:rPr>
          <w:rFonts w:hint="eastAsia" w:ascii="仿宋" w:hAnsi="仿宋" w:eastAsia="仿宋" w:cs="仿宋"/>
          <w:b/>
          <w:color w:val="auto"/>
          <w:sz w:val="32"/>
          <w:szCs w:val="36"/>
          <w:highlight w:val="none"/>
          <w:u w:val="single"/>
        </w:rPr>
        <w:t xml:space="preserve">               </w:t>
      </w:r>
    </w:p>
    <w:p w14:paraId="074444A2">
      <w:pPr>
        <w:spacing w:line="360" w:lineRule="auto"/>
        <w:rPr>
          <w:rFonts w:hint="eastAsia" w:ascii="仿宋" w:hAnsi="仿宋" w:eastAsia="仿宋" w:cs="仿宋"/>
          <w:b/>
          <w:color w:val="auto"/>
          <w:sz w:val="36"/>
          <w:szCs w:val="36"/>
          <w:highlight w:val="none"/>
        </w:rPr>
      </w:pPr>
    </w:p>
    <w:p w14:paraId="7BB434BB">
      <w:pPr>
        <w:spacing w:line="360" w:lineRule="auto"/>
        <w:rPr>
          <w:rFonts w:hint="eastAsia" w:ascii="仿宋" w:hAnsi="仿宋" w:eastAsia="仿宋" w:cs="仿宋"/>
          <w:b/>
          <w:color w:val="auto"/>
          <w:sz w:val="36"/>
          <w:szCs w:val="36"/>
          <w:highlight w:val="none"/>
        </w:rPr>
      </w:pPr>
    </w:p>
    <w:p w14:paraId="445B098D">
      <w:pPr>
        <w:spacing w:line="360" w:lineRule="auto"/>
        <w:rPr>
          <w:rFonts w:hint="eastAsia" w:ascii="仿宋" w:hAnsi="仿宋" w:eastAsia="仿宋" w:cs="仿宋"/>
          <w:b/>
          <w:color w:val="auto"/>
          <w:sz w:val="36"/>
          <w:szCs w:val="36"/>
          <w:highlight w:val="none"/>
        </w:rPr>
      </w:pPr>
    </w:p>
    <w:p w14:paraId="414C5D01">
      <w:pPr>
        <w:spacing w:line="360" w:lineRule="auto"/>
        <w:rPr>
          <w:rFonts w:hint="eastAsia" w:ascii="仿宋" w:hAnsi="仿宋" w:eastAsia="仿宋" w:cs="仿宋"/>
          <w:b/>
          <w:color w:val="auto"/>
          <w:sz w:val="36"/>
          <w:szCs w:val="36"/>
          <w:highlight w:val="none"/>
        </w:rPr>
      </w:pPr>
    </w:p>
    <w:p w14:paraId="61804166">
      <w:pPr>
        <w:pStyle w:val="46"/>
        <w:spacing w:before="468" w:beforeLines="150" w:after="468" w:afterLines="150" w:line="360" w:lineRule="auto"/>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供应商：</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（电子签章）</w:t>
      </w:r>
    </w:p>
    <w:p w14:paraId="26C24DDB">
      <w:pPr>
        <w:pStyle w:val="46"/>
        <w:spacing w:before="468" w:beforeLines="150" w:after="468" w:afterLines="150" w:line="360" w:lineRule="auto"/>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法定代表人：</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电子签名或签章</w:t>
      </w:r>
      <w:r>
        <w:rPr>
          <w:rFonts w:hint="eastAsia" w:ascii="仿宋" w:hAnsi="仿宋" w:eastAsia="仿宋" w:cs="仿宋"/>
          <w:color w:val="auto"/>
          <w:sz w:val="30"/>
          <w:szCs w:val="30"/>
          <w:highlight w:val="none"/>
        </w:rPr>
        <w:t>）</w:t>
      </w:r>
    </w:p>
    <w:p w14:paraId="4744C524">
      <w:pPr>
        <w:pStyle w:val="46"/>
        <w:spacing w:before="468" w:beforeLines="150" w:after="468" w:afterLines="150" w:line="360" w:lineRule="auto"/>
        <w:jc w:val="center"/>
        <w:rPr>
          <w:rFonts w:hint="eastAsia" w:ascii="仿宋" w:hAnsi="仿宋" w:eastAsia="仿宋" w:cs="仿宋"/>
          <w:b/>
          <w:color w:val="auto"/>
          <w:spacing w:val="8"/>
          <w:sz w:val="36"/>
          <w:szCs w:val="36"/>
          <w:highlight w:val="none"/>
        </w:rPr>
      </w:pPr>
      <w:r>
        <w:rPr>
          <w:rFonts w:hint="eastAsia" w:ascii="仿宋" w:hAnsi="仿宋" w:eastAsia="仿宋" w:cs="仿宋"/>
          <w:color w:val="auto"/>
          <w:sz w:val="30"/>
          <w:szCs w:val="30"/>
          <w:highlight w:val="none"/>
        </w:rPr>
        <w:t>日期：</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年</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月</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日</w:t>
      </w:r>
    </w:p>
    <w:p w14:paraId="62F59B80">
      <w:pPr>
        <w:pStyle w:val="46"/>
        <w:spacing w:before="468" w:beforeLines="150" w:after="468" w:afterLines="150"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 xml:space="preserve">目 </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rPr>
        <w:t>录</w:t>
      </w:r>
      <w:bookmarkEnd w:id="63"/>
      <w:bookmarkEnd w:id="64"/>
      <w:bookmarkEnd w:id="65"/>
    </w:p>
    <w:p w14:paraId="18F168A5">
      <w:pPr>
        <w:keepNext w:val="0"/>
        <w:keepLines w:val="0"/>
        <w:pageBreakBefore w:val="0"/>
        <w:widowControl w:val="0"/>
        <w:kinsoku/>
        <w:wordWrap/>
        <w:overflowPunct/>
        <w:topLinePunct w:val="0"/>
        <w:autoSpaceDE w:val="0"/>
        <w:autoSpaceDN w:val="0"/>
        <w:bidi w:val="0"/>
        <w:adjustRightInd/>
        <w:snapToGrid/>
        <w:spacing w:after="0" w:line="360" w:lineRule="auto"/>
        <w:jc w:val="left"/>
        <w:textAlignment w:val="top"/>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1.磋商函</w:t>
      </w:r>
    </w:p>
    <w:p w14:paraId="12589341">
      <w:pPr>
        <w:keepNext w:val="0"/>
        <w:keepLines w:val="0"/>
        <w:pageBreakBefore w:val="0"/>
        <w:widowControl w:val="0"/>
        <w:kinsoku/>
        <w:wordWrap/>
        <w:overflowPunct/>
        <w:topLinePunct w:val="0"/>
        <w:autoSpaceDE w:val="0"/>
        <w:autoSpaceDN w:val="0"/>
        <w:bidi w:val="0"/>
        <w:adjustRightInd/>
        <w:snapToGrid/>
        <w:spacing w:after="0" w:line="360" w:lineRule="auto"/>
        <w:jc w:val="left"/>
        <w:textAlignment w:val="top"/>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.第一次报价一览表</w:t>
      </w:r>
    </w:p>
    <w:p w14:paraId="2F78ED8E">
      <w:pPr>
        <w:keepNext w:val="0"/>
        <w:keepLines w:val="0"/>
        <w:pageBreakBefore w:val="0"/>
        <w:widowControl w:val="0"/>
        <w:kinsoku/>
        <w:wordWrap/>
        <w:overflowPunct/>
        <w:topLinePunct w:val="0"/>
        <w:autoSpaceDE w:val="0"/>
        <w:autoSpaceDN w:val="0"/>
        <w:bidi w:val="0"/>
        <w:adjustRightInd/>
        <w:snapToGrid/>
        <w:spacing w:after="0" w:line="360" w:lineRule="auto"/>
        <w:jc w:val="left"/>
        <w:textAlignment w:val="top"/>
        <w:outlineLvl w:val="9"/>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bCs/>
          <w:color w:val="auto"/>
          <w:sz w:val="24"/>
          <w:szCs w:val="24"/>
          <w:highlight w:val="none"/>
          <w:lang w:val="en-US" w:eastAsia="zh-CN"/>
        </w:rPr>
        <w:t>3.《政府采购法》第二十二条第一款规定的供应商基础性资格的承诺函</w:t>
      </w:r>
    </w:p>
    <w:p w14:paraId="64F4B791">
      <w:pPr>
        <w:keepNext w:val="0"/>
        <w:keepLines w:val="0"/>
        <w:pageBreakBefore w:val="0"/>
        <w:widowControl w:val="0"/>
        <w:kinsoku/>
        <w:wordWrap/>
        <w:overflowPunct/>
        <w:topLinePunct w:val="0"/>
        <w:autoSpaceDE w:val="0"/>
        <w:autoSpaceDN w:val="0"/>
        <w:bidi w:val="0"/>
        <w:adjustRightInd/>
        <w:snapToGrid/>
        <w:spacing w:after="0" w:line="360" w:lineRule="auto"/>
        <w:jc w:val="left"/>
        <w:textAlignment w:val="top"/>
        <w:outlineLvl w:val="9"/>
        <w:rPr>
          <w:rFonts w:hint="eastAsia" w:ascii="仿宋" w:hAnsi="仿宋" w:eastAsia="仿宋" w:cs="仿宋"/>
          <w:b/>
          <w:bCs/>
          <w:color w:val="auto"/>
          <w:sz w:val="24"/>
          <w:szCs w:val="24"/>
          <w:highlight w:val="none"/>
        </w:rPr>
      </w:pPr>
      <w:r>
        <w:rPr>
          <w:rFonts w:hint="eastAsia" w:ascii="仿宋" w:hAnsi="仿宋" w:eastAsia="仿宋" w:cs="仿宋"/>
          <w:b w:val="0"/>
          <w:bCs w:val="0"/>
          <w:color w:val="auto"/>
          <w:kern w:val="2"/>
          <w:sz w:val="24"/>
          <w:szCs w:val="24"/>
          <w:highlight w:val="none"/>
          <w:lang w:val="en-US" w:eastAsia="zh-CN" w:bidi="ar-SA"/>
        </w:rPr>
        <w:t>4.</w:t>
      </w:r>
      <w:r>
        <w:rPr>
          <w:rFonts w:hint="eastAsia" w:ascii="仿宋" w:hAnsi="仿宋" w:eastAsia="仿宋" w:cs="仿宋"/>
          <w:b/>
          <w:bCs/>
          <w:color w:val="auto"/>
          <w:sz w:val="24"/>
          <w:szCs w:val="24"/>
          <w:highlight w:val="none"/>
        </w:rPr>
        <w:t>中小企业声明函或《残疾人福利性单位声明函》的证明文件</w:t>
      </w:r>
    </w:p>
    <w:p w14:paraId="0A12D9A2">
      <w:pPr>
        <w:keepNext w:val="0"/>
        <w:keepLines w:val="0"/>
        <w:pageBreakBefore w:val="0"/>
        <w:widowControl w:val="0"/>
        <w:kinsoku/>
        <w:wordWrap/>
        <w:overflowPunct/>
        <w:topLinePunct w:val="0"/>
        <w:autoSpaceDE w:val="0"/>
        <w:autoSpaceDN w:val="0"/>
        <w:bidi w:val="0"/>
        <w:adjustRightInd/>
        <w:snapToGrid/>
        <w:spacing w:after="0" w:line="360" w:lineRule="auto"/>
        <w:jc w:val="left"/>
        <w:textAlignment w:val="top"/>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rPr>
        <w:t>近三年无重大违法记录的声明函</w:t>
      </w:r>
    </w:p>
    <w:p w14:paraId="11B31CA0">
      <w:pPr>
        <w:keepNext w:val="0"/>
        <w:keepLines w:val="0"/>
        <w:pageBreakBefore w:val="0"/>
        <w:widowControl w:val="0"/>
        <w:kinsoku/>
        <w:wordWrap/>
        <w:overflowPunct/>
        <w:topLinePunct w:val="0"/>
        <w:autoSpaceDE w:val="0"/>
        <w:autoSpaceDN w:val="0"/>
        <w:bidi w:val="0"/>
        <w:adjustRightInd/>
        <w:snapToGrid/>
        <w:spacing w:after="0" w:line="360" w:lineRule="auto"/>
        <w:jc w:val="left"/>
        <w:textAlignment w:val="top"/>
        <w:outlineLvl w:val="9"/>
        <w:rPr>
          <w:rFonts w:hint="eastAsia" w:ascii="仿宋" w:hAnsi="仿宋" w:eastAsia="仿宋" w:cs="仿宋"/>
          <w:b/>
          <w:bCs/>
          <w:color w:val="auto"/>
          <w:sz w:val="24"/>
          <w:szCs w:val="24"/>
          <w:highlight w:val="none"/>
        </w:rPr>
      </w:pPr>
      <w:bookmarkStart w:id="66" w:name="_Toc6366_WPSOffice_Level1"/>
      <w:bookmarkStart w:id="67" w:name="_Toc15980_WPSOffice_Level1"/>
      <w:r>
        <w:rPr>
          <w:rFonts w:hint="eastAsia" w:ascii="仿宋" w:hAnsi="仿宋" w:eastAsia="仿宋" w:cs="仿宋"/>
          <w:b/>
          <w:bCs/>
          <w:color w:val="auto"/>
          <w:sz w:val="24"/>
          <w:szCs w:val="24"/>
          <w:highlight w:val="none"/>
          <w:lang w:val="en-US" w:eastAsia="zh-CN"/>
        </w:rPr>
        <w:t>6</w:t>
      </w:r>
      <w:r>
        <w:rPr>
          <w:rFonts w:hint="eastAsia" w:ascii="仿宋" w:hAnsi="仿宋" w:eastAsia="仿宋" w:cs="仿宋"/>
          <w:b/>
          <w:bCs/>
          <w:color w:val="auto"/>
          <w:sz w:val="24"/>
          <w:szCs w:val="24"/>
          <w:highlight w:val="none"/>
        </w:rPr>
        <w:t>.反商业贿赂承诺书</w:t>
      </w:r>
      <w:bookmarkEnd w:id="66"/>
      <w:bookmarkEnd w:id="67"/>
    </w:p>
    <w:p w14:paraId="0D1C9780">
      <w:pPr>
        <w:keepNext w:val="0"/>
        <w:keepLines w:val="0"/>
        <w:pageBreakBefore w:val="0"/>
        <w:widowControl w:val="0"/>
        <w:kinsoku/>
        <w:wordWrap/>
        <w:overflowPunct/>
        <w:topLinePunct w:val="0"/>
        <w:autoSpaceDE w:val="0"/>
        <w:autoSpaceDN w:val="0"/>
        <w:bidi w:val="0"/>
        <w:adjustRightInd/>
        <w:snapToGrid/>
        <w:spacing w:after="0" w:line="360" w:lineRule="auto"/>
        <w:jc w:val="left"/>
        <w:textAlignment w:val="top"/>
        <w:outlineLvl w:val="9"/>
        <w:rPr>
          <w:rFonts w:hint="eastAsia" w:ascii="仿宋" w:hAnsi="仿宋" w:eastAsia="仿宋" w:cs="仿宋"/>
          <w:b/>
          <w:bCs/>
          <w:color w:val="auto"/>
          <w:sz w:val="24"/>
          <w:szCs w:val="24"/>
          <w:highlight w:val="none"/>
        </w:rPr>
      </w:pPr>
      <w:bookmarkStart w:id="68" w:name="_Toc23514_WPSOffice_Level1"/>
      <w:bookmarkStart w:id="69" w:name="_Toc20651_WPSOffice_Level1"/>
      <w:r>
        <w:rPr>
          <w:rFonts w:hint="eastAsia" w:ascii="仿宋" w:hAnsi="仿宋" w:eastAsia="仿宋" w:cs="仿宋"/>
          <w:b/>
          <w:bCs/>
          <w:color w:val="auto"/>
          <w:sz w:val="24"/>
          <w:szCs w:val="24"/>
          <w:highlight w:val="none"/>
          <w:lang w:val="en-US" w:eastAsia="zh-CN"/>
        </w:rPr>
        <w:t>7</w:t>
      </w:r>
      <w:r>
        <w:rPr>
          <w:rFonts w:hint="eastAsia" w:ascii="仿宋" w:hAnsi="仿宋" w:eastAsia="仿宋" w:cs="仿宋"/>
          <w:b/>
          <w:bCs/>
          <w:color w:val="auto"/>
          <w:sz w:val="24"/>
          <w:szCs w:val="24"/>
          <w:highlight w:val="none"/>
        </w:rPr>
        <w:t>.供应商负责人控股、设计等相关承诺书</w:t>
      </w:r>
      <w:bookmarkEnd w:id="68"/>
      <w:bookmarkEnd w:id="69"/>
    </w:p>
    <w:p w14:paraId="6685DE7B">
      <w:pPr>
        <w:keepNext w:val="0"/>
        <w:keepLines w:val="0"/>
        <w:pageBreakBefore w:val="0"/>
        <w:widowControl w:val="0"/>
        <w:kinsoku/>
        <w:wordWrap/>
        <w:overflowPunct/>
        <w:topLinePunct w:val="0"/>
        <w:autoSpaceDE w:val="0"/>
        <w:autoSpaceDN w:val="0"/>
        <w:bidi w:val="0"/>
        <w:adjustRightInd/>
        <w:snapToGrid/>
        <w:spacing w:after="0" w:line="360" w:lineRule="auto"/>
        <w:jc w:val="left"/>
        <w:textAlignment w:val="top"/>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8.</w:t>
      </w:r>
      <w:r>
        <w:rPr>
          <w:rFonts w:hint="eastAsia" w:ascii="仿宋" w:hAnsi="仿宋" w:eastAsia="仿宋" w:cs="仿宋"/>
          <w:b/>
          <w:bCs/>
          <w:color w:val="auto"/>
          <w:sz w:val="24"/>
          <w:szCs w:val="24"/>
          <w:highlight w:val="none"/>
        </w:rPr>
        <w:t>投标承诺函</w:t>
      </w:r>
    </w:p>
    <w:p w14:paraId="442FED7E">
      <w:pPr>
        <w:keepNext w:val="0"/>
        <w:keepLines w:val="0"/>
        <w:pageBreakBefore w:val="0"/>
        <w:widowControl w:val="0"/>
        <w:kinsoku/>
        <w:wordWrap w:val="0"/>
        <w:overflowPunct/>
        <w:topLinePunct/>
        <w:autoSpaceDE/>
        <w:autoSpaceDN/>
        <w:bidi w:val="0"/>
        <w:adjustRightInd/>
        <w:snapToGrid/>
        <w:spacing w:after="0" w:line="360" w:lineRule="auto"/>
        <w:jc w:val="left"/>
        <w:outlineLvl w:val="9"/>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.其他证明材料</w:t>
      </w:r>
    </w:p>
    <w:p w14:paraId="7B0BB52F">
      <w:pPr>
        <w:pageBreakBefore/>
        <w:spacing w:after="0" w:line="48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1.磋商函</w:t>
      </w:r>
    </w:p>
    <w:p w14:paraId="18CBF8E9">
      <w:pPr>
        <w:spacing w:after="0" w:line="480" w:lineRule="auto"/>
        <w:rPr>
          <w:rFonts w:hint="eastAsia" w:ascii="仿宋" w:hAnsi="仿宋" w:eastAsia="仿宋" w:cs="仿宋"/>
          <w:color w:val="auto"/>
          <w:spacing w:val="11"/>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pacing w:val="11"/>
          <w:sz w:val="24"/>
          <w:szCs w:val="24"/>
          <w:highlight w:val="none"/>
          <w:u w:val="single"/>
        </w:rPr>
        <w:t xml:space="preserve">采购人名称）    </w:t>
      </w:r>
    </w:p>
    <w:p w14:paraId="649499AF">
      <w:pPr>
        <w:spacing w:after="0" w:line="480" w:lineRule="auto"/>
        <w:ind w:left="147" w:leftChars="67" w:firstLine="612" w:firstLineChars="255"/>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我们收到了</w:t>
      </w:r>
      <w:r>
        <w:rPr>
          <w:rFonts w:hint="eastAsia" w:ascii="仿宋" w:hAnsi="仿宋" w:eastAsia="仿宋" w:cs="仿宋"/>
          <w:color w:val="auto"/>
          <w:sz w:val="24"/>
          <w:szCs w:val="24"/>
          <w:highlight w:val="none"/>
          <w:lang w:eastAsia="zh-CN"/>
        </w:rPr>
        <w:t>采购编号</w:t>
      </w:r>
      <w:r>
        <w:rPr>
          <w:rFonts w:hint="eastAsia" w:ascii="仿宋" w:hAnsi="仿宋" w:eastAsia="仿宋" w:cs="仿宋"/>
          <w:color w:val="auto"/>
          <w:sz w:val="24"/>
          <w:szCs w:val="24"/>
          <w:highlight w:val="none"/>
        </w:rPr>
        <w:t>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none"/>
        </w:rPr>
        <w:t>（项目名称）</w:t>
      </w:r>
      <w:r>
        <w:rPr>
          <w:rFonts w:hint="eastAsia" w:ascii="仿宋" w:hAnsi="仿宋" w:eastAsia="仿宋" w:cs="仿宋"/>
          <w:color w:val="auto"/>
          <w:sz w:val="24"/>
          <w:szCs w:val="24"/>
          <w:highlight w:val="none"/>
        </w:rPr>
        <w:t>磋商文件，经详细研究，我们决定参加该项目的采购活动并按要求提交响应文件。我们郑重声明以下诸点并负法律责任</w:t>
      </w:r>
      <w:r>
        <w:rPr>
          <w:rFonts w:hint="eastAsia" w:ascii="仿宋" w:hAnsi="仿宋" w:eastAsia="仿宋" w:cs="仿宋"/>
          <w:color w:val="auto"/>
          <w:sz w:val="24"/>
          <w:szCs w:val="24"/>
          <w:highlight w:val="none"/>
          <w:lang w:eastAsia="zh-CN"/>
        </w:rPr>
        <w:t>：</w:t>
      </w:r>
    </w:p>
    <w:p w14:paraId="1AD3C17B">
      <w:pPr>
        <w:snapToGrid w:val="0"/>
        <w:spacing w:after="0" w:line="48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 愿按照磋商文件中规定的条款和要求，提供完成磋商文件规定的全部</w:t>
      </w:r>
      <w:r>
        <w:rPr>
          <w:rFonts w:hint="eastAsia" w:ascii="仿宋" w:hAnsi="仿宋" w:eastAsia="仿宋" w:cs="仿宋"/>
          <w:color w:val="auto"/>
          <w:sz w:val="24"/>
          <w:szCs w:val="24"/>
          <w:highlight w:val="none"/>
          <w:lang w:val="en-US" w:eastAsia="zh-CN"/>
        </w:rPr>
        <w:t>服务内容</w:t>
      </w:r>
      <w:r>
        <w:rPr>
          <w:rFonts w:hint="eastAsia" w:ascii="仿宋" w:hAnsi="仿宋" w:eastAsia="仿宋" w:cs="仿宋"/>
          <w:color w:val="auto"/>
          <w:sz w:val="24"/>
          <w:szCs w:val="24"/>
          <w:highlight w:val="none"/>
        </w:rPr>
        <w:t>，报价为人民币（大写）</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，（小写</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4604ED09">
      <w:pPr>
        <w:snapToGrid w:val="0"/>
        <w:spacing w:after="0" w:line="48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2.如果我们的响应文件被接受，我们将履行磋商文件中规定的每一项要求，按期、按质、按量履行合同。</w:t>
      </w:r>
    </w:p>
    <w:p w14:paraId="07BBBC5B">
      <w:pPr>
        <w:snapToGrid w:val="0"/>
        <w:spacing w:after="0" w:line="48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3.我们已详细阅读全部磋商文件，包括修改文件以及全部参考资料和有关附件。我们完全理解并同意放弃对这方面有不明及误解的权</w:t>
      </w:r>
      <w:r>
        <w:rPr>
          <w:rFonts w:hint="eastAsia" w:ascii="仿宋" w:hAnsi="仿宋" w:eastAsia="仿宋" w:cs="仿宋"/>
          <w:color w:val="auto"/>
          <w:sz w:val="24"/>
          <w:szCs w:val="24"/>
          <w:highlight w:val="none"/>
          <w:lang w:val="en-US" w:eastAsia="zh-CN"/>
        </w:rPr>
        <w:t>利</w:t>
      </w:r>
      <w:r>
        <w:rPr>
          <w:rFonts w:hint="eastAsia" w:ascii="仿宋" w:hAnsi="仿宋" w:eastAsia="仿宋" w:cs="仿宋"/>
          <w:color w:val="auto"/>
          <w:sz w:val="24"/>
          <w:szCs w:val="24"/>
          <w:highlight w:val="none"/>
        </w:rPr>
        <w:t>。</w:t>
      </w:r>
    </w:p>
    <w:p w14:paraId="367F1A38">
      <w:pPr>
        <w:snapToGrid w:val="0"/>
        <w:spacing w:after="0" w:line="48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 同意提供按照贵方可能要求的与其磋商有关的一切数据或资料，理解贵方不一定要接受最低价的磋商。</w:t>
      </w:r>
    </w:p>
    <w:p w14:paraId="41D60348">
      <w:pPr>
        <w:snapToGrid w:val="0"/>
        <w:spacing w:after="0" w:line="48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5.我们愿按《中华人民共和国</w:t>
      </w:r>
      <w:r>
        <w:rPr>
          <w:rFonts w:hint="eastAsia" w:ascii="仿宋" w:hAnsi="仿宋" w:eastAsia="仿宋" w:cs="仿宋"/>
          <w:color w:val="auto"/>
          <w:sz w:val="24"/>
          <w:szCs w:val="24"/>
          <w:highlight w:val="none"/>
          <w:lang w:eastAsia="zh-CN"/>
        </w:rPr>
        <w:t>民法典</w:t>
      </w:r>
      <w:r>
        <w:rPr>
          <w:rFonts w:hint="eastAsia" w:ascii="仿宋" w:hAnsi="仿宋" w:eastAsia="仿宋" w:cs="仿宋"/>
          <w:color w:val="auto"/>
          <w:sz w:val="24"/>
          <w:szCs w:val="24"/>
          <w:highlight w:val="none"/>
        </w:rPr>
        <w:t>》履行其全部责任。</w:t>
      </w:r>
    </w:p>
    <w:p w14:paraId="56D5CA64">
      <w:pPr>
        <w:snapToGrid w:val="0"/>
        <w:spacing w:after="0" w:line="480" w:lineRule="auto"/>
        <w:ind w:firstLine="5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与本</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有关的一切正式往来请寄：</w:t>
      </w:r>
    </w:p>
    <w:p w14:paraId="2677D025">
      <w:pPr>
        <w:snapToGrid w:val="0"/>
        <w:spacing w:after="0" w:line="480" w:lineRule="auto"/>
        <w:ind w:right="85" w:firstLine="360" w:firstLineChars="150"/>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0759386C">
      <w:pPr>
        <w:snapToGrid w:val="0"/>
        <w:spacing w:after="0" w:line="480" w:lineRule="auto"/>
        <w:ind w:right="85" w:firstLine="360" w:firstLineChars="150"/>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14:paraId="31CF36EF">
      <w:pPr>
        <w:snapToGrid w:val="0"/>
        <w:spacing w:after="0" w:line="480" w:lineRule="auto"/>
        <w:ind w:right="85" w:firstLine="360" w:firstLineChars="150"/>
        <w:textAlignment w:val="top"/>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电话：</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41305F27">
      <w:pPr>
        <w:snapToGrid w:val="0"/>
        <w:spacing w:after="0" w:line="480" w:lineRule="auto"/>
        <w:ind w:right="641" w:firstLine="2160" w:firstLineChars="900"/>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供应商（电子签章）：</w:t>
      </w:r>
    </w:p>
    <w:p w14:paraId="4D5C4039">
      <w:pPr>
        <w:snapToGrid w:val="0"/>
        <w:spacing w:after="0" w:line="480" w:lineRule="auto"/>
        <w:ind w:right="641" w:firstLine="2160" w:firstLineChars="900"/>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kern w:val="2"/>
          <w:sz w:val="24"/>
          <w:szCs w:val="24"/>
          <w:highlight w:val="none"/>
          <w:lang w:val="en-US" w:eastAsia="zh-CN" w:bidi="ar-SA"/>
        </w:rPr>
        <w:t>电子签名或签章</w:t>
      </w:r>
      <w:r>
        <w:rPr>
          <w:rFonts w:hint="eastAsia" w:ascii="仿宋" w:hAnsi="仿宋" w:eastAsia="仿宋" w:cs="仿宋"/>
          <w:color w:val="auto"/>
          <w:sz w:val="24"/>
          <w:szCs w:val="24"/>
          <w:highlight w:val="none"/>
        </w:rPr>
        <w:t>）：</w:t>
      </w:r>
    </w:p>
    <w:p w14:paraId="75D7484C">
      <w:pPr>
        <w:snapToGrid w:val="0"/>
        <w:spacing w:after="0" w:line="480" w:lineRule="auto"/>
        <w:ind w:right="641" w:firstLine="2160" w:firstLineChars="900"/>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日期：  年   月   日</w:t>
      </w:r>
    </w:p>
    <w:p w14:paraId="2EEC6C60">
      <w:pPr>
        <w:pStyle w:val="23"/>
        <w:spacing w:after="0" w:line="360" w:lineRule="auto"/>
        <w:jc w:val="center"/>
        <w:rPr>
          <w:rFonts w:hint="eastAsia" w:ascii="仿宋" w:hAnsi="仿宋" w:eastAsia="仿宋" w:cs="仿宋"/>
          <w:b/>
          <w:color w:val="auto"/>
          <w:sz w:val="24"/>
          <w:szCs w:val="24"/>
          <w:highlight w:val="none"/>
          <w:lang w:val="en-US" w:eastAsia="zh-CN"/>
        </w:rPr>
      </w:pPr>
    </w:p>
    <w:p w14:paraId="1144C1BD">
      <w:pPr>
        <w:pStyle w:val="23"/>
        <w:spacing w:after="0"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2</w:t>
      </w:r>
      <w:r>
        <w:rPr>
          <w:rFonts w:hint="eastAsia" w:ascii="仿宋" w:hAnsi="仿宋" w:eastAsia="仿宋" w:cs="仿宋"/>
          <w:b/>
          <w:color w:val="auto"/>
          <w:sz w:val="24"/>
          <w:szCs w:val="24"/>
          <w:highlight w:val="none"/>
        </w:rPr>
        <w:t>.第一次报价一览表</w:t>
      </w:r>
    </w:p>
    <w:tbl>
      <w:tblPr>
        <w:tblStyle w:val="32"/>
        <w:tblpPr w:leftFromText="180" w:rightFromText="180" w:vertAnchor="text" w:horzAnchor="page" w:tblpX="1412" w:tblpY="272"/>
        <w:tblOverlap w:val="never"/>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1573"/>
        <w:gridCol w:w="1429"/>
        <w:gridCol w:w="1428"/>
        <w:gridCol w:w="1429"/>
        <w:gridCol w:w="1428"/>
      </w:tblGrid>
      <w:tr w14:paraId="5FA3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093" w:type="dxa"/>
            <w:vAlign w:val="center"/>
          </w:tcPr>
          <w:p w14:paraId="1A072F3E">
            <w:pPr>
              <w:pStyle w:val="23"/>
              <w:spacing w:after="0" w:line="480" w:lineRule="auto"/>
              <w:jc w:val="center"/>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项目名称</w:t>
            </w:r>
          </w:p>
        </w:tc>
        <w:tc>
          <w:tcPr>
            <w:tcW w:w="7287" w:type="dxa"/>
            <w:gridSpan w:val="5"/>
            <w:vAlign w:val="center"/>
          </w:tcPr>
          <w:p w14:paraId="20493B4B">
            <w:pPr>
              <w:pStyle w:val="23"/>
              <w:spacing w:after="0" w:line="480" w:lineRule="auto"/>
              <w:jc w:val="center"/>
              <w:rPr>
                <w:rFonts w:hint="eastAsia" w:ascii="仿宋" w:hAnsi="仿宋" w:eastAsia="仿宋" w:cs="仿宋"/>
                <w:bCs/>
                <w:color w:val="auto"/>
                <w:sz w:val="24"/>
                <w:szCs w:val="24"/>
                <w:highlight w:val="none"/>
              </w:rPr>
            </w:pPr>
          </w:p>
        </w:tc>
      </w:tr>
      <w:tr w14:paraId="3C974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093" w:type="dxa"/>
            <w:vAlign w:val="center"/>
          </w:tcPr>
          <w:p w14:paraId="014ECC51">
            <w:pPr>
              <w:pStyle w:val="23"/>
              <w:spacing w:after="0" w:line="480" w:lineRule="auto"/>
              <w:jc w:val="center"/>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包号</w:t>
            </w:r>
          </w:p>
        </w:tc>
        <w:tc>
          <w:tcPr>
            <w:tcW w:w="7287" w:type="dxa"/>
            <w:gridSpan w:val="5"/>
            <w:vAlign w:val="center"/>
          </w:tcPr>
          <w:p w14:paraId="2844D362">
            <w:pPr>
              <w:pStyle w:val="23"/>
              <w:spacing w:after="0" w:line="480" w:lineRule="auto"/>
              <w:jc w:val="center"/>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val="en-US" w:eastAsia="zh-CN"/>
              </w:rPr>
              <w:t xml:space="preserve"> </w:t>
            </w:r>
          </w:p>
        </w:tc>
      </w:tr>
      <w:tr w14:paraId="4762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93" w:type="dxa"/>
            <w:vAlign w:val="center"/>
          </w:tcPr>
          <w:p w14:paraId="2579B9F6">
            <w:pPr>
              <w:pStyle w:val="23"/>
              <w:spacing w:after="0" w:line="480" w:lineRule="auto"/>
              <w:jc w:val="center"/>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供应商名称</w:t>
            </w:r>
          </w:p>
        </w:tc>
        <w:tc>
          <w:tcPr>
            <w:tcW w:w="7287" w:type="dxa"/>
            <w:gridSpan w:val="5"/>
            <w:vAlign w:val="center"/>
          </w:tcPr>
          <w:p w14:paraId="319DD656">
            <w:pPr>
              <w:pStyle w:val="23"/>
              <w:spacing w:after="0" w:line="480" w:lineRule="auto"/>
              <w:jc w:val="center"/>
              <w:rPr>
                <w:rFonts w:hint="eastAsia" w:ascii="仿宋" w:hAnsi="仿宋" w:eastAsia="仿宋" w:cs="仿宋"/>
                <w:bCs/>
                <w:color w:val="auto"/>
                <w:sz w:val="24"/>
                <w:szCs w:val="24"/>
                <w:highlight w:val="none"/>
              </w:rPr>
            </w:pPr>
          </w:p>
        </w:tc>
      </w:tr>
      <w:tr w14:paraId="3C4D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93" w:type="dxa"/>
            <w:vAlign w:val="center"/>
          </w:tcPr>
          <w:p w14:paraId="1FB3BB89">
            <w:pPr>
              <w:pStyle w:val="23"/>
              <w:spacing w:after="0" w:line="480" w:lineRule="auto"/>
              <w:jc w:val="center"/>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采购编号</w:t>
            </w:r>
          </w:p>
        </w:tc>
        <w:tc>
          <w:tcPr>
            <w:tcW w:w="7287" w:type="dxa"/>
            <w:gridSpan w:val="5"/>
            <w:vAlign w:val="center"/>
          </w:tcPr>
          <w:p w14:paraId="76F7656D">
            <w:pPr>
              <w:pStyle w:val="23"/>
              <w:spacing w:after="0" w:line="480" w:lineRule="auto"/>
              <w:jc w:val="center"/>
              <w:rPr>
                <w:rFonts w:hint="eastAsia" w:ascii="仿宋" w:hAnsi="仿宋" w:eastAsia="仿宋" w:cs="仿宋"/>
                <w:bCs/>
                <w:color w:val="auto"/>
                <w:sz w:val="24"/>
                <w:szCs w:val="24"/>
                <w:highlight w:val="none"/>
              </w:rPr>
            </w:pPr>
          </w:p>
        </w:tc>
      </w:tr>
      <w:tr w14:paraId="72912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16" w:hRule="atLeast"/>
          <w:jc w:val="center"/>
        </w:trPr>
        <w:tc>
          <w:tcPr>
            <w:tcW w:w="2093" w:type="dxa"/>
            <w:vAlign w:val="center"/>
          </w:tcPr>
          <w:p w14:paraId="0127E377">
            <w:pPr>
              <w:pStyle w:val="23"/>
              <w:spacing w:after="0" w:line="480" w:lineRule="auto"/>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磋商</w:t>
            </w:r>
            <w:r>
              <w:rPr>
                <w:rFonts w:hint="eastAsia" w:ascii="仿宋" w:hAnsi="仿宋" w:eastAsia="仿宋" w:cs="仿宋"/>
                <w:bCs/>
                <w:color w:val="auto"/>
                <w:sz w:val="24"/>
                <w:szCs w:val="24"/>
                <w:highlight w:val="none"/>
              </w:rPr>
              <w:t>报价（元）</w:t>
            </w:r>
          </w:p>
        </w:tc>
        <w:tc>
          <w:tcPr>
            <w:tcW w:w="7287" w:type="dxa"/>
            <w:gridSpan w:val="5"/>
            <w:vAlign w:val="center"/>
          </w:tcPr>
          <w:p w14:paraId="16A6B2B9">
            <w:pPr>
              <w:pStyle w:val="23"/>
              <w:spacing w:after="0" w:line="480" w:lineRule="auto"/>
              <w:rPr>
                <w:rFonts w:hint="eastAsia" w:ascii="仿宋" w:hAnsi="仿宋" w:eastAsia="仿宋" w:cs="仿宋"/>
                <w:color w:val="auto"/>
                <w:sz w:val="24"/>
                <w:szCs w:val="24"/>
                <w:highlight w:val="none"/>
              </w:rPr>
            </w:pPr>
          </w:p>
          <w:p w14:paraId="6C95613F">
            <w:pPr>
              <w:pStyle w:val="23"/>
              <w:spacing w:after="0" w:line="48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大写：</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073DFC6A">
            <w:pPr>
              <w:pStyle w:val="23"/>
              <w:spacing w:after="0" w:line="48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小写：</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14:paraId="134359FE">
            <w:pPr>
              <w:spacing w:after="0" w:line="48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（响应人应在此填列第一次报价，但以响应人最后一次的磋商报价为成交价）</w:t>
            </w:r>
          </w:p>
        </w:tc>
      </w:tr>
      <w:tr w14:paraId="5011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093" w:type="dxa"/>
            <w:vAlign w:val="bottom"/>
          </w:tcPr>
          <w:p w14:paraId="125DE535">
            <w:pPr>
              <w:pStyle w:val="23"/>
              <w:spacing w:after="0" w:line="480" w:lineRule="auto"/>
              <w:jc w:val="center"/>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项目负责人姓名</w:t>
            </w:r>
          </w:p>
        </w:tc>
        <w:tc>
          <w:tcPr>
            <w:tcW w:w="1573" w:type="dxa"/>
            <w:vAlign w:val="bottom"/>
          </w:tcPr>
          <w:p w14:paraId="2464056F">
            <w:pPr>
              <w:pStyle w:val="23"/>
              <w:spacing w:after="0" w:line="480" w:lineRule="auto"/>
              <w:jc w:val="center"/>
              <w:rPr>
                <w:rFonts w:hint="eastAsia" w:ascii="仿宋" w:hAnsi="仿宋" w:eastAsia="仿宋" w:cs="仿宋"/>
                <w:color w:val="auto"/>
                <w:sz w:val="24"/>
                <w:szCs w:val="24"/>
                <w:highlight w:val="none"/>
                <w:lang w:val="en-US" w:eastAsia="zh-CN" w:bidi="ar-SA"/>
              </w:rPr>
            </w:pPr>
          </w:p>
        </w:tc>
        <w:tc>
          <w:tcPr>
            <w:tcW w:w="1429" w:type="dxa"/>
            <w:vAlign w:val="bottom"/>
          </w:tcPr>
          <w:p w14:paraId="680EEADF">
            <w:pPr>
              <w:pStyle w:val="23"/>
              <w:spacing w:after="0" w:line="480" w:lineRule="auto"/>
              <w:jc w:val="center"/>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身份证号码</w:t>
            </w:r>
          </w:p>
        </w:tc>
        <w:tc>
          <w:tcPr>
            <w:tcW w:w="1428" w:type="dxa"/>
            <w:vAlign w:val="bottom"/>
          </w:tcPr>
          <w:p w14:paraId="0ED4723A">
            <w:pPr>
              <w:pStyle w:val="23"/>
              <w:spacing w:after="0" w:line="480" w:lineRule="auto"/>
              <w:jc w:val="center"/>
              <w:rPr>
                <w:rFonts w:hint="eastAsia" w:ascii="仿宋" w:hAnsi="仿宋" w:eastAsia="仿宋" w:cs="仿宋"/>
                <w:color w:val="auto"/>
                <w:sz w:val="24"/>
                <w:szCs w:val="24"/>
                <w:highlight w:val="none"/>
                <w:lang w:val="en-US" w:eastAsia="zh-CN" w:bidi="ar-SA"/>
              </w:rPr>
            </w:pPr>
          </w:p>
        </w:tc>
        <w:tc>
          <w:tcPr>
            <w:tcW w:w="1429" w:type="dxa"/>
            <w:vAlign w:val="bottom"/>
          </w:tcPr>
          <w:p w14:paraId="75731AA0">
            <w:pPr>
              <w:pStyle w:val="23"/>
              <w:spacing w:after="0" w:line="480" w:lineRule="auto"/>
              <w:jc w:val="center"/>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证书编号</w:t>
            </w:r>
          </w:p>
        </w:tc>
        <w:tc>
          <w:tcPr>
            <w:tcW w:w="1428" w:type="dxa"/>
            <w:vAlign w:val="center"/>
          </w:tcPr>
          <w:p w14:paraId="0252CF5E">
            <w:pPr>
              <w:pStyle w:val="23"/>
              <w:spacing w:after="0" w:line="480" w:lineRule="auto"/>
              <w:jc w:val="center"/>
              <w:rPr>
                <w:rFonts w:hint="eastAsia" w:ascii="仿宋" w:hAnsi="仿宋" w:eastAsia="仿宋" w:cs="仿宋"/>
                <w:color w:val="auto"/>
                <w:sz w:val="24"/>
                <w:szCs w:val="24"/>
                <w:highlight w:val="none"/>
                <w:lang w:val="en-US" w:eastAsia="zh-CN" w:bidi="ar-SA"/>
              </w:rPr>
            </w:pPr>
          </w:p>
        </w:tc>
      </w:tr>
      <w:tr w14:paraId="5FD1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93" w:type="dxa"/>
            <w:vAlign w:val="center"/>
          </w:tcPr>
          <w:p w14:paraId="7A6AD90B">
            <w:pPr>
              <w:pStyle w:val="23"/>
              <w:spacing w:after="0" w:line="480" w:lineRule="auto"/>
              <w:jc w:val="center"/>
              <w:rPr>
                <w:rFonts w:hint="eastAsia" w:ascii="仿宋" w:hAnsi="仿宋" w:eastAsia="仿宋" w:cs="仿宋"/>
                <w:bCs/>
                <w:color w:val="auto"/>
                <w:sz w:val="24"/>
                <w:szCs w:val="24"/>
                <w:highlight w:val="none"/>
              </w:rPr>
            </w:pPr>
            <w:r>
              <w:rPr>
                <w:rFonts w:hint="eastAsia" w:ascii="仿宋" w:hAnsi="仿宋" w:eastAsia="仿宋" w:cs="仿宋"/>
                <w:b/>
                <w:color w:val="auto"/>
                <w:sz w:val="24"/>
                <w:szCs w:val="24"/>
                <w:highlight w:val="none"/>
              </w:rPr>
              <w:t>磋商内容及范围</w:t>
            </w:r>
          </w:p>
        </w:tc>
        <w:tc>
          <w:tcPr>
            <w:tcW w:w="7287" w:type="dxa"/>
            <w:gridSpan w:val="5"/>
            <w:vAlign w:val="center"/>
          </w:tcPr>
          <w:p w14:paraId="0B3AEC79">
            <w:pPr>
              <w:pStyle w:val="23"/>
              <w:spacing w:after="0" w:line="480" w:lineRule="auto"/>
              <w:jc w:val="center"/>
              <w:rPr>
                <w:rFonts w:hint="eastAsia" w:ascii="仿宋" w:hAnsi="仿宋" w:eastAsia="仿宋" w:cs="仿宋"/>
                <w:bCs/>
                <w:color w:val="auto"/>
                <w:sz w:val="24"/>
                <w:szCs w:val="24"/>
                <w:highlight w:val="none"/>
              </w:rPr>
            </w:pPr>
          </w:p>
        </w:tc>
      </w:tr>
      <w:tr w14:paraId="500F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93" w:type="dxa"/>
            <w:vAlign w:val="bottom"/>
          </w:tcPr>
          <w:p w14:paraId="3D0437ED">
            <w:pPr>
              <w:pStyle w:val="23"/>
              <w:spacing w:after="0" w:line="480" w:lineRule="auto"/>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合同履行期限</w:t>
            </w:r>
          </w:p>
        </w:tc>
        <w:tc>
          <w:tcPr>
            <w:tcW w:w="7287" w:type="dxa"/>
            <w:gridSpan w:val="5"/>
            <w:vAlign w:val="center"/>
          </w:tcPr>
          <w:p w14:paraId="734B9BC1">
            <w:pPr>
              <w:pStyle w:val="23"/>
              <w:spacing w:after="0" w:line="480" w:lineRule="auto"/>
              <w:jc w:val="center"/>
              <w:rPr>
                <w:rFonts w:hint="eastAsia" w:ascii="仿宋" w:hAnsi="仿宋" w:eastAsia="仿宋" w:cs="仿宋"/>
                <w:bCs/>
                <w:color w:val="auto"/>
                <w:sz w:val="24"/>
                <w:szCs w:val="24"/>
                <w:highlight w:val="none"/>
              </w:rPr>
            </w:pPr>
          </w:p>
        </w:tc>
      </w:tr>
      <w:tr w14:paraId="3ABA1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93" w:type="dxa"/>
            <w:vAlign w:val="bottom"/>
          </w:tcPr>
          <w:p w14:paraId="6F8EB26D">
            <w:pPr>
              <w:pStyle w:val="23"/>
              <w:spacing w:after="0" w:line="480" w:lineRule="auto"/>
              <w:jc w:val="center"/>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val="en-US" w:eastAsia="zh-CN"/>
              </w:rPr>
              <w:t>服务</w:t>
            </w:r>
            <w:r>
              <w:rPr>
                <w:rFonts w:hint="eastAsia" w:ascii="仿宋" w:hAnsi="仿宋" w:eastAsia="仿宋" w:cs="仿宋"/>
                <w:bCs/>
                <w:color w:val="auto"/>
                <w:sz w:val="24"/>
                <w:szCs w:val="24"/>
                <w:highlight w:val="none"/>
              </w:rPr>
              <w:t>质量</w:t>
            </w:r>
            <w:r>
              <w:rPr>
                <w:rFonts w:hint="eastAsia" w:ascii="仿宋" w:hAnsi="仿宋" w:eastAsia="仿宋" w:cs="仿宋"/>
                <w:bCs/>
                <w:color w:val="auto"/>
                <w:sz w:val="24"/>
                <w:szCs w:val="24"/>
                <w:highlight w:val="none"/>
                <w:lang w:val="en-US" w:eastAsia="zh-CN"/>
              </w:rPr>
              <w:t>要求</w:t>
            </w:r>
          </w:p>
        </w:tc>
        <w:tc>
          <w:tcPr>
            <w:tcW w:w="7287" w:type="dxa"/>
            <w:gridSpan w:val="5"/>
            <w:vAlign w:val="center"/>
          </w:tcPr>
          <w:p w14:paraId="39FF3B21">
            <w:pPr>
              <w:pStyle w:val="23"/>
              <w:spacing w:after="0" w:line="480" w:lineRule="auto"/>
              <w:jc w:val="center"/>
              <w:rPr>
                <w:rFonts w:hint="eastAsia" w:ascii="仿宋" w:hAnsi="仿宋" w:eastAsia="仿宋" w:cs="仿宋"/>
                <w:bCs/>
                <w:color w:val="auto"/>
                <w:sz w:val="24"/>
                <w:szCs w:val="24"/>
                <w:highlight w:val="none"/>
              </w:rPr>
            </w:pPr>
          </w:p>
        </w:tc>
      </w:tr>
      <w:tr w14:paraId="08FB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93" w:type="dxa"/>
            <w:vAlign w:val="bottom"/>
          </w:tcPr>
          <w:p w14:paraId="5FA9EE6B">
            <w:pPr>
              <w:pStyle w:val="23"/>
              <w:spacing w:after="0" w:line="480" w:lineRule="auto"/>
              <w:jc w:val="center"/>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服务地点</w:t>
            </w:r>
          </w:p>
        </w:tc>
        <w:tc>
          <w:tcPr>
            <w:tcW w:w="7287" w:type="dxa"/>
            <w:gridSpan w:val="5"/>
            <w:vAlign w:val="center"/>
          </w:tcPr>
          <w:p w14:paraId="76ED6DBD">
            <w:pPr>
              <w:pStyle w:val="23"/>
              <w:spacing w:after="0" w:line="480" w:lineRule="auto"/>
              <w:jc w:val="center"/>
              <w:rPr>
                <w:rFonts w:hint="eastAsia" w:ascii="仿宋" w:hAnsi="仿宋" w:eastAsia="仿宋" w:cs="仿宋"/>
                <w:bCs/>
                <w:color w:val="auto"/>
                <w:sz w:val="24"/>
                <w:szCs w:val="24"/>
                <w:highlight w:val="none"/>
              </w:rPr>
            </w:pPr>
          </w:p>
        </w:tc>
      </w:tr>
      <w:tr w14:paraId="64D2D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93" w:type="dxa"/>
            <w:vAlign w:val="bottom"/>
          </w:tcPr>
          <w:p w14:paraId="2099820C">
            <w:pPr>
              <w:adjustRightInd w:val="0"/>
              <w:snapToGrid w:val="0"/>
              <w:spacing w:after="0" w:line="480" w:lineRule="auto"/>
              <w:jc w:val="center"/>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磋商有效期</w:t>
            </w:r>
          </w:p>
        </w:tc>
        <w:tc>
          <w:tcPr>
            <w:tcW w:w="7287" w:type="dxa"/>
            <w:gridSpan w:val="5"/>
            <w:vAlign w:val="center"/>
          </w:tcPr>
          <w:p w14:paraId="5EC9224E">
            <w:pPr>
              <w:pStyle w:val="23"/>
              <w:spacing w:after="0" w:line="480" w:lineRule="auto"/>
              <w:jc w:val="center"/>
              <w:rPr>
                <w:rFonts w:hint="eastAsia" w:ascii="仿宋" w:hAnsi="仿宋" w:eastAsia="仿宋" w:cs="仿宋"/>
                <w:bCs/>
                <w:color w:val="auto"/>
                <w:sz w:val="24"/>
                <w:szCs w:val="24"/>
                <w:highlight w:val="none"/>
              </w:rPr>
            </w:pPr>
          </w:p>
        </w:tc>
      </w:tr>
      <w:tr w14:paraId="46B0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2093" w:type="dxa"/>
            <w:vAlign w:val="center"/>
          </w:tcPr>
          <w:p w14:paraId="07C5D3AC">
            <w:pPr>
              <w:adjustRightInd w:val="0"/>
              <w:snapToGrid w:val="0"/>
              <w:spacing w:after="0" w:line="360" w:lineRule="auto"/>
              <w:jc w:val="center"/>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需要说明的其他问题</w:t>
            </w:r>
          </w:p>
        </w:tc>
        <w:tc>
          <w:tcPr>
            <w:tcW w:w="7287" w:type="dxa"/>
            <w:gridSpan w:val="5"/>
            <w:vAlign w:val="center"/>
          </w:tcPr>
          <w:p w14:paraId="4ACE0FAA">
            <w:pPr>
              <w:pStyle w:val="23"/>
              <w:spacing w:after="0" w:line="480" w:lineRule="auto"/>
              <w:jc w:val="center"/>
              <w:rPr>
                <w:rFonts w:hint="eastAsia" w:ascii="仿宋" w:hAnsi="仿宋" w:eastAsia="仿宋" w:cs="仿宋"/>
                <w:bCs/>
                <w:color w:val="auto"/>
                <w:sz w:val="24"/>
                <w:szCs w:val="24"/>
                <w:highlight w:val="none"/>
              </w:rPr>
            </w:pPr>
          </w:p>
        </w:tc>
      </w:tr>
    </w:tbl>
    <w:p w14:paraId="0A1275B8">
      <w:pPr>
        <w:adjustRightInd w:val="0"/>
        <w:snapToGrid w:val="0"/>
        <w:spacing w:after="0"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总报价以元为单位，保留小数点后两位，小数点后第三位“四舍五入”。</w:t>
      </w:r>
    </w:p>
    <w:p w14:paraId="51A55495">
      <w:pPr>
        <w:snapToGrid w:val="0"/>
        <w:spacing w:after="0" w:line="480" w:lineRule="auto"/>
        <w:ind w:right="641" w:firstLine="2160" w:firstLineChars="900"/>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供应商（电子签章）：</w:t>
      </w:r>
    </w:p>
    <w:p w14:paraId="74A93DB6">
      <w:pPr>
        <w:snapToGrid w:val="0"/>
        <w:spacing w:after="0" w:line="480" w:lineRule="auto"/>
        <w:ind w:right="641" w:firstLine="2160" w:firstLineChars="900"/>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kern w:val="2"/>
          <w:sz w:val="24"/>
          <w:szCs w:val="24"/>
          <w:highlight w:val="none"/>
          <w:lang w:val="en-US" w:eastAsia="zh-CN" w:bidi="ar-SA"/>
        </w:rPr>
        <w:t>电子签名或签章</w:t>
      </w:r>
      <w:r>
        <w:rPr>
          <w:rFonts w:hint="eastAsia" w:ascii="仿宋" w:hAnsi="仿宋" w:eastAsia="仿宋" w:cs="仿宋"/>
          <w:color w:val="auto"/>
          <w:sz w:val="24"/>
          <w:szCs w:val="24"/>
          <w:highlight w:val="none"/>
        </w:rPr>
        <w:t>）：</w:t>
      </w:r>
    </w:p>
    <w:p w14:paraId="3E9DBF3F">
      <w:pPr>
        <w:pStyle w:val="12"/>
        <w:spacing w:after="0" w:line="360" w:lineRule="auto"/>
        <w:ind w:left="0"/>
        <w:jc w:val="right"/>
        <w:outlineLvl w:val="6"/>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年   月   日</w:t>
      </w:r>
    </w:p>
    <w:p w14:paraId="46054251">
      <w:pPr>
        <w:pStyle w:val="12"/>
        <w:spacing w:after="0" w:line="360" w:lineRule="auto"/>
        <w:ind w:left="0"/>
        <w:jc w:val="center"/>
        <w:outlineLvl w:val="6"/>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color w:val="auto"/>
          <w:sz w:val="24"/>
          <w:szCs w:val="24"/>
          <w:highlight w:val="none"/>
          <w:lang w:val="en-US" w:eastAsia="zh-CN"/>
        </w:rPr>
        <w:t>3</w:t>
      </w:r>
      <w:r>
        <w:rPr>
          <w:rFonts w:hint="eastAsia" w:ascii="仿宋" w:hAnsi="仿宋" w:eastAsia="仿宋" w:cs="仿宋"/>
          <w:b/>
          <w:color w:val="auto"/>
          <w:sz w:val="24"/>
          <w:szCs w:val="24"/>
          <w:highlight w:val="none"/>
        </w:rPr>
        <w:t>.</w:t>
      </w:r>
      <w:r>
        <w:rPr>
          <w:rFonts w:hint="eastAsia" w:ascii="仿宋" w:hAnsi="仿宋" w:eastAsia="仿宋" w:cs="仿宋"/>
          <w:b/>
          <w:bCs/>
          <w:color w:val="auto"/>
          <w:kern w:val="2"/>
          <w:sz w:val="24"/>
          <w:szCs w:val="24"/>
          <w:highlight w:val="none"/>
          <w:lang w:val="en-US" w:eastAsia="zh-CN" w:bidi="ar-SA"/>
        </w:rPr>
        <w:t>《政府采购法》第二十二条第一款规定的供应商基础性资格的承诺函</w:t>
      </w:r>
    </w:p>
    <w:p w14:paraId="3D2C0171">
      <w:pPr>
        <w:keepNext w:val="0"/>
        <w:keepLines w:val="0"/>
        <w:pageBreakBefore w:val="0"/>
        <w:widowControl w:val="0"/>
        <w:kinsoku/>
        <w:wordWrap/>
        <w:overflowPunct/>
        <w:topLinePunct w:val="0"/>
        <w:autoSpaceDE w:val="0"/>
        <w:autoSpaceDN w:val="0"/>
        <w:bidi w:val="0"/>
        <w:adjustRightInd/>
        <w:snapToGrid/>
        <w:spacing w:after="0" w:line="360" w:lineRule="auto"/>
        <w:ind w:left="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一、我公司郑重承诺，我公司符合《政府采购法》第二十二条第一款规定的供应商基础性资格条件，具体如下：</w:t>
      </w:r>
    </w:p>
    <w:p w14:paraId="33D85AA8">
      <w:pPr>
        <w:keepNext w:val="0"/>
        <w:keepLines w:val="0"/>
        <w:pageBreakBefore w:val="0"/>
        <w:widowControl w:val="0"/>
        <w:kinsoku/>
        <w:wordWrap/>
        <w:overflowPunct/>
        <w:topLinePunct w:val="0"/>
        <w:autoSpaceDE w:val="0"/>
        <w:autoSpaceDN w:val="0"/>
        <w:bidi w:val="0"/>
        <w:adjustRightInd/>
        <w:snapToGrid/>
        <w:spacing w:after="0" w:line="360" w:lineRule="auto"/>
        <w:ind w:left="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1、我公司承诺具有独立承担民事责任能力；</w:t>
      </w:r>
    </w:p>
    <w:p w14:paraId="7995B02F">
      <w:pPr>
        <w:keepNext w:val="0"/>
        <w:keepLines w:val="0"/>
        <w:pageBreakBefore w:val="0"/>
        <w:widowControl w:val="0"/>
        <w:kinsoku/>
        <w:wordWrap/>
        <w:overflowPunct/>
        <w:topLinePunct w:val="0"/>
        <w:autoSpaceDE w:val="0"/>
        <w:autoSpaceDN w:val="0"/>
        <w:bidi w:val="0"/>
        <w:adjustRightInd/>
        <w:snapToGrid/>
        <w:spacing w:after="0" w:line="360" w:lineRule="auto"/>
        <w:ind w:left="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2、我公司承诺具有良好的商业信誉和健全的财务会计制度；</w:t>
      </w:r>
    </w:p>
    <w:p w14:paraId="6FED6F74">
      <w:pPr>
        <w:keepNext w:val="0"/>
        <w:keepLines w:val="0"/>
        <w:pageBreakBefore w:val="0"/>
        <w:widowControl w:val="0"/>
        <w:kinsoku/>
        <w:wordWrap/>
        <w:overflowPunct/>
        <w:topLinePunct w:val="0"/>
        <w:autoSpaceDE w:val="0"/>
        <w:autoSpaceDN w:val="0"/>
        <w:bidi w:val="0"/>
        <w:adjustRightInd/>
        <w:snapToGrid/>
        <w:spacing w:after="0" w:line="360" w:lineRule="auto"/>
        <w:ind w:left="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3、我公司承诺具备履行合同所必需的设备和专业技术能力；</w:t>
      </w:r>
    </w:p>
    <w:p w14:paraId="676F3A4F">
      <w:pPr>
        <w:keepNext w:val="0"/>
        <w:keepLines w:val="0"/>
        <w:pageBreakBefore w:val="0"/>
        <w:widowControl w:val="0"/>
        <w:kinsoku/>
        <w:wordWrap/>
        <w:overflowPunct/>
        <w:topLinePunct w:val="0"/>
        <w:autoSpaceDE w:val="0"/>
        <w:autoSpaceDN w:val="0"/>
        <w:bidi w:val="0"/>
        <w:adjustRightInd/>
        <w:snapToGrid/>
        <w:spacing w:after="0" w:line="360" w:lineRule="auto"/>
        <w:ind w:left="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4、我公司承诺具有依法缴纳税收和社会保障资金的良好记录；</w:t>
      </w:r>
    </w:p>
    <w:p w14:paraId="5BAB2AEE">
      <w:pPr>
        <w:keepNext w:val="0"/>
        <w:keepLines w:val="0"/>
        <w:pageBreakBefore w:val="0"/>
        <w:widowControl w:val="0"/>
        <w:kinsoku/>
        <w:wordWrap/>
        <w:overflowPunct/>
        <w:topLinePunct w:val="0"/>
        <w:autoSpaceDE w:val="0"/>
        <w:autoSpaceDN w:val="0"/>
        <w:bidi w:val="0"/>
        <w:adjustRightInd/>
        <w:snapToGrid/>
        <w:spacing w:after="0" w:line="360" w:lineRule="auto"/>
        <w:ind w:left="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5、我公司承诺在参加政府采购活动前三年内，在经营活动中没有重大违法记录。</w:t>
      </w:r>
    </w:p>
    <w:p w14:paraId="163A6FFB">
      <w:pPr>
        <w:keepNext w:val="0"/>
        <w:keepLines w:val="0"/>
        <w:pageBreakBefore w:val="0"/>
        <w:widowControl w:val="0"/>
        <w:kinsoku/>
        <w:wordWrap/>
        <w:overflowPunct/>
        <w:topLinePunct w:val="0"/>
        <w:autoSpaceDE w:val="0"/>
        <w:autoSpaceDN w:val="0"/>
        <w:bidi w:val="0"/>
        <w:adjustRightInd/>
        <w:snapToGrid/>
        <w:spacing w:after="0" w:line="360" w:lineRule="auto"/>
        <w:ind w:left="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二、我公司保证上述承诺事项的真实性， 如有虚假或其他违规违法行为，我公司愿意按《政府采购法》提供虚假材料的有关规定承担法律责任，并承担因此造成的一切损失。</w:t>
      </w:r>
    </w:p>
    <w:p w14:paraId="3FF1E881">
      <w:pPr>
        <w:keepNext w:val="0"/>
        <w:keepLines w:val="0"/>
        <w:pageBreakBefore w:val="0"/>
        <w:widowControl w:val="0"/>
        <w:kinsoku/>
        <w:wordWrap/>
        <w:overflowPunct/>
        <w:topLinePunct w:val="0"/>
        <w:autoSpaceDE w:val="0"/>
        <w:autoSpaceDN w:val="0"/>
        <w:bidi w:val="0"/>
        <w:adjustRightInd/>
        <w:snapToGrid/>
        <w:spacing w:after="0" w:line="360" w:lineRule="auto"/>
        <w:ind w:left="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三、 我公司认同按照《磋商文件》“《政府采购法》第二十二条第一款规定的供应商基础性资格的承诺认定标准”对我公司或其他公司进行的供应商基础性资格的审查，对按照认定标准得出的审查结果无异议。</w:t>
      </w:r>
    </w:p>
    <w:p w14:paraId="0459B30C">
      <w:pPr>
        <w:keepNext w:val="0"/>
        <w:keepLines w:val="0"/>
        <w:pageBreakBefore w:val="0"/>
        <w:widowControl w:val="0"/>
        <w:kinsoku/>
        <w:wordWrap/>
        <w:overflowPunct/>
        <w:topLinePunct w:val="0"/>
        <w:autoSpaceDE w:val="0"/>
        <w:autoSpaceDN w:val="0"/>
        <w:bidi w:val="0"/>
        <w:adjustRightInd/>
        <w:snapToGrid/>
        <w:spacing w:after="0" w:line="360" w:lineRule="auto"/>
        <w:ind w:left="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四、我公司《响应文件》或公开资料或备案资料中，有不符合《磋商文件》“《政府采购法》第二十二条第一款规定的供应商基础性资格的承诺认定标准”的，我公司认同判定为无效投标、承担虚假承诺责任。</w:t>
      </w:r>
    </w:p>
    <w:p w14:paraId="1F09D158">
      <w:pPr>
        <w:keepNext w:val="0"/>
        <w:keepLines w:val="0"/>
        <w:pageBreakBefore w:val="0"/>
        <w:widowControl w:val="0"/>
        <w:kinsoku/>
        <w:wordWrap/>
        <w:overflowPunct/>
        <w:topLinePunct w:val="0"/>
        <w:autoSpaceDE w:val="0"/>
        <w:autoSpaceDN w:val="0"/>
        <w:bidi w:val="0"/>
        <w:adjustRightInd/>
        <w:snapToGrid/>
        <w:spacing w:after="0" w:line="360" w:lineRule="auto"/>
        <w:ind w:left="0" w:right="0"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五、我公司在没有有效的证明材料，以证明其他供应商不符合《磋商文件》“《政府 采购法》第二十二条第一款规定的供应商基础性资格的承诺认定标准”时，我公司承诺不对其他供应商的承诺函提起质疑投诉，同意对已提起的质疑投诉按缺乏事实依据、按无效质疑投诉处理。</w:t>
      </w:r>
    </w:p>
    <w:p w14:paraId="07C44E6A">
      <w:pPr>
        <w:spacing w:line="360" w:lineRule="auto"/>
        <w:rPr>
          <w:rFonts w:hint="eastAsia" w:ascii="仿宋" w:hAnsi="仿宋" w:eastAsia="仿宋" w:cs="仿宋"/>
          <w:color w:val="auto"/>
          <w:kern w:val="2"/>
          <w:sz w:val="24"/>
          <w:szCs w:val="24"/>
          <w:highlight w:val="none"/>
          <w:lang w:val="en-US" w:eastAsia="zh-CN" w:bidi="ar-SA"/>
        </w:rPr>
      </w:pPr>
    </w:p>
    <w:p w14:paraId="3FD3CBCE">
      <w:pPr>
        <w:spacing w:before="78" w:line="360" w:lineRule="auto"/>
        <w:ind w:left="12"/>
        <w:jc w:val="righ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供应商（电子签章）：</w:t>
      </w:r>
    </w:p>
    <w:p w14:paraId="0B570775">
      <w:pPr>
        <w:spacing w:before="79" w:line="360" w:lineRule="auto"/>
        <w:ind w:left="10"/>
        <w:jc w:val="righ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法定代表人（电子签名或签章）：</w:t>
      </w:r>
    </w:p>
    <w:p w14:paraId="1CD725A4">
      <w:pPr>
        <w:spacing w:before="1" w:line="360" w:lineRule="auto"/>
        <w:ind w:left="50"/>
        <w:jc w:val="righ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日期：  年   月   日</w:t>
      </w:r>
    </w:p>
    <w:p w14:paraId="4C2E354E">
      <w:pP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p>
    <w:p w14:paraId="0FE99E60">
      <w:pPr>
        <w:snapToGrid w:val="0"/>
        <w:spacing w:after="0" w:line="480" w:lineRule="auto"/>
        <w:ind w:right="641"/>
        <w:jc w:val="center"/>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lang w:val="en-US" w:eastAsia="zh-CN"/>
        </w:rPr>
        <w:t>4.</w:t>
      </w:r>
      <w:r>
        <w:rPr>
          <w:rFonts w:hint="eastAsia" w:ascii="仿宋" w:hAnsi="仿宋" w:eastAsia="仿宋" w:cs="仿宋"/>
          <w:b/>
          <w:color w:val="auto"/>
          <w:sz w:val="24"/>
          <w:szCs w:val="24"/>
          <w:highlight w:val="none"/>
        </w:rPr>
        <w:t>中小企业声明函</w:t>
      </w:r>
      <w:r>
        <w:rPr>
          <w:rFonts w:hint="eastAsia" w:ascii="仿宋" w:hAnsi="仿宋" w:eastAsia="仿宋" w:cs="仿宋"/>
          <w:b/>
          <w:bCs/>
          <w:color w:val="auto"/>
          <w:sz w:val="24"/>
          <w:szCs w:val="24"/>
          <w:highlight w:val="none"/>
        </w:rPr>
        <w:t>或《残疾人福利性单位声明函》的证明文件</w:t>
      </w:r>
    </w:p>
    <w:p w14:paraId="7CFBC06B">
      <w:pPr>
        <w:pStyle w:val="43"/>
        <w:jc w:val="center"/>
        <w:rPr>
          <w:rFonts w:hint="eastAsia" w:ascii="仿宋" w:hAnsi="仿宋" w:eastAsia="仿宋" w:cs="仿宋"/>
          <w:b/>
          <w:bCs/>
          <w:color w:val="auto"/>
          <w:sz w:val="28"/>
          <w:szCs w:val="20"/>
          <w:highlight w:val="none"/>
        </w:rPr>
      </w:pPr>
      <w:r>
        <w:rPr>
          <w:rFonts w:hint="eastAsia" w:ascii="仿宋" w:hAnsi="仿宋" w:eastAsia="仿宋" w:cs="仿宋"/>
          <w:b/>
          <w:bCs/>
          <w:color w:val="auto"/>
          <w:sz w:val="28"/>
          <w:szCs w:val="20"/>
          <w:highlight w:val="none"/>
        </w:rPr>
        <w:t>中小企业声明函</w:t>
      </w:r>
    </w:p>
    <w:p w14:paraId="58E80DBC">
      <w:pPr>
        <w:keepNext w:val="0"/>
        <w:keepLines w:val="0"/>
        <w:pageBreakBefore w:val="0"/>
        <w:widowControl/>
        <w:suppressLineNumbers w:val="0"/>
        <w:kinsoku/>
        <w:wordWrap/>
        <w:overflowPunct/>
        <w:topLinePunct w:val="0"/>
        <w:autoSpaceDE w:val="0"/>
        <w:autoSpaceDN w:val="0"/>
        <w:bidi w:val="0"/>
        <w:adjustRightInd/>
        <w:snapToGrid/>
        <w:spacing w:after="0" w:line="480" w:lineRule="auto"/>
        <w:ind w:firstLine="530" w:firstLineChars="200"/>
        <w:jc w:val="left"/>
        <w:textAlignment w:val="auto"/>
        <w:rPr>
          <w:rFonts w:hint="eastAsia" w:ascii="仿宋" w:hAnsi="仿宋" w:eastAsia="仿宋" w:cs="仿宋"/>
          <w:b/>
          <w:bCs/>
          <w:color w:val="auto"/>
          <w:spacing w:val="12"/>
          <w:sz w:val="24"/>
          <w:szCs w:val="24"/>
          <w:highlight w:val="none"/>
          <w:lang w:val="en-US" w:eastAsia="zh-CN" w:bidi="ar-SA"/>
        </w:rPr>
      </w:pPr>
      <w:r>
        <w:rPr>
          <w:rFonts w:hint="eastAsia" w:ascii="仿宋" w:hAnsi="仿宋" w:eastAsia="仿宋" w:cs="仿宋"/>
          <w:b/>
          <w:bCs/>
          <w:color w:val="auto"/>
          <w:spacing w:val="12"/>
          <w:sz w:val="24"/>
          <w:szCs w:val="24"/>
          <w:highlight w:val="none"/>
          <w:lang w:val="en-US" w:eastAsia="zh-CN" w:bidi="ar-SA"/>
        </w:rPr>
        <w:t>本公司（联合体）郑重声明，根据《政府采购促进中小企业发展管理办法》（财库﹝2020﹞46 号）的规定，本公司（联合体）参加</w:t>
      </w:r>
      <w:r>
        <w:rPr>
          <w:rFonts w:hint="eastAsia" w:ascii="仿宋" w:hAnsi="仿宋" w:eastAsia="仿宋" w:cs="仿宋"/>
          <w:b/>
          <w:bCs/>
          <w:color w:val="auto"/>
          <w:spacing w:val="12"/>
          <w:sz w:val="24"/>
          <w:szCs w:val="24"/>
          <w:highlight w:val="none"/>
          <w:u w:val="single"/>
          <w:lang w:val="en-US" w:eastAsia="zh-CN" w:bidi="ar-SA"/>
        </w:rPr>
        <w:t>（单位名称）</w:t>
      </w:r>
      <w:r>
        <w:rPr>
          <w:rFonts w:hint="eastAsia" w:ascii="仿宋" w:hAnsi="仿宋" w:eastAsia="仿宋" w:cs="仿宋"/>
          <w:b/>
          <w:bCs/>
          <w:color w:val="auto"/>
          <w:spacing w:val="12"/>
          <w:sz w:val="24"/>
          <w:szCs w:val="24"/>
          <w:highlight w:val="none"/>
          <w:lang w:val="en-US" w:eastAsia="zh-CN" w:bidi="ar-SA"/>
        </w:rPr>
        <w:t>的</w:t>
      </w:r>
      <w:r>
        <w:rPr>
          <w:rFonts w:hint="eastAsia" w:ascii="仿宋" w:hAnsi="仿宋" w:eastAsia="仿宋" w:cs="仿宋"/>
          <w:b/>
          <w:bCs/>
          <w:color w:val="auto"/>
          <w:spacing w:val="12"/>
          <w:sz w:val="24"/>
          <w:szCs w:val="24"/>
          <w:highlight w:val="none"/>
          <w:u w:val="single"/>
          <w:lang w:val="en-US" w:eastAsia="zh-CN" w:bidi="ar-SA"/>
        </w:rPr>
        <w:t>（项目名称）</w:t>
      </w:r>
      <w:r>
        <w:rPr>
          <w:rFonts w:hint="eastAsia" w:ascii="仿宋" w:hAnsi="仿宋" w:eastAsia="仿宋" w:cs="仿宋"/>
          <w:b/>
          <w:bCs/>
          <w:color w:val="auto"/>
          <w:spacing w:val="12"/>
          <w:sz w:val="24"/>
          <w:szCs w:val="24"/>
          <w:highlight w:val="none"/>
          <w:lang w:val="en-US" w:eastAsia="zh-CN" w:bidi="ar-SA"/>
        </w:rPr>
        <w:t>采购活动，服务全部由符合政策要求的中小企业承接。相关企业（含联合体中的中小企业、签订分包意向协议的中小企业）的具体情况如下：</w:t>
      </w:r>
    </w:p>
    <w:p w14:paraId="1EBE62D2">
      <w:pPr>
        <w:keepNext w:val="0"/>
        <w:keepLines w:val="0"/>
        <w:pageBreakBefore w:val="0"/>
        <w:widowControl/>
        <w:numPr>
          <w:ilvl w:val="0"/>
          <w:numId w:val="13"/>
        </w:numPr>
        <w:suppressLineNumbers w:val="0"/>
        <w:kinsoku/>
        <w:wordWrap/>
        <w:overflowPunct/>
        <w:topLinePunct w:val="0"/>
        <w:autoSpaceDE w:val="0"/>
        <w:autoSpaceDN w:val="0"/>
        <w:bidi w:val="0"/>
        <w:adjustRightInd/>
        <w:snapToGrid/>
        <w:spacing w:after="0" w:line="480" w:lineRule="auto"/>
        <w:jc w:val="left"/>
        <w:textAlignment w:val="auto"/>
        <w:rPr>
          <w:rFonts w:hint="eastAsia" w:ascii="仿宋" w:hAnsi="仿宋" w:eastAsia="仿宋" w:cs="仿宋"/>
          <w:b/>
          <w:bCs/>
          <w:color w:val="auto"/>
          <w:spacing w:val="12"/>
          <w:sz w:val="24"/>
          <w:szCs w:val="24"/>
          <w:highlight w:val="none"/>
          <w:lang w:val="en-US" w:eastAsia="zh-CN" w:bidi="ar-SA"/>
        </w:rPr>
      </w:pPr>
      <w:r>
        <w:rPr>
          <w:rFonts w:hint="eastAsia" w:ascii="仿宋" w:hAnsi="仿宋" w:eastAsia="仿宋" w:cs="仿宋"/>
          <w:b/>
          <w:bCs/>
          <w:color w:val="auto"/>
          <w:spacing w:val="12"/>
          <w:sz w:val="24"/>
          <w:szCs w:val="24"/>
          <w:highlight w:val="none"/>
          <w:u w:val="single"/>
          <w:lang w:val="en-US" w:eastAsia="zh-CN" w:bidi="ar-SA"/>
        </w:rPr>
        <w:t>（标的名称）</w:t>
      </w:r>
      <w:r>
        <w:rPr>
          <w:rFonts w:hint="eastAsia" w:ascii="仿宋" w:hAnsi="仿宋" w:eastAsia="仿宋" w:cs="仿宋"/>
          <w:b/>
          <w:bCs/>
          <w:color w:val="auto"/>
          <w:spacing w:val="12"/>
          <w:sz w:val="24"/>
          <w:szCs w:val="24"/>
          <w:highlight w:val="none"/>
          <w:lang w:val="en-US" w:eastAsia="zh-CN" w:bidi="ar-SA"/>
        </w:rPr>
        <w:t xml:space="preserve"> ，属于</w:t>
      </w:r>
      <w:r>
        <w:rPr>
          <w:rFonts w:hint="eastAsia" w:ascii="仿宋" w:hAnsi="仿宋" w:eastAsia="仿宋" w:cs="仿宋"/>
          <w:b/>
          <w:bCs/>
          <w:color w:val="auto"/>
          <w:spacing w:val="12"/>
          <w:sz w:val="24"/>
          <w:szCs w:val="24"/>
          <w:highlight w:val="none"/>
          <w:u w:val="single"/>
          <w:lang w:val="en-US" w:eastAsia="zh-CN" w:bidi="ar-SA"/>
        </w:rPr>
        <w:t>（采购文件中明确的所属行业）</w:t>
      </w:r>
      <w:r>
        <w:rPr>
          <w:rFonts w:hint="eastAsia" w:ascii="仿宋" w:hAnsi="仿宋" w:eastAsia="仿宋" w:cs="仿宋"/>
          <w:b/>
          <w:bCs/>
          <w:color w:val="auto"/>
          <w:spacing w:val="12"/>
          <w:sz w:val="24"/>
          <w:szCs w:val="24"/>
          <w:highlight w:val="none"/>
          <w:lang w:val="en-US" w:eastAsia="zh-CN" w:bidi="ar-SA"/>
        </w:rPr>
        <w:t>；承建</w:t>
      </w:r>
      <w:r>
        <w:rPr>
          <w:rFonts w:hint="eastAsia" w:ascii="仿宋" w:hAnsi="仿宋" w:eastAsia="仿宋" w:cs="仿宋"/>
          <w:b/>
          <w:bCs/>
          <w:color w:val="auto"/>
          <w:spacing w:val="12"/>
          <w:sz w:val="24"/>
          <w:szCs w:val="24"/>
          <w:highlight w:val="none"/>
          <w:u w:val="none"/>
          <w:lang w:val="en-US" w:eastAsia="zh-CN" w:bidi="ar-SA"/>
        </w:rPr>
        <w:t>（承接）</w:t>
      </w:r>
      <w:r>
        <w:rPr>
          <w:rFonts w:hint="eastAsia" w:ascii="仿宋" w:hAnsi="仿宋" w:eastAsia="仿宋" w:cs="仿宋"/>
          <w:b/>
          <w:bCs/>
          <w:color w:val="auto"/>
          <w:spacing w:val="12"/>
          <w:sz w:val="24"/>
          <w:szCs w:val="24"/>
          <w:highlight w:val="none"/>
          <w:lang w:val="en-US" w:eastAsia="zh-CN" w:bidi="ar-SA"/>
        </w:rPr>
        <w:t>企业为</w:t>
      </w:r>
      <w:r>
        <w:rPr>
          <w:rFonts w:hint="eastAsia" w:ascii="仿宋" w:hAnsi="仿宋" w:eastAsia="仿宋" w:cs="仿宋"/>
          <w:b/>
          <w:bCs/>
          <w:color w:val="auto"/>
          <w:spacing w:val="12"/>
          <w:sz w:val="24"/>
          <w:szCs w:val="24"/>
          <w:highlight w:val="none"/>
          <w:u w:val="single"/>
          <w:lang w:val="en-US" w:eastAsia="zh-CN" w:bidi="ar-SA"/>
        </w:rPr>
        <w:t>（企业名称）</w:t>
      </w:r>
      <w:r>
        <w:rPr>
          <w:rFonts w:hint="eastAsia" w:ascii="仿宋" w:hAnsi="仿宋" w:eastAsia="仿宋" w:cs="仿宋"/>
          <w:b/>
          <w:bCs/>
          <w:color w:val="auto"/>
          <w:spacing w:val="12"/>
          <w:sz w:val="24"/>
          <w:szCs w:val="24"/>
          <w:highlight w:val="none"/>
          <w:lang w:val="en-US" w:eastAsia="zh-CN" w:bidi="ar-SA"/>
        </w:rPr>
        <w:t>，从业人员</w:t>
      </w:r>
      <w:r>
        <w:rPr>
          <w:rFonts w:hint="eastAsia" w:ascii="仿宋" w:hAnsi="仿宋" w:eastAsia="仿宋" w:cs="仿宋"/>
          <w:b/>
          <w:bCs/>
          <w:color w:val="auto"/>
          <w:spacing w:val="12"/>
          <w:sz w:val="24"/>
          <w:szCs w:val="24"/>
          <w:highlight w:val="none"/>
          <w:u w:val="single"/>
          <w:lang w:val="en-US" w:eastAsia="zh-CN" w:bidi="ar-SA"/>
        </w:rPr>
        <w:t xml:space="preserve">    人</w:t>
      </w:r>
      <w:r>
        <w:rPr>
          <w:rFonts w:hint="eastAsia" w:ascii="仿宋" w:hAnsi="仿宋" w:eastAsia="仿宋" w:cs="仿宋"/>
          <w:b/>
          <w:bCs/>
          <w:color w:val="auto"/>
          <w:spacing w:val="12"/>
          <w:sz w:val="24"/>
          <w:szCs w:val="24"/>
          <w:highlight w:val="none"/>
          <w:lang w:val="en-US" w:eastAsia="zh-CN" w:bidi="ar-SA"/>
        </w:rPr>
        <w:t>，营业收入为</w:t>
      </w:r>
      <w:r>
        <w:rPr>
          <w:rFonts w:hint="eastAsia" w:ascii="仿宋" w:hAnsi="仿宋" w:eastAsia="仿宋" w:cs="仿宋"/>
          <w:b/>
          <w:bCs/>
          <w:color w:val="auto"/>
          <w:spacing w:val="12"/>
          <w:sz w:val="24"/>
          <w:szCs w:val="24"/>
          <w:highlight w:val="none"/>
          <w:u w:val="single"/>
          <w:lang w:val="en-US" w:eastAsia="zh-CN" w:bidi="ar-SA"/>
        </w:rPr>
        <w:t xml:space="preserve">   万元</w:t>
      </w:r>
      <w:r>
        <w:rPr>
          <w:rFonts w:hint="eastAsia" w:ascii="仿宋" w:hAnsi="仿宋" w:eastAsia="仿宋" w:cs="仿宋"/>
          <w:b/>
          <w:bCs/>
          <w:color w:val="auto"/>
          <w:spacing w:val="12"/>
          <w:sz w:val="24"/>
          <w:szCs w:val="24"/>
          <w:highlight w:val="none"/>
          <w:lang w:val="en-US" w:eastAsia="zh-CN" w:bidi="ar-SA"/>
        </w:rPr>
        <w:t>，资产总额为</w:t>
      </w:r>
      <w:r>
        <w:rPr>
          <w:rFonts w:hint="eastAsia" w:ascii="仿宋" w:hAnsi="仿宋" w:eastAsia="仿宋" w:cs="仿宋"/>
          <w:b/>
          <w:bCs/>
          <w:color w:val="auto"/>
          <w:spacing w:val="12"/>
          <w:sz w:val="24"/>
          <w:szCs w:val="24"/>
          <w:highlight w:val="none"/>
          <w:u w:val="single"/>
          <w:lang w:val="en-US" w:eastAsia="zh-CN" w:bidi="ar-SA"/>
        </w:rPr>
        <w:t xml:space="preserve">   万元</w:t>
      </w:r>
      <w:r>
        <w:rPr>
          <w:rFonts w:hint="eastAsia" w:ascii="仿宋" w:hAnsi="仿宋" w:eastAsia="仿宋" w:cs="仿宋"/>
          <w:b/>
          <w:bCs/>
          <w:color w:val="auto"/>
          <w:spacing w:val="12"/>
          <w:sz w:val="24"/>
          <w:szCs w:val="24"/>
          <w:highlight w:val="none"/>
          <w:lang w:val="en-US" w:eastAsia="zh-CN" w:bidi="ar-SA"/>
        </w:rPr>
        <w:t xml:space="preserve">，属于（中型企业、小型企业、微型企业）； </w:t>
      </w:r>
    </w:p>
    <w:p w14:paraId="012DD97E">
      <w:pPr>
        <w:keepNext w:val="0"/>
        <w:keepLines w:val="0"/>
        <w:pageBreakBefore w:val="0"/>
        <w:widowControl/>
        <w:numPr>
          <w:ilvl w:val="0"/>
          <w:numId w:val="13"/>
        </w:numPr>
        <w:suppressLineNumbers w:val="0"/>
        <w:kinsoku/>
        <w:wordWrap/>
        <w:overflowPunct/>
        <w:topLinePunct w:val="0"/>
        <w:autoSpaceDE w:val="0"/>
        <w:autoSpaceDN w:val="0"/>
        <w:bidi w:val="0"/>
        <w:adjustRightInd/>
        <w:snapToGrid/>
        <w:spacing w:after="0" w:line="480" w:lineRule="auto"/>
        <w:jc w:val="left"/>
        <w:textAlignment w:val="auto"/>
        <w:rPr>
          <w:rFonts w:hint="eastAsia" w:ascii="仿宋" w:hAnsi="仿宋" w:eastAsia="仿宋" w:cs="仿宋"/>
          <w:b/>
          <w:bCs/>
          <w:color w:val="auto"/>
          <w:spacing w:val="12"/>
          <w:sz w:val="24"/>
          <w:szCs w:val="24"/>
          <w:highlight w:val="none"/>
          <w:lang w:val="en-US" w:eastAsia="zh-CN" w:bidi="ar-SA"/>
        </w:rPr>
      </w:pPr>
      <w:r>
        <w:rPr>
          <w:rFonts w:hint="eastAsia" w:ascii="仿宋" w:hAnsi="仿宋" w:eastAsia="仿宋" w:cs="仿宋"/>
          <w:b/>
          <w:bCs/>
          <w:color w:val="auto"/>
          <w:spacing w:val="12"/>
          <w:sz w:val="24"/>
          <w:szCs w:val="24"/>
          <w:highlight w:val="none"/>
          <w:u w:val="single"/>
          <w:lang w:val="en-US" w:eastAsia="zh-CN" w:bidi="ar-SA"/>
        </w:rPr>
        <w:t>（标的名称）</w:t>
      </w:r>
      <w:r>
        <w:rPr>
          <w:rFonts w:hint="eastAsia" w:ascii="仿宋" w:hAnsi="仿宋" w:eastAsia="仿宋" w:cs="仿宋"/>
          <w:b/>
          <w:bCs/>
          <w:color w:val="auto"/>
          <w:spacing w:val="12"/>
          <w:sz w:val="24"/>
          <w:szCs w:val="24"/>
          <w:highlight w:val="none"/>
          <w:lang w:val="en-US" w:eastAsia="zh-CN" w:bidi="ar-SA"/>
        </w:rPr>
        <w:t xml:space="preserve"> ，属于</w:t>
      </w:r>
      <w:r>
        <w:rPr>
          <w:rFonts w:hint="eastAsia" w:ascii="仿宋" w:hAnsi="仿宋" w:eastAsia="仿宋" w:cs="仿宋"/>
          <w:b/>
          <w:bCs/>
          <w:color w:val="auto"/>
          <w:spacing w:val="12"/>
          <w:sz w:val="24"/>
          <w:szCs w:val="24"/>
          <w:highlight w:val="none"/>
          <w:u w:val="single"/>
          <w:lang w:val="en-US" w:eastAsia="zh-CN" w:bidi="ar-SA"/>
        </w:rPr>
        <w:t>（采购文件中明确的所属行业）</w:t>
      </w:r>
      <w:r>
        <w:rPr>
          <w:rFonts w:hint="eastAsia" w:ascii="仿宋" w:hAnsi="仿宋" w:eastAsia="仿宋" w:cs="仿宋"/>
          <w:b/>
          <w:bCs/>
          <w:color w:val="auto"/>
          <w:spacing w:val="12"/>
          <w:sz w:val="24"/>
          <w:szCs w:val="24"/>
          <w:highlight w:val="none"/>
          <w:lang w:val="en-US" w:eastAsia="zh-CN" w:bidi="ar-SA"/>
        </w:rPr>
        <w:t>；承建</w:t>
      </w:r>
      <w:r>
        <w:rPr>
          <w:rFonts w:hint="eastAsia" w:ascii="仿宋" w:hAnsi="仿宋" w:eastAsia="仿宋" w:cs="仿宋"/>
          <w:b/>
          <w:bCs/>
          <w:color w:val="auto"/>
          <w:spacing w:val="12"/>
          <w:sz w:val="24"/>
          <w:szCs w:val="24"/>
          <w:highlight w:val="none"/>
          <w:u w:val="none"/>
          <w:lang w:val="en-US" w:eastAsia="zh-CN" w:bidi="ar-SA"/>
        </w:rPr>
        <w:t>（承接）</w:t>
      </w:r>
      <w:r>
        <w:rPr>
          <w:rFonts w:hint="eastAsia" w:ascii="仿宋" w:hAnsi="仿宋" w:eastAsia="仿宋" w:cs="仿宋"/>
          <w:b/>
          <w:bCs/>
          <w:color w:val="auto"/>
          <w:spacing w:val="12"/>
          <w:sz w:val="24"/>
          <w:szCs w:val="24"/>
          <w:highlight w:val="none"/>
          <w:lang w:val="en-US" w:eastAsia="zh-CN" w:bidi="ar-SA"/>
        </w:rPr>
        <w:t>企业为</w:t>
      </w:r>
      <w:r>
        <w:rPr>
          <w:rFonts w:hint="eastAsia" w:ascii="仿宋" w:hAnsi="仿宋" w:eastAsia="仿宋" w:cs="仿宋"/>
          <w:b/>
          <w:bCs/>
          <w:color w:val="auto"/>
          <w:spacing w:val="12"/>
          <w:sz w:val="24"/>
          <w:szCs w:val="24"/>
          <w:highlight w:val="none"/>
          <w:u w:val="single"/>
          <w:lang w:val="en-US" w:eastAsia="zh-CN" w:bidi="ar-SA"/>
        </w:rPr>
        <w:t>（企业名称）</w:t>
      </w:r>
      <w:r>
        <w:rPr>
          <w:rFonts w:hint="eastAsia" w:ascii="仿宋" w:hAnsi="仿宋" w:eastAsia="仿宋" w:cs="仿宋"/>
          <w:b/>
          <w:bCs/>
          <w:color w:val="auto"/>
          <w:spacing w:val="12"/>
          <w:sz w:val="24"/>
          <w:szCs w:val="24"/>
          <w:highlight w:val="none"/>
          <w:lang w:val="en-US" w:eastAsia="zh-CN" w:bidi="ar-SA"/>
        </w:rPr>
        <w:t>，从业人员</w:t>
      </w:r>
      <w:r>
        <w:rPr>
          <w:rFonts w:hint="eastAsia" w:ascii="仿宋" w:hAnsi="仿宋" w:eastAsia="仿宋" w:cs="仿宋"/>
          <w:b/>
          <w:bCs/>
          <w:color w:val="auto"/>
          <w:spacing w:val="12"/>
          <w:sz w:val="24"/>
          <w:szCs w:val="24"/>
          <w:highlight w:val="none"/>
          <w:u w:val="single"/>
          <w:lang w:val="en-US" w:eastAsia="zh-CN" w:bidi="ar-SA"/>
        </w:rPr>
        <w:t xml:space="preserve">    人</w:t>
      </w:r>
      <w:r>
        <w:rPr>
          <w:rFonts w:hint="eastAsia" w:ascii="仿宋" w:hAnsi="仿宋" w:eastAsia="仿宋" w:cs="仿宋"/>
          <w:b/>
          <w:bCs/>
          <w:color w:val="auto"/>
          <w:spacing w:val="12"/>
          <w:sz w:val="24"/>
          <w:szCs w:val="24"/>
          <w:highlight w:val="none"/>
          <w:lang w:val="en-US" w:eastAsia="zh-CN" w:bidi="ar-SA"/>
        </w:rPr>
        <w:t>，营业收入为</w:t>
      </w:r>
      <w:r>
        <w:rPr>
          <w:rFonts w:hint="eastAsia" w:ascii="仿宋" w:hAnsi="仿宋" w:eastAsia="仿宋" w:cs="仿宋"/>
          <w:b/>
          <w:bCs/>
          <w:color w:val="auto"/>
          <w:spacing w:val="12"/>
          <w:sz w:val="24"/>
          <w:szCs w:val="24"/>
          <w:highlight w:val="none"/>
          <w:u w:val="single"/>
          <w:lang w:val="en-US" w:eastAsia="zh-CN" w:bidi="ar-SA"/>
        </w:rPr>
        <w:t xml:space="preserve">   万元</w:t>
      </w:r>
      <w:r>
        <w:rPr>
          <w:rFonts w:hint="eastAsia" w:ascii="仿宋" w:hAnsi="仿宋" w:eastAsia="仿宋" w:cs="仿宋"/>
          <w:b/>
          <w:bCs/>
          <w:color w:val="auto"/>
          <w:spacing w:val="12"/>
          <w:sz w:val="24"/>
          <w:szCs w:val="24"/>
          <w:highlight w:val="none"/>
          <w:lang w:val="en-US" w:eastAsia="zh-CN" w:bidi="ar-SA"/>
        </w:rPr>
        <w:t>，资产总额为</w:t>
      </w:r>
      <w:r>
        <w:rPr>
          <w:rFonts w:hint="eastAsia" w:ascii="仿宋" w:hAnsi="仿宋" w:eastAsia="仿宋" w:cs="仿宋"/>
          <w:b/>
          <w:bCs/>
          <w:color w:val="auto"/>
          <w:spacing w:val="12"/>
          <w:sz w:val="24"/>
          <w:szCs w:val="24"/>
          <w:highlight w:val="none"/>
          <w:u w:val="single"/>
          <w:lang w:val="en-US" w:eastAsia="zh-CN" w:bidi="ar-SA"/>
        </w:rPr>
        <w:t xml:space="preserve">   万元</w:t>
      </w:r>
      <w:r>
        <w:rPr>
          <w:rFonts w:hint="eastAsia" w:ascii="仿宋" w:hAnsi="仿宋" w:eastAsia="仿宋" w:cs="仿宋"/>
          <w:b/>
          <w:bCs/>
          <w:color w:val="auto"/>
          <w:spacing w:val="12"/>
          <w:sz w:val="24"/>
          <w:szCs w:val="24"/>
          <w:highlight w:val="none"/>
          <w:lang w:val="en-US" w:eastAsia="zh-CN" w:bidi="ar-SA"/>
        </w:rPr>
        <w:t xml:space="preserve">，属于（中型企业、小型企业、微型企业）； </w:t>
      </w:r>
    </w:p>
    <w:p w14:paraId="39641487">
      <w:pPr>
        <w:keepNext w:val="0"/>
        <w:keepLines w:val="0"/>
        <w:pageBreakBefore w:val="0"/>
        <w:widowControl/>
        <w:suppressLineNumbers w:val="0"/>
        <w:kinsoku/>
        <w:wordWrap/>
        <w:overflowPunct/>
        <w:topLinePunct w:val="0"/>
        <w:autoSpaceDE w:val="0"/>
        <w:autoSpaceDN w:val="0"/>
        <w:bidi w:val="0"/>
        <w:adjustRightInd/>
        <w:snapToGrid/>
        <w:spacing w:after="0" w:line="480" w:lineRule="auto"/>
        <w:jc w:val="left"/>
        <w:textAlignment w:val="auto"/>
        <w:rPr>
          <w:rFonts w:hint="eastAsia" w:ascii="仿宋" w:hAnsi="仿宋" w:eastAsia="仿宋" w:cs="仿宋"/>
          <w:b/>
          <w:bCs/>
          <w:color w:val="auto"/>
          <w:spacing w:val="12"/>
          <w:sz w:val="24"/>
          <w:szCs w:val="24"/>
          <w:highlight w:val="none"/>
          <w:lang w:val="en-US" w:eastAsia="zh-CN" w:bidi="ar-SA"/>
        </w:rPr>
      </w:pPr>
      <w:r>
        <w:rPr>
          <w:rFonts w:hint="eastAsia" w:ascii="仿宋" w:hAnsi="仿宋" w:eastAsia="仿宋" w:cs="仿宋"/>
          <w:b/>
          <w:bCs/>
          <w:color w:val="auto"/>
          <w:spacing w:val="12"/>
          <w:sz w:val="24"/>
          <w:szCs w:val="24"/>
          <w:highlight w:val="none"/>
          <w:lang w:val="en-US" w:eastAsia="zh-CN" w:bidi="ar-SA"/>
        </w:rPr>
        <w:t>……</w:t>
      </w:r>
    </w:p>
    <w:p w14:paraId="707C856A">
      <w:pPr>
        <w:keepNext w:val="0"/>
        <w:keepLines w:val="0"/>
        <w:pageBreakBefore w:val="0"/>
        <w:widowControl/>
        <w:suppressLineNumbers w:val="0"/>
        <w:kinsoku/>
        <w:wordWrap/>
        <w:overflowPunct/>
        <w:topLinePunct w:val="0"/>
        <w:autoSpaceDE w:val="0"/>
        <w:autoSpaceDN w:val="0"/>
        <w:bidi w:val="0"/>
        <w:adjustRightInd/>
        <w:snapToGrid/>
        <w:spacing w:after="0" w:line="480" w:lineRule="auto"/>
        <w:ind w:firstLine="530" w:firstLineChars="200"/>
        <w:jc w:val="left"/>
        <w:textAlignment w:val="auto"/>
        <w:rPr>
          <w:rFonts w:hint="eastAsia" w:ascii="仿宋" w:hAnsi="仿宋" w:eastAsia="仿宋" w:cs="仿宋"/>
          <w:b/>
          <w:bCs/>
          <w:color w:val="auto"/>
          <w:spacing w:val="12"/>
          <w:sz w:val="24"/>
          <w:szCs w:val="24"/>
          <w:highlight w:val="none"/>
          <w:lang w:val="en-US" w:eastAsia="zh-CN" w:bidi="ar-SA"/>
        </w:rPr>
      </w:pPr>
      <w:r>
        <w:rPr>
          <w:rFonts w:hint="eastAsia" w:ascii="仿宋" w:hAnsi="仿宋" w:eastAsia="仿宋" w:cs="仿宋"/>
          <w:b/>
          <w:bCs/>
          <w:color w:val="auto"/>
          <w:spacing w:val="12"/>
          <w:sz w:val="24"/>
          <w:szCs w:val="24"/>
          <w:highlight w:val="none"/>
          <w:lang w:val="en-US" w:eastAsia="zh-CN" w:bidi="ar-SA"/>
        </w:rPr>
        <w:t>以上企业，不属于大企业的分支机构，不存在控股股东为大企业的情形，也不存在与大企业的负责人为同一人的情形。</w:t>
      </w:r>
    </w:p>
    <w:p w14:paraId="1F7ED395">
      <w:pPr>
        <w:keepNext w:val="0"/>
        <w:keepLines w:val="0"/>
        <w:pageBreakBefore w:val="0"/>
        <w:widowControl/>
        <w:suppressLineNumbers w:val="0"/>
        <w:kinsoku/>
        <w:wordWrap/>
        <w:overflowPunct/>
        <w:topLinePunct w:val="0"/>
        <w:autoSpaceDE w:val="0"/>
        <w:autoSpaceDN w:val="0"/>
        <w:bidi w:val="0"/>
        <w:adjustRightInd/>
        <w:snapToGrid/>
        <w:spacing w:after="0" w:line="480" w:lineRule="auto"/>
        <w:ind w:firstLine="530" w:firstLineChars="200"/>
        <w:jc w:val="left"/>
        <w:textAlignment w:val="auto"/>
        <w:rPr>
          <w:rFonts w:hint="eastAsia" w:ascii="仿宋" w:hAnsi="仿宋" w:eastAsia="仿宋" w:cs="仿宋"/>
          <w:b/>
          <w:bCs/>
          <w:color w:val="auto"/>
          <w:spacing w:val="12"/>
          <w:sz w:val="24"/>
          <w:szCs w:val="24"/>
          <w:highlight w:val="none"/>
          <w:lang w:val="en-US" w:eastAsia="zh-CN" w:bidi="ar-SA"/>
        </w:rPr>
      </w:pPr>
      <w:r>
        <w:rPr>
          <w:rFonts w:hint="eastAsia" w:ascii="仿宋" w:hAnsi="仿宋" w:eastAsia="仿宋" w:cs="仿宋"/>
          <w:b/>
          <w:bCs/>
          <w:color w:val="auto"/>
          <w:spacing w:val="12"/>
          <w:sz w:val="24"/>
          <w:szCs w:val="24"/>
          <w:highlight w:val="none"/>
          <w:lang w:val="en-US" w:eastAsia="zh-CN" w:bidi="ar-SA"/>
        </w:rPr>
        <w:t>本企业对上述声明内容的真实性负责。如有虚假，将依法承担相应责任。</w:t>
      </w:r>
    </w:p>
    <w:p w14:paraId="7B990E09">
      <w:pPr>
        <w:pStyle w:val="29"/>
        <w:spacing w:line="360" w:lineRule="auto"/>
        <w:rPr>
          <w:rFonts w:hint="eastAsia" w:ascii="仿宋" w:hAnsi="仿宋" w:eastAsia="仿宋" w:cs="仿宋"/>
          <w:color w:val="auto"/>
          <w:spacing w:val="12"/>
          <w:sz w:val="24"/>
          <w:szCs w:val="24"/>
          <w:highlight w:val="none"/>
          <w:lang w:val="en-US" w:eastAsia="zh-CN" w:bidi="ar-SA"/>
        </w:rPr>
      </w:pPr>
    </w:p>
    <w:p w14:paraId="3563E961">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sz w:val="24"/>
          <w:szCs w:val="24"/>
          <w:highlight w:val="none"/>
        </w:rPr>
        <w:t> 供应商（电子签章）：</w:t>
      </w:r>
    </w:p>
    <w:p w14:paraId="63B1A238">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lang w:val="en-US" w:eastAsia="zh-CN"/>
        </w:rPr>
        <w:t>电子签名或签章</w:t>
      </w:r>
      <w:r>
        <w:rPr>
          <w:rFonts w:hint="eastAsia" w:ascii="仿宋" w:hAnsi="仿宋" w:eastAsia="仿宋" w:cs="仿宋"/>
          <w:color w:val="auto"/>
          <w:sz w:val="24"/>
          <w:szCs w:val="24"/>
          <w:highlight w:val="none"/>
        </w:rPr>
        <w:t>）：</w:t>
      </w:r>
    </w:p>
    <w:p w14:paraId="65C2C04F">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w:t>
      </w:r>
    </w:p>
    <w:p w14:paraId="1889D1E9">
      <w:pPr>
        <w:jc w:val="righ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rPr>
        <w:t>日</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期：  年   月   日</w:t>
      </w:r>
      <w:r>
        <w:rPr>
          <w:rFonts w:hint="eastAsia" w:ascii="仿宋" w:hAnsi="仿宋" w:eastAsia="仿宋" w:cs="仿宋"/>
          <w:color w:val="auto"/>
          <w:kern w:val="0"/>
          <w:sz w:val="24"/>
          <w:szCs w:val="24"/>
          <w:highlight w:val="none"/>
          <w:lang w:eastAsia="zh-CN"/>
        </w:rPr>
        <w:br w:type="page"/>
      </w:r>
    </w:p>
    <w:p w14:paraId="31DFB138">
      <w:pPr>
        <w:pStyle w:val="69"/>
        <w:numPr>
          <w:ilvl w:val="0"/>
          <w:numId w:val="0"/>
        </w:numPr>
        <w:tabs>
          <w:tab w:val="left" w:pos="3416"/>
        </w:tabs>
        <w:spacing w:before="0" w:after="0" w:line="692" w:lineRule="exact"/>
        <w:ind w:left="-1" w:leftChars="0" w:right="101" w:rightChars="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残疾人福利性单位声明函</w:t>
      </w:r>
    </w:p>
    <w:p w14:paraId="3388D22A">
      <w:pPr>
        <w:pStyle w:val="69"/>
        <w:numPr>
          <w:ilvl w:val="0"/>
          <w:numId w:val="0"/>
        </w:numPr>
        <w:tabs>
          <w:tab w:val="left" w:pos="3416"/>
        </w:tabs>
        <w:spacing w:before="0" w:after="0" w:line="692" w:lineRule="exact"/>
        <w:ind w:left="-1" w:leftChars="0" w:right="101" w:rightChars="0"/>
        <w:jc w:val="center"/>
        <w:rPr>
          <w:rFonts w:hint="eastAsia" w:ascii="仿宋" w:hAnsi="仿宋" w:eastAsia="仿宋" w:cs="仿宋"/>
          <w:b/>
          <w:color w:val="auto"/>
          <w:sz w:val="24"/>
          <w:szCs w:val="24"/>
          <w:highlight w:val="none"/>
        </w:rPr>
      </w:pPr>
    </w:p>
    <w:p w14:paraId="15EAFF28">
      <w:pPr>
        <w:pStyle w:val="12"/>
        <w:keepNext w:val="0"/>
        <w:keepLines w:val="0"/>
        <w:pageBreakBefore w:val="0"/>
        <w:widowControl w:val="0"/>
        <w:tabs>
          <w:tab w:val="left" w:leader="underscore" w:pos="9647"/>
        </w:tabs>
        <w:kinsoku/>
        <w:wordWrap/>
        <w:overflowPunct/>
        <w:topLinePunct/>
        <w:autoSpaceDE/>
        <w:autoSpaceDN/>
        <w:bidi w:val="0"/>
        <w:adjustRightInd/>
        <w:snapToGrid/>
        <w:spacing w:before="0" w:after="0" w:line="360" w:lineRule="auto"/>
        <w:ind w:left="0" w:leftChars="0" w:right="0" w:firstLine="528"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12"/>
          <w:sz w:val="24"/>
          <w:szCs w:val="24"/>
          <w:highlight w:val="none"/>
        </w:rPr>
        <w:t>本单位郑重声明，根据《财政</w:t>
      </w:r>
      <w:r>
        <w:rPr>
          <w:rFonts w:hint="eastAsia" w:ascii="仿宋" w:hAnsi="仿宋" w:eastAsia="仿宋" w:cs="仿宋"/>
          <w:color w:val="auto"/>
          <w:sz w:val="24"/>
          <w:szCs w:val="24"/>
          <w:highlight w:val="none"/>
        </w:rPr>
        <w:t>部</w:t>
      </w:r>
      <w:r>
        <w:rPr>
          <w:rFonts w:hint="eastAsia" w:ascii="仿宋" w:hAnsi="仿宋" w:eastAsia="仿宋" w:cs="仿宋"/>
          <w:color w:val="auto"/>
          <w:spacing w:val="24"/>
          <w:sz w:val="24"/>
          <w:szCs w:val="24"/>
          <w:highlight w:val="none"/>
        </w:rPr>
        <w:t xml:space="preserve"> </w:t>
      </w:r>
      <w:r>
        <w:rPr>
          <w:rFonts w:hint="eastAsia" w:ascii="仿宋" w:hAnsi="仿宋" w:eastAsia="仿宋" w:cs="仿宋"/>
          <w:color w:val="auto"/>
          <w:spacing w:val="12"/>
          <w:sz w:val="24"/>
          <w:szCs w:val="24"/>
          <w:highlight w:val="none"/>
        </w:rPr>
        <w:t>民政</w:t>
      </w:r>
      <w:r>
        <w:rPr>
          <w:rFonts w:hint="eastAsia" w:ascii="仿宋" w:hAnsi="仿宋" w:eastAsia="仿宋" w:cs="仿宋"/>
          <w:color w:val="auto"/>
          <w:sz w:val="24"/>
          <w:szCs w:val="24"/>
          <w:highlight w:val="none"/>
        </w:rPr>
        <w:t>部</w:t>
      </w:r>
      <w:r>
        <w:rPr>
          <w:rFonts w:hint="eastAsia" w:ascii="仿宋" w:hAnsi="仿宋" w:eastAsia="仿宋" w:cs="仿宋"/>
          <w:color w:val="auto"/>
          <w:spacing w:val="24"/>
          <w:sz w:val="24"/>
          <w:szCs w:val="24"/>
          <w:highlight w:val="none"/>
        </w:rPr>
        <w:t xml:space="preserve"> </w:t>
      </w:r>
      <w:r>
        <w:rPr>
          <w:rFonts w:hint="eastAsia" w:ascii="仿宋" w:hAnsi="仿宋" w:eastAsia="仿宋" w:cs="仿宋"/>
          <w:color w:val="auto"/>
          <w:spacing w:val="12"/>
          <w:sz w:val="24"/>
          <w:szCs w:val="24"/>
          <w:highlight w:val="none"/>
        </w:rPr>
        <w:t>中国残疾人联合会关于促</w:t>
      </w:r>
      <w:r>
        <w:rPr>
          <w:rFonts w:hint="eastAsia" w:ascii="仿宋" w:hAnsi="仿宋" w:eastAsia="仿宋" w:cs="仿宋"/>
          <w:color w:val="auto"/>
          <w:sz w:val="24"/>
          <w:szCs w:val="24"/>
          <w:highlight w:val="none"/>
        </w:rPr>
        <w:t>进</w:t>
      </w:r>
      <w:r>
        <w:rPr>
          <w:rFonts w:hint="eastAsia" w:ascii="仿宋" w:hAnsi="仿宋" w:eastAsia="仿宋" w:cs="仿宋"/>
          <w:color w:val="auto"/>
          <w:spacing w:val="12"/>
          <w:sz w:val="24"/>
          <w:szCs w:val="24"/>
          <w:highlight w:val="none"/>
        </w:rPr>
        <w:t>残疾人</w:t>
      </w:r>
      <w:r>
        <w:rPr>
          <w:rFonts w:hint="eastAsia" w:ascii="仿宋" w:hAnsi="仿宋" w:eastAsia="仿宋" w:cs="仿宋"/>
          <w:color w:val="auto"/>
          <w:spacing w:val="11"/>
          <w:sz w:val="24"/>
          <w:szCs w:val="24"/>
          <w:highlight w:val="none"/>
        </w:rPr>
        <w:t>就</w:t>
      </w:r>
      <w:r>
        <w:rPr>
          <w:rFonts w:hint="eastAsia" w:ascii="仿宋" w:hAnsi="仿宋" w:eastAsia="仿宋" w:cs="仿宋"/>
          <w:color w:val="auto"/>
          <w:spacing w:val="12"/>
          <w:sz w:val="24"/>
          <w:szCs w:val="24"/>
          <w:highlight w:val="none"/>
        </w:rPr>
        <w:t>业政府采购政</w:t>
      </w:r>
      <w:r>
        <w:rPr>
          <w:rFonts w:hint="eastAsia" w:ascii="仿宋" w:hAnsi="仿宋" w:eastAsia="仿宋" w:cs="仿宋"/>
          <w:color w:val="auto"/>
          <w:spacing w:val="11"/>
          <w:sz w:val="24"/>
          <w:szCs w:val="24"/>
          <w:highlight w:val="none"/>
        </w:rPr>
        <w:t>策</w:t>
      </w:r>
      <w:r>
        <w:rPr>
          <w:rFonts w:hint="eastAsia" w:ascii="仿宋" w:hAnsi="仿宋" w:eastAsia="仿宋" w:cs="仿宋"/>
          <w:color w:val="auto"/>
          <w:spacing w:val="12"/>
          <w:sz w:val="24"/>
          <w:szCs w:val="24"/>
          <w:highlight w:val="none"/>
        </w:rPr>
        <w:t>的通知</w:t>
      </w:r>
      <w:r>
        <w:rPr>
          <w:rFonts w:hint="eastAsia" w:ascii="仿宋" w:hAnsi="仿宋" w:eastAsia="仿宋" w:cs="仿宋"/>
          <w:color w:val="auto"/>
          <w:spacing w:val="-35"/>
          <w:sz w:val="24"/>
          <w:szCs w:val="24"/>
          <w:highlight w:val="none"/>
        </w:rPr>
        <w:t>》</w:t>
      </w:r>
      <w:r>
        <w:rPr>
          <w:rFonts w:hint="eastAsia" w:ascii="仿宋" w:hAnsi="仿宋" w:eastAsia="仿宋" w:cs="仿宋"/>
          <w:color w:val="auto"/>
          <w:spacing w:val="12"/>
          <w:sz w:val="24"/>
          <w:szCs w:val="24"/>
          <w:highlight w:val="none"/>
        </w:rPr>
        <w:t>（财库</w:t>
      </w:r>
      <w:r>
        <w:rPr>
          <w:rFonts w:hint="eastAsia" w:ascii="仿宋" w:hAnsi="仿宋" w:eastAsia="仿宋" w:cs="仿宋"/>
          <w:color w:val="auto"/>
          <w:sz w:val="24"/>
          <w:szCs w:val="24"/>
          <w:highlight w:val="none"/>
        </w:rPr>
        <w:t>〔2017</w:t>
      </w:r>
      <w:r>
        <w:rPr>
          <w:rFonts w:hint="eastAsia" w:ascii="仿宋" w:hAnsi="仿宋" w:eastAsia="仿宋" w:cs="仿宋"/>
          <w:color w:val="auto"/>
          <w:spacing w:val="-47"/>
          <w:sz w:val="24"/>
          <w:szCs w:val="24"/>
          <w:highlight w:val="none"/>
        </w:rPr>
        <w:t>〕</w:t>
      </w:r>
      <w:r>
        <w:rPr>
          <w:rFonts w:hint="eastAsia" w:ascii="仿宋" w:hAnsi="仿宋" w:eastAsia="仿宋" w:cs="仿宋"/>
          <w:color w:val="auto"/>
          <w:sz w:val="24"/>
          <w:szCs w:val="24"/>
          <w:highlight w:val="none"/>
        </w:rPr>
        <w:t>141</w:t>
      </w:r>
      <w:r>
        <w:rPr>
          <w:rFonts w:hint="eastAsia" w:ascii="仿宋" w:hAnsi="仿宋" w:eastAsia="仿宋" w:cs="仿宋"/>
          <w:color w:val="auto"/>
          <w:spacing w:val="-70"/>
          <w:sz w:val="24"/>
          <w:szCs w:val="24"/>
          <w:highlight w:val="none"/>
        </w:rPr>
        <w:t xml:space="preserve"> </w:t>
      </w:r>
      <w:r>
        <w:rPr>
          <w:rFonts w:hint="eastAsia" w:ascii="仿宋" w:hAnsi="仿宋" w:eastAsia="仿宋" w:cs="仿宋"/>
          <w:color w:val="auto"/>
          <w:spacing w:val="12"/>
          <w:sz w:val="24"/>
          <w:szCs w:val="24"/>
          <w:highlight w:val="none"/>
        </w:rPr>
        <w:t>号</w:t>
      </w:r>
      <w:r>
        <w:rPr>
          <w:rFonts w:hint="eastAsia" w:ascii="仿宋" w:hAnsi="仿宋" w:eastAsia="仿宋" w:cs="仿宋"/>
          <w:color w:val="auto"/>
          <w:spacing w:val="-35"/>
          <w:sz w:val="24"/>
          <w:szCs w:val="24"/>
          <w:highlight w:val="none"/>
        </w:rPr>
        <w:t>）</w:t>
      </w:r>
      <w:r>
        <w:rPr>
          <w:rFonts w:hint="eastAsia" w:ascii="仿宋" w:hAnsi="仿宋" w:eastAsia="仿宋" w:cs="仿宋"/>
          <w:color w:val="auto"/>
          <w:spacing w:val="12"/>
          <w:sz w:val="24"/>
          <w:szCs w:val="24"/>
          <w:highlight w:val="none"/>
        </w:rPr>
        <w:t>的规定，本</w:t>
      </w:r>
      <w:r>
        <w:rPr>
          <w:rFonts w:hint="eastAsia" w:ascii="仿宋" w:hAnsi="仿宋" w:eastAsia="仿宋" w:cs="仿宋"/>
          <w:color w:val="auto"/>
          <w:spacing w:val="11"/>
          <w:sz w:val="24"/>
          <w:szCs w:val="24"/>
          <w:highlight w:val="none"/>
        </w:rPr>
        <w:t>单</w:t>
      </w:r>
      <w:r>
        <w:rPr>
          <w:rFonts w:hint="eastAsia" w:ascii="仿宋" w:hAnsi="仿宋" w:eastAsia="仿宋" w:cs="仿宋"/>
          <w:color w:val="auto"/>
          <w:spacing w:val="-14"/>
          <w:sz w:val="24"/>
          <w:szCs w:val="24"/>
          <w:highlight w:val="none"/>
        </w:rPr>
        <w:t>位</w:t>
      </w:r>
      <w:r>
        <w:rPr>
          <w:rFonts w:hint="eastAsia" w:ascii="仿宋" w:hAnsi="仿宋" w:eastAsia="仿宋" w:cs="仿宋"/>
          <w:color w:val="auto"/>
          <w:spacing w:val="12"/>
          <w:sz w:val="24"/>
          <w:szCs w:val="24"/>
          <w:highlight w:val="none"/>
        </w:rPr>
        <w:t>为符合条件的残疾人福利性单位，且本单位参加</w:t>
      </w:r>
      <w:r>
        <w:rPr>
          <w:rFonts w:hint="eastAsia" w:ascii="仿宋" w:hAnsi="仿宋" w:eastAsia="仿宋" w:cs="仿宋"/>
          <w:color w:val="auto"/>
          <w:spacing w:val="12"/>
          <w:sz w:val="24"/>
          <w:szCs w:val="24"/>
          <w:highlight w:val="none"/>
          <w:u w:val="single"/>
          <w:lang w:val="en-US" w:eastAsia="zh-CN"/>
        </w:rPr>
        <w:t xml:space="preserve">                </w:t>
      </w:r>
      <w:r>
        <w:rPr>
          <w:rFonts w:hint="eastAsia" w:ascii="仿宋" w:hAnsi="仿宋" w:eastAsia="仿宋" w:cs="仿宋"/>
          <w:color w:val="auto"/>
          <w:spacing w:val="12"/>
          <w:sz w:val="24"/>
          <w:szCs w:val="24"/>
          <w:highlight w:val="none"/>
        </w:rPr>
        <w:t>单位</w:t>
      </w:r>
      <w:r>
        <w:rPr>
          <w:rFonts w:hint="eastAsia" w:ascii="仿宋" w:hAnsi="仿宋" w:eastAsia="仿宋" w:cs="仿宋"/>
          <w:color w:val="auto"/>
          <w:spacing w:val="12"/>
          <w:sz w:val="24"/>
          <w:szCs w:val="24"/>
          <w:highlight w:val="none"/>
          <w:lang w:eastAsia="zh-CN"/>
        </w:rPr>
        <w:t>的</w:t>
      </w:r>
      <w:r>
        <w:rPr>
          <w:rFonts w:hint="eastAsia" w:ascii="仿宋" w:hAnsi="仿宋" w:eastAsia="仿宋" w:cs="仿宋"/>
          <w:color w:val="auto"/>
          <w:spacing w:val="12"/>
          <w:sz w:val="24"/>
          <w:szCs w:val="24"/>
          <w:highlight w:val="none"/>
          <w:u w:val="single"/>
          <w:lang w:val="en-US" w:eastAsia="zh-CN"/>
        </w:rPr>
        <w:t xml:space="preserve">                  </w:t>
      </w:r>
      <w:r>
        <w:rPr>
          <w:rFonts w:hint="eastAsia" w:ascii="仿宋" w:hAnsi="仿宋" w:eastAsia="仿宋" w:cs="仿宋"/>
          <w:color w:val="auto"/>
          <w:spacing w:val="12"/>
          <w:sz w:val="24"/>
          <w:szCs w:val="24"/>
          <w:highlight w:val="none"/>
          <w:lang w:val="en-US" w:eastAsia="zh-CN"/>
        </w:rPr>
        <w:t xml:space="preserve"> </w:t>
      </w:r>
      <w:r>
        <w:rPr>
          <w:rFonts w:hint="eastAsia" w:ascii="仿宋" w:hAnsi="仿宋" w:eastAsia="仿宋" w:cs="仿宋"/>
          <w:color w:val="auto"/>
          <w:spacing w:val="12"/>
          <w:sz w:val="24"/>
          <w:szCs w:val="24"/>
          <w:highlight w:val="none"/>
        </w:rPr>
        <w:t>项</w:t>
      </w:r>
      <w:r>
        <w:rPr>
          <w:rFonts w:hint="eastAsia" w:ascii="仿宋" w:hAnsi="仿宋" w:eastAsia="仿宋" w:cs="仿宋"/>
          <w:color w:val="auto"/>
          <w:spacing w:val="-17"/>
          <w:sz w:val="24"/>
          <w:szCs w:val="24"/>
          <w:highlight w:val="none"/>
        </w:rPr>
        <w:t>目</w:t>
      </w:r>
      <w:r>
        <w:rPr>
          <w:rFonts w:hint="eastAsia" w:ascii="仿宋" w:hAnsi="仿宋" w:eastAsia="仿宋" w:cs="仿宋"/>
          <w:color w:val="auto"/>
          <w:spacing w:val="8"/>
          <w:sz w:val="24"/>
          <w:szCs w:val="24"/>
          <w:highlight w:val="none"/>
        </w:rPr>
        <w:t>采购活动提供本单位制造的货物</w:t>
      </w:r>
      <w:r>
        <w:rPr>
          <w:rFonts w:hint="eastAsia" w:ascii="仿宋" w:hAnsi="仿宋" w:eastAsia="仿宋" w:cs="仿宋"/>
          <w:color w:val="auto"/>
          <w:spacing w:val="12"/>
          <w:sz w:val="24"/>
          <w:szCs w:val="24"/>
          <w:highlight w:val="none"/>
        </w:rPr>
        <w:t>（</w:t>
      </w:r>
      <w:r>
        <w:rPr>
          <w:rFonts w:hint="eastAsia" w:ascii="仿宋" w:hAnsi="仿宋" w:eastAsia="仿宋" w:cs="仿宋"/>
          <w:color w:val="auto"/>
          <w:spacing w:val="11"/>
          <w:sz w:val="24"/>
          <w:szCs w:val="24"/>
          <w:highlight w:val="none"/>
        </w:rPr>
        <w:t>由本单位承担工程</w:t>
      </w:r>
      <w:r>
        <w:rPr>
          <w:rFonts w:hint="eastAsia" w:ascii="仿宋" w:hAnsi="仿宋" w:eastAsia="仿宋" w:cs="仿宋"/>
          <w:color w:val="auto"/>
          <w:spacing w:val="5"/>
          <w:sz w:val="24"/>
          <w:szCs w:val="24"/>
          <w:highlight w:val="none"/>
        </w:rPr>
        <w:t>/</w:t>
      </w:r>
      <w:r>
        <w:rPr>
          <w:rFonts w:hint="eastAsia" w:ascii="仿宋" w:hAnsi="仿宋" w:eastAsia="仿宋" w:cs="仿宋"/>
          <w:color w:val="auto"/>
          <w:spacing w:val="12"/>
          <w:sz w:val="24"/>
          <w:szCs w:val="24"/>
          <w:highlight w:val="none"/>
        </w:rPr>
        <w:t>提供服务</w:t>
      </w:r>
      <w:r>
        <w:rPr>
          <w:rFonts w:hint="eastAsia" w:ascii="仿宋" w:hAnsi="仿宋" w:eastAsia="仿宋" w:cs="仿宋"/>
          <w:color w:val="auto"/>
          <w:spacing w:val="-40"/>
          <w:sz w:val="24"/>
          <w:szCs w:val="24"/>
          <w:highlight w:val="none"/>
        </w:rPr>
        <w:t>）</w:t>
      </w:r>
      <w:r>
        <w:rPr>
          <w:rFonts w:hint="eastAsia" w:ascii="仿宋" w:hAnsi="仿宋" w:eastAsia="仿宋" w:cs="仿宋"/>
          <w:color w:val="auto"/>
          <w:spacing w:val="-8"/>
          <w:sz w:val="24"/>
          <w:szCs w:val="24"/>
          <w:highlight w:val="none"/>
        </w:rPr>
        <w:t>，或者提</w:t>
      </w:r>
      <w:r>
        <w:rPr>
          <w:rFonts w:hint="eastAsia" w:ascii="仿宋" w:hAnsi="仿宋" w:eastAsia="仿宋" w:cs="仿宋"/>
          <w:color w:val="auto"/>
          <w:spacing w:val="12"/>
          <w:sz w:val="24"/>
          <w:szCs w:val="24"/>
          <w:highlight w:val="none"/>
        </w:rPr>
        <w:t>供其他残疾人福利性单位制造的货物（</w:t>
      </w:r>
      <w:r>
        <w:rPr>
          <w:rFonts w:hint="eastAsia" w:ascii="仿宋" w:hAnsi="仿宋" w:eastAsia="仿宋" w:cs="仿宋"/>
          <w:color w:val="auto"/>
          <w:spacing w:val="11"/>
          <w:sz w:val="24"/>
          <w:szCs w:val="24"/>
          <w:highlight w:val="none"/>
        </w:rPr>
        <w:t>不包括使用非残疾人福利性单位注册商标的货物</w:t>
      </w:r>
      <w:r>
        <w:rPr>
          <w:rFonts w:hint="eastAsia" w:ascii="仿宋" w:hAnsi="仿宋" w:eastAsia="仿宋" w:cs="仿宋"/>
          <w:color w:val="auto"/>
          <w:spacing w:val="12"/>
          <w:sz w:val="24"/>
          <w:szCs w:val="24"/>
          <w:highlight w:val="none"/>
        </w:rPr>
        <w:t>）</w:t>
      </w:r>
      <w:r>
        <w:rPr>
          <w:rFonts w:hint="eastAsia" w:ascii="仿宋" w:hAnsi="仿宋" w:eastAsia="仿宋" w:cs="仿宋"/>
          <w:color w:val="auto"/>
          <w:sz w:val="24"/>
          <w:szCs w:val="24"/>
          <w:highlight w:val="none"/>
        </w:rPr>
        <w:t>。</w:t>
      </w:r>
    </w:p>
    <w:p w14:paraId="44B8D29B">
      <w:pPr>
        <w:pStyle w:val="12"/>
        <w:keepNext w:val="0"/>
        <w:keepLines w:val="0"/>
        <w:pageBreakBefore w:val="0"/>
        <w:widowControl w:val="0"/>
        <w:kinsoku/>
        <w:wordWrap/>
        <w:overflowPunct/>
        <w:topLinePunct/>
        <w:autoSpaceDE/>
        <w:autoSpaceDN/>
        <w:bidi w:val="0"/>
        <w:adjustRightInd/>
        <w:snapToGrid/>
        <w:spacing w:before="0" w:after="0" w:line="360" w:lineRule="auto"/>
        <w:ind w:left="0" w:right="0"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本单位对上述声明的真实性负责。如有虚假，将依法承担相应责任。</w:t>
      </w:r>
    </w:p>
    <w:p w14:paraId="6464B2A4">
      <w:pPr>
        <w:pStyle w:val="12"/>
        <w:keepNext w:val="0"/>
        <w:keepLines w:val="0"/>
        <w:pageBreakBefore w:val="0"/>
        <w:widowControl w:val="0"/>
        <w:kinsoku/>
        <w:wordWrap/>
        <w:overflowPunct/>
        <w:topLinePunct/>
        <w:autoSpaceDE/>
        <w:autoSpaceDN/>
        <w:bidi w:val="0"/>
        <w:adjustRightInd/>
        <w:snapToGrid/>
        <w:spacing w:before="0" w:after="0" w:line="360" w:lineRule="auto"/>
        <w:ind w:left="0" w:right="0" w:firstLine="480" w:firstLineChars="200"/>
        <w:jc w:val="left"/>
        <w:textAlignment w:val="auto"/>
        <w:rPr>
          <w:rFonts w:hint="eastAsia" w:ascii="仿宋" w:hAnsi="仿宋" w:eastAsia="仿宋" w:cs="仿宋"/>
          <w:color w:val="auto"/>
          <w:sz w:val="24"/>
          <w:szCs w:val="24"/>
          <w:highlight w:val="none"/>
        </w:rPr>
      </w:pPr>
    </w:p>
    <w:p w14:paraId="2E4D8DAB">
      <w:pPr>
        <w:pStyle w:val="12"/>
        <w:keepNext w:val="0"/>
        <w:keepLines w:val="0"/>
        <w:pageBreakBefore w:val="0"/>
        <w:widowControl w:val="0"/>
        <w:kinsoku/>
        <w:wordWrap/>
        <w:overflowPunct/>
        <w:topLinePunct/>
        <w:autoSpaceDE/>
        <w:autoSpaceDN/>
        <w:bidi w:val="0"/>
        <w:adjustRightInd/>
        <w:snapToGrid/>
        <w:spacing w:before="0" w:after="0" w:line="360" w:lineRule="auto"/>
        <w:ind w:left="0" w:right="0" w:firstLine="480" w:firstLineChars="200"/>
        <w:jc w:val="left"/>
        <w:textAlignment w:val="auto"/>
        <w:rPr>
          <w:rFonts w:hint="eastAsia" w:ascii="仿宋" w:hAnsi="仿宋" w:eastAsia="仿宋" w:cs="仿宋"/>
          <w:color w:val="auto"/>
          <w:sz w:val="24"/>
          <w:szCs w:val="24"/>
          <w:highlight w:val="none"/>
        </w:rPr>
      </w:pPr>
    </w:p>
    <w:p w14:paraId="434AF0DF">
      <w:pPr>
        <w:pStyle w:val="12"/>
        <w:keepNext w:val="0"/>
        <w:keepLines w:val="0"/>
        <w:pageBreakBefore w:val="0"/>
        <w:widowControl w:val="0"/>
        <w:kinsoku/>
        <w:wordWrap/>
        <w:overflowPunct/>
        <w:topLinePunct/>
        <w:autoSpaceDE/>
        <w:autoSpaceDN/>
        <w:bidi w:val="0"/>
        <w:adjustRightInd/>
        <w:snapToGrid/>
        <w:spacing w:before="0" w:after="0" w:line="360" w:lineRule="auto"/>
        <w:ind w:left="0" w:right="0" w:firstLine="480" w:firstLineChars="200"/>
        <w:jc w:val="left"/>
        <w:textAlignment w:val="auto"/>
        <w:rPr>
          <w:rFonts w:hint="eastAsia" w:ascii="仿宋" w:hAnsi="仿宋" w:eastAsia="仿宋" w:cs="仿宋"/>
          <w:color w:val="auto"/>
          <w:sz w:val="24"/>
          <w:szCs w:val="24"/>
          <w:highlight w:val="none"/>
        </w:rPr>
      </w:pPr>
    </w:p>
    <w:p w14:paraId="5EBB05BD">
      <w:pPr>
        <w:pStyle w:val="12"/>
        <w:keepNext w:val="0"/>
        <w:keepLines w:val="0"/>
        <w:pageBreakBefore w:val="0"/>
        <w:widowControl w:val="0"/>
        <w:kinsoku/>
        <w:wordWrap/>
        <w:overflowPunct/>
        <w:topLinePunct/>
        <w:autoSpaceDE/>
        <w:autoSpaceDN/>
        <w:bidi w:val="0"/>
        <w:adjustRightInd/>
        <w:snapToGrid/>
        <w:spacing w:before="0" w:after="0" w:line="360" w:lineRule="auto"/>
        <w:ind w:left="0" w:right="0" w:firstLine="480" w:firstLineChars="200"/>
        <w:jc w:val="right"/>
        <w:textAlignment w:val="auto"/>
        <w:rPr>
          <w:rFonts w:hint="eastAsia" w:ascii="仿宋" w:hAnsi="仿宋" w:eastAsia="仿宋" w:cs="仿宋"/>
          <w:color w:val="auto"/>
          <w:sz w:val="24"/>
          <w:szCs w:val="24"/>
          <w:highlight w:val="none"/>
        </w:rPr>
      </w:pPr>
    </w:p>
    <w:p w14:paraId="65853F9D">
      <w:pPr>
        <w:keepNext w:val="0"/>
        <w:keepLines w:val="0"/>
        <w:pageBreakBefore w:val="0"/>
        <w:widowControl w:val="0"/>
        <w:kinsoku/>
        <w:wordWrap/>
        <w:overflowPunct/>
        <w:topLinePunct/>
        <w:autoSpaceDE/>
        <w:autoSpaceDN/>
        <w:bidi w:val="0"/>
        <w:adjustRightInd/>
        <w:snapToGrid/>
        <w:spacing w:after="0" w:line="360" w:lineRule="auto"/>
        <w:ind w:firstLine="480" w:firstLineChars="200"/>
        <w:jc w:val="righ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供应商（电子签章）：</w:t>
      </w:r>
    </w:p>
    <w:p w14:paraId="001646DD">
      <w:pPr>
        <w:keepNext w:val="0"/>
        <w:keepLines w:val="0"/>
        <w:pageBreakBefore w:val="0"/>
        <w:widowControl w:val="0"/>
        <w:kinsoku/>
        <w:wordWrap/>
        <w:overflowPunct/>
        <w:topLinePunct/>
        <w:autoSpaceDE/>
        <w:autoSpaceDN/>
        <w:bidi w:val="0"/>
        <w:adjustRightInd/>
        <w:snapToGrid/>
        <w:spacing w:after="0" w:line="360" w:lineRule="auto"/>
        <w:ind w:firstLine="480" w:firstLineChars="200"/>
        <w:jc w:val="right"/>
        <w:textAlignment w:val="auto"/>
        <w:rPr>
          <w:rFonts w:hint="eastAsia" w:ascii="仿宋" w:hAnsi="仿宋" w:eastAsia="仿宋" w:cs="仿宋"/>
          <w:color w:val="auto"/>
          <w:sz w:val="24"/>
          <w:szCs w:val="24"/>
          <w:highlight w:val="none"/>
        </w:rPr>
      </w:pPr>
    </w:p>
    <w:p w14:paraId="2A6F6CCE">
      <w:pPr>
        <w:keepNext w:val="0"/>
        <w:keepLines w:val="0"/>
        <w:pageBreakBefore w:val="0"/>
        <w:widowControl w:val="0"/>
        <w:kinsoku/>
        <w:wordWrap/>
        <w:overflowPunct/>
        <w:topLinePunct/>
        <w:autoSpaceDE/>
        <w:autoSpaceDN/>
        <w:bidi w:val="0"/>
        <w:adjustRightInd/>
        <w:snapToGrid/>
        <w:spacing w:after="0" w:line="360" w:lineRule="auto"/>
        <w:ind w:firstLine="480" w:firstLineChars="200"/>
        <w:jc w:val="righ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kern w:val="2"/>
          <w:sz w:val="24"/>
          <w:szCs w:val="24"/>
          <w:highlight w:val="none"/>
          <w:lang w:val="en-US" w:eastAsia="zh-CN" w:bidi="ar-SA"/>
        </w:rPr>
        <w:t>电子签名或签章</w:t>
      </w:r>
      <w:r>
        <w:rPr>
          <w:rFonts w:hint="eastAsia" w:ascii="仿宋" w:hAnsi="仿宋" w:eastAsia="仿宋" w:cs="仿宋"/>
          <w:color w:val="auto"/>
          <w:sz w:val="24"/>
          <w:szCs w:val="24"/>
          <w:highlight w:val="none"/>
        </w:rPr>
        <w:t>）：</w:t>
      </w:r>
    </w:p>
    <w:p w14:paraId="2DC786FE">
      <w:pPr>
        <w:keepNext w:val="0"/>
        <w:keepLines w:val="0"/>
        <w:pageBreakBefore w:val="0"/>
        <w:widowControl w:val="0"/>
        <w:kinsoku/>
        <w:wordWrap/>
        <w:overflowPunct/>
        <w:topLinePunct/>
        <w:autoSpaceDE/>
        <w:autoSpaceDN/>
        <w:bidi w:val="0"/>
        <w:adjustRightInd/>
        <w:snapToGrid/>
        <w:spacing w:after="0" w:line="360" w:lineRule="auto"/>
        <w:ind w:firstLine="480" w:firstLineChars="200"/>
        <w:jc w:val="right"/>
        <w:textAlignment w:val="auto"/>
        <w:rPr>
          <w:rFonts w:hint="eastAsia" w:ascii="仿宋" w:hAnsi="仿宋" w:eastAsia="仿宋" w:cs="仿宋"/>
          <w:color w:val="auto"/>
          <w:sz w:val="24"/>
          <w:szCs w:val="24"/>
          <w:highlight w:val="none"/>
        </w:rPr>
      </w:pPr>
    </w:p>
    <w:p w14:paraId="78232DF9">
      <w:pPr>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480" w:firstLineChars="200"/>
        <w:jc w:val="righ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年   月   日</w:t>
      </w:r>
    </w:p>
    <w:p w14:paraId="2E0B4528">
      <w:pP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p w14:paraId="6A497AC2">
      <w:pPr>
        <w:pageBreakBefore/>
        <w:tabs>
          <w:tab w:val="left" w:pos="65"/>
        </w:tabs>
        <w:spacing w:after="158" w:afterLines="50" w:line="48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5</w:t>
      </w:r>
      <w:r>
        <w:rPr>
          <w:rFonts w:hint="eastAsia" w:ascii="仿宋" w:hAnsi="仿宋" w:eastAsia="仿宋" w:cs="仿宋"/>
          <w:b/>
          <w:color w:val="auto"/>
          <w:sz w:val="24"/>
          <w:szCs w:val="24"/>
          <w:highlight w:val="none"/>
        </w:rPr>
        <w:t>.近三年无重大违法记录的声明函</w:t>
      </w:r>
    </w:p>
    <w:p w14:paraId="4FA0ED49">
      <w:pPr>
        <w:tabs>
          <w:tab w:val="left" w:pos="9365"/>
        </w:tabs>
        <w:spacing w:after="0" w:line="480" w:lineRule="auto"/>
        <w:ind w:right="85"/>
        <w:textAlignment w:val="top"/>
        <w:rPr>
          <w:rFonts w:hint="eastAsia" w:ascii="仿宋" w:hAnsi="仿宋" w:eastAsia="仿宋" w:cs="仿宋"/>
          <w:color w:val="auto"/>
          <w:sz w:val="24"/>
          <w:szCs w:val="24"/>
          <w:highlight w:val="none"/>
        </w:rPr>
      </w:pPr>
    </w:p>
    <w:p w14:paraId="0E6BAC26">
      <w:pPr>
        <w:tabs>
          <w:tab w:val="left" w:pos="9365"/>
        </w:tabs>
        <w:spacing w:after="0" w:line="480" w:lineRule="auto"/>
        <w:ind w:right="85"/>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u w:val="single"/>
        </w:rPr>
        <w:t xml:space="preserve">采购人名称）    </w:t>
      </w:r>
    </w:p>
    <w:p w14:paraId="342F46EF">
      <w:pPr>
        <w:tabs>
          <w:tab w:val="left" w:pos="9365"/>
        </w:tabs>
        <w:spacing w:after="0" w:line="480" w:lineRule="auto"/>
        <w:ind w:right="85" w:firstLine="600" w:firstLineChars="250"/>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我单位在参加政府采购活动前三年内，在经营活动中没有重大违法记录。</w:t>
      </w:r>
    </w:p>
    <w:p w14:paraId="0A018BF0">
      <w:pPr>
        <w:tabs>
          <w:tab w:val="left" w:pos="9365"/>
        </w:tabs>
        <w:spacing w:after="0" w:line="480" w:lineRule="auto"/>
        <w:ind w:right="85" w:firstLine="600" w:firstLineChars="250"/>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特此承诺。</w:t>
      </w:r>
    </w:p>
    <w:p w14:paraId="5499A155">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p>
    <w:p w14:paraId="2970D328">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p>
    <w:p w14:paraId="74EF1BF2">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p>
    <w:p w14:paraId="0C0711AB">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p>
    <w:p w14:paraId="38B74586">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供应商（电子签章）：</w:t>
      </w:r>
    </w:p>
    <w:p w14:paraId="31841DA9">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p>
    <w:p w14:paraId="3E9D964E">
      <w:pPr>
        <w:keepNext w:val="0"/>
        <w:keepLines w:val="0"/>
        <w:pageBreakBefore w:val="0"/>
        <w:widowControl w:val="0"/>
        <w:kinsoku/>
        <w:wordWrap/>
        <w:overflowPunct/>
        <w:topLinePunct w:val="0"/>
        <w:autoSpaceDE w:val="0"/>
        <w:autoSpaceDN w:val="0"/>
        <w:bidi w:val="0"/>
        <w:adjustRightInd/>
        <w:snapToGrid/>
        <w:spacing w:after="0" w:line="480" w:lineRule="auto"/>
        <w:ind w:right="0"/>
        <w:jc w:val="righ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kern w:val="2"/>
          <w:sz w:val="24"/>
          <w:szCs w:val="24"/>
          <w:highlight w:val="none"/>
          <w:lang w:val="en-US" w:eastAsia="zh-CN" w:bidi="ar-SA"/>
        </w:rPr>
        <w:t>电子签名或签章</w:t>
      </w:r>
      <w:r>
        <w:rPr>
          <w:rFonts w:hint="eastAsia" w:ascii="仿宋" w:hAnsi="仿宋" w:eastAsia="仿宋" w:cs="仿宋"/>
          <w:color w:val="auto"/>
          <w:sz w:val="24"/>
          <w:szCs w:val="24"/>
          <w:highlight w:val="none"/>
        </w:rPr>
        <w:t>）：</w:t>
      </w:r>
    </w:p>
    <w:p w14:paraId="2C0ACDFF">
      <w:pPr>
        <w:keepNext w:val="0"/>
        <w:keepLines w:val="0"/>
        <w:pageBreakBefore w:val="0"/>
        <w:widowControl w:val="0"/>
        <w:kinsoku/>
        <w:wordWrap/>
        <w:overflowPunct/>
        <w:topLinePunct w:val="0"/>
        <w:autoSpaceDE w:val="0"/>
        <w:autoSpaceDN w:val="0"/>
        <w:bidi w:val="0"/>
        <w:adjustRightInd/>
        <w:snapToGrid/>
        <w:spacing w:after="0" w:line="480" w:lineRule="auto"/>
        <w:ind w:right="0"/>
        <w:jc w:val="right"/>
        <w:outlineLvl w:val="9"/>
        <w:rPr>
          <w:rFonts w:hint="eastAsia" w:ascii="仿宋" w:hAnsi="仿宋" w:eastAsia="仿宋" w:cs="仿宋"/>
          <w:color w:val="auto"/>
          <w:sz w:val="24"/>
          <w:szCs w:val="24"/>
          <w:highlight w:val="none"/>
        </w:rPr>
      </w:pPr>
    </w:p>
    <w:p w14:paraId="1D506C97">
      <w:pPr>
        <w:pStyle w:val="12"/>
        <w:jc w:val="right"/>
        <w:rPr>
          <w:rFonts w:hint="eastAsia" w:ascii="仿宋" w:hAnsi="仿宋" w:eastAsia="仿宋" w:cs="仿宋"/>
          <w:color w:val="auto"/>
          <w:highlight w:val="none"/>
          <w:lang w:val="en-US" w:eastAsia="zh-CN"/>
        </w:rPr>
      </w:pPr>
      <w:r>
        <w:rPr>
          <w:rFonts w:hint="eastAsia" w:ascii="仿宋" w:hAnsi="仿宋" w:eastAsia="仿宋" w:cs="仿宋"/>
          <w:color w:val="auto"/>
          <w:sz w:val="24"/>
          <w:szCs w:val="24"/>
          <w:highlight w:val="none"/>
        </w:rPr>
        <w:t>日期：  年   月   日</w:t>
      </w:r>
    </w:p>
    <w:p w14:paraId="3FE244C8">
      <w:pPr>
        <w:pageBreakBefore/>
        <w:tabs>
          <w:tab w:val="left" w:pos="65"/>
        </w:tabs>
        <w:spacing w:after="0" w:line="48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6</w:t>
      </w:r>
      <w:r>
        <w:rPr>
          <w:rFonts w:hint="eastAsia" w:ascii="仿宋" w:hAnsi="仿宋" w:eastAsia="仿宋" w:cs="仿宋"/>
          <w:b/>
          <w:color w:val="auto"/>
          <w:sz w:val="24"/>
          <w:szCs w:val="24"/>
          <w:highlight w:val="none"/>
        </w:rPr>
        <w:t>.反商业贿赂承诺书</w:t>
      </w:r>
    </w:p>
    <w:p w14:paraId="7FDA8C61">
      <w:pPr>
        <w:tabs>
          <w:tab w:val="left" w:pos="65"/>
        </w:tabs>
        <w:spacing w:after="0" w:line="480" w:lineRule="auto"/>
        <w:jc w:val="center"/>
        <w:rPr>
          <w:rFonts w:hint="eastAsia" w:ascii="仿宋" w:hAnsi="仿宋" w:eastAsia="仿宋" w:cs="仿宋"/>
          <w:b/>
          <w:color w:val="auto"/>
          <w:sz w:val="24"/>
          <w:szCs w:val="24"/>
          <w:highlight w:val="none"/>
        </w:rPr>
      </w:pPr>
    </w:p>
    <w:p w14:paraId="69B988DD">
      <w:pPr>
        <w:tabs>
          <w:tab w:val="left" w:pos="65"/>
        </w:tabs>
        <w:spacing w:after="0" w:line="48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u w:val="single"/>
        </w:rPr>
        <w:t xml:space="preserve">采购人名称）    </w:t>
      </w:r>
    </w:p>
    <w:p w14:paraId="51FADD5A">
      <w:pPr>
        <w:tabs>
          <w:tab w:val="left" w:pos="65"/>
        </w:tabs>
        <w:spacing w:after="0"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eastAsia="zh-CN"/>
        </w:rPr>
        <w:t>采购编号</w:t>
      </w:r>
      <w:r>
        <w:rPr>
          <w:rFonts w:hint="eastAsia" w:ascii="仿宋" w:hAnsi="仿宋" w:eastAsia="仿宋" w:cs="仿宋"/>
          <w:color w:val="auto"/>
          <w:sz w:val="24"/>
          <w:szCs w:val="24"/>
          <w:highlight w:val="none"/>
        </w:rPr>
        <w:t>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的</w:t>
      </w:r>
      <w:r>
        <w:rPr>
          <w:rFonts w:hint="eastAsia" w:ascii="仿宋" w:hAnsi="仿宋" w:eastAsia="仿宋" w:cs="仿宋"/>
          <w:color w:val="auto"/>
          <w:sz w:val="24"/>
          <w:szCs w:val="24"/>
          <w:highlight w:val="none"/>
          <w:u w:val="single"/>
        </w:rPr>
        <w:t xml:space="preserve">    （项目名称）  </w:t>
      </w:r>
      <w:r>
        <w:rPr>
          <w:rFonts w:hint="eastAsia" w:ascii="仿宋" w:hAnsi="仿宋" w:eastAsia="仿宋" w:cs="仿宋"/>
          <w:color w:val="auto"/>
          <w:sz w:val="24"/>
          <w:szCs w:val="24"/>
          <w:highlight w:val="none"/>
        </w:rPr>
        <w:t xml:space="preserve"> 招标活动中，我公司保证做到：</w:t>
      </w:r>
    </w:p>
    <w:p w14:paraId="7A995E2B">
      <w:pPr>
        <w:tabs>
          <w:tab w:val="left" w:pos="65"/>
        </w:tabs>
        <w:spacing w:after="0"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1.公平竞争参加本次招标活动。</w:t>
      </w:r>
    </w:p>
    <w:p w14:paraId="68CCBDBA">
      <w:pPr>
        <w:tabs>
          <w:tab w:val="left" w:pos="65"/>
        </w:tabs>
        <w:spacing w:after="0"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6B3B1150">
      <w:pPr>
        <w:tabs>
          <w:tab w:val="left" w:pos="65"/>
        </w:tabs>
        <w:spacing w:after="0"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3.若出现上述行为，我单位愿意接受相关部门按照国家法律法规等有关规定给予的处理。</w:t>
      </w:r>
    </w:p>
    <w:p w14:paraId="6E3C3C0A">
      <w:pPr>
        <w:tabs>
          <w:tab w:val="left" w:pos="65"/>
        </w:tabs>
        <w:spacing w:after="0" w:line="480" w:lineRule="auto"/>
        <w:ind w:firstLine="480" w:firstLineChars="200"/>
        <w:rPr>
          <w:rFonts w:hint="eastAsia" w:ascii="仿宋" w:hAnsi="仿宋" w:eastAsia="仿宋" w:cs="仿宋"/>
          <w:color w:val="auto"/>
          <w:sz w:val="24"/>
          <w:szCs w:val="24"/>
          <w:highlight w:val="none"/>
        </w:rPr>
      </w:pPr>
    </w:p>
    <w:p w14:paraId="6388ED2E">
      <w:pPr>
        <w:snapToGrid w:val="0"/>
        <w:spacing w:after="0" w:line="480" w:lineRule="auto"/>
        <w:ind w:right="641"/>
        <w:jc w:val="right"/>
        <w:rPr>
          <w:rFonts w:hint="eastAsia" w:ascii="仿宋" w:hAnsi="仿宋" w:eastAsia="仿宋" w:cs="仿宋"/>
          <w:color w:val="auto"/>
          <w:sz w:val="24"/>
          <w:szCs w:val="24"/>
          <w:highlight w:val="none"/>
        </w:rPr>
      </w:pPr>
    </w:p>
    <w:p w14:paraId="456956D1">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供应商（电子签章）：</w:t>
      </w:r>
    </w:p>
    <w:p w14:paraId="3D77252A">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p>
    <w:p w14:paraId="71EB7F11">
      <w:pPr>
        <w:keepNext w:val="0"/>
        <w:keepLines w:val="0"/>
        <w:pageBreakBefore w:val="0"/>
        <w:widowControl w:val="0"/>
        <w:kinsoku/>
        <w:wordWrap/>
        <w:overflowPunct/>
        <w:topLinePunct w:val="0"/>
        <w:autoSpaceDE w:val="0"/>
        <w:autoSpaceDN w:val="0"/>
        <w:bidi w:val="0"/>
        <w:adjustRightInd/>
        <w:snapToGrid/>
        <w:spacing w:after="0" w:line="480" w:lineRule="auto"/>
        <w:ind w:right="0"/>
        <w:jc w:val="righ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kern w:val="2"/>
          <w:sz w:val="24"/>
          <w:szCs w:val="24"/>
          <w:highlight w:val="none"/>
          <w:lang w:val="en-US" w:eastAsia="zh-CN" w:bidi="ar-SA"/>
        </w:rPr>
        <w:t>电子签名或签章</w:t>
      </w:r>
      <w:r>
        <w:rPr>
          <w:rFonts w:hint="eastAsia" w:ascii="仿宋" w:hAnsi="仿宋" w:eastAsia="仿宋" w:cs="仿宋"/>
          <w:color w:val="auto"/>
          <w:sz w:val="24"/>
          <w:szCs w:val="24"/>
          <w:highlight w:val="none"/>
        </w:rPr>
        <w:t>）：</w:t>
      </w:r>
    </w:p>
    <w:p w14:paraId="67521384">
      <w:pPr>
        <w:keepNext w:val="0"/>
        <w:keepLines w:val="0"/>
        <w:pageBreakBefore w:val="0"/>
        <w:widowControl w:val="0"/>
        <w:kinsoku/>
        <w:wordWrap/>
        <w:overflowPunct/>
        <w:topLinePunct w:val="0"/>
        <w:autoSpaceDE w:val="0"/>
        <w:autoSpaceDN w:val="0"/>
        <w:bidi w:val="0"/>
        <w:adjustRightInd/>
        <w:snapToGrid/>
        <w:spacing w:after="0" w:line="480" w:lineRule="auto"/>
        <w:ind w:right="0"/>
        <w:jc w:val="right"/>
        <w:outlineLvl w:val="9"/>
        <w:rPr>
          <w:rFonts w:hint="eastAsia" w:ascii="仿宋" w:hAnsi="仿宋" w:eastAsia="仿宋" w:cs="仿宋"/>
          <w:color w:val="auto"/>
          <w:sz w:val="24"/>
          <w:szCs w:val="24"/>
          <w:highlight w:val="none"/>
        </w:rPr>
      </w:pPr>
    </w:p>
    <w:p w14:paraId="26DE75AD">
      <w:pPr>
        <w:pStyle w:val="12"/>
        <w:jc w:val="right"/>
        <w:rPr>
          <w:rFonts w:hint="eastAsia" w:ascii="仿宋" w:hAnsi="仿宋" w:eastAsia="仿宋" w:cs="仿宋"/>
          <w:color w:val="auto"/>
          <w:highlight w:val="none"/>
          <w:lang w:val="en-US" w:eastAsia="zh-CN"/>
        </w:rPr>
      </w:pPr>
      <w:r>
        <w:rPr>
          <w:rFonts w:hint="eastAsia" w:ascii="仿宋" w:hAnsi="仿宋" w:eastAsia="仿宋" w:cs="仿宋"/>
          <w:color w:val="auto"/>
          <w:sz w:val="24"/>
          <w:szCs w:val="24"/>
          <w:highlight w:val="none"/>
        </w:rPr>
        <w:t>日期：  年   月   日</w:t>
      </w:r>
    </w:p>
    <w:p w14:paraId="12D84EFB">
      <w:pPr>
        <w:pageBreakBefore/>
        <w:tabs>
          <w:tab w:val="left" w:pos="9365"/>
        </w:tabs>
        <w:snapToGrid w:val="0"/>
        <w:spacing w:after="0" w:line="480" w:lineRule="auto"/>
        <w:ind w:right="85" w:firstLine="6"/>
        <w:jc w:val="center"/>
        <w:textAlignment w:val="top"/>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lang w:val="en-US" w:eastAsia="zh-CN"/>
        </w:rPr>
        <w:t>7</w:t>
      </w:r>
      <w:r>
        <w:rPr>
          <w:rFonts w:hint="eastAsia" w:ascii="仿宋" w:hAnsi="仿宋" w:eastAsia="仿宋" w:cs="仿宋"/>
          <w:b/>
          <w:color w:val="auto"/>
          <w:sz w:val="24"/>
          <w:szCs w:val="24"/>
          <w:highlight w:val="none"/>
        </w:rPr>
        <w:t>.</w:t>
      </w:r>
      <w:r>
        <w:rPr>
          <w:rFonts w:hint="eastAsia" w:ascii="仿宋" w:hAnsi="仿宋" w:eastAsia="仿宋" w:cs="仿宋"/>
          <w:color w:val="auto"/>
          <w:sz w:val="24"/>
          <w:szCs w:val="24"/>
          <w:highlight w:val="none"/>
        </w:rPr>
        <w:t xml:space="preserve"> </w:t>
      </w:r>
      <w:r>
        <w:rPr>
          <w:rFonts w:hint="eastAsia" w:ascii="仿宋" w:hAnsi="仿宋" w:eastAsia="仿宋" w:cs="仿宋"/>
          <w:b/>
          <w:color w:val="auto"/>
          <w:sz w:val="24"/>
          <w:szCs w:val="24"/>
          <w:highlight w:val="none"/>
        </w:rPr>
        <w:t>供应商负责人控股、设计等相关承诺书</w:t>
      </w:r>
    </w:p>
    <w:p w14:paraId="4C17F26C">
      <w:pPr>
        <w:tabs>
          <w:tab w:val="left" w:pos="9365"/>
        </w:tabs>
        <w:spacing w:after="0" w:line="480" w:lineRule="auto"/>
        <w:ind w:right="85"/>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u w:val="single"/>
        </w:rPr>
        <w:t xml:space="preserve">采购人名称）    </w:t>
      </w:r>
    </w:p>
    <w:p w14:paraId="10489565">
      <w:pPr>
        <w:tabs>
          <w:tab w:val="left" w:pos="65"/>
        </w:tabs>
        <w:spacing w:after="0"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eastAsia="zh-CN"/>
        </w:rPr>
        <w:t>采购编号</w:t>
      </w:r>
      <w:r>
        <w:rPr>
          <w:rFonts w:hint="eastAsia" w:ascii="仿宋" w:hAnsi="仿宋" w:eastAsia="仿宋" w:cs="仿宋"/>
          <w:color w:val="auto"/>
          <w:sz w:val="24"/>
          <w:szCs w:val="24"/>
          <w:highlight w:val="none"/>
        </w:rPr>
        <w:t>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的</w:t>
      </w:r>
      <w:r>
        <w:rPr>
          <w:rFonts w:hint="eastAsia" w:ascii="仿宋" w:hAnsi="仿宋" w:eastAsia="仿宋" w:cs="仿宋"/>
          <w:color w:val="auto"/>
          <w:sz w:val="24"/>
          <w:szCs w:val="24"/>
          <w:highlight w:val="none"/>
          <w:u w:val="single"/>
        </w:rPr>
        <w:t xml:space="preserve">    （项目名称）  </w:t>
      </w:r>
      <w:r>
        <w:rPr>
          <w:rFonts w:hint="eastAsia" w:ascii="仿宋" w:hAnsi="仿宋" w:eastAsia="仿宋" w:cs="仿宋"/>
          <w:color w:val="auto"/>
          <w:sz w:val="24"/>
          <w:szCs w:val="24"/>
          <w:highlight w:val="none"/>
        </w:rPr>
        <w:t xml:space="preserve"> 招标活动中，我单位承诺满足以下要求：</w:t>
      </w:r>
    </w:p>
    <w:p w14:paraId="2FFC3D5C">
      <w:pPr>
        <w:tabs>
          <w:tab w:val="left" w:pos="65"/>
        </w:tabs>
        <w:spacing w:after="0"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1.单位负责人为同一人或者存在直接控股、管理关系的不同供应商，不参加同一合同项下的政府采购活动。</w:t>
      </w:r>
    </w:p>
    <w:p w14:paraId="3FE10F6D">
      <w:pPr>
        <w:tabs>
          <w:tab w:val="left" w:pos="65"/>
        </w:tabs>
        <w:spacing w:after="0"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2.没有为本项目提供整体设计、规范编制或者项目管理、监理、检测等服务。</w:t>
      </w:r>
    </w:p>
    <w:p w14:paraId="62F281BE">
      <w:pPr>
        <w:tabs>
          <w:tab w:val="left" w:pos="9365"/>
        </w:tabs>
        <w:spacing w:after="0" w:line="480" w:lineRule="auto"/>
        <w:ind w:right="85" w:firstLine="480" w:firstLineChars="200"/>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3.若出现上述行为，我单位愿意接受相关部门按照国家法律法规等有关规定给予的处理。</w:t>
      </w:r>
    </w:p>
    <w:p w14:paraId="3E5F4634">
      <w:pPr>
        <w:tabs>
          <w:tab w:val="left" w:pos="9365"/>
        </w:tabs>
        <w:spacing w:after="0" w:line="480" w:lineRule="auto"/>
        <w:ind w:right="85"/>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p w14:paraId="72E306C0">
      <w:pPr>
        <w:tabs>
          <w:tab w:val="left" w:pos="9365"/>
        </w:tabs>
        <w:spacing w:after="0" w:line="480" w:lineRule="auto"/>
        <w:ind w:right="85"/>
        <w:textAlignment w:val="top"/>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w:t>
      </w:r>
    </w:p>
    <w:p w14:paraId="1269CA63">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供应商（电子签章）：</w:t>
      </w:r>
    </w:p>
    <w:p w14:paraId="72FE76F3">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p>
    <w:p w14:paraId="4741017B">
      <w:pPr>
        <w:keepNext w:val="0"/>
        <w:keepLines w:val="0"/>
        <w:pageBreakBefore w:val="0"/>
        <w:widowControl w:val="0"/>
        <w:kinsoku/>
        <w:wordWrap/>
        <w:overflowPunct/>
        <w:topLinePunct w:val="0"/>
        <w:autoSpaceDE w:val="0"/>
        <w:autoSpaceDN w:val="0"/>
        <w:bidi w:val="0"/>
        <w:adjustRightInd/>
        <w:snapToGrid/>
        <w:spacing w:after="0" w:line="480" w:lineRule="auto"/>
        <w:ind w:right="0"/>
        <w:jc w:val="righ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kern w:val="2"/>
          <w:sz w:val="24"/>
          <w:szCs w:val="24"/>
          <w:highlight w:val="none"/>
          <w:lang w:val="en-US" w:eastAsia="zh-CN" w:bidi="ar-SA"/>
        </w:rPr>
        <w:t>电子签名或签章</w:t>
      </w:r>
      <w:r>
        <w:rPr>
          <w:rFonts w:hint="eastAsia" w:ascii="仿宋" w:hAnsi="仿宋" w:eastAsia="仿宋" w:cs="仿宋"/>
          <w:color w:val="auto"/>
          <w:sz w:val="24"/>
          <w:szCs w:val="24"/>
          <w:highlight w:val="none"/>
        </w:rPr>
        <w:t>）：</w:t>
      </w:r>
    </w:p>
    <w:p w14:paraId="180D5E3F">
      <w:pPr>
        <w:keepNext w:val="0"/>
        <w:keepLines w:val="0"/>
        <w:pageBreakBefore w:val="0"/>
        <w:widowControl w:val="0"/>
        <w:kinsoku/>
        <w:wordWrap/>
        <w:overflowPunct/>
        <w:topLinePunct w:val="0"/>
        <w:autoSpaceDE w:val="0"/>
        <w:autoSpaceDN w:val="0"/>
        <w:bidi w:val="0"/>
        <w:adjustRightInd/>
        <w:snapToGrid/>
        <w:spacing w:after="0" w:line="480" w:lineRule="auto"/>
        <w:ind w:right="0"/>
        <w:jc w:val="right"/>
        <w:outlineLvl w:val="9"/>
        <w:rPr>
          <w:rFonts w:hint="eastAsia" w:ascii="仿宋" w:hAnsi="仿宋" w:eastAsia="仿宋" w:cs="仿宋"/>
          <w:color w:val="auto"/>
          <w:sz w:val="24"/>
          <w:szCs w:val="24"/>
          <w:highlight w:val="none"/>
        </w:rPr>
      </w:pPr>
    </w:p>
    <w:p w14:paraId="03AD7D3E">
      <w:pPr>
        <w:pStyle w:val="12"/>
        <w:jc w:val="right"/>
        <w:rPr>
          <w:rFonts w:hint="eastAsia" w:ascii="仿宋" w:hAnsi="仿宋" w:eastAsia="仿宋" w:cs="仿宋"/>
          <w:color w:val="auto"/>
          <w:highlight w:val="none"/>
          <w:lang w:val="en-US" w:eastAsia="zh-CN"/>
        </w:rPr>
      </w:pPr>
      <w:r>
        <w:rPr>
          <w:rFonts w:hint="eastAsia" w:ascii="仿宋" w:hAnsi="仿宋" w:eastAsia="仿宋" w:cs="仿宋"/>
          <w:color w:val="auto"/>
          <w:sz w:val="24"/>
          <w:szCs w:val="24"/>
          <w:highlight w:val="none"/>
        </w:rPr>
        <w:t>日期：  年   月   日</w:t>
      </w:r>
    </w:p>
    <w:p w14:paraId="53A56129">
      <w:pPr>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br w:type="page"/>
      </w:r>
    </w:p>
    <w:p w14:paraId="4325D976">
      <w:pPr>
        <w:snapToGrid w:val="0"/>
        <w:spacing w:after="0" w:line="480" w:lineRule="auto"/>
        <w:ind w:right="641"/>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8.</w:t>
      </w:r>
      <w:r>
        <w:rPr>
          <w:rFonts w:hint="eastAsia" w:ascii="仿宋" w:hAnsi="仿宋" w:eastAsia="仿宋" w:cs="仿宋"/>
          <w:b/>
          <w:color w:val="auto"/>
          <w:sz w:val="24"/>
          <w:szCs w:val="24"/>
          <w:highlight w:val="none"/>
        </w:rPr>
        <w:t>投标承诺函</w:t>
      </w:r>
    </w:p>
    <w:p w14:paraId="4EFAE645">
      <w:pPr>
        <w:tabs>
          <w:tab w:val="left" w:pos="65"/>
        </w:tabs>
        <w:spacing w:after="0" w:line="7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u w:val="single"/>
        </w:rPr>
        <w:t xml:space="preserve">采购人名称）    </w:t>
      </w:r>
    </w:p>
    <w:p w14:paraId="34061077">
      <w:pPr>
        <w:snapToGrid w:val="0"/>
        <w:spacing w:after="0" w:line="500" w:lineRule="exact"/>
        <w:ind w:right="-6"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eastAsia="zh-CN"/>
        </w:rPr>
        <w:t>采购编号</w:t>
      </w:r>
      <w:r>
        <w:rPr>
          <w:rFonts w:hint="eastAsia" w:ascii="仿宋" w:hAnsi="仿宋" w:eastAsia="仿宋" w:cs="仿宋"/>
          <w:color w:val="auto"/>
          <w:sz w:val="24"/>
          <w:szCs w:val="24"/>
          <w:highlight w:val="none"/>
        </w:rPr>
        <w:t>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 xml:space="preserve">  （项目名称）  </w:t>
      </w:r>
      <w:r>
        <w:rPr>
          <w:rFonts w:hint="eastAsia" w:ascii="仿宋" w:hAnsi="仿宋" w:eastAsia="仿宋" w:cs="仿宋"/>
          <w:color w:val="auto"/>
          <w:sz w:val="24"/>
          <w:szCs w:val="24"/>
          <w:highlight w:val="none"/>
        </w:rPr>
        <w:t>采购活动中，我单位承诺：</w:t>
      </w:r>
    </w:p>
    <w:p w14:paraId="5B4DE8EB">
      <w:pPr>
        <w:snapToGrid w:val="0"/>
        <w:spacing w:after="0" w:line="500" w:lineRule="exact"/>
        <w:ind w:right="-6"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一、遵循公开、公平、公正和诚实信用的原则自愿参加本项目投标；</w:t>
      </w:r>
    </w:p>
    <w:p w14:paraId="0B99644B">
      <w:pPr>
        <w:snapToGrid w:val="0"/>
        <w:spacing w:after="0" w:line="500" w:lineRule="exact"/>
        <w:ind w:right="-6"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二、在采购活动中提供真实、准确、有效、合法的材料，不提供虚假材料；</w:t>
      </w:r>
    </w:p>
    <w:p w14:paraId="159584A5">
      <w:pPr>
        <w:snapToGrid w:val="0"/>
        <w:spacing w:after="0" w:line="500" w:lineRule="exact"/>
        <w:ind w:right="-6"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三、按照采购文件规定，在提交响应文件截止时间后，在采购文件规定的投标有效期限内不撤回响应文件；</w:t>
      </w:r>
    </w:p>
    <w:p w14:paraId="7EC44309">
      <w:pPr>
        <w:snapToGrid w:val="0"/>
        <w:spacing w:after="0" w:line="500" w:lineRule="exact"/>
        <w:ind w:right="-6"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四、不与其他供应商、采购人或采购代理机构串通或恶意串通；</w:t>
      </w:r>
    </w:p>
    <w:p w14:paraId="46C5EF5F">
      <w:pPr>
        <w:snapToGrid w:val="0"/>
        <w:spacing w:after="0" w:line="500" w:lineRule="exact"/>
        <w:ind w:right="-6"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五、如我单位中标，除不可</w:t>
      </w:r>
      <w:r>
        <w:rPr>
          <w:rFonts w:hint="eastAsia" w:ascii="仿宋" w:hAnsi="仿宋" w:eastAsia="仿宋" w:cs="仿宋"/>
          <w:color w:val="auto"/>
          <w:sz w:val="24"/>
          <w:szCs w:val="24"/>
          <w:highlight w:val="none"/>
          <w:lang w:eastAsia="zh-CN"/>
        </w:rPr>
        <w:t>抗力</w:t>
      </w:r>
      <w:r>
        <w:rPr>
          <w:rFonts w:hint="eastAsia" w:ascii="仿宋" w:hAnsi="仿宋" w:eastAsia="仿宋" w:cs="仿宋"/>
          <w:color w:val="auto"/>
          <w:sz w:val="24"/>
          <w:szCs w:val="24"/>
          <w:highlight w:val="none"/>
        </w:rPr>
        <w:t>或采购文件认可的情形外，我单位承诺及时领取</w:t>
      </w:r>
      <w:r>
        <w:rPr>
          <w:rFonts w:hint="eastAsia" w:ascii="仿宋" w:hAnsi="仿宋" w:eastAsia="仿宋" w:cs="仿宋"/>
          <w:color w:val="auto"/>
          <w:sz w:val="24"/>
          <w:szCs w:val="24"/>
          <w:highlight w:val="none"/>
          <w:lang w:eastAsia="zh-CN"/>
        </w:rPr>
        <w:t>成交通知书</w:t>
      </w: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eastAsia="zh-CN"/>
        </w:rPr>
        <w:t>成交通知书</w:t>
      </w:r>
      <w:r>
        <w:rPr>
          <w:rFonts w:hint="eastAsia" w:ascii="仿宋" w:hAnsi="仿宋" w:eastAsia="仿宋" w:cs="仿宋"/>
          <w:color w:val="auto"/>
          <w:sz w:val="24"/>
          <w:szCs w:val="24"/>
          <w:highlight w:val="none"/>
        </w:rPr>
        <w:t>规定时间、地点与采购人签订合同；</w:t>
      </w:r>
    </w:p>
    <w:p w14:paraId="0B6ABD35">
      <w:pPr>
        <w:snapToGrid w:val="0"/>
        <w:spacing w:after="0" w:line="500" w:lineRule="exact"/>
        <w:ind w:right="-6"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六、遵守法律法规及采购文件规定的其他情况；</w:t>
      </w:r>
    </w:p>
    <w:p w14:paraId="6D51652C">
      <w:pPr>
        <w:snapToGrid w:val="0"/>
        <w:spacing w:after="0" w:line="500" w:lineRule="exact"/>
        <w:ind w:right="-6"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七、违背上述承诺事项的，我单位无条件接受以下责任追究：</w:t>
      </w:r>
    </w:p>
    <w:p w14:paraId="5B220492">
      <w:pPr>
        <w:snapToGrid w:val="0"/>
        <w:spacing w:after="0" w:line="500" w:lineRule="exact"/>
        <w:ind w:right="-6"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法定责任：按照政府采购相关法规，处以罚款，列入不良行为记录名单，在一至三年内禁止参加政府采购活动，有违法所得的，并处没收违法所得，情节严重的，由工商行政管理机关（市场监督机关）吊销营业执照；构成犯罪的，依法追究刑事责任。</w:t>
      </w:r>
    </w:p>
    <w:p w14:paraId="7F5F41A5">
      <w:pPr>
        <w:snapToGrid w:val="0"/>
        <w:spacing w:after="0" w:line="500" w:lineRule="exact"/>
        <w:ind w:right="-6"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2.违约责任：</w:t>
      </w:r>
    </w:p>
    <w:p w14:paraId="2F7F5C35">
      <w:pPr>
        <w:snapToGrid w:val="0"/>
        <w:spacing w:after="0" w:line="500" w:lineRule="exact"/>
        <w:ind w:right="-6"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2.1已中标的，中标无效；</w:t>
      </w:r>
    </w:p>
    <w:p w14:paraId="3CB5E5CA">
      <w:pPr>
        <w:snapToGrid w:val="0"/>
        <w:spacing w:after="0" w:line="500" w:lineRule="exact"/>
        <w:ind w:right="-6"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2.2给采购人及他人造成损失的，愿承担相应的赔偿责任。</w:t>
      </w:r>
    </w:p>
    <w:p w14:paraId="4D5E1712">
      <w:pPr>
        <w:pStyle w:val="55"/>
        <w:rPr>
          <w:rFonts w:hint="eastAsia" w:ascii="仿宋" w:hAnsi="仿宋" w:eastAsia="仿宋" w:cs="仿宋"/>
          <w:color w:val="auto"/>
          <w:highlight w:val="none"/>
        </w:rPr>
      </w:pPr>
    </w:p>
    <w:p w14:paraId="44514B5B">
      <w:pPr>
        <w:widowControl/>
        <w:autoSpaceDE/>
        <w:autoSpaceDN/>
        <w:spacing w:after="160" w:line="259" w:lineRule="auto"/>
        <w:rPr>
          <w:rFonts w:hint="eastAsia" w:ascii="仿宋" w:hAnsi="仿宋" w:eastAsia="仿宋" w:cs="仿宋"/>
          <w:color w:val="auto"/>
          <w:sz w:val="24"/>
          <w:szCs w:val="24"/>
          <w:highlight w:val="none"/>
        </w:rPr>
      </w:pPr>
    </w:p>
    <w:p w14:paraId="7F1EEBB5">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供应商（电子签章）：</w:t>
      </w:r>
    </w:p>
    <w:p w14:paraId="7712D00D">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p>
    <w:p w14:paraId="7578F1C3">
      <w:pPr>
        <w:keepNext w:val="0"/>
        <w:keepLines w:val="0"/>
        <w:pageBreakBefore w:val="0"/>
        <w:widowControl w:val="0"/>
        <w:kinsoku/>
        <w:wordWrap/>
        <w:overflowPunct/>
        <w:topLinePunct w:val="0"/>
        <w:autoSpaceDE w:val="0"/>
        <w:autoSpaceDN w:val="0"/>
        <w:bidi w:val="0"/>
        <w:adjustRightInd/>
        <w:snapToGrid/>
        <w:spacing w:after="0" w:line="480" w:lineRule="auto"/>
        <w:ind w:right="0"/>
        <w:jc w:val="righ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kern w:val="2"/>
          <w:sz w:val="24"/>
          <w:szCs w:val="24"/>
          <w:highlight w:val="none"/>
          <w:lang w:val="en-US" w:eastAsia="zh-CN" w:bidi="ar-SA"/>
        </w:rPr>
        <w:t>电子签名或签章</w:t>
      </w:r>
      <w:r>
        <w:rPr>
          <w:rFonts w:hint="eastAsia" w:ascii="仿宋" w:hAnsi="仿宋" w:eastAsia="仿宋" w:cs="仿宋"/>
          <w:color w:val="auto"/>
          <w:sz w:val="24"/>
          <w:szCs w:val="24"/>
          <w:highlight w:val="none"/>
        </w:rPr>
        <w:t>）：</w:t>
      </w:r>
    </w:p>
    <w:p w14:paraId="22327AEF">
      <w:pPr>
        <w:keepNext w:val="0"/>
        <w:keepLines w:val="0"/>
        <w:pageBreakBefore w:val="0"/>
        <w:widowControl w:val="0"/>
        <w:kinsoku/>
        <w:wordWrap/>
        <w:overflowPunct/>
        <w:topLinePunct w:val="0"/>
        <w:autoSpaceDE w:val="0"/>
        <w:autoSpaceDN w:val="0"/>
        <w:bidi w:val="0"/>
        <w:adjustRightInd/>
        <w:snapToGrid/>
        <w:spacing w:after="0" w:line="480" w:lineRule="auto"/>
        <w:ind w:right="0"/>
        <w:jc w:val="right"/>
        <w:outlineLvl w:val="9"/>
        <w:rPr>
          <w:rFonts w:hint="eastAsia" w:ascii="仿宋" w:hAnsi="仿宋" w:eastAsia="仿宋" w:cs="仿宋"/>
          <w:color w:val="auto"/>
          <w:sz w:val="24"/>
          <w:szCs w:val="24"/>
          <w:highlight w:val="none"/>
        </w:rPr>
      </w:pPr>
    </w:p>
    <w:p w14:paraId="6D5BD252">
      <w:pPr>
        <w:pStyle w:val="12"/>
        <w:jc w:val="right"/>
        <w:rPr>
          <w:rFonts w:hint="eastAsia" w:ascii="仿宋" w:hAnsi="仿宋" w:eastAsia="仿宋" w:cs="仿宋"/>
          <w:color w:val="auto"/>
          <w:highlight w:val="none"/>
          <w:lang w:val="en-US" w:eastAsia="zh-CN"/>
        </w:rPr>
      </w:pPr>
      <w:r>
        <w:rPr>
          <w:rFonts w:hint="eastAsia" w:ascii="仿宋" w:hAnsi="仿宋" w:eastAsia="仿宋" w:cs="仿宋"/>
          <w:color w:val="auto"/>
          <w:sz w:val="24"/>
          <w:szCs w:val="24"/>
          <w:highlight w:val="none"/>
        </w:rPr>
        <w:t>日期：  年   月   日</w:t>
      </w:r>
    </w:p>
    <w:p w14:paraId="7A1F3373">
      <w:pPr>
        <w:widowControl/>
        <w:autoSpaceDE/>
        <w:autoSpaceDN/>
        <w:spacing w:after="160" w:line="259" w:lineRule="auto"/>
        <w:jc w:val="righ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p w14:paraId="5940281A">
      <w:pPr>
        <w:snapToGrid w:val="0"/>
        <w:spacing w:line="560" w:lineRule="atLeast"/>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9</w:t>
      </w:r>
      <w:r>
        <w:rPr>
          <w:rFonts w:hint="eastAsia" w:ascii="仿宋" w:hAnsi="仿宋" w:eastAsia="仿宋" w:cs="仿宋"/>
          <w:b/>
          <w:color w:val="auto"/>
          <w:sz w:val="24"/>
          <w:highlight w:val="none"/>
        </w:rPr>
        <w:t>.其他证明材料</w:t>
      </w:r>
    </w:p>
    <w:p w14:paraId="587B2A91">
      <w:pPr>
        <w:snapToGrid w:val="0"/>
        <w:spacing w:line="560" w:lineRule="atLeas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bCs/>
          <w:color w:val="auto"/>
          <w:sz w:val="24"/>
          <w:highlight w:val="none"/>
        </w:rPr>
        <w:t>按</w:t>
      </w:r>
      <w:r>
        <w:rPr>
          <w:rFonts w:hint="eastAsia" w:ascii="仿宋" w:hAnsi="仿宋" w:eastAsia="仿宋" w:cs="仿宋"/>
          <w:b/>
          <w:bCs/>
          <w:color w:val="auto"/>
          <w:sz w:val="24"/>
          <w:highlight w:val="none"/>
          <w:lang w:eastAsia="zh-CN"/>
        </w:rPr>
        <w:t>磋商文件</w:t>
      </w:r>
      <w:r>
        <w:rPr>
          <w:rFonts w:hint="eastAsia" w:ascii="仿宋" w:hAnsi="仿宋" w:eastAsia="仿宋" w:cs="仿宋"/>
          <w:b/>
          <w:bCs/>
          <w:color w:val="auto"/>
          <w:sz w:val="24"/>
          <w:highlight w:val="none"/>
        </w:rPr>
        <w:t>要求提供，由法定代表人的电子签名和单位电子签章，</w:t>
      </w:r>
      <w:r>
        <w:rPr>
          <w:rFonts w:hint="eastAsia" w:ascii="仿宋" w:hAnsi="仿宋" w:eastAsia="仿宋" w:cs="仿宋"/>
          <w:b/>
          <w:bCs/>
          <w:color w:val="auto"/>
          <w:sz w:val="24"/>
          <w:highlight w:val="none"/>
          <w:lang w:eastAsia="zh-CN"/>
        </w:rPr>
        <w:t>磋商文件</w:t>
      </w:r>
      <w:r>
        <w:rPr>
          <w:rFonts w:hint="eastAsia" w:ascii="仿宋" w:hAnsi="仿宋" w:eastAsia="仿宋" w:cs="仿宋"/>
          <w:b/>
          <w:bCs/>
          <w:color w:val="auto"/>
          <w:sz w:val="24"/>
          <w:highlight w:val="none"/>
        </w:rPr>
        <w:t>要求提供的其他资格证明文件或供应商认为有必要提供的其他证明文件。</w:t>
      </w:r>
      <w:r>
        <w:rPr>
          <w:rFonts w:hint="eastAsia" w:ascii="仿宋" w:hAnsi="仿宋" w:eastAsia="仿宋" w:cs="仿宋"/>
          <w:color w:val="auto"/>
          <w:sz w:val="24"/>
          <w:highlight w:val="none"/>
        </w:rPr>
        <w:t>）</w:t>
      </w:r>
    </w:p>
    <w:p w14:paraId="068232ED">
      <w:pPr>
        <w:spacing w:before="317" w:beforeLines="100" w:after="317" w:afterLines="100" w:line="48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p>
    <w:p w14:paraId="47B7A058">
      <w:pPr>
        <w:rPr>
          <w:rFonts w:hint="eastAsia" w:ascii="仿宋" w:hAnsi="仿宋" w:eastAsia="仿宋" w:cs="仿宋"/>
          <w:b/>
          <w:color w:val="auto"/>
          <w:sz w:val="44"/>
          <w:szCs w:val="28"/>
          <w:highlight w:val="none"/>
          <w:u w:val="single"/>
          <w:lang w:val="en-US" w:eastAsia="zh-CN"/>
        </w:rPr>
      </w:pPr>
    </w:p>
    <w:p w14:paraId="77DC0599">
      <w:pPr>
        <w:rPr>
          <w:rFonts w:hint="eastAsia" w:ascii="仿宋" w:hAnsi="仿宋" w:eastAsia="仿宋" w:cs="仿宋"/>
          <w:b/>
          <w:color w:val="auto"/>
          <w:sz w:val="44"/>
          <w:szCs w:val="28"/>
          <w:highlight w:val="none"/>
          <w:u w:val="single"/>
          <w:lang w:val="en-US" w:eastAsia="zh-CN"/>
        </w:rPr>
      </w:pPr>
    </w:p>
    <w:p w14:paraId="59A4F4F3">
      <w:pPr>
        <w:rPr>
          <w:rFonts w:hint="eastAsia" w:ascii="仿宋" w:hAnsi="仿宋" w:eastAsia="仿宋" w:cs="仿宋"/>
          <w:b/>
          <w:color w:val="auto"/>
          <w:sz w:val="28"/>
          <w:szCs w:val="20"/>
          <w:highlight w:val="none"/>
        </w:rPr>
      </w:pPr>
      <w:r>
        <w:rPr>
          <w:rFonts w:hint="eastAsia" w:ascii="仿宋" w:hAnsi="仿宋" w:eastAsia="仿宋" w:cs="仿宋"/>
          <w:b/>
          <w:color w:val="auto"/>
          <w:sz w:val="44"/>
          <w:szCs w:val="28"/>
          <w:highlight w:val="none"/>
          <w:u w:val="single"/>
          <w:lang w:val="en-US" w:eastAsia="zh-CN"/>
        </w:rPr>
        <w:t xml:space="preserve">                  （</w:t>
      </w:r>
      <w:r>
        <w:rPr>
          <w:rFonts w:hint="eastAsia" w:ascii="仿宋" w:hAnsi="仿宋" w:eastAsia="仿宋" w:cs="仿宋"/>
          <w:b/>
          <w:color w:val="auto"/>
          <w:sz w:val="44"/>
          <w:szCs w:val="28"/>
          <w:highlight w:val="none"/>
          <w:u w:val="single"/>
        </w:rPr>
        <w:t xml:space="preserve">项目名称） </w:t>
      </w:r>
      <w:r>
        <w:rPr>
          <w:rFonts w:hint="eastAsia" w:ascii="仿宋" w:hAnsi="仿宋" w:eastAsia="仿宋" w:cs="仿宋"/>
          <w:b/>
          <w:color w:val="auto"/>
          <w:sz w:val="28"/>
          <w:szCs w:val="20"/>
          <w:highlight w:val="none"/>
          <w:u w:val="single"/>
          <w:lang w:val="en-US" w:eastAsia="zh-CN"/>
        </w:rPr>
        <w:t xml:space="preserve">                 </w:t>
      </w:r>
      <w:r>
        <w:rPr>
          <w:rFonts w:hint="eastAsia" w:ascii="仿宋" w:hAnsi="仿宋" w:eastAsia="仿宋" w:cs="仿宋"/>
          <w:b/>
          <w:color w:val="auto"/>
          <w:sz w:val="28"/>
          <w:szCs w:val="20"/>
          <w:highlight w:val="none"/>
          <w:u w:val="single"/>
        </w:rPr>
        <w:t xml:space="preserve"> </w:t>
      </w:r>
      <w:r>
        <w:rPr>
          <w:rFonts w:hint="eastAsia" w:ascii="仿宋" w:hAnsi="仿宋" w:eastAsia="仿宋" w:cs="仿宋"/>
          <w:b/>
          <w:color w:val="auto"/>
          <w:sz w:val="28"/>
          <w:szCs w:val="20"/>
          <w:highlight w:val="none"/>
        </w:rPr>
        <w:t xml:space="preserve">        </w:t>
      </w:r>
    </w:p>
    <w:p w14:paraId="144BDC0C">
      <w:pPr>
        <w:rPr>
          <w:rFonts w:hint="eastAsia" w:ascii="仿宋" w:hAnsi="仿宋" w:eastAsia="仿宋" w:cs="仿宋"/>
          <w:b/>
          <w:color w:val="auto"/>
          <w:sz w:val="28"/>
          <w:szCs w:val="20"/>
          <w:highlight w:val="none"/>
        </w:rPr>
      </w:pPr>
    </w:p>
    <w:p w14:paraId="0AE7F8B7">
      <w:pPr>
        <w:rPr>
          <w:rFonts w:hint="eastAsia" w:ascii="仿宋" w:hAnsi="仿宋" w:eastAsia="仿宋" w:cs="仿宋"/>
          <w:b/>
          <w:color w:val="auto"/>
          <w:sz w:val="48"/>
          <w:szCs w:val="32"/>
          <w:highlight w:val="none"/>
          <w:lang w:eastAsia="zh-CN"/>
        </w:rPr>
      </w:pPr>
    </w:p>
    <w:p w14:paraId="2DE90662">
      <w:pPr>
        <w:jc w:val="center"/>
        <w:rPr>
          <w:rFonts w:hint="eastAsia" w:ascii="仿宋" w:hAnsi="仿宋" w:eastAsia="仿宋" w:cs="仿宋"/>
          <w:b/>
          <w:color w:val="auto"/>
          <w:sz w:val="56"/>
          <w:szCs w:val="40"/>
          <w:highlight w:val="none"/>
        </w:rPr>
      </w:pPr>
      <w:r>
        <w:rPr>
          <w:rFonts w:hint="eastAsia" w:ascii="仿宋" w:hAnsi="仿宋" w:eastAsia="仿宋" w:cs="仿宋"/>
          <w:b/>
          <w:color w:val="auto"/>
          <w:sz w:val="56"/>
          <w:szCs w:val="40"/>
          <w:highlight w:val="none"/>
          <w:lang w:eastAsia="zh-CN"/>
        </w:rPr>
        <w:t>符</w:t>
      </w:r>
      <w:r>
        <w:rPr>
          <w:rFonts w:hint="eastAsia" w:ascii="仿宋" w:hAnsi="仿宋" w:eastAsia="仿宋" w:cs="仿宋"/>
          <w:b/>
          <w:color w:val="auto"/>
          <w:sz w:val="56"/>
          <w:szCs w:val="40"/>
          <w:highlight w:val="none"/>
          <w:lang w:val="en-US" w:eastAsia="zh-CN"/>
        </w:rPr>
        <w:t xml:space="preserve"> </w:t>
      </w:r>
      <w:r>
        <w:rPr>
          <w:rFonts w:hint="eastAsia" w:ascii="仿宋" w:hAnsi="仿宋" w:eastAsia="仿宋" w:cs="仿宋"/>
          <w:b/>
          <w:color w:val="auto"/>
          <w:sz w:val="56"/>
          <w:szCs w:val="40"/>
          <w:highlight w:val="none"/>
          <w:lang w:eastAsia="zh-CN"/>
        </w:rPr>
        <w:t>合</w:t>
      </w:r>
      <w:r>
        <w:rPr>
          <w:rFonts w:hint="eastAsia" w:ascii="仿宋" w:hAnsi="仿宋" w:eastAsia="仿宋" w:cs="仿宋"/>
          <w:b/>
          <w:color w:val="auto"/>
          <w:sz w:val="56"/>
          <w:szCs w:val="40"/>
          <w:highlight w:val="none"/>
          <w:lang w:val="en-US" w:eastAsia="zh-CN"/>
        </w:rPr>
        <w:t xml:space="preserve"> </w:t>
      </w:r>
      <w:r>
        <w:rPr>
          <w:rFonts w:hint="eastAsia" w:ascii="仿宋" w:hAnsi="仿宋" w:eastAsia="仿宋" w:cs="仿宋"/>
          <w:b/>
          <w:color w:val="auto"/>
          <w:sz w:val="56"/>
          <w:szCs w:val="40"/>
          <w:highlight w:val="none"/>
          <w:lang w:eastAsia="zh-CN"/>
        </w:rPr>
        <w:t>性</w:t>
      </w:r>
      <w:r>
        <w:rPr>
          <w:rFonts w:hint="eastAsia" w:ascii="仿宋" w:hAnsi="仿宋" w:eastAsia="仿宋" w:cs="仿宋"/>
          <w:b/>
          <w:color w:val="auto"/>
          <w:sz w:val="56"/>
          <w:szCs w:val="40"/>
          <w:highlight w:val="none"/>
        </w:rPr>
        <w:t xml:space="preserve"> </w:t>
      </w:r>
      <w:r>
        <w:rPr>
          <w:rFonts w:hint="eastAsia" w:ascii="仿宋" w:hAnsi="仿宋" w:eastAsia="仿宋" w:cs="仿宋"/>
          <w:b/>
          <w:color w:val="auto"/>
          <w:sz w:val="56"/>
          <w:szCs w:val="40"/>
          <w:highlight w:val="none"/>
          <w:lang w:eastAsia="zh-CN"/>
        </w:rPr>
        <w:t>响</w:t>
      </w:r>
      <w:r>
        <w:rPr>
          <w:rFonts w:hint="eastAsia" w:ascii="仿宋" w:hAnsi="仿宋" w:eastAsia="仿宋" w:cs="仿宋"/>
          <w:b/>
          <w:color w:val="auto"/>
          <w:sz w:val="56"/>
          <w:szCs w:val="40"/>
          <w:highlight w:val="none"/>
          <w:lang w:val="en-US" w:eastAsia="zh-CN"/>
        </w:rPr>
        <w:t xml:space="preserve"> </w:t>
      </w:r>
      <w:r>
        <w:rPr>
          <w:rFonts w:hint="eastAsia" w:ascii="仿宋" w:hAnsi="仿宋" w:eastAsia="仿宋" w:cs="仿宋"/>
          <w:b/>
          <w:color w:val="auto"/>
          <w:sz w:val="56"/>
          <w:szCs w:val="40"/>
          <w:highlight w:val="none"/>
          <w:lang w:eastAsia="zh-CN"/>
        </w:rPr>
        <w:t>应</w:t>
      </w:r>
      <w:r>
        <w:rPr>
          <w:rFonts w:hint="eastAsia" w:ascii="仿宋" w:hAnsi="仿宋" w:eastAsia="仿宋" w:cs="仿宋"/>
          <w:b/>
          <w:color w:val="auto"/>
          <w:sz w:val="56"/>
          <w:szCs w:val="40"/>
          <w:highlight w:val="none"/>
        </w:rPr>
        <w:t xml:space="preserve"> 文 件</w:t>
      </w:r>
    </w:p>
    <w:p w14:paraId="3FBEADD6">
      <w:pPr>
        <w:ind w:firstLine="2249" w:firstLineChars="700"/>
        <w:rPr>
          <w:rFonts w:hint="eastAsia" w:ascii="仿宋" w:hAnsi="仿宋" w:eastAsia="仿宋" w:cs="仿宋"/>
          <w:b/>
          <w:color w:val="auto"/>
          <w:sz w:val="28"/>
          <w:szCs w:val="20"/>
          <w:highlight w:val="none"/>
        </w:rPr>
      </w:pPr>
      <w:r>
        <w:rPr>
          <w:rFonts w:hint="eastAsia" w:ascii="仿宋" w:hAnsi="仿宋" w:eastAsia="仿宋" w:cs="仿宋"/>
          <w:b/>
          <w:color w:val="auto"/>
          <w:sz w:val="32"/>
          <w:szCs w:val="21"/>
          <w:highlight w:val="none"/>
        </w:rPr>
        <w:t>采购编号：</w:t>
      </w:r>
      <w:r>
        <w:rPr>
          <w:rFonts w:hint="eastAsia" w:ascii="仿宋" w:hAnsi="仿宋" w:eastAsia="仿宋" w:cs="仿宋"/>
          <w:b/>
          <w:color w:val="auto"/>
          <w:sz w:val="32"/>
          <w:szCs w:val="21"/>
          <w:highlight w:val="none"/>
          <w:u w:val="single"/>
          <w:lang w:val="en-US" w:eastAsia="zh-CN"/>
        </w:rPr>
        <w:t xml:space="preserve">                   </w:t>
      </w:r>
      <w:r>
        <w:rPr>
          <w:rFonts w:hint="eastAsia" w:ascii="仿宋" w:hAnsi="仿宋" w:eastAsia="仿宋" w:cs="仿宋"/>
          <w:b/>
          <w:color w:val="auto"/>
          <w:sz w:val="28"/>
          <w:szCs w:val="20"/>
          <w:highlight w:val="none"/>
        </w:rPr>
        <w:t xml:space="preserve">               </w:t>
      </w:r>
    </w:p>
    <w:p w14:paraId="7B4EA208">
      <w:pPr>
        <w:rPr>
          <w:rFonts w:hint="eastAsia" w:ascii="仿宋" w:hAnsi="仿宋" w:eastAsia="仿宋" w:cs="仿宋"/>
          <w:b/>
          <w:color w:val="auto"/>
          <w:sz w:val="28"/>
          <w:szCs w:val="20"/>
          <w:highlight w:val="none"/>
        </w:rPr>
      </w:pPr>
    </w:p>
    <w:p w14:paraId="166B3D8E">
      <w:pPr>
        <w:rPr>
          <w:rFonts w:hint="eastAsia" w:ascii="仿宋" w:hAnsi="仿宋" w:eastAsia="仿宋" w:cs="仿宋"/>
          <w:b/>
          <w:color w:val="auto"/>
          <w:sz w:val="28"/>
          <w:szCs w:val="20"/>
          <w:highlight w:val="none"/>
        </w:rPr>
      </w:pPr>
    </w:p>
    <w:p w14:paraId="417174E2">
      <w:pPr>
        <w:rPr>
          <w:rFonts w:hint="eastAsia" w:ascii="仿宋" w:hAnsi="仿宋" w:eastAsia="仿宋" w:cs="仿宋"/>
          <w:b/>
          <w:color w:val="auto"/>
          <w:sz w:val="28"/>
          <w:szCs w:val="20"/>
          <w:highlight w:val="none"/>
        </w:rPr>
      </w:pPr>
    </w:p>
    <w:p w14:paraId="369F1148">
      <w:pPr>
        <w:rPr>
          <w:rFonts w:hint="eastAsia" w:ascii="仿宋" w:hAnsi="仿宋" w:eastAsia="仿宋" w:cs="仿宋"/>
          <w:b/>
          <w:color w:val="auto"/>
          <w:sz w:val="28"/>
          <w:szCs w:val="20"/>
          <w:highlight w:val="none"/>
        </w:rPr>
      </w:pPr>
    </w:p>
    <w:p w14:paraId="3DC5F86E">
      <w:pPr>
        <w:rPr>
          <w:rFonts w:hint="eastAsia" w:ascii="仿宋" w:hAnsi="仿宋" w:eastAsia="仿宋" w:cs="仿宋"/>
          <w:b/>
          <w:color w:val="auto"/>
          <w:sz w:val="28"/>
          <w:szCs w:val="20"/>
          <w:highlight w:val="none"/>
        </w:rPr>
      </w:pPr>
    </w:p>
    <w:p w14:paraId="748FDAFB">
      <w:pPr>
        <w:rPr>
          <w:rFonts w:hint="eastAsia" w:ascii="仿宋" w:hAnsi="仿宋" w:eastAsia="仿宋" w:cs="仿宋"/>
          <w:b/>
          <w:color w:val="auto"/>
          <w:sz w:val="28"/>
          <w:szCs w:val="20"/>
          <w:highlight w:val="none"/>
        </w:rPr>
      </w:pPr>
      <w:r>
        <w:rPr>
          <w:rFonts w:hint="eastAsia" w:ascii="仿宋" w:hAnsi="仿宋" w:eastAsia="仿宋" w:cs="仿宋"/>
          <w:b/>
          <w:color w:val="auto"/>
          <w:sz w:val="28"/>
          <w:szCs w:val="20"/>
          <w:highlight w:val="none"/>
        </w:rPr>
        <w:t>供应商：</w:t>
      </w:r>
      <w:r>
        <w:rPr>
          <w:rFonts w:hint="eastAsia" w:ascii="仿宋" w:hAnsi="仿宋" w:eastAsia="仿宋" w:cs="仿宋"/>
          <w:b/>
          <w:color w:val="auto"/>
          <w:sz w:val="28"/>
          <w:szCs w:val="20"/>
          <w:highlight w:val="none"/>
          <w:u w:val="single"/>
        </w:rPr>
        <w:t xml:space="preserve">                                  </w:t>
      </w:r>
      <w:r>
        <w:rPr>
          <w:rFonts w:hint="eastAsia" w:ascii="仿宋" w:hAnsi="仿宋" w:eastAsia="仿宋" w:cs="仿宋"/>
          <w:b/>
          <w:color w:val="auto"/>
          <w:sz w:val="28"/>
          <w:szCs w:val="20"/>
          <w:highlight w:val="none"/>
        </w:rPr>
        <w:t>（加盖电子签章）</w:t>
      </w:r>
    </w:p>
    <w:p w14:paraId="661E181E">
      <w:pPr>
        <w:rPr>
          <w:rFonts w:hint="eastAsia" w:ascii="仿宋" w:hAnsi="仿宋" w:eastAsia="仿宋" w:cs="仿宋"/>
          <w:b/>
          <w:color w:val="auto"/>
          <w:sz w:val="28"/>
          <w:szCs w:val="20"/>
          <w:highlight w:val="none"/>
        </w:rPr>
      </w:pPr>
      <w:r>
        <w:rPr>
          <w:rFonts w:hint="eastAsia" w:ascii="仿宋" w:hAnsi="仿宋" w:eastAsia="仿宋" w:cs="仿宋"/>
          <w:b/>
          <w:color w:val="auto"/>
          <w:sz w:val="28"/>
          <w:szCs w:val="20"/>
          <w:highlight w:val="none"/>
        </w:rPr>
        <w:t>法定代表人：</w:t>
      </w:r>
      <w:r>
        <w:rPr>
          <w:rFonts w:hint="eastAsia" w:ascii="仿宋" w:hAnsi="仿宋" w:eastAsia="仿宋" w:cs="仿宋"/>
          <w:b/>
          <w:color w:val="auto"/>
          <w:sz w:val="28"/>
          <w:szCs w:val="20"/>
          <w:highlight w:val="none"/>
          <w:u w:val="single"/>
        </w:rPr>
        <w:t xml:space="preserve">                              </w:t>
      </w:r>
      <w:r>
        <w:rPr>
          <w:rFonts w:hint="eastAsia" w:ascii="仿宋" w:hAnsi="仿宋" w:eastAsia="仿宋" w:cs="仿宋"/>
          <w:b/>
          <w:color w:val="auto"/>
          <w:sz w:val="28"/>
          <w:szCs w:val="20"/>
          <w:highlight w:val="none"/>
        </w:rPr>
        <w:t>（加盖电子签名）</w:t>
      </w:r>
    </w:p>
    <w:p w14:paraId="789A1CA6">
      <w:pPr>
        <w:rPr>
          <w:rFonts w:hint="eastAsia" w:ascii="仿宋" w:hAnsi="仿宋" w:eastAsia="仿宋" w:cs="仿宋"/>
          <w:b/>
          <w:color w:val="auto"/>
          <w:sz w:val="28"/>
          <w:szCs w:val="20"/>
          <w:highlight w:val="none"/>
        </w:rPr>
      </w:pPr>
      <w:r>
        <w:rPr>
          <w:rFonts w:hint="eastAsia" w:ascii="仿宋" w:hAnsi="仿宋" w:eastAsia="仿宋" w:cs="仿宋"/>
          <w:b/>
          <w:color w:val="auto"/>
          <w:sz w:val="28"/>
          <w:szCs w:val="20"/>
          <w:highlight w:val="none"/>
        </w:rPr>
        <w:t>投标日期：</w:t>
      </w:r>
      <w:r>
        <w:rPr>
          <w:rFonts w:hint="eastAsia" w:ascii="仿宋" w:hAnsi="仿宋" w:eastAsia="仿宋" w:cs="仿宋"/>
          <w:b/>
          <w:color w:val="auto"/>
          <w:sz w:val="28"/>
          <w:szCs w:val="20"/>
          <w:highlight w:val="none"/>
          <w:u w:val="single"/>
        </w:rPr>
        <w:t xml:space="preserve">           年           月          日</w:t>
      </w:r>
      <w:r>
        <w:rPr>
          <w:rFonts w:hint="eastAsia" w:ascii="仿宋" w:hAnsi="仿宋" w:eastAsia="仿宋" w:cs="仿宋"/>
          <w:b/>
          <w:color w:val="auto"/>
          <w:sz w:val="28"/>
          <w:szCs w:val="20"/>
          <w:highlight w:val="none"/>
        </w:rPr>
        <w:t xml:space="preserve"> </w:t>
      </w:r>
      <w:r>
        <w:rPr>
          <w:rFonts w:hint="eastAsia" w:ascii="仿宋" w:hAnsi="仿宋" w:eastAsia="仿宋" w:cs="仿宋"/>
          <w:b/>
          <w:color w:val="auto"/>
          <w:sz w:val="28"/>
          <w:szCs w:val="20"/>
          <w:highlight w:val="none"/>
        </w:rPr>
        <w:br w:type="page"/>
      </w:r>
    </w:p>
    <w:p w14:paraId="633CC559">
      <w:pPr>
        <w:jc w:val="center"/>
        <w:rPr>
          <w:rFonts w:hint="eastAsia" w:ascii="仿宋" w:hAnsi="仿宋" w:eastAsia="仿宋" w:cs="仿宋"/>
          <w:b/>
          <w:color w:val="auto"/>
          <w:sz w:val="32"/>
          <w:szCs w:val="21"/>
          <w:highlight w:val="none"/>
          <w:lang w:val="en-US" w:eastAsia="zh-CN"/>
        </w:rPr>
      </w:pPr>
      <w:r>
        <w:rPr>
          <w:rFonts w:hint="eastAsia" w:ascii="仿宋" w:hAnsi="仿宋" w:eastAsia="仿宋" w:cs="仿宋"/>
          <w:b/>
          <w:color w:val="auto"/>
          <w:sz w:val="32"/>
          <w:szCs w:val="21"/>
          <w:highlight w:val="none"/>
          <w:lang w:val="en-US" w:eastAsia="zh-CN"/>
        </w:rPr>
        <w:t>目  录</w:t>
      </w:r>
    </w:p>
    <w:p w14:paraId="67133715">
      <w:pPr>
        <w:rPr>
          <w:rFonts w:hint="eastAsia" w:ascii="仿宋" w:hAnsi="仿宋" w:eastAsia="仿宋" w:cs="仿宋"/>
          <w:b/>
          <w:color w:val="auto"/>
          <w:sz w:val="28"/>
          <w:szCs w:val="20"/>
          <w:highlight w:val="none"/>
        </w:rPr>
      </w:pPr>
      <w:r>
        <w:rPr>
          <w:rFonts w:hint="eastAsia" w:ascii="仿宋" w:hAnsi="仿宋" w:eastAsia="仿宋" w:cs="仿宋"/>
          <w:b/>
          <w:color w:val="auto"/>
          <w:sz w:val="28"/>
          <w:szCs w:val="20"/>
          <w:highlight w:val="none"/>
        </w:rPr>
        <w:t>1</w:t>
      </w:r>
      <w:r>
        <w:rPr>
          <w:rFonts w:hint="eastAsia" w:ascii="仿宋" w:hAnsi="仿宋" w:eastAsia="仿宋" w:cs="仿宋"/>
          <w:b/>
          <w:color w:val="auto"/>
          <w:sz w:val="28"/>
          <w:szCs w:val="20"/>
          <w:highlight w:val="none"/>
          <w:lang w:val="en-US" w:eastAsia="zh-CN"/>
        </w:rPr>
        <w:t>0</w:t>
      </w:r>
      <w:r>
        <w:rPr>
          <w:rFonts w:hint="eastAsia" w:ascii="仿宋" w:hAnsi="仿宋" w:eastAsia="仿宋" w:cs="仿宋"/>
          <w:b/>
          <w:color w:val="auto"/>
          <w:sz w:val="28"/>
          <w:szCs w:val="20"/>
          <w:highlight w:val="none"/>
        </w:rPr>
        <w:t>.履约承诺书</w:t>
      </w:r>
    </w:p>
    <w:p w14:paraId="1DA4335F">
      <w:pPr>
        <w:rPr>
          <w:rFonts w:hint="eastAsia" w:ascii="仿宋" w:hAnsi="仿宋" w:eastAsia="仿宋" w:cs="仿宋"/>
          <w:b/>
          <w:color w:val="auto"/>
          <w:sz w:val="28"/>
          <w:szCs w:val="20"/>
          <w:highlight w:val="none"/>
        </w:rPr>
      </w:pPr>
      <w:r>
        <w:rPr>
          <w:rFonts w:hint="eastAsia" w:ascii="仿宋" w:hAnsi="仿宋" w:eastAsia="仿宋" w:cs="仿宋"/>
          <w:b/>
          <w:color w:val="auto"/>
          <w:sz w:val="28"/>
          <w:szCs w:val="20"/>
          <w:highlight w:val="none"/>
        </w:rPr>
        <w:t>1</w:t>
      </w:r>
      <w:r>
        <w:rPr>
          <w:rFonts w:hint="eastAsia" w:ascii="仿宋" w:hAnsi="仿宋" w:eastAsia="仿宋" w:cs="仿宋"/>
          <w:b/>
          <w:color w:val="auto"/>
          <w:sz w:val="28"/>
          <w:szCs w:val="20"/>
          <w:highlight w:val="none"/>
          <w:lang w:val="en-US" w:eastAsia="zh-CN"/>
        </w:rPr>
        <w:t>1</w:t>
      </w:r>
      <w:r>
        <w:rPr>
          <w:rFonts w:hint="eastAsia" w:ascii="仿宋" w:hAnsi="仿宋" w:eastAsia="仿宋" w:cs="仿宋"/>
          <w:b/>
          <w:color w:val="auto"/>
          <w:sz w:val="28"/>
          <w:szCs w:val="20"/>
          <w:highlight w:val="none"/>
        </w:rPr>
        <w:t>.开标一览表</w:t>
      </w:r>
    </w:p>
    <w:p w14:paraId="01882691">
      <w:pPr>
        <w:rPr>
          <w:rFonts w:hint="eastAsia" w:ascii="仿宋" w:hAnsi="仿宋" w:eastAsia="仿宋" w:cs="仿宋"/>
          <w:b/>
          <w:color w:val="auto"/>
          <w:sz w:val="28"/>
          <w:szCs w:val="20"/>
          <w:highlight w:val="none"/>
        </w:rPr>
      </w:pPr>
      <w:r>
        <w:rPr>
          <w:rFonts w:hint="eastAsia" w:ascii="仿宋" w:hAnsi="仿宋" w:eastAsia="仿宋" w:cs="仿宋"/>
          <w:b/>
          <w:color w:val="auto"/>
          <w:sz w:val="28"/>
          <w:szCs w:val="20"/>
          <w:highlight w:val="none"/>
        </w:rPr>
        <w:t>1</w:t>
      </w:r>
      <w:r>
        <w:rPr>
          <w:rFonts w:hint="eastAsia" w:ascii="仿宋" w:hAnsi="仿宋" w:eastAsia="仿宋" w:cs="仿宋"/>
          <w:b/>
          <w:color w:val="auto"/>
          <w:sz w:val="28"/>
          <w:szCs w:val="20"/>
          <w:highlight w:val="none"/>
          <w:lang w:val="en-US" w:eastAsia="zh-CN"/>
        </w:rPr>
        <w:t>2</w:t>
      </w:r>
      <w:r>
        <w:rPr>
          <w:rFonts w:hint="eastAsia" w:ascii="仿宋" w:hAnsi="仿宋" w:eastAsia="仿宋" w:cs="仿宋"/>
          <w:b/>
          <w:color w:val="auto"/>
          <w:sz w:val="28"/>
          <w:szCs w:val="20"/>
          <w:highlight w:val="none"/>
        </w:rPr>
        <w:t>.分项报价</w:t>
      </w:r>
    </w:p>
    <w:p w14:paraId="7882C647">
      <w:pPr>
        <w:rPr>
          <w:rFonts w:hint="eastAsia" w:ascii="仿宋" w:hAnsi="仿宋" w:eastAsia="仿宋" w:cs="仿宋"/>
          <w:b/>
          <w:color w:val="auto"/>
          <w:sz w:val="28"/>
          <w:szCs w:val="20"/>
          <w:highlight w:val="none"/>
        </w:rPr>
      </w:pPr>
      <w:r>
        <w:rPr>
          <w:rFonts w:hint="eastAsia" w:ascii="仿宋" w:hAnsi="仿宋" w:eastAsia="仿宋" w:cs="仿宋"/>
          <w:b/>
          <w:color w:val="auto"/>
          <w:sz w:val="28"/>
          <w:szCs w:val="20"/>
          <w:highlight w:val="none"/>
        </w:rPr>
        <w:t>1</w:t>
      </w:r>
      <w:r>
        <w:rPr>
          <w:rFonts w:hint="eastAsia" w:ascii="仿宋" w:hAnsi="仿宋" w:eastAsia="仿宋" w:cs="仿宋"/>
          <w:b/>
          <w:color w:val="auto"/>
          <w:sz w:val="28"/>
          <w:szCs w:val="20"/>
          <w:highlight w:val="none"/>
          <w:lang w:val="en-US" w:eastAsia="zh-CN"/>
        </w:rPr>
        <w:t>3</w:t>
      </w:r>
      <w:r>
        <w:rPr>
          <w:rFonts w:hint="eastAsia" w:ascii="仿宋" w:hAnsi="仿宋" w:eastAsia="仿宋" w:cs="仿宋"/>
          <w:b/>
          <w:color w:val="auto"/>
          <w:sz w:val="28"/>
          <w:szCs w:val="20"/>
          <w:highlight w:val="none"/>
        </w:rPr>
        <w:t>.服务方案</w:t>
      </w:r>
      <w:r>
        <w:rPr>
          <w:rFonts w:hint="eastAsia" w:ascii="仿宋" w:hAnsi="仿宋" w:eastAsia="仿宋" w:cs="仿宋"/>
          <w:b/>
          <w:color w:val="auto"/>
          <w:sz w:val="28"/>
          <w:szCs w:val="20"/>
          <w:highlight w:val="none"/>
          <w:lang w:eastAsia="zh-CN"/>
        </w:rPr>
        <w:t>（</w:t>
      </w:r>
      <w:r>
        <w:rPr>
          <w:rFonts w:hint="eastAsia" w:ascii="仿宋" w:hAnsi="仿宋" w:eastAsia="仿宋" w:cs="仿宋"/>
          <w:b/>
          <w:color w:val="auto"/>
          <w:sz w:val="28"/>
          <w:szCs w:val="20"/>
          <w:highlight w:val="none"/>
        </w:rPr>
        <w:t>可根据评分细则中相关内容进行提供及描述</w:t>
      </w:r>
      <w:r>
        <w:rPr>
          <w:rFonts w:hint="eastAsia" w:ascii="仿宋" w:hAnsi="仿宋" w:eastAsia="仿宋" w:cs="仿宋"/>
          <w:b/>
          <w:color w:val="auto"/>
          <w:sz w:val="28"/>
          <w:szCs w:val="20"/>
          <w:highlight w:val="none"/>
          <w:lang w:eastAsia="zh-CN"/>
        </w:rPr>
        <w:t>）</w:t>
      </w:r>
    </w:p>
    <w:p w14:paraId="358BDECD">
      <w:pPr>
        <w:rPr>
          <w:rFonts w:hint="eastAsia" w:ascii="仿宋" w:hAnsi="仿宋" w:eastAsia="仿宋" w:cs="仿宋"/>
          <w:b/>
          <w:color w:val="auto"/>
          <w:sz w:val="28"/>
          <w:szCs w:val="20"/>
          <w:highlight w:val="none"/>
        </w:rPr>
      </w:pPr>
      <w:r>
        <w:rPr>
          <w:rFonts w:hint="eastAsia" w:ascii="仿宋" w:hAnsi="仿宋" w:eastAsia="仿宋" w:cs="仿宋"/>
          <w:b/>
          <w:color w:val="auto"/>
          <w:sz w:val="28"/>
          <w:szCs w:val="20"/>
          <w:highlight w:val="none"/>
          <w:lang w:val="en-US" w:eastAsia="zh-CN"/>
        </w:rPr>
        <w:t>14</w:t>
      </w:r>
      <w:r>
        <w:rPr>
          <w:rFonts w:hint="eastAsia" w:ascii="仿宋" w:hAnsi="仿宋" w:eastAsia="仿宋" w:cs="仿宋"/>
          <w:b/>
          <w:color w:val="auto"/>
          <w:sz w:val="28"/>
          <w:szCs w:val="20"/>
          <w:highlight w:val="none"/>
        </w:rPr>
        <w:t>.服务拟投入的人员情况表</w:t>
      </w:r>
    </w:p>
    <w:p w14:paraId="36A3A943">
      <w:pPr>
        <w:rPr>
          <w:rFonts w:hint="eastAsia" w:ascii="仿宋" w:hAnsi="仿宋" w:eastAsia="仿宋" w:cs="仿宋"/>
          <w:b/>
          <w:color w:val="auto"/>
          <w:sz w:val="28"/>
          <w:szCs w:val="20"/>
          <w:highlight w:val="none"/>
        </w:rPr>
      </w:pPr>
      <w:r>
        <w:rPr>
          <w:rFonts w:hint="eastAsia" w:ascii="仿宋" w:hAnsi="仿宋" w:eastAsia="仿宋" w:cs="仿宋"/>
          <w:b/>
          <w:color w:val="auto"/>
          <w:sz w:val="28"/>
          <w:szCs w:val="20"/>
          <w:highlight w:val="none"/>
          <w:lang w:val="en-US" w:eastAsia="zh-CN"/>
        </w:rPr>
        <w:t>15</w:t>
      </w:r>
      <w:r>
        <w:rPr>
          <w:rFonts w:hint="eastAsia" w:ascii="仿宋" w:hAnsi="仿宋" w:eastAsia="仿宋" w:cs="仿宋"/>
          <w:b/>
          <w:color w:val="auto"/>
          <w:sz w:val="28"/>
          <w:szCs w:val="20"/>
          <w:highlight w:val="none"/>
        </w:rPr>
        <w:t>.其他材料</w:t>
      </w:r>
    </w:p>
    <w:p w14:paraId="25FF0935">
      <w:pPr>
        <w:pStyle w:val="46"/>
        <w:jc w:val="center"/>
        <w:rPr>
          <w:rFonts w:hint="eastAsia" w:ascii="仿宋" w:hAnsi="仿宋" w:eastAsia="仿宋" w:cs="仿宋"/>
          <w:b/>
          <w:color w:val="auto"/>
          <w:sz w:val="28"/>
          <w:szCs w:val="20"/>
          <w:highlight w:val="none"/>
        </w:rPr>
      </w:pPr>
    </w:p>
    <w:p w14:paraId="2E3359EB">
      <w:pPr>
        <w:pStyle w:val="46"/>
        <w:jc w:val="center"/>
        <w:rPr>
          <w:rFonts w:hint="eastAsia" w:ascii="仿宋" w:hAnsi="仿宋" w:eastAsia="仿宋" w:cs="仿宋"/>
          <w:b/>
          <w:color w:val="auto"/>
          <w:sz w:val="28"/>
          <w:szCs w:val="20"/>
          <w:highlight w:val="none"/>
        </w:rPr>
      </w:pPr>
    </w:p>
    <w:p w14:paraId="3E7B0908">
      <w:pPr>
        <w:pStyle w:val="46"/>
        <w:jc w:val="center"/>
        <w:rPr>
          <w:rFonts w:hint="eastAsia" w:ascii="仿宋" w:hAnsi="仿宋" w:eastAsia="仿宋" w:cs="仿宋"/>
          <w:b/>
          <w:color w:val="auto"/>
          <w:sz w:val="28"/>
          <w:szCs w:val="20"/>
          <w:highlight w:val="none"/>
        </w:rPr>
      </w:pPr>
    </w:p>
    <w:p w14:paraId="3AA3CC48">
      <w:pPr>
        <w:pStyle w:val="46"/>
        <w:jc w:val="center"/>
        <w:rPr>
          <w:rFonts w:hint="eastAsia" w:ascii="仿宋" w:hAnsi="仿宋" w:eastAsia="仿宋" w:cs="仿宋"/>
          <w:b/>
          <w:color w:val="auto"/>
          <w:sz w:val="28"/>
          <w:szCs w:val="20"/>
          <w:highlight w:val="none"/>
        </w:rPr>
      </w:pPr>
    </w:p>
    <w:p w14:paraId="7042A951">
      <w:pPr>
        <w:pStyle w:val="46"/>
        <w:jc w:val="center"/>
        <w:rPr>
          <w:rFonts w:hint="eastAsia" w:ascii="仿宋" w:hAnsi="仿宋" w:eastAsia="仿宋" w:cs="仿宋"/>
          <w:b/>
          <w:color w:val="auto"/>
          <w:sz w:val="28"/>
          <w:szCs w:val="20"/>
          <w:highlight w:val="none"/>
        </w:rPr>
      </w:pPr>
    </w:p>
    <w:p w14:paraId="6200C6BA">
      <w:pPr>
        <w:pStyle w:val="46"/>
        <w:jc w:val="center"/>
        <w:rPr>
          <w:rFonts w:hint="eastAsia" w:ascii="仿宋" w:hAnsi="仿宋" w:eastAsia="仿宋" w:cs="仿宋"/>
          <w:b/>
          <w:color w:val="auto"/>
          <w:sz w:val="28"/>
          <w:szCs w:val="20"/>
          <w:highlight w:val="none"/>
        </w:rPr>
      </w:pPr>
    </w:p>
    <w:p w14:paraId="3965E5EF">
      <w:pPr>
        <w:pStyle w:val="10"/>
        <w:rPr>
          <w:rFonts w:hint="eastAsia" w:ascii="仿宋" w:hAnsi="仿宋" w:eastAsia="仿宋" w:cs="仿宋"/>
          <w:b/>
          <w:color w:val="auto"/>
          <w:sz w:val="28"/>
          <w:szCs w:val="20"/>
          <w:highlight w:val="none"/>
        </w:rPr>
      </w:pPr>
    </w:p>
    <w:p w14:paraId="238F2381">
      <w:pPr>
        <w:rPr>
          <w:rFonts w:hint="eastAsia" w:ascii="仿宋" w:hAnsi="仿宋" w:eastAsia="仿宋" w:cs="仿宋"/>
          <w:highlight w:val="none"/>
        </w:rPr>
      </w:pPr>
    </w:p>
    <w:p w14:paraId="6DB27497">
      <w:pPr>
        <w:rPr>
          <w:rFonts w:hint="eastAsia" w:ascii="仿宋" w:hAnsi="仿宋" w:eastAsia="仿宋" w:cs="仿宋"/>
          <w:highlight w:val="none"/>
        </w:rPr>
      </w:pPr>
    </w:p>
    <w:p w14:paraId="03EB3A5D">
      <w:pPr>
        <w:pStyle w:val="46"/>
        <w:jc w:val="center"/>
        <w:rPr>
          <w:rFonts w:hint="eastAsia" w:ascii="仿宋" w:hAnsi="仿宋" w:eastAsia="仿宋" w:cs="仿宋"/>
          <w:b/>
          <w:color w:val="auto"/>
          <w:sz w:val="28"/>
          <w:szCs w:val="20"/>
          <w:highlight w:val="none"/>
        </w:rPr>
      </w:pPr>
    </w:p>
    <w:p w14:paraId="0AA522A4">
      <w:pPr>
        <w:pStyle w:val="46"/>
        <w:jc w:val="center"/>
        <w:rPr>
          <w:rFonts w:hint="eastAsia" w:ascii="仿宋" w:hAnsi="仿宋" w:eastAsia="仿宋" w:cs="仿宋"/>
          <w:b/>
          <w:color w:val="auto"/>
          <w:sz w:val="28"/>
          <w:szCs w:val="20"/>
          <w:highlight w:val="none"/>
        </w:rPr>
      </w:pPr>
      <w:r>
        <w:rPr>
          <w:rFonts w:hint="eastAsia" w:ascii="仿宋" w:hAnsi="仿宋" w:eastAsia="仿宋" w:cs="仿宋"/>
          <w:b/>
          <w:color w:val="auto"/>
          <w:sz w:val="28"/>
          <w:szCs w:val="20"/>
          <w:highlight w:val="none"/>
        </w:rPr>
        <w:t>1</w:t>
      </w:r>
      <w:r>
        <w:rPr>
          <w:rFonts w:hint="eastAsia" w:ascii="仿宋" w:hAnsi="仿宋" w:eastAsia="仿宋" w:cs="仿宋"/>
          <w:b/>
          <w:color w:val="auto"/>
          <w:sz w:val="28"/>
          <w:szCs w:val="20"/>
          <w:highlight w:val="none"/>
          <w:lang w:val="en-US" w:eastAsia="zh-CN"/>
        </w:rPr>
        <w:t>0</w:t>
      </w:r>
      <w:r>
        <w:rPr>
          <w:rFonts w:hint="eastAsia" w:ascii="仿宋" w:hAnsi="仿宋" w:eastAsia="仿宋" w:cs="仿宋"/>
          <w:b/>
          <w:color w:val="auto"/>
          <w:sz w:val="28"/>
          <w:szCs w:val="20"/>
          <w:highlight w:val="none"/>
        </w:rPr>
        <w:t>.履约承诺书</w:t>
      </w:r>
    </w:p>
    <w:p w14:paraId="2C836B74">
      <w:pPr>
        <w:spacing w:line="500" w:lineRule="exact"/>
        <w:ind w:firstLine="600" w:firstLineChars="250"/>
        <w:rPr>
          <w:rFonts w:hint="eastAsia" w:ascii="仿宋" w:hAnsi="仿宋" w:eastAsia="仿宋" w:cs="仿宋"/>
          <w:color w:val="auto"/>
          <w:sz w:val="24"/>
          <w:highlight w:val="none"/>
        </w:rPr>
      </w:pPr>
      <w:r>
        <w:rPr>
          <w:rFonts w:hint="eastAsia" w:ascii="仿宋" w:hAnsi="仿宋" w:eastAsia="仿宋" w:cs="仿宋"/>
          <w:color w:val="auto"/>
          <w:sz w:val="24"/>
          <w:highlight w:val="none"/>
        </w:rPr>
        <w:t>一、我单位承诺：</w:t>
      </w:r>
    </w:p>
    <w:p w14:paraId="50589453">
      <w:pPr>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（一）我单位已详细阅读并完全理解、同意《</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》的全部内容，包括修改补充文件以及全部参考资料和有关附件；除我单位在《</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》规定期间内书面提出的疑问外，我单位放弃对这方面不明及误解的权力，并严格按采购人确定的技术及商务要求等履行。</w:t>
      </w:r>
    </w:p>
    <w:p w14:paraId="5121B42E">
      <w:pPr>
        <w:tabs>
          <w:tab w:val="left" w:pos="9365"/>
        </w:tabs>
        <w:snapToGrid w:val="0"/>
        <w:spacing w:after="0" w:line="460" w:lineRule="atLeast"/>
        <w:ind w:firstLine="480" w:firstLineChars="200"/>
        <w:jc w:val="left"/>
        <w:textAlignment w:val="top"/>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（二）我单位已详细了解采购标的，并按采购人现有条件及要求编制报价；我单位的报价包括《</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》所述报价组成的所有内容、并包括《</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》未列明而完成本工程所必须的所有设备、材料、工具、费用等达到交付使用及验收条件的所有一切风险、责任和义务的费用。我单位确认本次报价未低于成本价，保证按《</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》要求及投标承诺的质量诚信履约。</w:t>
      </w:r>
    </w:p>
    <w:p w14:paraId="4C743C9F">
      <w:pPr>
        <w:tabs>
          <w:tab w:val="left" w:pos="9365"/>
        </w:tabs>
        <w:snapToGrid w:val="0"/>
        <w:spacing w:after="0" w:line="460" w:lineRule="atLeast"/>
        <w:ind w:firstLine="480" w:firstLineChars="200"/>
        <w:jc w:val="left"/>
        <w:textAlignment w:val="top"/>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（三）我单位保证在《</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》要求的时间内按期、保质完成成交项目。如我单位成交，将在推荐成交结果公示后，积极、主动</w:t>
      </w:r>
      <w:r>
        <w:rPr>
          <w:rFonts w:hint="eastAsia" w:ascii="仿宋" w:hAnsi="仿宋" w:eastAsia="仿宋" w:cs="仿宋"/>
          <w:color w:val="auto"/>
          <w:sz w:val="24"/>
          <w:highlight w:val="none"/>
          <w:lang w:eastAsia="zh-CN"/>
        </w:rPr>
        <w:t>地</w:t>
      </w:r>
      <w:r>
        <w:rPr>
          <w:rFonts w:hint="eastAsia" w:ascii="仿宋" w:hAnsi="仿宋" w:eastAsia="仿宋" w:cs="仿宋"/>
          <w:color w:val="auto"/>
          <w:sz w:val="24"/>
          <w:highlight w:val="none"/>
        </w:rPr>
        <w:t>与采购人联系合同签订事宜，合同签订中如有任何的问题，我单位保证及时书面反映情况，否则视为我单位责任、按违约处理。</w:t>
      </w:r>
    </w:p>
    <w:p w14:paraId="43339160">
      <w:pPr>
        <w:tabs>
          <w:tab w:val="left" w:pos="9365"/>
        </w:tabs>
        <w:snapToGrid w:val="0"/>
        <w:spacing w:after="0" w:line="460" w:lineRule="atLeast"/>
        <w:ind w:firstLine="480" w:firstLineChars="200"/>
        <w:jc w:val="left"/>
        <w:textAlignment w:val="top"/>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二、我单位承诺：</w:t>
      </w:r>
    </w:p>
    <w:p w14:paraId="4A99F5AF">
      <w:pPr>
        <w:tabs>
          <w:tab w:val="left" w:pos="9365"/>
        </w:tabs>
        <w:snapToGrid w:val="0"/>
        <w:spacing w:after="0" w:line="460" w:lineRule="atLeast"/>
        <w:ind w:firstLine="480" w:firstLineChars="200"/>
        <w:jc w:val="left"/>
        <w:textAlignment w:val="top"/>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除法律规定的不可抗力因素外，我单位成交后以任何理由（包括违背上述承诺的事项）提出不能满足《</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》技术、</w:t>
      </w:r>
      <w:r>
        <w:rPr>
          <w:rFonts w:hint="eastAsia" w:ascii="仿宋" w:hAnsi="仿宋" w:eastAsia="仿宋" w:cs="仿宋"/>
          <w:color w:val="auto"/>
          <w:sz w:val="24"/>
          <w:highlight w:val="none"/>
          <w:lang w:eastAsia="zh-CN"/>
        </w:rPr>
        <w:t>校验期</w:t>
      </w:r>
      <w:r>
        <w:rPr>
          <w:rFonts w:hint="eastAsia" w:ascii="仿宋" w:hAnsi="仿宋" w:eastAsia="仿宋" w:cs="仿宋"/>
          <w:color w:val="auto"/>
          <w:sz w:val="24"/>
          <w:highlight w:val="none"/>
        </w:rPr>
        <w:t>等要求或不能实现响应承诺的或提出变更的，我单位将无条件接受违约处理、并放弃我单位成交资格。我单位知悉违约责任及其处理，并无条件接受。情节严重的，由财政部门列入不良行为记录名单，在一至三年内禁止参加政府采购活动，并予以通报，处以罚金，给采购人及他人造成损失的，承担相应的赔偿责任。</w:t>
      </w:r>
    </w:p>
    <w:p w14:paraId="164A409F">
      <w:pPr>
        <w:tabs>
          <w:tab w:val="left" w:pos="9365"/>
        </w:tabs>
        <w:snapToGrid w:val="0"/>
        <w:spacing w:after="0" w:line="460" w:lineRule="atLeast"/>
        <w:ind w:firstLine="624"/>
        <w:jc w:val="left"/>
        <w:textAlignment w:val="top"/>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5601B9D4">
      <w:pPr>
        <w:tabs>
          <w:tab w:val="left" w:pos="9365"/>
        </w:tabs>
        <w:snapToGrid w:val="0"/>
        <w:spacing w:after="0" w:line="460" w:lineRule="atLeast"/>
        <w:ind w:firstLine="624"/>
        <w:jc w:val="left"/>
        <w:textAlignment w:val="top"/>
        <w:rPr>
          <w:rFonts w:hint="eastAsia" w:ascii="仿宋" w:hAnsi="仿宋" w:eastAsia="仿宋" w:cs="仿宋"/>
          <w:color w:val="auto"/>
          <w:sz w:val="24"/>
          <w:highlight w:val="none"/>
        </w:rPr>
      </w:pPr>
    </w:p>
    <w:p w14:paraId="3D4DE4FD">
      <w:pPr>
        <w:tabs>
          <w:tab w:val="left" w:pos="9365"/>
        </w:tabs>
        <w:snapToGrid w:val="0"/>
        <w:spacing w:after="0" w:line="460" w:lineRule="atLeast"/>
        <w:ind w:firstLine="624"/>
        <w:jc w:val="left"/>
        <w:textAlignment w:val="top"/>
        <w:rPr>
          <w:rFonts w:hint="eastAsia" w:ascii="仿宋" w:hAnsi="仿宋" w:eastAsia="仿宋" w:cs="仿宋"/>
          <w:color w:val="auto"/>
          <w:sz w:val="24"/>
          <w:highlight w:val="none"/>
        </w:rPr>
      </w:pPr>
    </w:p>
    <w:p w14:paraId="792CEEA3">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szCs w:val="24"/>
          <w:highlight w:val="none"/>
        </w:rPr>
        <w:t>供应商（电子签章）：</w:t>
      </w:r>
    </w:p>
    <w:p w14:paraId="066A74B0">
      <w:pPr>
        <w:tabs>
          <w:tab w:val="left" w:pos="9365"/>
        </w:tabs>
        <w:spacing w:after="0" w:line="480" w:lineRule="auto"/>
        <w:ind w:right="85"/>
        <w:jc w:val="right"/>
        <w:textAlignment w:val="top"/>
        <w:rPr>
          <w:rFonts w:hint="eastAsia" w:ascii="仿宋" w:hAnsi="仿宋" w:eastAsia="仿宋" w:cs="仿宋"/>
          <w:color w:val="auto"/>
          <w:sz w:val="24"/>
          <w:szCs w:val="24"/>
          <w:highlight w:val="none"/>
        </w:rPr>
      </w:pPr>
    </w:p>
    <w:p w14:paraId="51B356E7">
      <w:pPr>
        <w:keepNext w:val="0"/>
        <w:keepLines w:val="0"/>
        <w:pageBreakBefore w:val="0"/>
        <w:widowControl w:val="0"/>
        <w:kinsoku/>
        <w:wordWrap/>
        <w:overflowPunct/>
        <w:topLinePunct w:val="0"/>
        <w:autoSpaceDE w:val="0"/>
        <w:autoSpaceDN w:val="0"/>
        <w:bidi w:val="0"/>
        <w:adjustRightInd/>
        <w:snapToGrid/>
        <w:spacing w:after="0" w:line="480" w:lineRule="auto"/>
        <w:ind w:right="0"/>
        <w:jc w:val="righ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kern w:val="2"/>
          <w:sz w:val="24"/>
          <w:szCs w:val="24"/>
          <w:highlight w:val="none"/>
          <w:lang w:val="en-US" w:eastAsia="zh-CN" w:bidi="ar-SA"/>
        </w:rPr>
        <w:t>电子签名或签章</w:t>
      </w:r>
      <w:r>
        <w:rPr>
          <w:rFonts w:hint="eastAsia" w:ascii="仿宋" w:hAnsi="仿宋" w:eastAsia="仿宋" w:cs="仿宋"/>
          <w:color w:val="auto"/>
          <w:sz w:val="24"/>
          <w:szCs w:val="24"/>
          <w:highlight w:val="none"/>
        </w:rPr>
        <w:t>）：</w:t>
      </w:r>
    </w:p>
    <w:p w14:paraId="30C9BA40">
      <w:pPr>
        <w:keepNext w:val="0"/>
        <w:keepLines w:val="0"/>
        <w:pageBreakBefore w:val="0"/>
        <w:widowControl w:val="0"/>
        <w:kinsoku/>
        <w:wordWrap/>
        <w:overflowPunct/>
        <w:topLinePunct w:val="0"/>
        <w:autoSpaceDE w:val="0"/>
        <w:autoSpaceDN w:val="0"/>
        <w:bidi w:val="0"/>
        <w:adjustRightInd/>
        <w:snapToGrid/>
        <w:spacing w:after="0" w:line="480" w:lineRule="auto"/>
        <w:ind w:right="0"/>
        <w:jc w:val="right"/>
        <w:outlineLvl w:val="9"/>
        <w:rPr>
          <w:rFonts w:hint="eastAsia" w:ascii="仿宋" w:hAnsi="仿宋" w:eastAsia="仿宋" w:cs="仿宋"/>
          <w:color w:val="auto"/>
          <w:sz w:val="24"/>
          <w:szCs w:val="24"/>
          <w:highlight w:val="none"/>
        </w:rPr>
      </w:pPr>
    </w:p>
    <w:p w14:paraId="090CBFD8">
      <w:pPr>
        <w:pStyle w:val="12"/>
        <w:jc w:val="right"/>
        <w:rPr>
          <w:rFonts w:hint="eastAsia" w:ascii="仿宋" w:hAnsi="仿宋" w:eastAsia="仿宋" w:cs="仿宋"/>
          <w:color w:val="auto"/>
          <w:highlight w:val="none"/>
          <w:lang w:val="en-US" w:eastAsia="zh-CN"/>
        </w:rPr>
      </w:pPr>
      <w:r>
        <w:rPr>
          <w:rFonts w:hint="eastAsia" w:ascii="仿宋" w:hAnsi="仿宋" w:eastAsia="仿宋" w:cs="仿宋"/>
          <w:color w:val="auto"/>
          <w:sz w:val="24"/>
          <w:szCs w:val="24"/>
          <w:highlight w:val="none"/>
        </w:rPr>
        <w:t>日期：  年   月   日</w:t>
      </w:r>
    </w:p>
    <w:p w14:paraId="5AFCCA59">
      <w:pPr>
        <w:tabs>
          <w:tab w:val="left" w:pos="9365"/>
        </w:tabs>
        <w:snapToGrid w:val="0"/>
        <w:spacing w:after="56" w:line="560" w:lineRule="atLeast"/>
        <w:jc w:val="both"/>
        <w:textAlignment w:val="top"/>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28A288EA">
      <w:pPr>
        <w:widowControl w:val="0"/>
        <w:snapToGrid w:val="0"/>
        <w:spacing w:line="56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11.</w:t>
      </w:r>
      <w:r>
        <w:rPr>
          <w:rFonts w:hint="eastAsia" w:ascii="仿宋" w:hAnsi="仿宋" w:eastAsia="仿宋" w:cs="仿宋"/>
          <w:b/>
          <w:color w:val="auto"/>
          <w:sz w:val="30"/>
          <w:szCs w:val="30"/>
          <w:highlight w:val="none"/>
        </w:rPr>
        <w:t>开标一览表</w:t>
      </w:r>
    </w:p>
    <w:p w14:paraId="5AA65576">
      <w:pPr>
        <w:widowControl w:val="0"/>
        <w:snapToGrid w:val="0"/>
        <w:spacing w:line="560" w:lineRule="exact"/>
        <w:jc w:val="left"/>
        <w:rPr>
          <w:rFonts w:hint="eastAsia" w:ascii="仿宋" w:hAnsi="仿宋" w:eastAsia="仿宋" w:cs="仿宋"/>
          <w:b/>
          <w:color w:val="auto"/>
          <w:sz w:val="24"/>
          <w:szCs w:val="24"/>
          <w:highlight w:val="none"/>
        </w:rPr>
      </w:pPr>
    </w:p>
    <w:p w14:paraId="7BAC047E">
      <w:pPr>
        <w:widowControl w:val="0"/>
        <w:snapToGrid w:val="0"/>
        <w:spacing w:line="560" w:lineRule="exact"/>
        <w:ind w:firstLine="482" w:firstLineChars="200"/>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注：供应商需在“</w:t>
      </w:r>
      <w:r>
        <w:rPr>
          <w:rFonts w:hint="eastAsia" w:ascii="仿宋" w:hAnsi="仿宋" w:eastAsia="仿宋" w:cs="仿宋"/>
          <w:b/>
          <w:color w:val="auto"/>
          <w:sz w:val="24"/>
          <w:szCs w:val="24"/>
          <w:highlight w:val="none"/>
          <w:lang w:eastAsia="zh-CN"/>
        </w:rPr>
        <w:t>新点响应文件制作软件</w:t>
      </w:r>
      <w:r>
        <w:rPr>
          <w:rFonts w:hint="eastAsia" w:ascii="仿宋" w:hAnsi="仿宋" w:eastAsia="仿宋" w:cs="仿宋"/>
          <w:b/>
          <w:color w:val="auto"/>
          <w:sz w:val="24"/>
          <w:szCs w:val="24"/>
          <w:highlight w:val="none"/>
        </w:rPr>
        <w:t>”中、按系统要求填列开标一览表，系统中填列的开标一览表为供应商《</w:t>
      </w:r>
      <w:r>
        <w:rPr>
          <w:rFonts w:hint="eastAsia" w:ascii="仿宋" w:hAnsi="仿宋" w:eastAsia="仿宋" w:cs="仿宋"/>
          <w:b/>
          <w:color w:val="auto"/>
          <w:sz w:val="24"/>
          <w:szCs w:val="24"/>
          <w:highlight w:val="none"/>
          <w:lang w:val="en-US" w:eastAsia="zh-CN"/>
        </w:rPr>
        <w:t>响应文件</w:t>
      </w:r>
      <w:r>
        <w:rPr>
          <w:rFonts w:hint="eastAsia" w:ascii="仿宋" w:hAnsi="仿宋" w:eastAsia="仿宋" w:cs="仿宋"/>
          <w:b/>
          <w:color w:val="auto"/>
          <w:sz w:val="24"/>
          <w:szCs w:val="24"/>
          <w:highlight w:val="none"/>
        </w:rPr>
        <w:t>》的一部分。</w:t>
      </w:r>
    </w:p>
    <w:p w14:paraId="59C2CCBE">
      <w:pPr>
        <w:widowControl w:val="0"/>
        <w:snapToGrid w:val="0"/>
        <w:spacing w:line="560" w:lineRule="exact"/>
        <w:ind w:firstLine="482" w:firstLineChars="200"/>
        <w:jc w:val="left"/>
        <w:rPr>
          <w:rFonts w:hint="eastAsia" w:ascii="仿宋" w:hAnsi="仿宋" w:eastAsia="仿宋" w:cs="仿宋"/>
          <w:b/>
          <w:color w:val="auto"/>
          <w:sz w:val="24"/>
          <w:szCs w:val="24"/>
          <w:highlight w:val="none"/>
        </w:rPr>
      </w:pPr>
    </w:p>
    <w:p w14:paraId="0A502498">
      <w:pPr>
        <w:widowControl w:val="0"/>
        <w:snapToGrid w:val="0"/>
        <w:spacing w:line="560" w:lineRule="exact"/>
        <w:ind w:firstLine="482" w:firstLineChars="200"/>
        <w:jc w:val="left"/>
        <w:rPr>
          <w:rFonts w:hint="eastAsia" w:ascii="仿宋" w:hAnsi="仿宋" w:eastAsia="仿宋" w:cs="仿宋"/>
          <w:b/>
          <w:color w:val="auto"/>
          <w:sz w:val="24"/>
          <w:szCs w:val="24"/>
          <w:highlight w:val="none"/>
        </w:rPr>
      </w:pPr>
    </w:p>
    <w:p w14:paraId="2AF344C1">
      <w:pPr>
        <w:widowControl w:val="0"/>
        <w:snapToGrid w:val="0"/>
        <w:spacing w:line="560" w:lineRule="exact"/>
        <w:ind w:firstLine="482" w:firstLineChars="200"/>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基于电子化交易的特点，供应商上传解密后的《开标一览表</w:t>
      </w:r>
      <w:r>
        <w:rPr>
          <w:rFonts w:hint="eastAsia" w:ascii="仿宋" w:hAnsi="仿宋" w:eastAsia="仿宋" w:cs="仿宋"/>
          <w:b/>
          <w:color w:val="auto"/>
          <w:sz w:val="24"/>
          <w:szCs w:val="24"/>
          <w:highlight w:val="none"/>
          <w:lang w:eastAsia="zh-CN"/>
        </w:rPr>
        <w:t>》、《</w:t>
      </w:r>
      <w:r>
        <w:rPr>
          <w:rFonts w:hint="eastAsia" w:ascii="仿宋" w:hAnsi="仿宋" w:eastAsia="仿宋" w:cs="仿宋"/>
          <w:b/>
          <w:color w:val="auto"/>
          <w:sz w:val="24"/>
          <w:szCs w:val="24"/>
          <w:highlight w:val="none"/>
        </w:rPr>
        <w:t>分项报价表</w:t>
      </w:r>
      <w:r>
        <w:rPr>
          <w:rFonts w:hint="eastAsia" w:ascii="仿宋" w:hAnsi="仿宋" w:eastAsia="仿宋" w:cs="仿宋"/>
          <w:b/>
          <w:color w:val="auto"/>
          <w:sz w:val="24"/>
          <w:szCs w:val="24"/>
          <w:highlight w:val="none"/>
          <w:lang w:eastAsia="zh-CN"/>
        </w:rPr>
        <w:t>》、《</w:t>
      </w:r>
      <w:r>
        <w:rPr>
          <w:rFonts w:hint="eastAsia" w:ascii="仿宋" w:hAnsi="仿宋" w:eastAsia="仿宋" w:cs="仿宋"/>
          <w:b/>
          <w:color w:val="auto"/>
          <w:sz w:val="24"/>
          <w:szCs w:val="24"/>
          <w:highlight w:val="none"/>
        </w:rPr>
        <w:t>符合性响应文件》，构成《</w:t>
      </w:r>
      <w:r>
        <w:rPr>
          <w:rFonts w:hint="eastAsia" w:ascii="仿宋" w:hAnsi="仿宋" w:eastAsia="仿宋" w:cs="仿宋"/>
          <w:b/>
          <w:color w:val="auto"/>
          <w:sz w:val="24"/>
          <w:szCs w:val="24"/>
          <w:highlight w:val="none"/>
          <w:lang w:val="en-US" w:eastAsia="zh-CN"/>
        </w:rPr>
        <w:t>响应文件</w:t>
      </w:r>
      <w:r>
        <w:rPr>
          <w:rFonts w:hint="eastAsia" w:ascii="仿宋" w:hAnsi="仿宋" w:eastAsia="仿宋" w:cs="仿宋"/>
          <w:b/>
          <w:color w:val="auto"/>
          <w:sz w:val="24"/>
          <w:szCs w:val="24"/>
          <w:highlight w:val="none"/>
        </w:rPr>
        <w:t>》的组成部分。</w:t>
      </w:r>
    </w:p>
    <w:p w14:paraId="42F0A793">
      <w:pPr>
        <w:widowControl w:val="0"/>
        <w:tabs>
          <w:tab w:val="left" w:pos="9365"/>
        </w:tabs>
        <w:snapToGrid w:val="0"/>
        <w:spacing w:before="56" w:after="56" w:line="560" w:lineRule="atLeast"/>
        <w:ind w:firstLine="354" w:firstLineChars="147"/>
        <w:jc w:val="left"/>
        <w:textAlignment w:val="top"/>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《开标一览表</w:t>
      </w:r>
      <w:r>
        <w:rPr>
          <w:rFonts w:hint="eastAsia" w:ascii="仿宋" w:hAnsi="仿宋" w:eastAsia="仿宋" w:cs="仿宋"/>
          <w:b/>
          <w:color w:val="auto"/>
          <w:sz w:val="24"/>
          <w:szCs w:val="24"/>
          <w:highlight w:val="none"/>
          <w:lang w:eastAsia="zh-CN"/>
        </w:rPr>
        <w:t>》</w:t>
      </w:r>
      <w:r>
        <w:rPr>
          <w:rFonts w:hint="eastAsia" w:ascii="仿宋" w:hAnsi="仿宋" w:eastAsia="仿宋" w:cs="仿宋"/>
          <w:b/>
          <w:color w:val="auto"/>
          <w:sz w:val="24"/>
          <w:szCs w:val="24"/>
          <w:highlight w:val="none"/>
        </w:rPr>
        <w:t>无需另行填列。</w:t>
      </w:r>
    </w:p>
    <w:p w14:paraId="76AB264B">
      <w:pPr>
        <w:widowControl w:val="0"/>
        <w:snapToGrid w:val="0"/>
        <w:spacing w:line="560" w:lineRule="exact"/>
        <w:ind w:firstLine="562" w:firstLineChars="200"/>
        <w:jc w:val="left"/>
        <w:rPr>
          <w:rFonts w:hint="eastAsia" w:ascii="仿宋" w:hAnsi="仿宋" w:eastAsia="仿宋" w:cs="仿宋"/>
          <w:b/>
          <w:color w:val="auto"/>
          <w:sz w:val="28"/>
          <w:highlight w:val="none"/>
        </w:rPr>
      </w:pPr>
    </w:p>
    <w:p w14:paraId="5A28C2B9">
      <w:pPr>
        <w:widowControl w:val="0"/>
        <w:snapToGrid w:val="0"/>
        <w:spacing w:line="560" w:lineRule="exact"/>
        <w:jc w:val="center"/>
        <w:rPr>
          <w:rFonts w:hint="eastAsia" w:ascii="仿宋" w:hAnsi="仿宋" w:eastAsia="仿宋" w:cs="仿宋"/>
          <w:color w:val="auto"/>
          <w:sz w:val="28"/>
          <w:highlight w:val="none"/>
        </w:rPr>
      </w:pPr>
      <w:r>
        <w:rPr>
          <w:rFonts w:hint="eastAsia" w:ascii="仿宋" w:hAnsi="仿宋" w:eastAsia="仿宋" w:cs="仿宋"/>
          <w:b/>
          <w:color w:val="auto"/>
          <w:sz w:val="30"/>
          <w:szCs w:val="30"/>
          <w:highlight w:val="none"/>
        </w:rPr>
        <w:br w:type="page"/>
      </w:r>
      <w:r>
        <w:rPr>
          <w:rFonts w:hint="eastAsia" w:ascii="仿宋" w:hAnsi="仿宋" w:eastAsia="仿宋" w:cs="仿宋"/>
          <w:b/>
          <w:color w:val="auto"/>
          <w:sz w:val="30"/>
          <w:szCs w:val="30"/>
          <w:highlight w:val="none"/>
          <w:lang w:val="en-US" w:eastAsia="zh-CN"/>
        </w:rPr>
        <w:t>12.</w:t>
      </w:r>
      <w:r>
        <w:rPr>
          <w:rFonts w:hint="eastAsia" w:ascii="仿宋" w:hAnsi="仿宋" w:eastAsia="仿宋" w:cs="仿宋"/>
          <w:b/>
          <w:color w:val="auto"/>
          <w:sz w:val="30"/>
          <w:szCs w:val="30"/>
          <w:highlight w:val="none"/>
        </w:rPr>
        <w:t>分项报价</w:t>
      </w:r>
    </w:p>
    <w:p w14:paraId="014BA53B">
      <w:pPr>
        <w:widowControl w:val="0"/>
        <w:numPr>
          <w:ilvl w:val="0"/>
          <w:numId w:val="14"/>
        </w:numPr>
        <w:snapToGrid w:val="0"/>
        <w:spacing w:line="560" w:lineRule="exact"/>
        <w:ind w:firstLine="482" w:firstLineChars="200"/>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供应商需在“</w:t>
      </w:r>
      <w:r>
        <w:rPr>
          <w:rFonts w:hint="eastAsia" w:ascii="仿宋" w:hAnsi="仿宋" w:eastAsia="仿宋" w:cs="仿宋"/>
          <w:b/>
          <w:color w:val="auto"/>
          <w:sz w:val="24"/>
          <w:szCs w:val="24"/>
          <w:highlight w:val="none"/>
          <w:lang w:eastAsia="zh-CN"/>
        </w:rPr>
        <w:t>新点响应文件制作软件</w:t>
      </w:r>
      <w:r>
        <w:rPr>
          <w:rFonts w:hint="eastAsia" w:ascii="仿宋" w:hAnsi="仿宋" w:eastAsia="仿宋" w:cs="仿宋"/>
          <w:b/>
          <w:color w:val="auto"/>
          <w:sz w:val="24"/>
          <w:szCs w:val="24"/>
          <w:highlight w:val="none"/>
        </w:rPr>
        <w:t>”中、按系统要求填列分项报价，系统中填列的分项报价为供应商《</w:t>
      </w:r>
      <w:r>
        <w:rPr>
          <w:rFonts w:hint="eastAsia" w:ascii="仿宋" w:hAnsi="仿宋" w:eastAsia="仿宋" w:cs="仿宋"/>
          <w:b/>
          <w:color w:val="auto"/>
          <w:sz w:val="24"/>
          <w:szCs w:val="24"/>
          <w:highlight w:val="none"/>
          <w:lang w:val="en-US" w:eastAsia="zh-CN"/>
        </w:rPr>
        <w:t>响应文件</w:t>
      </w:r>
      <w:r>
        <w:rPr>
          <w:rFonts w:hint="eastAsia" w:ascii="仿宋" w:hAnsi="仿宋" w:eastAsia="仿宋" w:cs="仿宋"/>
          <w:b/>
          <w:color w:val="auto"/>
          <w:sz w:val="24"/>
          <w:szCs w:val="24"/>
          <w:highlight w:val="none"/>
        </w:rPr>
        <w:t>》的一部分。</w:t>
      </w:r>
    </w:p>
    <w:p w14:paraId="5084FAF7">
      <w:pPr>
        <w:widowControl w:val="0"/>
        <w:snapToGrid w:val="0"/>
        <w:spacing w:line="560" w:lineRule="exact"/>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基于电子化交易的特点，供应商上传解密后的《开标一览表</w:t>
      </w:r>
      <w:r>
        <w:rPr>
          <w:rFonts w:hint="eastAsia" w:ascii="仿宋" w:hAnsi="仿宋" w:eastAsia="仿宋" w:cs="仿宋"/>
          <w:b/>
          <w:color w:val="auto"/>
          <w:sz w:val="24"/>
          <w:szCs w:val="24"/>
          <w:highlight w:val="none"/>
          <w:lang w:eastAsia="zh-CN"/>
        </w:rPr>
        <w:t>》《分项报价表》《</w:t>
      </w:r>
      <w:r>
        <w:rPr>
          <w:rFonts w:hint="eastAsia" w:ascii="仿宋" w:hAnsi="仿宋" w:eastAsia="仿宋" w:cs="仿宋"/>
          <w:b/>
          <w:color w:val="auto"/>
          <w:sz w:val="24"/>
          <w:szCs w:val="24"/>
          <w:highlight w:val="none"/>
        </w:rPr>
        <w:t>符合性响应文件》，构成《</w:t>
      </w:r>
      <w:r>
        <w:rPr>
          <w:rFonts w:hint="eastAsia" w:ascii="仿宋" w:hAnsi="仿宋" w:eastAsia="仿宋" w:cs="仿宋"/>
          <w:b/>
          <w:color w:val="auto"/>
          <w:sz w:val="24"/>
          <w:szCs w:val="24"/>
          <w:highlight w:val="none"/>
          <w:lang w:val="en-US" w:eastAsia="zh-CN"/>
        </w:rPr>
        <w:t>响应文件</w:t>
      </w:r>
      <w:r>
        <w:rPr>
          <w:rFonts w:hint="eastAsia" w:ascii="仿宋" w:hAnsi="仿宋" w:eastAsia="仿宋" w:cs="仿宋"/>
          <w:b/>
          <w:color w:val="auto"/>
          <w:sz w:val="24"/>
          <w:szCs w:val="24"/>
          <w:highlight w:val="none"/>
        </w:rPr>
        <w:t>》的组成部分。</w:t>
      </w:r>
    </w:p>
    <w:p w14:paraId="7BC7F66E">
      <w:pPr>
        <w:widowControl w:val="0"/>
        <w:tabs>
          <w:tab w:val="left" w:pos="9365"/>
        </w:tabs>
        <w:snapToGrid w:val="0"/>
        <w:spacing w:before="56" w:after="56" w:line="560" w:lineRule="atLeast"/>
        <w:ind w:firstLine="354" w:firstLineChars="147"/>
        <w:jc w:val="left"/>
        <w:textAlignment w:val="top"/>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《开标一览表</w:t>
      </w:r>
      <w:r>
        <w:rPr>
          <w:rFonts w:hint="eastAsia" w:ascii="仿宋" w:hAnsi="仿宋" w:eastAsia="仿宋" w:cs="仿宋"/>
          <w:b/>
          <w:color w:val="auto"/>
          <w:sz w:val="24"/>
          <w:szCs w:val="24"/>
          <w:highlight w:val="none"/>
          <w:lang w:eastAsia="zh-CN"/>
        </w:rPr>
        <w:t>》、《分项报价表》</w:t>
      </w:r>
      <w:r>
        <w:rPr>
          <w:rFonts w:hint="eastAsia" w:ascii="仿宋" w:hAnsi="仿宋" w:eastAsia="仿宋" w:cs="仿宋"/>
          <w:b/>
          <w:color w:val="auto"/>
          <w:sz w:val="24"/>
          <w:szCs w:val="24"/>
          <w:highlight w:val="none"/>
        </w:rPr>
        <w:t>无需另行填列。</w:t>
      </w:r>
    </w:p>
    <w:p w14:paraId="6F16A88B">
      <w:pP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p>
    <w:p w14:paraId="668C5830">
      <w:pPr>
        <w:widowControl w:val="0"/>
        <w:snapToGrid w:val="0"/>
        <w:spacing w:line="56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13</w:t>
      </w:r>
      <w:r>
        <w:rPr>
          <w:rFonts w:hint="eastAsia" w:ascii="仿宋" w:hAnsi="仿宋" w:eastAsia="仿宋" w:cs="仿宋"/>
          <w:b/>
          <w:color w:val="auto"/>
          <w:sz w:val="30"/>
          <w:szCs w:val="30"/>
          <w:highlight w:val="none"/>
          <w:lang w:eastAsia="zh-CN"/>
        </w:rPr>
        <w:t>.</w:t>
      </w:r>
      <w:r>
        <w:rPr>
          <w:rFonts w:hint="eastAsia" w:ascii="仿宋" w:hAnsi="仿宋" w:eastAsia="仿宋" w:cs="仿宋"/>
          <w:b/>
          <w:color w:val="auto"/>
          <w:sz w:val="30"/>
          <w:szCs w:val="30"/>
          <w:highlight w:val="none"/>
        </w:rPr>
        <w:t>服务方案</w:t>
      </w:r>
    </w:p>
    <w:p w14:paraId="69D3E19E">
      <w:pPr>
        <w:widowControl w:val="0"/>
        <w:snapToGrid w:val="0"/>
        <w:spacing w:line="56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（格式自定）</w:t>
      </w:r>
    </w:p>
    <w:p w14:paraId="33F0EF63">
      <w:pPr>
        <w:pStyle w:val="31"/>
        <w:adjustRightInd w:val="0"/>
        <w:snapToGrid w:val="0"/>
        <w:spacing w:before="0" w:beforeAutospacing="0" w:after="0" w:afterAutospacing="0"/>
        <w:rPr>
          <w:rFonts w:hint="eastAsia" w:ascii="仿宋" w:hAnsi="仿宋" w:eastAsia="仿宋" w:cs="仿宋"/>
          <w:color w:val="auto"/>
          <w:highlight w:val="none"/>
          <w:u w:val="single"/>
        </w:rPr>
      </w:pPr>
      <w:r>
        <w:rPr>
          <w:rFonts w:hint="eastAsia" w:ascii="仿宋" w:hAnsi="仿宋" w:eastAsia="仿宋" w:cs="仿宋"/>
          <w:color w:val="auto"/>
          <w:highlight w:val="none"/>
        </w:rPr>
        <w:t>项目名称：</w:t>
      </w:r>
      <w:r>
        <w:rPr>
          <w:rFonts w:hint="eastAsia" w:ascii="仿宋" w:hAnsi="仿宋" w:eastAsia="仿宋" w:cs="仿宋"/>
          <w:color w:val="auto"/>
          <w:highlight w:val="none"/>
          <w:u w:val="single"/>
        </w:rPr>
        <w:t xml:space="preserve">           </w:t>
      </w:r>
    </w:p>
    <w:p w14:paraId="760F5419">
      <w:pPr>
        <w:pStyle w:val="31"/>
        <w:adjustRightInd w:val="0"/>
        <w:snapToGrid w:val="0"/>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lang w:eastAsia="zh-CN"/>
        </w:rPr>
        <w:t>采购编号</w:t>
      </w:r>
      <w:r>
        <w:rPr>
          <w:rFonts w:hint="eastAsia" w:ascii="仿宋" w:hAnsi="仿宋" w:eastAsia="仿宋" w:cs="仿宋"/>
          <w:color w:val="auto"/>
          <w:highlight w:val="none"/>
        </w:rPr>
        <w:t>：</w:t>
      </w:r>
      <w:r>
        <w:rPr>
          <w:rFonts w:hint="eastAsia" w:ascii="仿宋" w:hAnsi="仿宋" w:eastAsia="仿宋" w:cs="仿宋"/>
          <w:color w:val="auto"/>
          <w:highlight w:val="none"/>
          <w:u w:val="single"/>
        </w:rPr>
        <w:t xml:space="preserve">           </w:t>
      </w:r>
    </w:p>
    <w:p w14:paraId="33B145F7">
      <w:pPr>
        <w:widowControl w:val="0"/>
        <w:snapToGrid w:val="0"/>
        <w:spacing w:line="560" w:lineRule="exact"/>
        <w:jc w:val="center"/>
        <w:rPr>
          <w:rFonts w:hint="eastAsia" w:ascii="仿宋" w:hAnsi="仿宋" w:eastAsia="仿宋" w:cs="仿宋"/>
          <w:color w:val="auto"/>
          <w:highlight w:val="none"/>
        </w:rPr>
      </w:pPr>
    </w:p>
    <w:p w14:paraId="1BD61606">
      <w:pPr>
        <w:widowControl w:val="0"/>
        <w:snapToGrid w:val="0"/>
        <w:spacing w:line="560" w:lineRule="exact"/>
        <w:jc w:val="center"/>
        <w:rPr>
          <w:rFonts w:hint="eastAsia" w:ascii="仿宋" w:hAnsi="仿宋" w:eastAsia="仿宋" w:cs="仿宋"/>
          <w:color w:val="auto"/>
          <w:sz w:val="28"/>
          <w:highlight w:val="none"/>
        </w:rPr>
      </w:pPr>
    </w:p>
    <w:p w14:paraId="3702F075">
      <w:pPr>
        <w:widowControl w:val="0"/>
        <w:snapToGrid w:val="0"/>
        <w:spacing w:line="560" w:lineRule="exact"/>
        <w:jc w:val="center"/>
        <w:rPr>
          <w:rFonts w:hint="eastAsia" w:ascii="仿宋" w:hAnsi="仿宋" w:eastAsia="仿宋" w:cs="仿宋"/>
          <w:color w:val="auto"/>
          <w:sz w:val="28"/>
          <w:highlight w:val="none"/>
        </w:rPr>
      </w:pPr>
    </w:p>
    <w:p w14:paraId="26E97693">
      <w:pPr>
        <w:widowControl w:val="0"/>
        <w:snapToGrid w:val="0"/>
        <w:spacing w:line="560" w:lineRule="exact"/>
        <w:jc w:val="center"/>
        <w:rPr>
          <w:rFonts w:hint="eastAsia" w:ascii="仿宋" w:hAnsi="仿宋" w:eastAsia="仿宋" w:cs="仿宋"/>
          <w:color w:val="auto"/>
          <w:sz w:val="28"/>
          <w:highlight w:val="none"/>
        </w:rPr>
      </w:pPr>
    </w:p>
    <w:p w14:paraId="46769F8C">
      <w:pPr>
        <w:widowControl w:val="0"/>
        <w:snapToGrid w:val="0"/>
        <w:spacing w:line="560" w:lineRule="exact"/>
        <w:jc w:val="center"/>
        <w:rPr>
          <w:rFonts w:hint="eastAsia" w:ascii="仿宋" w:hAnsi="仿宋" w:eastAsia="仿宋" w:cs="仿宋"/>
          <w:color w:val="auto"/>
          <w:sz w:val="28"/>
          <w:highlight w:val="none"/>
        </w:rPr>
      </w:pPr>
    </w:p>
    <w:p w14:paraId="46D373F7">
      <w:pPr>
        <w:widowControl w:val="0"/>
        <w:snapToGrid w:val="0"/>
        <w:spacing w:line="560" w:lineRule="exact"/>
        <w:jc w:val="center"/>
        <w:rPr>
          <w:rFonts w:hint="eastAsia" w:ascii="仿宋" w:hAnsi="仿宋" w:eastAsia="仿宋" w:cs="仿宋"/>
          <w:color w:val="auto"/>
          <w:sz w:val="28"/>
          <w:highlight w:val="none"/>
        </w:rPr>
      </w:pPr>
    </w:p>
    <w:p w14:paraId="3D77AEEC">
      <w:pPr>
        <w:widowControl w:val="0"/>
        <w:snapToGrid w:val="0"/>
        <w:spacing w:line="560" w:lineRule="exact"/>
        <w:jc w:val="center"/>
        <w:rPr>
          <w:rFonts w:hint="eastAsia" w:ascii="仿宋" w:hAnsi="仿宋" w:eastAsia="仿宋" w:cs="仿宋"/>
          <w:color w:val="auto"/>
          <w:sz w:val="28"/>
          <w:highlight w:val="none"/>
        </w:rPr>
      </w:pPr>
    </w:p>
    <w:p w14:paraId="7911FB0F">
      <w:pPr>
        <w:widowControl w:val="0"/>
        <w:snapToGrid w:val="0"/>
        <w:spacing w:line="560" w:lineRule="exact"/>
        <w:jc w:val="center"/>
        <w:rPr>
          <w:rFonts w:hint="eastAsia" w:ascii="仿宋" w:hAnsi="仿宋" w:eastAsia="仿宋" w:cs="仿宋"/>
          <w:color w:val="auto"/>
          <w:sz w:val="28"/>
          <w:highlight w:val="none"/>
        </w:rPr>
      </w:pPr>
    </w:p>
    <w:p w14:paraId="25CCB18A">
      <w:pPr>
        <w:widowControl w:val="0"/>
        <w:snapToGrid w:val="0"/>
        <w:spacing w:line="560" w:lineRule="exact"/>
        <w:jc w:val="center"/>
        <w:rPr>
          <w:rFonts w:hint="eastAsia" w:ascii="仿宋" w:hAnsi="仿宋" w:eastAsia="仿宋" w:cs="仿宋"/>
          <w:color w:val="auto"/>
          <w:sz w:val="28"/>
          <w:highlight w:val="none"/>
        </w:rPr>
      </w:pPr>
    </w:p>
    <w:p w14:paraId="68D3764D">
      <w:pPr>
        <w:widowControl w:val="0"/>
        <w:snapToGrid w:val="0"/>
        <w:spacing w:line="560" w:lineRule="exact"/>
        <w:jc w:val="center"/>
        <w:rPr>
          <w:rFonts w:hint="eastAsia" w:ascii="仿宋" w:hAnsi="仿宋" w:eastAsia="仿宋" w:cs="仿宋"/>
          <w:color w:val="auto"/>
          <w:sz w:val="28"/>
          <w:highlight w:val="none"/>
        </w:rPr>
      </w:pPr>
    </w:p>
    <w:p w14:paraId="76372570">
      <w:pPr>
        <w:widowControl w:val="0"/>
        <w:snapToGrid w:val="0"/>
        <w:spacing w:line="560" w:lineRule="exact"/>
        <w:jc w:val="center"/>
        <w:rPr>
          <w:rFonts w:hint="eastAsia" w:ascii="仿宋" w:hAnsi="仿宋" w:eastAsia="仿宋" w:cs="仿宋"/>
          <w:color w:val="auto"/>
          <w:sz w:val="28"/>
          <w:highlight w:val="none"/>
        </w:rPr>
      </w:pPr>
    </w:p>
    <w:p w14:paraId="7441B436">
      <w:pPr>
        <w:spacing w:line="240" w:lineRule="auto"/>
        <w:rPr>
          <w:rFonts w:hint="eastAsia" w:ascii="仿宋" w:hAnsi="仿宋" w:eastAsia="仿宋" w:cs="仿宋"/>
          <w:color w:val="auto"/>
          <w:sz w:val="24"/>
          <w:highlight w:val="none"/>
        </w:rPr>
      </w:pPr>
    </w:p>
    <w:p w14:paraId="7151FD31">
      <w:pPr>
        <w:widowControl w:val="0"/>
        <w:snapToGrid w:val="0"/>
        <w:spacing w:line="56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br w:type="page"/>
      </w:r>
      <w:bookmarkStart w:id="70" w:name="OLE_LINK22"/>
    </w:p>
    <w:bookmarkEnd w:id="70"/>
    <w:p w14:paraId="51E2F537">
      <w:pPr>
        <w:widowControl w:val="0"/>
        <w:snapToGrid w:val="0"/>
        <w:spacing w:line="560" w:lineRule="exact"/>
        <w:jc w:val="center"/>
        <w:rPr>
          <w:rFonts w:hint="eastAsia" w:ascii="仿宋" w:hAnsi="仿宋" w:eastAsia="仿宋" w:cs="仿宋"/>
          <w:color w:val="auto"/>
          <w:sz w:val="30"/>
          <w:szCs w:val="30"/>
          <w:highlight w:val="none"/>
        </w:rPr>
      </w:pPr>
      <w:r>
        <w:rPr>
          <w:rFonts w:hint="eastAsia" w:ascii="仿宋" w:hAnsi="仿宋" w:eastAsia="仿宋" w:cs="仿宋"/>
          <w:b/>
          <w:color w:val="auto"/>
          <w:sz w:val="30"/>
          <w:szCs w:val="30"/>
          <w:highlight w:val="none"/>
          <w:lang w:val="en-US" w:eastAsia="zh-CN"/>
        </w:rPr>
        <w:t>14</w:t>
      </w:r>
      <w:r>
        <w:rPr>
          <w:rFonts w:hint="eastAsia" w:ascii="仿宋" w:hAnsi="仿宋" w:eastAsia="仿宋" w:cs="仿宋"/>
          <w:b/>
          <w:color w:val="auto"/>
          <w:sz w:val="30"/>
          <w:szCs w:val="30"/>
          <w:highlight w:val="none"/>
          <w:lang w:eastAsia="zh-CN"/>
        </w:rPr>
        <w:t>.</w:t>
      </w:r>
      <w:r>
        <w:rPr>
          <w:rFonts w:hint="eastAsia" w:ascii="仿宋" w:hAnsi="仿宋" w:eastAsia="仿宋" w:cs="仿宋"/>
          <w:b/>
          <w:color w:val="auto"/>
          <w:sz w:val="30"/>
          <w:szCs w:val="30"/>
          <w:highlight w:val="none"/>
        </w:rPr>
        <w:t>服务拟投入的人员情况表</w:t>
      </w:r>
    </w:p>
    <w:p w14:paraId="6243D13E">
      <w:pPr>
        <w:autoSpaceDE w:val="0"/>
        <w:autoSpaceDN w:val="0"/>
        <w:adjustRightInd w:val="0"/>
        <w:spacing w:line="360" w:lineRule="auto"/>
        <w:jc w:val="center"/>
        <w:rPr>
          <w:rFonts w:hint="eastAsia" w:ascii="仿宋" w:hAnsi="仿宋" w:eastAsia="仿宋" w:cs="仿宋"/>
          <w:color w:val="auto"/>
          <w:sz w:val="28"/>
          <w:highlight w:val="none"/>
        </w:rPr>
      </w:pPr>
      <w:r>
        <w:rPr>
          <w:rFonts w:hint="eastAsia" w:ascii="仿宋" w:hAnsi="仿宋" w:eastAsia="仿宋" w:cs="仿宋"/>
          <w:color w:val="auto"/>
          <w:sz w:val="28"/>
          <w:highlight w:val="none"/>
        </w:rPr>
        <w:t>（格式自拟）</w:t>
      </w:r>
    </w:p>
    <w:p w14:paraId="62D7D3AC">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7D1EDB5B">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0C5E2730">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44821659">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78275591">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674AF2A2">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1F8DF82C">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3A6AA7C5">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18E6C5AF">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0A906F70">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6E6230E7">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46E07F12">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0782230D">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114BD25D">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5A08C951">
      <w:pPr>
        <w:widowControl w:val="0"/>
        <w:tabs>
          <w:tab w:val="left" w:pos="9365"/>
        </w:tabs>
        <w:snapToGrid w:val="0"/>
        <w:spacing w:after="56" w:line="560" w:lineRule="exact"/>
        <w:ind w:right="85"/>
        <w:jc w:val="left"/>
        <w:textAlignment w:val="top"/>
        <w:rPr>
          <w:rFonts w:hint="eastAsia" w:ascii="仿宋" w:hAnsi="仿宋" w:eastAsia="仿宋" w:cs="仿宋"/>
          <w:color w:val="auto"/>
          <w:sz w:val="24"/>
          <w:szCs w:val="24"/>
          <w:highlight w:val="none"/>
        </w:rPr>
      </w:pPr>
    </w:p>
    <w:p w14:paraId="381AB5A5">
      <w:pP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br w:type="page"/>
      </w:r>
    </w:p>
    <w:p w14:paraId="6A21031F">
      <w:pPr>
        <w:keepNext w:val="0"/>
        <w:keepLines w:val="0"/>
        <w:pageBreakBefore w:val="0"/>
        <w:widowControl w:val="0"/>
        <w:kinsoku/>
        <w:wordWrap/>
        <w:overflowPunct/>
        <w:topLinePunct w:val="0"/>
        <w:autoSpaceDE w:val="0"/>
        <w:autoSpaceDN w:val="0"/>
        <w:bidi w:val="0"/>
        <w:adjustRightInd w:val="0"/>
        <w:spacing w:after="0" w:line="440" w:lineRule="exact"/>
        <w:ind w:right="0"/>
        <w:jc w:val="center"/>
        <w:textAlignment w:val="auto"/>
        <w:rPr>
          <w:rFonts w:hint="eastAsia" w:ascii="仿宋" w:hAnsi="仿宋" w:eastAsia="仿宋" w:cs="仿宋"/>
          <w:b/>
          <w:bCs w:val="0"/>
          <w:color w:val="auto"/>
          <w:sz w:val="28"/>
          <w:szCs w:val="28"/>
          <w:highlight w:val="none"/>
        </w:rPr>
      </w:pPr>
      <w:r>
        <w:rPr>
          <w:rFonts w:hint="eastAsia" w:ascii="仿宋" w:hAnsi="仿宋" w:eastAsia="仿宋" w:cs="仿宋"/>
          <w:b/>
          <w:color w:val="auto"/>
          <w:sz w:val="30"/>
          <w:szCs w:val="30"/>
          <w:highlight w:val="none"/>
          <w:lang w:val="en-US" w:eastAsia="zh-CN"/>
        </w:rPr>
        <w:t>15</w:t>
      </w:r>
      <w:r>
        <w:rPr>
          <w:rFonts w:hint="eastAsia" w:ascii="仿宋" w:hAnsi="仿宋" w:eastAsia="仿宋" w:cs="仿宋"/>
          <w:b/>
          <w:bCs w:val="0"/>
          <w:color w:val="auto"/>
          <w:sz w:val="28"/>
          <w:szCs w:val="28"/>
          <w:highlight w:val="none"/>
          <w:lang w:val="en-US" w:eastAsia="zh-CN"/>
        </w:rPr>
        <w:t>.</w:t>
      </w:r>
      <w:r>
        <w:rPr>
          <w:rFonts w:hint="eastAsia" w:ascii="仿宋" w:hAnsi="仿宋" w:eastAsia="仿宋" w:cs="仿宋"/>
          <w:b/>
          <w:bCs w:val="0"/>
          <w:color w:val="auto"/>
          <w:sz w:val="28"/>
          <w:szCs w:val="28"/>
          <w:highlight w:val="none"/>
        </w:rPr>
        <w:t>其他材料</w:t>
      </w:r>
    </w:p>
    <w:p w14:paraId="38332CD7">
      <w:pPr>
        <w:tabs>
          <w:tab w:val="left" w:pos="9365"/>
        </w:tabs>
        <w:snapToGrid w:val="0"/>
        <w:spacing w:after="0" w:line="360" w:lineRule="auto"/>
        <w:textAlignment w:val="top"/>
        <w:rPr>
          <w:rFonts w:hint="eastAsia" w:ascii="仿宋" w:hAnsi="仿宋" w:eastAsia="仿宋" w:cs="仿宋"/>
          <w:color w:val="auto"/>
          <w:highlight w:val="none"/>
        </w:rPr>
      </w:pPr>
      <w:r>
        <w:rPr>
          <w:rFonts w:hint="eastAsia" w:ascii="仿宋" w:hAnsi="仿宋" w:eastAsia="仿宋" w:cs="仿宋"/>
          <w:color w:val="auto"/>
          <w:sz w:val="24"/>
          <w:highlight w:val="none"/>
        </w:rPr>
        <w:t>（按</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要求自行编写，由法定代表人的电子签名和单位电子签章。）</w:t>
      </w:r>
    </w:p>
    <w:p w14:paraId="36D44B8B">
      <w:pPr>
        <w:snapToGrid w:val="0"/>
        <w:spacing w:after="0" w:line="360" w:lineRule="auto"/>
        <w:jc w:val="left"/>
        <w:rPr>
          <w:rFonts w:hint="eastAsia" w:ascii="仿宋" w:hAnsi="仿宋" w:eastAsia="仿宋" w:cs="仿宋"/>
          <w:b/>
          <w:bCs w:val="0"/>
          <w:color w:val="auto"/>
          <w:sz w:val="28"/>
          <w:szCs w:val="20"/>
          <w:highlight w:val="none"/>
          <w:lang w:val="en-US" w:eastAsia="zh-CN"/>
        </w:rPr>
      </w:pPr>
    </w:p>
    <w:p w14:paraId="4E09859E">
      <w:pPr>
        <w:pStyle w:val="20"/>
        <w:spacing w:beforeAutospacing="0" w:afterAutospacing="0"/>
        <w:ind w:left="920" w:hanging="480"/>
        <w:rPr>
          <w:rFonts w:hint="eastAsia" w:ascii="仿宋" w:hAnsi="仿宋" w:eastAsia="仿宋" w:cs="仿宋"/>
          <w:color w:val="auto"/>
          <w:szCs w:val="24"/>
          <w:highlight w:val="none"/>
        </w:rPr>
      </w:pPr>
    </w:p>
    <w:sectPr>
      <w:headerReference r:id="rId10" w:type="default"/>
      <w:footerReference r:id="rId11" w:type="default"/>
      <w:pgSz w:w="11900" w:h="16838"/>
      <w:pgMar w:top="1440" w:right="1080" w:bottom="1440" w:left="1080" w:header="850" w:footer="992" w:gutter="0"/>
      <w:pgNumType w:fmt="decimal"/>
      <w:cols w:space="708" w:num="1"/>
      <w:docGrid w:type="lines" w:linePitch="31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modern"/>
    <w:pitch w:val="default"/>
    <w:sig w:usb0="E00006FF" w:usb1="0000FCFF" w:usb2="00000001" w:usb3="00000000" w:csb0="600001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20B0504020202030204"/>
    <w:charset w:val="00"/>
    <w:family w:val="swiss"/>
    <w:pitch w:val="default"/>
    <w:sig w:usb0="00000000" w:usb1="00000000" w:usb2="00000000" w:usb3="00000000" w:csb0="00000093"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MicrosoftYaHe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2602C">
    <w:pPr>
      <w:pStyle w:val="25"/>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C20BA">
    <w:pPr>
      <w:pStyle w:val="25"/>
      <w:tabs>
        <w:tab w:val="clear" w:pos="4153"/>
      </w:tabs>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4238AC">
                          <w:pPr>
                            <w:pStyle w:val="2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64238AC">
                    <w:pPr>
                      <w:pStyle w:val="2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D5AFC">
    <w:pPr>
      <w:pStyle w:val="25"/>
    </w:pPr>
  </w:p>
  <w:p w14:paraId="6817CC6A">
    <w:pPr>
      <w:pStyle w:val="25"/>
    </w:pPr>
    <w:r>
      <w:rPr>
        <w:sz w:val="18"/>
      </w:rPr>
      <mc:AlternateContent>
        <mc:Choice Requires="wps">
          <w:drawing>
            <wp:anchor distT="0" distB="0" distL="114300" distR="114300" simplePos="0" relativeHeight="251660288" behindDoc="0" locked="0" layoutInCell="1" allowOverlap="1">
              <wp:simplePos x="0" y="0"/>
              <wp:positionH relativeFrom="margin">
                <wp:posOffset>2625090</wp:posOffset>
              </wp:positionH>
              <wp:positionV relativeFrom="paragraph">
                <wp:posOffset>285115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F1F56A">
                          <w:pPr>
                            <w:pStyle w:val="25"/>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6.7pt;margin-top:22.45pt;height:144pt;width:144pt;mso-position-horizontal-relative:margin;mso-wrap-style:none;z-index:251660288;mso-width-relative:page;mso-height-relative:page;" filled="f" stroked="f" coordsize="21600,21600" o:gfxdata="UEsDBAoAAAAAAIdO4kAAAAAAAAAAAAAAAAAEAAAAZHJzL1BLAwQUAAAACACHTuJAOIfbcdcAAAAK&#10;AQAADwAAAGRycy9kb3ducmV2LnhtbE2Py07DMBBF90j8gzVI7KidJoI2xKlERVgi0bBg6cbTJOBH&#10;ZLtp+HuGFezmcXTnTLVbrGEzhjh6JyFbCWDoOq9H10t4b5u7DbCYlNPKeIcSvjHCrr6+qlSp/cW9&#10;4XxIPaMQF0slYUhpKjmP3YBWxZWf0NHu5INVidrQcx3UhcKt4Wsh7rlVo6MLg5pwP2D3dThbCfum&#10;bcOMMZgPfGnyz9enAp8XKW9vMvEILOGS/mD41Sd1qMnp6M9OR2YkFFleEEpFsQVGwIPIaHCUkOfr&#10;LfC64v9fqH8AUEsDBBQAAAAIAIdO4kDhgNOOMgIAAGEEAAAOAAAAZHJzL2Uyb0RvYy54bWytVM2O&#10;0zAQviPxDpbvNGkrVlXVdFW2KkKq2JUK4uw6ThPJf7LdJuUB4A04ceHOc/U59nN+umjhsAcuztgz&#10;/sbfNzNZ3DZKkpNwvjI6o+NRSonQ3OSVPmT086fNmxklPjCdM2m0yOhZeHq7fP1qUdu5mJjSyFw4&#10;AhDt57XNaBmCnSeJ56VQzI+MFRrOwjjFArbukOSO1UBXMpmk6U1SG5dbZ7jwHqfrzkl7RPcSQFMU&#10;FRdrw49K6NChOiFZACVfVtbTZfvaohA83BeFF4HIjIJpaFckgb2Pa7JcsPnBMVtWvH8Ce8kTnnFS&#10;rNJIeoVas8DI0VV/QamKO+NNEUbcqKQj0ioCFuP0mTa7klnRcoHU3l5F9/8Pln88PThS5RmdUqKZ&#10;QsEvP75ffv6+/PpGplGe2vo5onYWcaF5Zxo0zXDucRhZN4VT8Qs+BH6Ie76KK5pAeLw0m8xmKVwc&#10;vmED/OTpunU+vBdGkWhk1KF6rajstPWhCx1CYjZtNpWUbQWlJnVGb6Zv0/bC1QNwqZEjkugeG63Q&#10;7Jue2d7kZxBzpusMb/mmQvIt8+GBObQCHoxhCfdYCmmQxPQWJaVxX/91HuNRIXgpqdFaGdWYJErk&#10;B43KATAMhhuM/WDoo7oz6NUxhtDy1sQFF+RgFs6oL5igVcwBF9McmTIaBvMudO2NCeRitWqDjtZV&#10;h7K7gL6zLGz1zvKYJgrp7eoYIGarcRSoU6XXDZ3XVqmfktjaf+7bqKc/w/IR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OIfbcdcAAAAKAQAADwAAAAAAAAABACAAAAAiAAAAZHJzL2Rvd25yZXYueG1s&#10;UEsBAhQAFAAAAAgAh07iQOGA044yAgAAYQQAAA4AAAAAAAAAAQAgAAAAJgEAAGRycy9lMm9Eb2Mu&#10;eG1sUEsFBgAAAAAGAAYAWQEAAMoFAAAAAA==&#10;">
              <v:fill on="f" focussize="0,0"/>
              <v:stroke on="f" weight="0.5pt"/>
              <v:imagedata o:title=""/>
              <o:lock v:ext="edit" aspectratio="f"/>
              <v:textbox inset="0mm,0mm,0mm,0mm" style="mso-fit-shape-to-text:t;">
                <w:txbxContent>
                  <w:p w14:paraId="6FF1F56A">
                    <w:pPr>
                      <w:pStyle w:val="25"/>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3CD67">
    <w:pPr>
      <w:pStyle w:val="2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1EE4F6">
                          <w:pPr>
                            <w:pStyle w:val="25"/>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1EE4F6">
                    <w:pPr>
                      <w:pStyle w:val="25"/>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E17E2">
    <w:pPr>
      <w:pStyle w:val="26"/>
      <w:rPr>
        <w:rFonts w:hint="eastAsia" w:eastAsia="宋体"/>
        <w:lang w:val="en-US" w:eastAsia="zh-CN"/>
      </w:rPr>
    </w:pPr>
    <w:r>
      <w:rPr>
        <w:rFonts w:hint="eastAsia"/>
        <w:lang w:val="en-US"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A1121">
    <w:pPr>
      <w:pStyle w:val="26"/>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8DF86">
    <w:pPr>
      <w:pStyle w:val="2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04779E"/>
    <w:multiLevelType w:val="singleLevel"/>
    <w:tmpl w:val="9904779E"/>
    <w:lvl w:ilvl="0" w:tentative="0">
      <w:start w:val="1"/>
      <w:numFmt w:val="decimal"/>
      <w:suff w:val="space"/>
      <w:lvlText w:val="%1."/>
      <w:lvlJc w:val="left"/>
    </w:lvl>
  </w:abstractNum>
  <w:abstractNum w:abstractNumId="1">
    <w:nsid w:val="99AA1FEF"/>
    <w:multiLevelType w:val="singleLevel"/>
    <w:tmpl w:val="99AA1FEF"/>
    <w:lvl w:ilvl="0" w:tentative="0">
      <w:start w:val="1"/>
      <w:numFmt w:val="decimal"/>
      <w:suff w:val="nothing"/>
      <w:lvlText w:val="%1、"/>
      <w:lvlJc w:val="left"/>
    </w:lvl>
  </w:abstractNum>
  <w:abstractNum w:abstractNumId="2">
    <w:nsid w:val="CC2A3B51"/>
    <w:multiLevelType w:val="singleLevel"/>
    <w:tmpl w:val="CC2A3B51"/>
    <w:lvl w:ilvl="0" w:tentative="0">
      <w:start w:val="1"/>
      <w:numFmt w:val="decimal"/>
      <w:lvlText w:val="%1."/>
      <w:lvlJc w:val="left"/>
      <w:pPr>
        <w:tabs>
          <w:tab w:val="left" w:pos="312"/>
        </w:tabs>
      </w:pPr>
    </w:lvl>
  </w:abstractNum>
  <w:abstractNum w:abstractNumId="3">
    <w:nsid w:val="052D30F8"/>
    <w:multiLevelType w:val="multilevel"/>
    <w:tmpl w:val="052D30F8"/>
    <w:lvl w:ilvl="0" w:tentative="0">
      <w:start w:val="8"/>
      <w:numFmt w:val="decimal"/>
      <w:lvlText w:val="%1"/>
      <w:lvlJc w:val="left"/>
      <w:pPr>
        <w:ind w:left="901" w:hanging="375"/>
      </w:pPr>
      <w:rPr>
        <w:rFonts w:hint="default" w:ascii="Times New Roman" w:hAnsi="Times New Roman" w:cs="Times New Roman"/>
      </w:rPr>
    </w:lvl>
    <w:lvl w:ilvl="1" w:tentative="0">
      <w:start w:val="1"/>
      <w:numFmt w:val="decimal"/>
      <w:lvlText w:val="%1.%2"/>
      <w:lvlJc w:val="left"/>
      <w:pPr>
        <w:ind w:left="901" w:hanging="375"/>
      </w:pPr>
      <w:rPr>
        <w:rFonts w:hint="eastAsia" w:ascii="宋体" w:hAnsi="宋体" w:eastAsia="宋体"/>
        <w:spacing w:val="0"/>
        <w:sz w:val="24"/>
        <w:szCs w:val="24"/>
      </w:rPr>
    </w:lvl>
    <w:lvl w:ilvl="2" w:tentative="0">
      <w:start w:val="1"/>
      <w:numFmt w:val="decimal"/>
      <w:lvlText w:val="%1.%2.%3"/>
      <w:lvlJc w:val="left"/>
      <w:pPr>
        <w:ind w:left="100" w:hanging="588"/>
      </w:pPr>
      <w:rPr>
        <w:rFonts w:hint="eastAsia" w:ascii="宋体" w:hAnsi="宋体" w:eastAsia="宋体"/>
        <w:spacing w:val="0"/>
        <w:sz w:val="24"/>
        <w:szCs w:val="24"/>
      </w:rPr>
    </w:lvl>
    <w:lvl w:ilvl="3" w:tentative="0">
      <w:start w:val="0"/>
      <w:numFmt w:val="bullet"/>
      <w:lvlText w:val="•"/>
      <w:lvlJc w:val="left"/>
      <w:pPr>
        <w:ind w:left="2935" w:hanging="588"/>
      </w:pPr>
      <w:rPr>
        <w:rFonts w:hint="default" w:ascii="Times New Roman" w:hAnsi="Times New Roman" w:cs="Times New Roman"/>
      </w:rPr>
    </w:lvl>
    <w:lvl w:ilvl="4" w:tentative="0">
      <w:start w:val="0"/>
      <w:numFmt w:val="bullet"/>
      <w:lvlText w:val="•"/>
      <w:lvlJc w:val="left"/>
      <w:pPr>
        <w:ind w:left="3953" w:hanging="588"/>
      </w:pPr>
      <w:rPr>
        <w:rFonts w:hint="default" w:ascii="Times New Roman" w:hAnsi="Times New Roman" w:cs="Times New Roman"/>
      </w:rPr>
    </w:lvl>
    <w:lvl w:ilvl="5" w:tentative="0">
      <w:start w:val="0"/>
      <w:numFmt w:val="bullet"/>
      <w:lvlText w:val="•"/>
      <w:lvlJc w:val="left"/>
      <w:pPr>
        <w:ind w:left="4971" w:hanging="588"/>
      </w:pPr>
      <w:rPr>
        <w:rFonts w:hint="default" w:ascii="Times New Roman" w:hAnsi="Times New Roman" w:cs="Times New Roman"/>
      </w:rPr>
    </w:lvl>
    <w:lvl w:ilvl="6" w:tentative="0">
      <w:start w:val="0"/>
      <w:numFmt w:val="bullet"/>
      <w:lvlText w:val="•"/>
      <w:lvlJc w:val="left"/>
      <w:pPr>
        <w:ind w:left="5988" w:hanging="588"/>
      </w:pPr>
      <w:rPr>
        <w:rFonts w:hint="default" w:ascii="Times New Roman" w:hAnsi="Times New Roman" w:cs="Times New Roman"/>
      </w:rPr>
    </w:lvl>
    <w:lvl w:ilvl="7" w:tentative="0">
      <w:start w:val="0"/>
      <w:numFmt w:val="bullet"/>
      <w:lvlText w:val="•"/>
      <w:lvlJc w:val="left"/>
      <w:pPr>
        <w:ind w:left="7006" w:hanging="588"/>
      </w:pPr>
      <w:rPr>
        <w:rFonts w:hint="default" w:ascii="Times New Roman" w:hAnsi="Times New Roman" w:cs="Times New Roman"/>
      </w:rPr>
    </w:lvl>
    <w:lvl w:ilvl="8" w:tentative="0">
      <w:start w:val="0"/>
      <w:numFmt w:val="bullet"/>
      <w:lvlText w:val="•"/>
      <w:lvlJc w:val="left"/>
      <w:pPr>
        <w:ind w:left="8024" w:hanging="588"/>
      </w:pPr>
      <w:rPr>
        <w:rFonts w:hint="default" w:ascii="Times New Roman" w:hAnsi="Times New Roman" w:cs="Times New Roman"/>
      </w:rPr>
    </w:lvl>
  </w:abstractNum>
  <w:abstractNum w:abstractNumId="4">
    <w:nsid w:val="1169E584"/>
    <w:multiLevelType w:val="singleLevel"/>
    <w:tmpl w:val="1169E584"/>
    <w:lvl w:ilvl="0" w:tentative="0">
      <w:start w:val="1"/>
      <w:numFmt w:val="decimal"/>
      <w:lvlText w:val="%1."/>
      <w:lvlJc w:val="left"/>
      <w:pPr>
        <w:tabs>
          <w:tab w:val="left" w:pos="312"/>
        </w:tabs>
      </w:pPr>
    </w:lvl>
  </w:abstractNum>
  <w:abstractNum w:abstractNumId="5">
    <w:nsid w:val="152C63FF"/>
    <w:multiLevelType w:val="multilevel"/>
    <w:tmpl w:val="152C63FF"/>
    <w:lvl w:ilvl="0" w:tentative="0">
      <w:start w:val="4"/>
      <w:numFmt w:val="decimal"/>
      <w:lvlText w:val="%1"/>
      <w:lvlJc w:val="left"/>
      <w:pPr>
        <w:ind w:left="100" w:hanging="646"/>
      </w:pPr>
      <w:rPr>
        <w:rFonts w:hint="default" w:ascii="Times New Roman" w:hAnsi="Times New Roman" w:cs="Times New Roman"/>
      </w:rPr>
    </w:lvl>
    <w:lvl w:ilvl="1" w:tentative="0">
      <w:start w:val="1"/>
      <w:numFmt w:val="decimal"/>
      <w:lvlText w:val="%1.%2"/>
      <w:lvlJc w:val="left"/>
      <w:pPr>
        <w:ind w:left="100" w:hanging="646"/>
      </w:pPr>
      <w:rPr>
        <w:rFonts w:hint="default" w:ascii="Times New Roman" w:hAnsi="Times New Roman" w:cs="Times New Roman"/>
      </w:rPr>
    </w:lvl>
    <w:lvl w:ilvl="2" w:tentative="0">
      <w:start w:val="1"/>
      <w:numFmt w:val="decimal"/>
      <w:lvlText w:val="%1.%2.%3"/>
      <w:lvlJc w:val="left"/>
      <w:pPr>
        <w:ind w:left="100" w:hanging="646"/>
      </w:pPr>
      <w:rPr>
        <w:rFonts w:hint="eastAsia" w:ascii="宋体" w:hAnsi="宋体" w:eastAsia="宋体"/>
        <w:spacing w:val="0"/>
        <w:sz w:val="24"/>
        <w:szCs w:val="24"/>
      </w:rPr>
    </w:lvl>
    <w:lvl w:ilvl="3" w:tentative="0">
      <w:start w:val="0"/>
      <w:numFmt w:val="bullet"/>
      <w:lvlText w:val="•"/>
      <w:lvlJc w:val="left"/>
      <w:pPr>
        <w:ind w:left="3088" w:hanging="646"/>
      </w:pPr>
      <w:rPr>
        <w:rFonts w:hint="default" w:ascii="Times New Roman" w:hAnsi="Times New Roman" w:cs="Times New Roman"/>
      </w:rPr>
    </w:lvl>
    <w:lvl w:ilvl="4" w:tentative="0">
      <w:start w:val="0"/>
      <w:numFmt w:val="bullet"/>
      <w:lvlText w:val="•"/>
      <w:lvlJc w:val="left"/>
      <w:pPr>
        <w:ind w:left="4084" w:hanging="646"/>
      </w:pPr>
      <w:rPr>
        <w:rFonts w:hint="default" w:ascii="Times New Roman" w:hAnsi="Times New Roman" w:cs="Times New Roman"/>
      </w:rPr>
    </w:lvl>
    <w:lvl w:ilvl="5" w:tentative="0">
      <w:start w:val="0"/>
      <w:numFmt w:val="bullet"/>
      <w:lvlText w:val="•"/>
      <w:lvlJc w:val="left"/>
      <w:pPr>
        <w:ind w:left="5080" w:hanging="646"/>
      </w:pPr>
      <w:rPr>
        <w:rFonts w:hint="default" w:ascii="Times New Roman" w:hAnsi="Times New Roman" w:cs="Times New Roman"/>
      </w:rPr>
    </w:lvl>
    <w:lvl w:ilvl="6" w:tentative="0">
      <w:start w:val="0"/>
      <w:numFmt w:val="bullet"/>
      <w:lvlText w:val="•"/>
      <w:lvlJc w:val="left"/>
      <w:pPr>
        <w:ind w:left="6076" w:hanging="646"/>
      </w:pPr>
      <w:rPr>
        <w:rFonts w:hint="default" w:ascii="Times New Roman" w:hAnsi="Times New Roman" w:cs="Times New Roman"/>
      </w:rPr>
    </w:lvl>
    <w:lvl w:ilvl="7" w:tentative="0">
      <w:start w:val="0"/>
      <w:numFmt w:val="bullet"/>
      <w:lvlText w:val="•"/>
      <w:lvlJc w:val="left"/>
      <w:pPr>
        <w:ind w:left="7072" w:hanging="646"/>
      </w:pPr>
      <w:rPr>
        <w:rFonts w:hint="default" w:ascii="Times New Roman" w:hAnsi="Times New Roman" w:cs="Times New Roman"/>
      </w:rPr>
    </w:lvl>
    <w:lvl w:ilvl="8" w:tentative="0">
      <w:start w:val="0"/>
      <w:numFmt w:val="bullet"/>
      <w:lvlText w:val="•"/>
      <w:lvlJc w:val="left"/>
      <w:pPr>
        <w:ind w:left="8068" w:hanging="646"/>
      </w:pPr>
      <w:rPr>
        <w:rFonts w:hint="default" w:ascii="Times New Roman" w:hAnsi="Times New Roman" w:cs="Times New Roman"/>
      </w:rPr>
    </w:lvl>
  </w:abstractNum>
  <w:abstractNum w:abstractNumId="6">
    <w:nsid w:val="162408F9"/>
    <w:multiLevelType w:val="multilevel"/>
    <w:tmpl w:val="162408F9"/>
    <w:lvl w:ilvl="0" w:tentative="0">
      <w:start w:val="6"/>
      <w:numFmt w:val="decimal"/>
      <w:lvlText w:val="%1"/>
      <w:lvlJc w:val="left"/>
      <w:pPr>
        <w:ind w:left="980" w:hanging="430"/>
      </w:pPr>
      <w:rPr>
        <w:rFonts w:hint="default" w:ascii="Times New Roman" w:hAnsi="Times New Roman" w:cs="Times New Roman"/>
      </w:rPr>
    </w:lvl>
    <w:lvl w:ilvl="1" w:tentative="0">
      <w:start w:val="1"/>
      <w:numFmt w:val="decimal"/>
      <w:lvlText w:val="%1.%2"/>
      <w:lvlJc w:val="left"/>
      <w:pPr>
        <w:ind w:left="980" w:hanging="430"/>
      </w:pPr>
      <w:rPr>
        <w:rFonts w:hint="eastAsia" w:ascii="宋体" w:hAnsi="宋体" w:eastAsia="宋体"/>
        <w:spacing w:val="0"/>
        <w:sz w:val="24"/>
        <w:szCs w:val="24"/>
      </w:rPr>
    </w:lvl>
    <w:lvl w:ilvl="2" w:tentative="0">
      <w:start w:val="1"/>
      <w:numFmt w:val="decimal"/>
      <w:lvlText w:val="%1.%2.%3"/>
      <w:lvlJc w:val="left"/>
      <w:pPr>
        <w:ind w:left="1194" w:hanging="644"/>
      </w:pPr>
      <w:rPr>
        <w:rFonts w:hint="eastAsia" w:ascii="宋体" w:hAnsi="宋体" w:eastAsia="宋体"/>
        <w:spacing w:val="0"/>
        <w:sz w:val="21"/>
        <w:szCs w:val="21"/>
      </w:rPr>
    </w:lvl>
    <w:lvl w:ilvl="3" w:tentative="0">
      <w:start w:val="0"/>
      <w:numFmt w:val="bullet"/>
      <w:lvlText w:val="•"/>
      <w:lvlJc w:val="left"/>
      <w:pPr>
        <w:ind w:left="2307" w:hanging="644"/>
      </w:pPr>
      <w:rPr>
        <w:rFonts w:hint="default" w:ascii="Times New Roman" w:hAnsi="Times New Roman" w:cs="Times New Roman"/>
      </w:rPr>
    </w:lvl>
    <w:lvl w:ilvl="4" w:tentative="0">
      <w:start w:val="0"/>
      <w:numFmt w:val="bullet"/>
      <w:lvlText w:val="•"/>
      <w:lvlJc w:val="left"/>
      <w:pPr>
        <w:ind w:left="3415" w:hanging="644"/>
      </w:pPr>
      <w:rPr>
        <w:rFonts w:hint="default" w:ascii="Times New Roman" w:hAnsi="Times New Roman" w:cs="Times New Roman"/>
      </w:rPr>
    </w:lvl>
    <w:lvl w:ilvl="5" w:tentative="0">
      <w:start w:val="0"/>
      <w:numFmt w:val="bullet"/>
      <w:lvlText w:val="•"/>
      <w:lvlJc w:val="left"/>
      <w:pPr>
        <w:ind w:left="4522" w:hanging="644"/>
      </w:pPr>
      <w:rPr>
        <w:rFonts w:hint="default" w:ascii="Times New Roman" w:hAnsi="Times New Roman" w:cs="Times New Roman"/>
      </w:rPr>
    </w:lvl>
    <w:lvl w:ilvl="6" w:tentative="0">
      <w:start w:val="0"/>
      <w:numFmt w:val="bullet"/>
      <w:lvlText w:val="•"/>
      <w:lvlJc w:val="left"/>
      <w:pPr>
        <w:ind w:left="5630" w:hanging="644"/>
      </w:pPr>
      <w:rPr>
        <w:rFonts w:hint="default" w:ascii="Times New Roman" w:hAnsi="Times New Roman" w:cs="Times New Roman"/>
      </w:rPr>
    </w:lvl>
    <w:lvl w:ilvl="7" w:tentative="0">
      <w:start w:val="0"/>
      <w:numFmt w:val="bullet"/>
      <w:lvlText w:val="•"/>
      <w:lvlJc w:val="left"/>
      <w:pPr>
        <w:ind w:left="6737" w:hanging="644"/>
      </w:pPr>
      <w:rPr>
        <w:rFonts w:hint="default" w:ascii="Times New Roman" w:hAnsi="Times New Roman" w:cs="Times New Roman"/>
      </w:rPr>
    </w:lvl>
    <w:lvl w:ilvl="8" w:tentative="0">
      <w:start w:val="0"/>
      <w:numFmt w:val="bullet"/>
      <w:lvlText w:val="•"/>
      <w:lvlJc w:val="left"/>
      <w:pPr>
        <w:ind w:left="7845" w:hanging="644"/>
      </w:pPr>
      <w:rPr>
        <w:rFonts w:hint="default" w:ascii="Times New Roman" w:hAnsi="Times New Roman" w:cs="Times New Roman"/>
      </w:rPr>
    </w:lvl>
  </w:abstractNum>
  <w:abstractNum w:abstractNumId="7">
    <w:nsid w:val="24493BBC"/>
    <w:multiLevelType w:val="multilevel"/>
    <w:tmpl w:val="24493BBC"/>
    <w:lvl w:ilvl="0" w:tentative="0">
      <w:start w:val="4"/>
      <w:numFmt w:val="decimal"/>
      <w:lvlText w:val="%1"/>
      <w:lvlJc w:val="left"/>
      <w:pPr>
        <w:ind w:left="980" w:hanging="430"/>
      </w:pPr>
      <w:rPr>
        <w:rFonts w:hint="default" w:ascii="Times New Roman" w:hAnsi="Times New Roman" w:cs="Times New Roman"/>
      </w:rPr>
    </w:lvl>
    <w:lvl w:ilvl="1" w:tentative="0">
      <w:start w:val="2"/>
      <w:numFmt w:val="decimal"/>
      <w:lvlText w:val="%1.%2"/>
      <w:lvlJc w:val="left"/>
      <w:pPr>
        <w:ind w:left="980" w:hanging="430"/>
      </w:pPr>
      <w:rPr>
        <w:rFonts w:hint="eastAsia" w:ascii="宋体" w:hAnsi="宋体" w:eastAsia="宋体"/>
        <w:spacing w:val="0"/>
        <w:sz w:val="24"/>
        <w:szCs w:val="24"/>
      </w:rPr>
    </w:lvl>
    <w:lvl w:ilvl="2" w:tentative="0">
      <w:start w:val="1"/>
      <w:numFmt w:val="decimal"/>
      <w:lvlText w:val="%1.%2.%3"/>
      <w:lvlJc w:val="left"/>
      <w:pPr>
        <w:ind w:left="100" w:hanging="646"/>
      </w:pPr>
      <w:rPr>
        <w:rFonts w:hint="eastAsia" w:ascii="宋体" w:hAnsi="宋体" w:eastAsia="宋体"/>
        <w:spacing w:val="0"/>
        <w:sz w:val="24"/>
        <w:szCs w:val="24"/>
      </w:rPr>
    </w:lvl>
    <w:lvl w:ilvl="3" w:tentative="0">
      <w:start w:val="0"/>
      <w:numFmt w:val="bullet"/>
      <w:lvlText w:val="•"/>
      <w:lvlJc w:val="left"/>
      <w:pPr>
        <w:ind w:left="2997" w:hanging="646"/>
      </w:pPr>
      <w:rPr>
        <w:rFonts w:hint="default" w:ascii="Times New Roman" w:hAnsi="Times New Roman" w:cs="Times New Roman"/>
      </w:rPr>
    </w:lvl>
    <w:lvl w:ilvl="4" w:tentative="0">
      <w:start w:val="0"/>
      <w:numFmt w:val="bullet"/>
      <w:lvlText w:val="•"/>
      <w:lvlJc w:val="left"/>
      <w:pPr>
        <w:ind w:left="4006" w:hanging="646"/>
      </w:pPr>
      <w:rPr>
        <w:rFonts w:hint="default" w:ascii="Times New Roman" w:hAnsi="Times New Roman" w:cs="Times New Roman"/>
      </w:rPr>
    </w:lvl>
    <w:lvl w:ilvl="5" w:tentative="0">
      <w:start w:val="0"/>
      <w:numFmt w:val="bullet"/>
      <w:lvlText w:val="•"/>
      <w:lvlJc w:val="left"/>
      <w:pPr>
        <w:ind w:left="5015" w:hanging="646"/>
      </w:pPr>
      <w:rPr>
        <w:rFonts w:hint="default" w:ascii="Times New Roman" w:hAnsi="Times New Roman" w:cs="Times New Roman"/>
      </w:rPr>
    </w:lvl>
    <w:lvl w:ilvl="6" w:tentative="0">
      <w:start w:val="0"/>
      <w:numFmt w:val="bullet"/>
      <w:lvlText w:val="•"/>
      <w:lvlJc w:val="left"/>
      <w:pPr>
        <w:ind w:left="6024" w:hanging="646"/>
      </w:pPr>
      <w:rPr>
        <w:rFonts w:hint="default" w:ascii="Times New Roman" w:hAnsi="Times New Roman" w:cs="Times New Roman"/>
      </w:rPr>
    </w:lvl>
    <w:lvl w:ilvl="7" w:tentative="0">
      <w:start w:val="0"/>
      <w:numFmt w:val="bullet"/>
      <w:lvlText w:val="•"/>
      <w:lvlJc w:val="left"/>
      <w:pPr>
        <w:ind w:left="7033" w:hanging="646"/>
      </w:pPr>
      <w:rPr>
        <w:rFonts w:hint="default" w:ascii="Times New Roman" w:hAnsi="Times New Roman" w:cs="Times New Roman"/>
      </w:rPr>
    </w:lvl>
    <w:lvl w:ilvl="8" w:tentative="0">
      <w:start w:val="0"/>
      <w:numFmt w:val="bullet"/>
      <w:lvlText w:val="•"/>
      <w:lvlJc w:val="left"/>
      <w:pPr>
        <w:ind w:left="8042" w:hanging="646"/>
      </w:pPr>
      <w:rPr>
        <w:rFonts w:hint="default" w:ascii="Times New Roman" w:hAnsi="Times New Roman" w:cs="Times New Roman"/>
      </w:rPr>
    </w:lvl>
  </w:abstractNum>
  <w:abstractNum w:abstractNumId="8">
    <w:nsid w:val="2D3A4817"/>
    <w:multiLevelType w:val="multilevel"/>
    <w:tmpl w:val="2D3A4817"/>
    <w:lvl w:ilvl="0" w:tentative="0">
      <w:start w:val="7"/>
      <w:numFmt w:val="decimal"/>
      <w:lvlText w:val="%1"/>
      <w:lvlJc w:val="left"/>
      <w:pPr>
        <w:ind w:left="980" w:hanging="430"/>
      </w:pPr>
      <w:rPr>
        <w:rFonts w:hint="default" w:ascii="Times New Roman" w:hAnsi="Times New Roman" w:cs="Times New Roman"/>
      </w:rPr>
    </w:lvl>
    <w:lvl w:ilvl="1" w:tentative="0">
      <w:start w:val="1"/>
      <w:numFmt w:val="decimal"/>
      <w:lvlText w:val="%1.%2"/>
      <w:lvlJc w:val="left"/>
      <w:pPr>
        <w:ind w:left="980" w:hanging="430"/>
      </w:pPr>
      <w:rPr>
        <w:rFonts w:hint="eastAsia" w:ascii="宋体" w:hAnsi="宋体" w:eastAsia="宋体"/>
        <w:spacing w:val="0"/>
        <w:sz w:val="24"/>
        <w:szCs w:val="24"/>
      </w:rPr>
    </w:lvl>
    <w:lvl w:ilvl="2" w:tentative="0">
      <w:start w:val="1"/>
      <w:numFmt w:val="decimal"/>
      <w:lvlText w:val="%1.%2.%3"/>
      <w:lvlJc w:val="left"/>
      <w:pPr>
        <w:ind w:left="1194" w:hanging="644"/>
      </w:pPr>
      <w:rPr>
        <w:rFonts w:hint="eastAsia" w:ascii="宋体" w:hAnsi="宋体" w:eastAsia="宋体"/>
        <w:spacing w:val="0"/>
        <w:sz w:val="24"/>
        <w:szCs w:val="24"/>
      </w:rPr>
    </w:lvl>
    <w:lvl w:ilvl="3" w:tentative="0">
      <w:start w:val="0"/>
      <w:numFmt w:val="bullet"/>
      <w:lvlText w:val="•"/>
      <w:lvlJc w:val="left"/>
      <w:pPr>
        <w:ind w:left="2307" w:hanging="644"/>
      </w:pPr>
      <w:rPr>
        <w:rFonts w:hint="default" w:ascii="Times New Roman" w:hAnsi="Times New Roman" w:cs="Times New Roman"/>
      </w:rPr>
    </w:lvl>
    <w:lvl w:ilvl="4" w:tentative="0">
      <w:start w:val="0"/>
      <w:numFmt w:val="bullet"/>
      <w:lvlText w:val="•"/>
      <w:lvlJc w:val="left"/>
      <w:pPr>
        <w:ind w:left="3415" w:hanging="644"/>
      </w:pPr>
      <w:rPr>
        <w:rFonts w:hint="default" w:ascii="Times New Roman" w:hAnsi="Times New Roman" w:cs="Times New Roman"/>
      </w:rPr>
    </w:lvl>
    <w:lvl w:ilvl="5" w:tentative="0">
      <w:start w:val="0"/>
      <w:numFmt w:val="bullet"/>
      <w:lvlText w:val="•"/>
      <w:lvlJc w:val="left"/>
      <w:pPr>
        <w:ind w:left="4522" w:hanging="644"/>
      </w:pPr>
      <w:rPr>
        <w:rFonts w:hint="default" w:ascii="Times New Roman" w:hAnsi="Times New Roman" w:cs="Times New Roman"/>
      </w:rPr>
    </w:lvl>
    <w:lvl w:ilvl="6" w:tentative="0">
      <w:start w:val="0"/>
      <w:numFmt w:val="bullet"/>
      <w:lvlText w:val="•"/>
      <w:lvlJc w:val="left"/>
      <w:pPr>
        <w:ind w:left="5630" w:hanging="644"/>
      </w:pPr>
      <w:rPr>
        <w:rFonts w:hint="default" w:ascii="Times New Roman" w:hAnsi="Times New Roman" w:cs="Times New Roman"/>
      </w:rPr>
    </w:lvl>
    <w:lvl w:ilvl="7" w:tentative="0">
      <w:start w:val="0"/>
      <w:numFmt w:val="bullet"/>
      <w:lvlText w:val="•"/>
      <w:lvlJc w:val="left"/>
      <w:pPr>
        <w:ind w:left="6737" w:hanging="644"/>
      </w:pPr>
      <w:rPr>
        <w:rFonts w:hint="default" w:ascii="Times New Roman" w:hAnsi="Times New Roman" w:cs="Times New Roman"/>
      </w:rPr>
    </w:lvl>
    <w:lvl w:ilvl="8" w:tentative="0">
      <w:start w:val="0"/>
      <w:numFmt w:val="bullet"/>
      <w:lvlText w:val="•"/>
      <w:lvlJc w:val="left"/>
      <w:pPr>
        <w:ind w:left="7845" w:hanging="644"/>
      </w:pPr>
      <w:rPr>
        <w:rFonts w:hint="default" w:ascii="Times New Roman" w:hAnsi="Times New Roman" w:cs="Times New Roman"/>
      </w:rPr>
    </w:lvl>
  </w:abstractNum>
  <w:abstractNum w:abstractNumId="9">
    <w:nsid w:val="37B60619"/>
    <w:multiLevelType w:val="multilevel"/>
    <w:tmpl w:val="37B60619"/>
    <w:lvl w:ilvl="0" w:tentative="0">
      <w:start w:val="9"/>
      <w:numFmt w:val="decimal"/>
      <w:lvlText w:val="%1."/>
      <w:lvlJc w:val="left"/>
      <w:pPr>
        <w:ind w:left="343" w:hanging="244"/>
      </w:pPr>
      <w:rPr>
        <w:rFonts w:hint="eastAsia" w:ascii="宋体" w:hAnsi="宋体" w:eastAsia="宋体"/>
        <w:b/>
        <w:bCs/>
        <w:spacing w:val="-3"/>
        <w:sz w:val="22"/>
        <w:szCs w:val="22"/>
      </w:rPr>
    </w:lvl>
    <w:lvl w:ilvl="1" w:tentative="0">
      <w:start w:val="1"/>
      <w:numFmt w:val="decimal"/>
      <w:lvlText w:val="%1.%2"/>
      <w:lvlJc w:val="left"/>
      <w:pPr>
        <w:ind w:left="100" w:hanging="600"/>
      </w:pPr>
      <w:rPr>
        <w:rFonts w:hint="eastAsia" w:ascii="宋体" w:hAnsi="宋体" w:eastAsia="宋体"/>
        <w:spacing w:val="-16"/>
        <w:sz w:val="24"/>
        <w:szCs w:val="24"/>
      </w:rPr>
    </w:lvl>
    <w:lvl w:ilvl="2" w:tentative="0">
      <w:start w:val="1"/>
      <w:numFmt w:val="decimal"/>
      <w:lvlText w:val="%3."/>
      <w:lvlJc w:val="left"/>
      <w:pPr>
        <w:ind w:left="4912" w:hanging="363"/>
      </w:pPr>
      <w:rPr>
        <w:rFonts w:hint="eastAsia" w:ascii="宋体" w:hAnsi="宋体" w:eastAsia="宋体"/>
        <w:b/>
        <w:bCs/>
        <w:spacing w:val="0"/>
        <w:sz w:val="24"/>
        <w:szCs w:val="24"/>
      </w:rPr>
    </w:lvl>
    <w:lvl w:ilvl="3" w:tentative="0">
      <w:start w:val="1"/>
      <w:numFmt w:val="decimal"/>
      <w:lvlText w:val="%4."/>
      <w:lvlJc w:val="left"/>
      <w:pPr>
        <w:ind w:left="1081" w:hanging="423"/>
      </w:pPr>
      <w:rPr>
        <w:rFonts w:hint="eastAsia" w:ascii="宋体" w:hAnsi="宋体" w:eastAsia="宋体"/>
        <w:b/>
        <w:bCs/>
        <w:spacing w:val="0"/>
        <w:sz w:val="28"/>
        <w:szCs w:val="28"/>
      </w:rPr>
    </w:lvl>
    <w:lvl w:ilvl="4" w:tentative="0">
      <w:start w:val="1"/>
      <w:numFmt w:val="decimal"/>
      <w:lvlText w:val="%4.%5"/>
      <w:lvlJc w:val="left"/>
      <w:pPr>
        <w:ind w:left="1062" w:hanging="483"/>
      </w:pPr>
      <w:rPr>
        <w:rFonts w:hint="eastAsia" w:ascii="宋体" w:hAnsi="宋体" w:eastAsia="宋体"/>
        <w:b/>
        <w:bCs/>
        <w:spacing w:val="0"/>
        <w:sz w:val="24"/>
        <w:szCs w:val="24"/>
      </w:rPr>
    </w:lvl>
    <w:lvl w:ilvl="5" w:tentative="0">
      <w:start w:val="1"/>
      <w:numFmt w:val="decimal"/>
      <w:lvlText w:val="%4.%5.%6"/>
      <w:lvlJc w:val="left"/>
      <w:pPr>
        <w:ind w:left="1386" w:hanging="720"/>
      </w:pPr>
      <w:rPr>
        <w:rFonts w:hint="default" w:ascii="Times New Roman" w:hAnsi="Times New Roman" w:cs="Times New Roman"/>
      </w:rPr>
    </w:lvl>
    <w:lvl w:ilvl="6" w:tentative="0">
      <w:start w:val="1"/>
      <w:numFmt w:val="decimal"/>
      <w:lvlText w:val="%4.%5.%6.%7"/>
      <w:lvlJc w:val="left"/>
      <w:pPr>
        <w:ind w:left="1626" w:hanging="720"/>
      </w:pPr>
      <w:rPr>
        <w:rFonts w:hint="eastAsia" w:ascii="宋体" w:hAnsi="宋体" w:eastAsia="宋体"/>
        <w:sz w:val="24"/>
        <w:szCs w:val="24"/>
      </w:rPr>
    </w:lvl>
    <w:lvl w:ilvl="7" w:tentative="0">
      <w:start w:val="0"/>
      <w:numFmt w:val="bullet"/>
      <w:lvlText w:val="•"/>
      <w:lvlJc w:val="left"/>
      <w:pPr>
        <w:ind w:left="1620" w:hanging="720"/>
      </w:pPr>
      <w:rPr>
        <w:rFonts w:hint="default" w:ascii="Times New Roman" w:hAnsi="Times New Roman" w:cs="Times New Roman"/>
      </w:rPr>
    </w:lvl>
    <w:lvl w:ilvl="8" w:tentative="0">
      <w:start w:val="0"/>
      <w:numFmt w:val="bullet"/>
      <w:lvlText w:val="•"/>
      <w:lvlJc w:val="left"/>
      <w:pPr>
        <w:ind w:left="4920" w:hanging="720"/>
      </w:pPr>
      <w:rPr>
        <w:rFonts w:hint="default" w:ascii="Times New Roman" w:hAnsi="Times New Roman" w:cs="Times New Roman"/>
      </w:rPr>
    </w:lvl>
  </w:abstractNum>
  <w:abstractNum w:abstractNumId="10">
    <w:nsid w:val="3B534A34"/>
    <w:multiLevelType w:val="singleLevel"/>
    <w:tmpl w:val="3B534A34"/>
    <w:lvl w:ilvl="0" w:tentative="0">
      <w:start w:val="1"/>
      <w:numFmt w:val="decimal"/>
      <w:lvlText w:val="%1."/>
      <w:lvlJc w:val="left"/>
      <w:pPr>
        <w:tabs>
          <w:tab w:val="left" w:pos="312"/>
        </w:tabs>
      </w:pPr>
    </w:lvl>
  </w:abstractNum>
  <w:abstractNum w:abstractNumId="11">
    <w:nsid w:val="3F6F3660"/>
    <w:multiLevelType w:val="multilevel"/>
    <w:tmpl w:val="3F6F3660"/>
    <w:lvl w:ilvl="0" w:tentative="0">
      <w:start w:val="2"/>
      <w:numFmt w:val="decimal"/>
      <w:lvlText w:val="%1"/>
      <w:lvlJc w:val="left"/>
      <w:pPr>
        <w:ind w:left="980" w:hanging="430"/>
      </w:pPr>
      <w:rPr>
        <w:rFonts w:hint="default" w:ascii="Times New Roman" w:hAnsi="Times New Roman" w:cs="Times New Roman"/>
      </w:rPr>
    </w:lvl>
    <w:lvl w:ilvl="1" w:tentative="0">
      <w:start w:val="1"/>
      <w:numFmt w:val="decimal"/>
      <w:lvlText w:val="%1.%2"/>
      <w:lvlJc w:val="left"/>
      <w:pPr>
        <w:ind w:left="980" w:hanging="430"/>
      </w:pPr>
      <w:rPr>
        <w:rFonts w:hint="eastAsia" w:ascii="宋体" w:hAnsi="宋体" w:eastAsia="宋体"/>
        <w:spacing w:val="0"/>
        <w:sz w:val="24"/>
        <w:szCs w:val="24"/>
      </w:rPr>
    </w:lvl>
    <w:lvl w:ilvl="2" w:tentative="0">
      <w:start w:val="1"/>
      <w:numFmt w:val="decimal"/>
      <w:lvlText w:val="%1.%2.%3"/>
      <w:lvlJc w:val="left"/>
      <w:pPr>
        <w:ind w:left="551" w:hanging="588"/>
      </w:pPr>
      <w:rPr>
        <w:rFonts w:hint="eastAsia" w:ascii="宋体" w:hAnsi="宋体" w:eastAsia="宋体"/>
        <w:spacing w:val="0"/>
        <w:sz w:val="24"/>
        <w:szCs w:val="24"/>
      </w:rPr>
    </w:lvl>
    <w:lvl w:ilvl="3" w:tentative="0">
      <w:start w:val="0"/>
      <w:numFmt w:val="bullet"/>
      <w:lvlText w:val="•"/>
      <w:lvlJc w:val="left"/>
      <w:pPr>
        <w:ind w:left="2255" w:hanging="588"/>
      </w:pPr>
      <w:rPr>
        <w:rFonts w:hint="default" w:ascii="Times New Roman" w:hAnsi="Times New Roman" w:cs="Times New Roman"/>
      </w:rPr>
    </w:lvl>
    <w:lvl w:ilvl="4" w:tentative="0">
      <w:start w:val="0"/>
      <w:numFmt w:val="bullet"/>
      <w:lvlText w:val="•"/>
      <w:lvlJc w:val="left"/>
      <w:pPr>
        <w:ind w:left="3370" w:hanging="588"/>
      </w:pPr>
      <w:rPr>
        <w:rFonts w:hint="default" w:ascii="Times New Roman" w:hAnsi="Times New Roman" w:cs="Times New Roman"/>
      </w:rPr>
    </w:lvl>
    <w:lvl w:ilvl="5" w:tentative="0">
      <w:start w:val="0"/>
      <w:numFmt w:val="bullet"/>
      <w:lvlText w:val="•"/>
      <w:lvlJc w:val="left"/>
      <w:pPr>
        <w:ind w:left="4485" w:hanging="588"/>
      </w:pPr>
      <w:rPr>
        <w:rFonts w:hint="default" w:ascii="Times New Roman" w:hAnsi="Times New Roman" w:cs="Times New Roman"/>
      </w:rPr>
    </w:lvl>
    <w:lvl w:ilvl="6" w:tentative="0">
      <w:start w:val="0"/>
      <w:numFmt w:val="bullet"/>
      <w:lvlText w:val="•"/>
      <w:lvlJc w:val="left"/>
      <w:pPr>
        <w:ind w:left="5600" w:hanging="588"/>
      </w:pPr>
      <w:rPr>
        <w:rFonts w:hint="default" w:ascii="Times New Roman" w:hAnsi="Times New Roman" w:cs="Times New Roman"/>
      </w:rPr>
    </w:lvl>
    <w:lvl w:ilvl="7" w:tentative="0">
      <w:start w:val="0"/>
      <w:numFmt w:val="bullet"/>
      <w:lvlText w:val="•"/>
      <w:lvlJc w:val="left"/>
      <w:pPr>
        <w:ind w:left="6715" w:hanging="588"/>
      </w:pPr>
      <w:rPr>
        <w:rFonts w:hint="default" w:ascii="Times New Roman" w:hAnsi="Times New Roman" w:cs="Times New Roman"/>
      </w:rPr>
    </w:lvl>
    <w:lvl w:ilvl="8" w:tentative="0">
      <w:start w:val="0"/>
      <w:numFmt w:val="bullet"/>
      <w:lvlText w:val="•"/>
      <w:lvlJc w:val="left"/>
      <w:pPr>
        <w:ind w:left="7830" w:hanging="588"/>
      </w:pPr>
      <w:rPr>
        <w:rFonts w:hint="default" w:ascii="Times New Roman" w:hAnsi="Times New Roman" w:cs="Times New Roman"/>
      </w:rPr>
    </w:lvl>
  </w:abstractNum>
  <w:abstractNum w:abstractNumId="12">
    <w:nsid w:val="5D461258"/>
    <w:multiLevelType w:val="multilevel"/>
    <w:tmpl w:val="5D461258"/>
    <w:lvl w:ilvl="0" w:tentative="0">
      <w:start w:val="3"/>
      <w:numFmt w:val="decimal"/>
      <w:lvlText w:val="%1"/>
      <w:lvlJc w:val="left"/>
      <w:pPr>
        <w:ind w:left="980" w:hanging="430"/>
      </w:pPr>
      <w:rPr>
        <w:rFonts w:hint="default" w:ascii="Times New Roman" w:hAnsi="Times New Roman" w:cs="Times New Roman"/>
      </w:rPr>
    </w:lvl>
    <w:lvl w:ilvl="1" w:tentative="0">
      <w:start w:val="1"/>
      <w:numFmt w:val="decimal"/>
      <w:lvlText w:val="%1.%2"/>
      <w:lvlJc w:val="left"/>
      <w:pPr>
        <w:ind w:left="980" w:hanging="430"/>
      </w:pPr>
      <w:rPr>
        <w:rFonts w:hint="eastAsia" w:ascii="宋体" w:hAnsi="宋体" w:eastAsia="宋体"/>
        <w:spacing w:val="0"/>
        <w:sz w:val="24"/>
        <w:szCs w:val="24"/>
      </w:rPr>
    </w:lvl>
    <w:lvl w:ilvl="2" w:tentative="0">
      <w:start w:val="1"/>
      <w:numFmt w:val="decimal"/>
      <w:lvlText w:val="%1.%2.%3"/>
      <w:lvlJc w:val="left"/>
      <w:pPr>
        <w:ind w:left="100" w:hanging="588"/>
      </w:pPr>
      <w:rPr>
        <w:rFonts w:hint="eastAsia" w:ascii="宋体" w:hAnsi="宋体" w:eastAsia="宋体"/>
        <w:spacing w:val="0"/>
        <w:sz w:val="24"/>
        <w:szCs w:val="24"/>
      </w:rPr>
    </w:lvl>
    <w:lvl w:ilvl="3" w:tentative="0">
      <w:start w:val="0"/>
      <w:numFmt w:val="bullet"/>
      <w:lvlText w:val="•"/>
      <w:lvlJc w:val="left"/>
      <w:pPr>
        <w:ind w:left="2307" w:hanging="588"/>
      </w:pPr>
      <w:rPr>
        <w:rFonts w:hint="default" w:ascii="Times New Roman" w:hAnsi="Times New Roman" w:cs="Times New Roman"/>
      </w:rPr>
    </w:lvl>
    <w:lvl w:ilvl="4" w:tentative="0">
      <w:start w:val="0"/>
      <w:numFmt w:val="bullet"/>
      <w:lvlText w:val="•"/>
      <w:lvlJc w:val="left"/>
      <w:pPr>
        <w:ind w:left="3415" w:hanging="588"/>
      </w:pPr>
      <w:rPr>
        <w:rFonts w:hint="default" w:ascii="Times New Roman" w:hAnsi="Times New Roman" w:cs="Times New Roman"/>
      </w:rPr>
    </w:lvl>
    <w:lvl w:ilvl="5" w:tentative="0">
      <w:start w:val="0"/>
      <w:numFmt w:val="bullet"/>
      <w:lvlText w:val="•"/>
      <w:lvlJc w:val="left"/>
      <w:pPr>
        <w:ind w:left="4522" w:hanging="588"/>
      </w:pPr>
      <w:rPr>
        <w:rFonts w:hint="default" w:ascii="Times New Roman" w:hAnsi="Times New Roman" w:cs="Times New Roman"/>
      </w:rPr>
    </w:lvl>
    <w:lvl w:ilvl="6" w:tentative="0">
      <w:start w:val="0"/>
      <w:numFmt w:val="bullet"/>
      <w:lvlText w:val="•"/>
      <w:lvlJc w:val="left"/>
      <w:pPr>
        <w:ind w:left="5630" w:hanging="588"/>
      </w:pPr>
      <w:rPr>
        <w:rFonts w:hint="default" w:ascii="Times New Roman" w:hAnsi="Times New Roman" w:cs="Times New Roman"/>
      </w:rPr>
    </w:lvl>
    <w:lvl w:ilvl="7" w:tentative="0">
      <w:start w:val="0"/>
      <w:numFmt w:val="bullet"/>
      <w:lvlText w:val="•"/>
      <w:lvlJc w:val="left"/>
      <w:pPr>
        <w:ind w:left="6737" w:hanging="588"/>
      </w:pPr>
      <w:rPr>
        <w:rFonts w:hint="default" w:ascii="Times New Roman" w:hAnsi="Times New Roman" w:cs="Times New Roman"/>
      </w:rPr>
    </w:lvl>
    <w:lvl w:ilvl="8" w:tentative="0">
      <w:start w:val="0"/>
      <w:numFmt w:val="bullet"/>
      <w:lvlText w:val="•"/>
      <w:lvlJc w:val="left"/>
      <w:pPr>
        <w:ind w:left="7845" w:hanging="588"/>
      </w:pPr>
      <w:rPr>
        <w:rFonts w:hint="default" w:ascii="Times New Roman" w:hAnsi="Times New Roman" w:cs="Times New Roman"/>
      </w:rPr>
    </w:lvl>
  </w:abstractNum>
  <w:abstractNum w:abstractNumId="13">
    <w:nsid w:val="7D9C0FF4"/>
    <w:multiLevelType w:val="multilevel"/>
    <w:tmpl w:val="7D9C0FF4"/>
    <w:lvl w:ilvl="0" w:tentative="0">
      <w:start w:val="5"/>
      <w:numFmt w:val="decimal"/>
      <w:lvlText w:val="%1"/>
      <w:lvlJc w:val="left"/>
      <w:pPr>
        <w:ind w:left="980" w:hanging="430"/>
      </w:pPr>
      <w:rPr>
        <w:rFonts w:hint="default" w:ascii="Times New Roman" w:hAnsi="Times New Roman" w:cs="Times New Roman"/>
      </w:rPr>
    </w:lvl>
    <w:lvl w:ilvl="1" w:tentative="0">
      <w:start w:val="1"/>
      <w:numFmt w:val="decimal"/>
      <w:lvlText w:val="%1.%2"/>
      <w:lvlJc w:val="left"/>
      <w:pPr>
        <w:ind w:left="980" w:hanging="430"/>
      </w:pPr>
      <w:rPr>
        <w:rFonts w:hint="eastAsia" w:ascii="宋体" w:hAnsi="宋体" w:eastAsia="宋体"/>
        <w:spacing w:val="0"/>
        <w:sz w:val="24"/>
        <w:szCs w:val="24"/>
      </w:rPr>
    </w:lvl>
    <w:lvl w:ilvl="2" w:tentative="0">
      <w:start w:val="1"/>
      <w:numFmt w:val="decimal"/>
      <w:lvlText w:val="%1.%2.%3"/>
      <w:lvlJc w:val="left"/>
      <w:pPr>
        <w:ind w:left="1139" w:hanging="588"/>
      </w:pPr>
      <w:rPr>
        <w:rFonts w:hint="eastAsia" w:ascii="宋体" w:hAnsi="宋体" w:eastAsia="宋体"/>
        <w:spacing w:val="0"/>
        <w:sz w:val="24"/>
        <w:szCs w:val="24"/>
      </w:rPr>
    </w:lvl>
    <w:lvl w:ilvl="3" w:tentative="0">
      <w:start w:val="0"/>
      <w:numFmt w:val="bullet"/>
      <w:lvlText w:val="•"/>
      <w:lvlJc w:val="left"/>
      <w:pPr>
        <w:ind w:left="2255" w:hanging="588"/>
      </w:pPr>
      <w:rPr>
        <w:rFonts w:hint="default" w:ascii="Times New Roman" w:hAnsi="Times New Roman" w:cs="Times New Roman"/>
      </w:rPr>
    </w:lvl>
    <w:lvl w:ilvl="4" w:tentative="0">
      <w:start w:val="0"/>
      <w:numFmt w:val="bullet"/>
      <w:lvlText w:val="•"/>
      <w:lvlJc w:val="left"/>
      <w:pPr>
        <w:ind w:left="3370" w:hanging="588"/>
      </w:pPr>
      <w:rPr>
        <w:rFonts w:hint="default" w:ascii="Times New Roman" w:hAnsi="Times New Roman" w:cs="Times New Roman"/>
      </w:rPr>
    </w:lvl>
    <w:lvl w:ilvl="5" w:tentative="0">
      <w:start w:val="0"/>
      <w:numFmt w:val="bullet"/>
      <w:lvlText w:val="•"/>
      <w:lvlJc w:val="left"/>
      <w:pPr>
        <w:ind w:left="4485" w:hanging="588"/>
      </w:pPr>
      <w:rPr>
        <w:rFonts w:hint="default" w:ascii="Times New Roman" w:hAnsi="Times New Roman" w:cs="Times New Roman"/>
      </w:rPr>
    </w:lvl>
    <w:lvl w:ilvl="6" w:tentative="0">
      <w:start w:val="0"/>
      <w:numFmt w:val="bullet"/>
      <w:lvlText w:val="•"/>
      <w:lvlJc w:val="left"/>
      <w:pPr>
        <w:ind w:left="5600" w:hanging="588"/>
      </w:pPr>
      <w:rPr>
        <w:rFonts w:hint="default" w:ascii="Times New Roman" w:hAnsi="Times New Roman" w:cs="Times New Roman"/>
      </w:rPr>
    </w:lvl>
    <w:lvl w:ilvl="7" w:tentative="0">
      <w:start w:val="0"/>
      <w:numFmt w:val="bullet"/>
      <w:lvlText w:val="•"/>
      <w:lvlJc w:val="left"/>
      <w:pPr>
        <w:ind w:left="6715" w:hanging="588"/>
      </w:pPr>
      <w:rPr>
        <w:rFonts w:hint="default" w:ascii="Times New Roman" w:hAnsi="Times New Roman" w:cs="Times New Roman"/>
      </w:rPr>
    </w:lvl>
    <w:lvl w:ilvl="8" w:tentative="0">
      <w:start w:val="0"/>
      <w:numFmt w:val="bullet"/>
      <w:lvlText w:val="•"/>
      <w:lvlJc w:val="left"/>
      <w:pPr>
        <w:ind w:left="7830" w:hanging="588"/>
      </w:pPr>
      <w:rPr>
        <w:rFonts w:hint="default" w:ascii="Times New Roman" w:hAnsi="Times New Roman" w:cs="Times New Roman"/>
      </w:rPr>
    </w:lvl>
  </w:abstractNum>
  <w:num w:numId="1">
    <w:abstractNumId w:val="2"/>
  </w:num>
  <w:num w:numId="2">
    <w:abstractNumId w:val="4"/>
  </w:num>
  <w:num w:numId="3">
    <w:abstractNumId w:val="10"/>
  </w:num>
  <w:num w:numId="4">
    <w:abstractNumId w:val="11"/>
    <w:lvlOverride w:ilvl="0">
      <w:startOverride w:val="2"/>
    </w:lvlOverride>
    <w:lvlOverride w:ilvl="1">
      <w:startOverride w:val="1"/>
    </w:lvlOverride>
    <w:lvlOverride w:ilvl="2">
      <w:startOverride w:val="1"/>
    </w:lvlOverride>
  </w:num>
  <w:num w:numId="5">
    <w:abstractNumId w:val="12"/>
    <w:lvlOverride w:ilvl="0">
      <w:startOverride w:val="3"/>
    </w:lvlOverride>
    <w:lvlOverride w:ilvl="1">
      <w:startOverride w:val="1"/>
    </w:lvlOverride>
    <w:lvlOverride w:ilvl="2">
      <w:startOverride w:val="1"/>
    </w:lvlOverride>
  </w:num>
  <w:num w:numId="6">
    <w:abstractNumId w:val="5"/>
    <w:lvlOverride w:ilvl="0">
      <w:startOverride w:val="4"/>
    </w:lvlOverride>
    <w:lvlOverride w:ilvl="1">
      <w:startOverride w:val="1"/>
    </w:lvlOverride>
    <w:lvlOverride w:ilvl="2">
      <w:startOverride w:val="1"/>
    </w:lvlOverride>
  </w:num>
  <w:num w:numId="7">
    <w:abstractNumId w:val="7"/>
    <w:lvlOverride w:ilvl="0">
      <w:startOverride w:val="4"/>
    </w:lvlOverride>
    <w:lvlOverride w:ilvl="1">
      <w:startOverride w:val="2"/>
    </w:lvlOverride>
    <w:lvlOverride w:ilvl="2">
      <w:startOverride w:val="1"/>
    </w:lvlOverride>
  </w:num>
  <w:num w:numId="8">
    <w:abstractNumId w:val="13"/>
    <w:lvlOverride w:ilvl="0">
      <w:startOverride w:val="5"/>
    </w:lvlOverride>
    <w:lvlOverride w:ilvl="1">
      <w:startOverride w:val="1"/>
    </w:lvlOverride>
    <w:lvlOverride w:ilvl="2">
      <w:startOverride w:val="1"/>
    </w:lvlOverride>
  </w:num>
  <w:num w:numId="9">
    <w:abstractNumId w:val="6"/>
    <w:lvlOverride w:ilvl="0">
      <w:startOverride w:val="6"/>
    </w:lvlOverride>
    <w:lvlOverride w:ilvl="1">
      <w:startOverride w:val="1"/>
    </w:lvlOverride>
    <w:lvlOverride w:ilvl="2">
      <w:startOverride w:val="1"/>
    </w:lvlOverride>
  </w:num>
  <w:num w:numId="10">
    <w:abstractNumId w:val="8"/>
    <w:lvlOverride w:ilvl="0">
      <w:startOverride w:val="7"/>
    </w:lvlOverride>
    <w:lvlOverride w:ilvl="1">
      <w:startOverride w:val="1"/>
    </w:lvlOverride>
    <w:lvlOverride w:ilvl="2">
      <w:startOverride w:val="1"/>
    </w:lvlOverride>
  </w:num>
  <w:num w:numId="11">
    <w:abstractNumId w:val="3"/>
    <w:lvlOverride w:ilvl="0">
      <w:startOverride w:val="8"/>
    </w:lvlOverride>
    <w:lvlOverride w:ilvl="1">
      <w:startOverride w:val="1"/>
    </w:lvlOverride>
    <w:lvlOverride w:ilvl="2">
      <w:startOverride w:val="1"/>
    </w:lvlOverride>
  </w:num>
  <w:num w:numId="12">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0"/>
  <w:bordersDoNotSurroundFooter w:val="0"/>
  <w:documentProtection w:enforcement="0"/>
  <w:defaultTabStop w:val="420"/>
  <w:drawingGridHorizontalSpacing w:val="110"/>
  <w:drawingGridVerticalSpacing w:val="190"/>
  <w:displayHorizontalDrawingGridEvery w:val="1"/>
  <w:displayVerticalDrawingGridEvery w:val="1"/>
  <w:noPunctuationKerning w:val="1"/>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k5MzU5NTY5ZmEzYTFjZDRlNGYzODY1YjUxNTY3NDEifQ=="/>
  </w:docVars>
  <w:rsids>
    <w:rsidRoot w:val="00D35B54"/>
    <w:rsid w:val="00002AA2"/>
    <w:rsid w:val="00005A04"/>
    <w:rsid w:val="00040DB4"/>
    <w:rsid w:val="00041B7B"/>
    <w:rsid w:val="00052A18"/>
    <w:rsid w:val="000A74C2"/>
    <w:rsid w:val="000B61AF"/>
    <w:rsid w:val="000B6B6D"/>
    <w:rsid w:val="001C19EE"/>
    <w:rsid w:val="00250AFC"/>
    <w:rsid w:val="004E00E9"/>
    <w:rsid w:val="004F1B8C"/>
    <w:rsid w:val="0059017C"/>
    <w:rsid w:val="00594EE2"/>
    <w:rsid w:val="005A1747"/>
    <w:rsid w:val="00624D2A"/>
    <w:rsid w:val="006B4A8F"/>
    <w:rsid w:val="006F2175"/>
    <w:rsid w:val="00755F0F"/>
    <w:rsid w:val="00767C08"/>
    <w:rsid w:val="008E07FD"/>
    <w:rsid w:val="008F58AA"/>
    <w:rsid w:val="009D743E"/>
    <w:rsid w:val="00B02D1E"/>
    <w:rsid w:val="00B74F20"/>
    <w:rsid w:val="00C535D5"/>
    <w:rsid w:val="00CE5934"/>
    <w:rsid w:val="00D35B54"/>
    <w:rsid w:val="00D74954"/>
    <w:rsid w:val="00F275F1"/>
    <w:rsid w:val="00F42E38"/>
    <w:rsid w:val="00F9531F"/>
    <w:rsid w:val="010A42B5"/>
    <w:rsid w:val="01227B54"/>
    <w:rsid w:val="013F544E"/>
    <w:rsid w:val="016B6557"/>
    <w:rsid w:val="01872959"/>
    <w:rsid w:val="01A25642"/>
    <w:rsid w:val="01A66D37"/>
    <w:rsid w:val="01BF0E1C"/>
    <w:rsid w:val="01BF2021"/>
    <w:rsid w:val="01C67B4D"/>
    <w:rsid w:val="020A4797"/>
    <w:rsid w:val="023130AD"/>
    <w:rsid w:val="025062D9"/>
    <w:rsid w:val="02704B33"/>
    <w:rsid w:val="02D459D9"/>
    <w:rsid w:val="03046B80"/>
    <w:rsid w:val="034A02DE"/>
    <w:rsid w:val="037244D2"/>
    <w:rsid w:val="038E2D23"/>
    <w:rsid w:val="039210A1"/>
    <w:rsid w:val="03EA2BC0"/>
    <w:rsid w:val="040F77F7"/>
    <w:rsid w:val="043B2184"/>
    <w:rsid w:val="045427CE"/>
    <w:rsid w:val="046C570B"/>
    <w:rsid w:val="04BB4E6B"/>
    <w:rsid w:val="04C21502"/>
    <w:rsid w:val="05064F57"/>
    <w:rsid w:val="051D26BA"/>
    <w:rsid w:val="05435617"/>
    <w:rsid w:val="055568A6"/>
    <w:rsid w:val="055C4771"/>
    <w:rsid w:val="057874FF"/>
    <w:rsid w:val="05AB6306"/>
    <w:rsid w:val="05AF204C"/>
    <w:rsid w:val="05B96A96"/>
    <w:rsid w:val="05CE7E9E"/>
    <w:rsid w:val="05D538F1"/>
    <w:rsid w:val="05EC5619"/>
    <w:rsid w:val="060156AC"/>
    <w:rsid w:val="063022DE"/>
    <w:rsid w:val="063E6298"/>
    <w:rsid w:val="06751BB2"/>
    <w:rsid w:val="067E5C11"/>
    <w:rsid w:val="06AD264A"/>
    <w:rsid w:val="06E55C46"/>
    <w:rsid w:val="06E77683"/>
    <w:rsid w:val="070A41CE"/>
    <w:rsid w:val="071614C9"/>
    <w:rsid w:val="071C5217"/>
    <w:rsid w:val="073D07A6"/>
    <w:rsid w:val="074C0ABB"/>
    <w:rsid w:val="07565438"/>
    <w:rsid w:val="076F7EA2"/>
    <w:rsid w:val="077544EB"/>
    <w:rsid w:val="077E5307"/>
    <w:rsid w:val="077E68E1"/>
    <w:rsid w:val="079A4BD9"/>
    <w:rsid w:val="07B87393"/>
    <w:rsid w:val="07C2476B"/>
    <w:rsid w:val="07CF1D38"/>
    <w:rsid w:val="07F00280"/>
    <w:rsid w:val="07FF6397"/>
    <w:rsid w:val="08123560"/>
    <w:rsid w:val="082009A4"/>
    <w:rsid w:val="08587882"/>
    <w:rsid w:val="08687E3E"/>
    <w:rsid w:val="08906FD0"/>
    <w:rsid w:val="08947C9C"/>
    <w:rsid w:val="092D301E"/>
    <w:rsid w:val="09541A29"/>
    <w:rsid w:val="0972747B"/>
    <w:rsid w:val="097A37B5"/>
    <w:rsid w:val="09D9750A"/>
    <w:rsid w:val="09E14706"/>
    <w:rsid w:val="09F40A08"/>
    <w:rsid w:val="0A6F3E86"/>
    <w:rsid w:val="0A7C687B"/>
    <w:rsid w:val="0A8B03A8"/>
    <w:rsid w:val="0A915F1C"/>
    <w:rsid w:val="0AB824D7"/>
    <w:rsid w:val="0AC16EB6"/>
    <w:rsid w:val="0ACD6BD6"/>
    <w:rsid w:val="0AEB6FC2"/>
    <w:rsid w:val="0AF6328F"/>
    <w:rsid w:val="0B096479"/>
    <w:rsid w:val="0B135E4A"/>
    <w:rsid w:val="0B1E61D6"/>
    <w:rsid w:val="0B272E12"/>
    <w:rsid w:val="0B534F80"/>
    <w:rsid w:val="0B732D14"/>
    <w:rsid w:val="0B75687E"/>
    <w:rsid w:val="0B98444B"/>
    <w:rsid w:val="0BA6356D"/>
    <w:rsid w:val="0BD716ED"/>
    <w:rsid w:val="0BDB18F3"/>
    <w:rsid w:val="0BFF57F9"/>
    <w:rsid w:val="0C1F5F6F"/>
    <w:rsid w:val="0C3505B3"/>
    <w:rsid w:val="0C50774B"/>
    <w:rsid w:val="0C58341A"/>
    <w:rsid w:val="0C74239E"/>
    <w:rsid w:val="0C7A0002"/>
    <w:rsid w:val="0CA544C4"/>
    <w:rsid w:val="0CE14D4C"/>
    <w:rsid w:val="0CEF3D26"/>
    <w:rsid w:val="0D23588D"/>
    <w:rsid w:val="0DF5533B"/>
    <w:rsid w:val="0E1C0BA3"/>
    <w:rsid w:val="0E2470C2"/>
    <w:rsid w:val="0E3452AA"/>
    <w:rsid w:val="0E3922AE"/>
    <w:rsid w:val="0E3D5272"/>
    <w:rsid w:val="0E436FA1"/>
    <w:rsid w:val="0E452939"/>
    <w:rsid w:val="0E4C50F9"/>
    <w:rsid w:val="0E570580"/>
    <w:rsid w:val="0E78458E"/>
    <w:rsid w:val="0E8D2F66"/>
    <w:rsid w:val="0EB56E32"/>
    <w:rsid w:val="0EBE4E7D"/>
    <w:rsid w:val="0EC438E3"/>
    <w:rsid w:val="0EE330A5"/>
    <w:rsid w:val="0F29227F"/>
    <w:rsid w:val="0F7D21F8"/>
    <w:rsid w:val="0FAD1DC8"/>
    <w:rsid w:val="0FB366F8"/>
    <w:rsid w:val="0FC33757"/>
    <w:rsid w:val="0FDB2457"/>
    <w:rsid w:val="0FF8194D"/>
    <w:rsid w:val="10067BBD"/>
    <w:rsid w:val="10245655"/>
    <w:rsid w:val="10324275"/>
    <w:rsid w:val="104F4CEB"/>
    <w:rsid w:val="10576CEB"/>
    <w:rsid w:val="107D74BB"/>
    <w:rsid w:val="10813589"/>
    <w:rsid w:val="10863634"/>
    <w:rsid w:val="10962FFF"/>
    <w:rsid w:val="10BA7F77"/>
    <w:rsid w:val="10BF75A5"/>
    <w:rsid w:val="10D20773"/>
    <w:rsid w:val="11222671"/>
    <w:rsid w:val="117C1932"/>
    <w:rsid w:val="118900E3"/>
    <w:rsid w:val="119C22AF"/>
    <w:rsid w:val="11D31734"/>
    <w:rsid w:val="11DB6038"/>
    <w:rsid w:val="11F01424"/>
    <w:rsid w:val="11F9203C"/>
    <w:rsid w:val="12160586"/>
    <w:rsid w:val="12176E3D"/>
    <w:rsid w:val="12437AFC"/>
    <w:rsid w:val="12655DBB"/>
    <w:rsid w:val="12755737"/>
    <w:rsid w:val="12771478"/>
    <w:rsid w:val="12C37720"/>
    <w:rsid w:val="12EB12F1"/>
    <w:rsid w:val="133C60D1"/>
    <w:rsid w:val="133E7698"/>
    <w:rsid w:val="135258B3"/>
    <w:rsid w:val="1357199D"/>
    <w:rsid w:val="136375ED"/>
    <w:rsid w:val="13AB3784"/>
    <w:rsid w:val="13CB7EE7"/>
    <w:rsid w:val="13CC6083"/>
    <w:rsid w:val="13CD5F9C"/>
    <w:rsid w:val="13DA1AA1"/>
    <w:rsid w:val="142806D0"/>
    <w:rsid w:val="142F1B43"/>
    <w:rsid w:val="14342376"/>
    <w:rsid w:val="1435109B"/>
    <w:rsid w:val="148721EF"/>
    <w:rsid w:val="14C619D5"/>
    <w:rsid w:val="14FC76AB"/>
    <w:rsid w:val="15022D61"/>
    <w:rsid w:val="150C01A9"/>
    <w:rsid w:val="15113A31"/>
    <w:rsid w:val="15234305"/>
    <w:rsid w:val="15380555"/>
    <w:rsid w:val="155418A7"/>
    <w:rsid w:val="15605C64"/>
    <w:rsid w:val="157870FB"/>
    <w:rsid w:val="157A2846"/>
    <w:rsid w:val="15806F74"/>
    <w:rsid w:val="15991850"/>
    <w:rsid w:val="159F7E9F"/>
    <w:rsid w:val="15AE28E8"/>
    <w:rsid w:val="16057420"/>
    <w:rsid w:val="16141828"/>
    <w:rsid w:val="161D52B7"/>
    <w:rsid w:val="162D4E0C"/>
    <w:rsid w:val="16AC0E78"/>
    <w:rsid w:val="16B83EDC"/>
    <w:rsid w:val="170305D0"/>
    <w:rsid w:val="170C653B"/>
    <w:rsid w:val="174E0ECE"/>
    <w:rsid w:val="175D3983"/>
    <w:rsid w:val="176A24A9"/>
    <w:rsid w:val="17B506AF"/>
    <w:rsid w:val="17C17F3B"/>
    <w:rsid w:val="17D8425D"/>
    <w:rsid w:val="17F347BA"/>
    <w:rsid w:val="17F47324"/>
    <w:rsid w:val="18372D97"/>
    <w:rsid w:val="185275D2"/>
    <w:rsid w:val="18756664"/>
    <w:rsid w:val="18A66A98"/>
    <w:rsid w:val="18AB301D"/>
    <w:rsid w:val="18B26BB3"/>
    <w:rsid w:val="18B277E4"/>
    <w:rsid w:val="18CE5C46"/>
    <w:rsid w:val="18EE3721"/>
    <w:rsid w:val="18EE7A6F"/>
    <w:rsid w:val="19175982"/>
    <w:rsid w:val="191A2418"/>
    <w:rsid w:val="19246B0B"/>
    <w:rsid w:val="192734C1"/>
    <w:rsid w:val="19582ADE"/>
    <w:rsid w:val="19733532"/>
    <w:rsid w:val="19B97522"/>
    <w:rsid w:val="19C16195"/>
    <w:rsid w:val="1A122861"/>
    <w:rsid w:val="1A231513"/>
    <w:rsid w:val="1A2D30C8"/>
    <w:rsid w:val="1A795A37"/>
    <w:rsid w:val="1A8B10F3"/>
    <w:rsid w:val="1A9B04F7"/>
    <w:rsid w:val="1AA20AAE"/>
    <w:rsid w:val="1ABA5B12"/>
    <w:rsid w:val="1AE71099"/>
    <w:rsid w:val="1AF822F3"/>
    <w:rsid w:val="1AFA335F"/>
    <w:rsid w:val="1B103286"/>
    <w:rsid w:val="1B6D5F8C"/>
    <w:rsid w:val="1B906E9E"/>
    <w:rsid w:val="1B971EB0"/>
    <w:rsid w:val="1BA65937"/>
    <w:rsid w:val="1BC4724E"/>
    <w:rsid w:val="1BCB7DD4"/>
    <w:rsid w:val="1BED5929"/>
    <w:rsid w:val="1C075CC6"/>
    <w:rsid w:val="1C133968"/>
    <w:rsid w:val="1C752BA3"/>
    <w:rsid w:val="1C7601F4"/>
    <w:rsid w:val="1C786D51"/>
    <w:rsid w:val="1C984FCA"/>
    <w:rsid w:val="1C9F09D1"/>
    <w:rsid w:val="1CBA1463"/>
    <w:rsid w:val="1CC8754C"/>
    <w:rsid w:val="1CF5153E"/>
    <w:rsid w:val="1D116F35"/>
    <w:rsid w:val="1D456B7E"/>
    <w:rsid w:val="1D8B4784"/>
    <w:rsid w:val="1DBE5350"/>
    <w:rsid w:val="1E0B6FFA"/>
    <w:rsid w:val="1E0F3216"/>
    <w:rsid w:val="1E101111"/>
    <w:rsid w:val="1E3C4612"/>
    <w:rsid w:val="1E554EFC"/>
    <w:rsid w:val="1E934A20"/>
    <w:rsid w:val="1E952A22"/>
    <w:rsid w:val="1E9F063A"/>
    <w:rsid w:val="1EC04419"/>
    <w:rsid w:val="1EC23359"/>
    <w:rsid w:val="1EC63219"/>
    <w:rsid w:val="1EE85B03"/>
    <w:rsid w:val="1F044384"/>
    <w:rsid w:val="1F4339EA"/>
    <w:rsid w:val="1F6260DE"/>
    <w:rsid w:val="1F8021B4"/>
    <w:rsid w:val="1FBA06E7"/>
    <w:rsid w:val="1FCF0C2F"/>
    <w:rsid w:val="1FEC3DAA"/>
    <w:rsid w:val="1FFC5A9B"/>
    <w:rsid w:val="200B12A3"/>
    <w:rsid w:val="200F2204"/>
    <w:rsid w:val="20361DB5"/>
    <w:rsid w:val="20475FBE"/>
    <w:rsid w:val="204A53AE"/>
    <w:rsid w:val="2056090C"/>
    <w:rsid w:val="206E7EE0"/>
    <w:rsid w:val="207A4612"/>
    <w:rsid w:val="20A879AE"/>
    <w:rsid w:val="20B84978"/>
    <w:rsid w:val="20D659A4"/>
    <w:rsid w:val="20EB7ADA"/>
    <w:rsid w:val="210D63B0"/>
    <w:rsid w:val="211F24BE"/>
    <w:rsid w:val="21213557"/>
    <w:rsid w:val="218E20CB"/>
    <w:rsid w:val="21DC49F3"/>
    <w:rsid w:val="2215724B"/>
    <w:rsid w:val="221577C7"/>
    <w:rsid w:val="221B460E"/>
    <w:rsid w:val="22351C5E"/>
    <w:rsid w:val="223727EF"/>
    <w:rsid w:val="22491819"/>
    <w:rsid w:val="22500E9A"/>
    <w:rsid w:val="22636E0A"/>
    <w:rsid w:val="226D1167"/>
    <w:rsid w:val="22B55A91"/>
    <w:rsid w:val="22B92E97"/>
    <w:rsid w:val="22DD7BB2"/>
    <w:rsid w:val="22F77B4C"/>
    <w:rsid w:val="23031D92"/>
    <w:rsid w:val="2315267E"/>
    <w:rsid w:val="2338360B"/>
    <w:rsid w:val="23A30786"/>
    <w:rsid w:val="23AB2BB1"/>
    <w:rsid w:val="23CA3604"/>
    <w:rsid w:val="23E2263D"/>
    <w:rsid w:val="240E5D44"/>
    <w:rsid w:val="242719CB"/>
    <w:rsid w:val="242D0CBB"/>
    <w:rsid w:val="243A40C4"/>
    <w:rsid w:val="24561E43"/>
    <w:rsid w:val="2461052A"/>
    <w:rsid w:val="24760F09"/>
    <w:rsid w:val="24887BB7"/>
    <w:rsid w:val="24964F8C"/>
    <w:rsid w:val="24BA160E"/>
    <w:rsid w:val="24BC2A63"/>
    <w:rsid w:val="24DB1AF4"/>
    <w:rsid w:val="24FF7E94"/>
    <w:rsid w:val="25392918"/>
    <w:rsid w:val="2557233C"/>
    <w:rsid w:val="25621B98"/>
    <w:rsid w:val="257F2DB7"/>
    <w:rsid w:val="25835909"/>
    <w:rsid w:val="258506FC"/>
    <w:rsid w:val="25873F4D"/>
    <w:rsid w:val="25F05C48"/>
    <w:rsid w:val="2606139E"/>
    <w:rsid w:val="26336BB5"/>
    <w:rsid w:val="26387FFF"/>
    <w:rsid w:val="263F5CB5"/>
    <w:rsid w:val="264F09CA"/>
    <w:rsid w:val="267956E1"/>
    <w:rsid w:val="2681504A"/>
    <w:rsid w:val="26D407A0"/>
    <w:rsid w:val="27323809"/>
    <w:rsid w:val="274714DB"/>
    <w:rsid w:val="277F4448"/>
    <w:rsid w:val="278C0A2A"/>
    <w:rsid w:val="2793717A"/>
    <w:rsid w:val="27F330A8"/>
    <w:rsid w:val="28493AA3"/>
    <w:rsid w:val="2880368A"/>
    <w:rsid w:val="288E5349"/>
    <w:rsid w:val="28951FF1"/>
    <w:rsid w:val="289A345B"/>
    <w:rsid w:val="289F3019"/>
    <w:rsid w:val="289F3C59"/>
    <w:rsid w:val="289F5573"/>
    <w:rsid w:val="28B56A4E"/>
    <w:rsid w:val="28BE1A6D"/>
    <w:rsid w:val="29280985"/>
    <w:rsid w:val="29634991"/>
    <w:rsid w:val="29700933"/>
    <w:rsid w:val="29863F89"/>
    <w:rsid w:val="29B83029"/>
    <w:rsid w:val="29DF4D52"/>
    <w:rsid w:val="2A207F99"/>
    <w:rsid w:val="2A216F57"/>
    <w:rsid w:val="2A2D03F8"/>
    <w:rsid w:val="2A2D7011"/>
    <w:rsid w:val="2A304BB2"/>
    <w:rsid w:val="2A56431E"/>
    <w:rsid w:val="2B331082"/>
    <w:rsid w:val="2B3B4A9F"/>
    <w:rsid w:val="2B5E230B"/>
    <w:rsid w:val="2B5F1DA7"/>
    <w:rsid w:val="2B747A43"/>
    <w:rsid w:val="2B8269EB"/>
    <w:rsid w:val="2BEA01A0"/>
    <w:rsid w:val="2C6E3441"/>
    <w:rsid w:val="2C8C1A62"/>
    <w:rsid w:val="2C9E37E0"/>
    <w:rsid w:val="2C9E7FD1"/>
    <w:rsid w:val="2CAE4FD9"/>
    <w:rsid w:val="2CAE58D8"/>
    <w:rsid w:val="2CC32343"/>
    <w:rsid w:val="2CCB168E"/>
    <w:rsid w:val="2CDA7D57"/>
    <w:rsid w:val="2CF62FA1"/>
    <w:rsid w:val="2D280AFB"/>
    <w:rsid w:val="2D373013"/>
    <w:rsid w:val="2D935E5B"/>
    <w:rsid w:val="2DE31A6D"/>
    <w:rsid w:val="2DEB05E9"/>
    <w:rsid w:val="2DF16036"/>
    <w:rsid w:val="2E056ADF"/>
    <w:rsid w:val="2E4D2D30"/>
    <w:rsid w:val="2E527F1F"/>
    <w:rsid w:val="2E6F2EC3"/>
    <w:rsid w:val="2E7E6DC6"/>
    <w:rsid w:val="2E8858E6"/>
    <w:rsid w:val="2EEF16C2"/>
    <w:rsid w:val="2F0B4FAE"/>
    <w:rsid w:val="2F291E52"/>
    <w:rsid w:val="2F2E4EDB"/>
    <w:rsid w:val="2F577008"/>
    <w:rsid w:val="2F652F71"/>
    <w:rsid w:val="2F6E05A9"/>
    <w:rsid w:val="2F8417C0"/>
    <w:rsid w:val="2F9B5380"/>
    <w:rsid w:val="2FC1094D"/>
    <w:rsid w:val="30242F58"/>
    <w:rsid w:val="306468E6"/>
    <w:rsid w:val="30734661"/>
    <w:rsid w:val="307D3E99"/>
    <w:rsid w:val="30A77019"/>
    <w:rsid w:val="310C6610"/>
    <w:rsid w:val="310D3E74"/>
    <w:rsid w:val="311A1B33"/>
    <w:rsid w:val="314223E9"/>
    <w:rsid w:val="314C226A"/>
    <w:rsid w:val="317C4D0A"/>
    <w:rsid w:val="319F0BFB"/>
    <w:rsid w:val="31A45241"/>
    <w:rsid w:val="31A86081"/>
    <w:rsid w:val="31C17DC2"/>
    <w:rsid w:val="32381F91"/>
    <w:rsid w:val="324A5D95"/>
    <w:rsid w:val="324C10FA"/>
    <w:rsid w:val="327C40D0"/>
    <w:rsid w:val="329D1306"/>
    <w:rsid w:val="32C01B68"/>
    <w:rsid w:val="32E370C2"/>
    <w:rsid w:val="332504A4"/>
    <w:rsid w:val="33340591"/>
    <w:rsid w:val="335069D0"/>
    <w:rsid w:val="338C5F5C"/>
    <w:rsid w:val="33C35008"/>
    <w:rsid w:val="33D86D5F"/>
    <w:rsid w:val="33DC7285"/>
    <w:rsid w:val="34055D65"/>
    <w:rsid w:val="34093566"/>
    <w:rsid w:val="341A3A85"/>
    <w:rsid w:val="34207F46"/>
    <w:rsid w:val="34397F6A"/>
    <w:rsid w:val="343D5261"/>
    <w:rsid w:val="346E47B9"/>
    <w:rsid w:val="348F127A"/>
    <w:rsid w:val="34A9644F"/>
    <w:rsid w:val="34B336FA"/>
    <w:rsid w:val="34C71321"/>
    <w:rsid w:val="34C91CFF"/>
    <w:rsid w:val="35124FF4"/>
    <w:rsid w:val="35180BE8"/>
    <w:rsid w:val="354A4F72"/>
    <w:rsid w:val="35510D98"/>
    <w:rsid w:val="35553F7E"/>
    <w:rsid w:val="35631B2E"/>
    <w:rsid w:val="35902179"/>
    <w:rsid w:val="35A61FCC"/>
    <w:rsid w:val="35BA2733"/>
    <w:rsid w:val="35DC0FFB"/>
    <w:rsid w:val="35E73540"/>
    <w:rsid w:val="360C1CB9"/>
    <w:rsid w:val="363519CF"/>
    <w:rsid w:val="368E50F3"/>
    <w:rsid w:val="369E2ECE"/>
    <w:rsid w:val="36C157F2"/>
    <w:rsid w:val="36CA446C"/>
    <w:rsid w:val="36F5099F"/>
    <w:rsid w:val="37232B89"/>
    <w:rsid w:val="372A690E"/>
    <w:rsid w:val="372B351A"/>
    <w:rsid w:val="37654645"/>
    <w:rsid w:val="37762A93"/>
    <w:rsid w:val="379E5BB9"/>
    <w:rsid w:val="37ED1660"/>
    <w:rsid w:val="37F97244"/>
    <w:rsid w:val="385D742A"/>
    <w:rsid w:val="38B1363E"/>
    <w:rsid w:val="38BC6444"/>
    <w:rsid w:val="392361CC"/>
    <w:rsid w:val="39311C35"/>
    <w:rsid w:val="39340FAB"/>
    <w:rsid w:val="393B327A"/>
    <w:rsid w:val="39776B30"/>
    <w:rsid w:val="39821F5D"/>
    <w:rsid w:val="3994045E"/>
    <w:rsid w:val="399B5FD0"/>
    <w:rsid w:val="39A46FBA"/>
    <w:rsid w:val="39B002E3"/>
    <w:rsid w:val="39C966D0"/>
    <w:rsid w:val="39D0529F"/>
    <w:rsid w:val="3A2323F5"/>
    <w:rsid w:val="3A304B98"/>
    <w:rsid w:val="3A3220F1"/>
    <w:rsid w:val="3A45022C"/>
    <w:rsid w:val="3A5527D3"/>
    <w:rsid w:val="3A6018AF"/>
    <w:rsid w:val="3A6F08AD"/>
    <w:rsid w:val="3A701AE7"/>
    <w:rsid w:val="3A77304B"/>
    <w:rsid w:val="3A842314"/>
    <w:rsid w:val="3AAF6393"/>
    <w:rsid w:val="3AE34B3D"/>
    <w:rsid w:val="3AFF340A"/>
    <w:rsid w:val="3B6405F8"/>
    <w:rsid w:val="3B814B45"/>
    <w:rsid w:val="3B8F305B"/>
    <w:rsid w:val="3B9C25F3"/>
    <w:rsid w:val="3BBF54EE"/>
    <w:rsid w:val="3C112D9B"/>
    <w:rsid w:val="3C295330"/>
    <w:rsid w:val="3C420D3F"/>
    <w:rsid w:val="3C4C1088"/>
    <w:rsid w:val="3C784578"/>
    <w:rsid w:val="3C7C0CA8"/>
    <w:rsid w:val="3C8129AE"/>
    <w:rsid w:val="3C8F4350"/>
    <w:rsid w:val="3CB601D7"/>
    <w:rsid w:val="3CBF3A05"/>
    <w:rsid w:val="3CED61E0"/>
    <w:rsid w:val="3CF0146F"/>
    <w:rsid w:val="3D076D3C"/>
    <w:rsid w:val="3D3679D9"/>
    <w:rsid w:val="3D781FA9"/>
    <w:rsid w:val="3DC410E9"/>
    <w:rsid w:val="3DDD0BD2"/>
    <w:rsid w:val="3DEF3B3F"/>
    <w:rsid w:val="3DF74487"/>
    <w:rsid w:val="3DFD43C1"/>
    <w:rsid w:val="3E1D144C"/>
    <w:rsid w:val="3E2B2038"/>
    <w:rsid w:val="3E2B2C2D"/>
    <w:rsid w:val="3E391AAE"/>
    <w:rsid w:val="3EA93AAA"/>
    <w:rsid w:val="3EAA56DD"/>
    <w:rsid w:val="3EB65F99"/>
    <w:rsid w:val="3EC72C49"/>
    <w:rsid w:val="3EEC0B1F"/>
    <w:rsid w:val="3EFB6D44"/>
    <w:rsid w:val="3F0D4C92"/>
    <w:rsid w:val="3F49125E"/>
    <w:rsid w:val="3F613818"/>
    <w:rsid w:val="3F894F51"/>
    <w:rsid w:val="3FB15F45"/>
    <w:rsid w:val="3FD15F0C"/>
    <w:rsid w:val="3FD331DE"/>
    <w:rsid w:val="3FDE2D96"/>
    <w:rsid w:val="3FEA2105"/>
    <w:rsid w:val="3FEB6D2B"/>
    <w:rsid w:val="40076BEB"/>
    <w:rsid w:val="400D6318"/>
    <w:rsid w:val="404E2673"/>
    <w:rsid w:val="40600DFC"/>
    <w:rsid w:val="40671AA7"/>
    <w:rsid w:val="409E3298"/>
    <w:rsid w:val="40A65DB1"/>
    <w:rsid w:val="40D62844"/>
    <w:rsid w:val="40E30DE4"/>
    <w:rsid w:val="410C07D1"/>
    <w:rsid w:val="41120681"/>
    <w:rsid w:val="41143239"/>
    <w:rsid w:val="411758FE"/>
    <w:rsid w:val="412E1590"/>
    <w:rsid w:val="41973992"/>
    <w:rsid w:val="41EF06D5"/>
    <w:rsid w:val="41F526B4"/>
    <w:rsid w:val="42000BF8"/>
    <w:rsid w:val="422F541C"/>
    <w:rsid w:val="42330E8E"/>
    <w:rsid w:val="425F425E"/>
    <w:rsid w:val="426075A9"/>
    <w:rsid w:val="427E7092"/>
    <w:rsid w:val="429A5966"/>
    <w:rsid w:val="42CF061D"/>
    <w:rsid w:val="43344F95"/>
    <w:rsid w:val="43474CF2"/>
    <w:rsid w:val="43934663"/>
    <w:rsid w:val="43AD6882"/>
    <w:rsid w:val="43CB689B"/>
    <w:rsid w:val="43DC5E4C"/>
    <w:rsid w:val="43F1001D"/>
    <w:rsid w:val="442B2432"/>
    <w:rsid w:val="443B3B6B"/>
    <w:rsid w:val="44523973"/>
    <w:rsid w:val="44710D99"/>
    <w:rsid w:val="447C0594"/>
    <w:rsid w:val="44A538E9"/>
    <w:rsid w:val="44BF72DE"/>
    <w:rsid w:val="44DB67E3"/>
    <w:rsid w:val="44E12B61"/>
    <w:rsid w:val="44FC3532"/>
    <w:rsid w:val="45076C5F"/>
    <w:rsid w:val="452A0339"/>
    <w:rsid w:val="456C5968"/>
    <w:rsid w:val="456F4AC7"/>
    <w:rsid w:val="457A06C8"/>
    <w:rsid w:val="458623F6"/>
    <w:rsid w:val="46296FA0"/>
    <w:rsid w:val="465770D9"/>
    <w:rsid w:val="46761929"/>
    <w:rsid w:val="46B378B8"/>
    <w:rsid w:val="46D6380E"/>
    <w:rsid w:val="47601350"/>
    <w:rsid w:val="47AE3D55"/>
    <w:rsid w:val="48070383"/>
    <w:rsid w:val="48072EF4"/>
    <w:rsid w:val="48183B34"/>
    <w:rsid w:val="485801E7"/>
    <w:rsid w:val="485D08BC"/>
    <w:rsid w:val="4877176C"/>
    <w:rsid w:val="487C6FEB"/>
    <w:rsid w:val="489607B2"/>
    <w:rsid w:val="489D39E5"/>
    <w:rsid w:val="48A309A4"/>
    <w:rsid w:val="48B558EA"/>
    <w:rsid w:val="48FD6529"/>
    <w:rsid w:val="49013932"/>
    <w:rsid w:val="490B6ACD"/>
    <w:rsid w:val="49316207"/>
    <w:rsid w:val="493215A9"/>
    <w:rsid w:val="496E762F"/>
    <w:rsid w:val="49903896"/>
    <w:rsid w:val="49AA5C4C"/>
    <w:rsid w:val="49E15A80"/>
    <w:rsid w:val="4A1154C7"/>
    <w:rsid w:val="4A4428CD"/>
    <w:rsid w:val="4ABC416C"/>
    <w:rsid w:val="4AF2206E"/>
    <w:rsid w:val="4B1962DD"/>
    <w:rsid w:val="4B3D177A"/>
    <w:rsid w:val="4B5D364E"/>
    <w:rsid w:val="4B5E0A82"/>
    <w:rsid w:val="4B93235D"/>
    <w:rsid w:val="4BCD2871"/>
    <w:rsid w:val="4BDF5FEE"/>
    <w:rsid w:val="4BE335DB"/>
    <w:rsid w:val="4BF878DD"/>
    <w:rsid w:val="4BFA24CC"/>
    <w:rsid w:val="4C01688F"/>
    <w:rsid w:val="4C1704CA"/>
    <w:rsid w:val="4C3A0A97"/>
    <w:rsid w:val="4C586D8A"/>
    <w:rsid w:val="4C5A2CFF"/>
    <w:rsid w:val="4C9A4EDB"/>
    <w:rsid w:val="4CB069F2"/>
    <w:rsid w:val="4CB3792D"/>
    <w:rsid w:val="4CC313DE"/>
    <w:rsid w:val="4CF519FC"/>
    <w:rsid w:val="4CFA0857"/>
    <w:rsid w:val="4D0C78CF"/>
    <w:rsid w:val="4D127021"/>
    <w:rsid w:val="4D18605D"/>
    <w:rsid w:val="4D3D6261"/>
    <w:rsid w:val="4D3F6C51"/>
    <w:rsid w:val="4D5169F9"/>
    <w:rsid w:val="4D8F69C4"/>
    <w:rsid w:val="4D945F75"/>
    <w:rsid w:val="4D955AB2"/>
    <w:rsid w:val="4DA666AD"/>
    <w:rsid w:val="4DC51E90"/>
    <w:rsid w:val="4DC912D7"/>
    <w:rsid w:val="4DF42DFA"/>
    <w:rsid w:val="4E0D6119"/>
    <w:rsid w:val="4E1C7325"/>
    <w:rsid w:val="4E322283"/>
    <w:rsid w:val="4EB84FA6"/>
    <w:rsid w:val="4EC67E3F"/>
    <w:rsid w:val="4EDD3383"/>
    <w:rsid w:val="4EEA37A5"/>
    <w:rsid w:val="4F1D3D95"/>
    <w:rsid w:val="4F5201F7"/>
    <w:rsid w:val="4F5C7506"/>
    <w:rsid w:val="4F62601F"/>
    <w:rsid w:val="4FA86481"/>
    <w:rsid w:val="4FAF72D1"/>
    <w:rsid w:val="4FEE3EF7"/>
    <w:rsid w:val="50152F64"/>
    <w:rsid w:val="50616461"/>
    <w:rsid w:val="50B02B7C"/>
    <w:rsid w:val="50DC0BF2"/>
    <w:rsid w:val="51233C16"/>
    <w:rsid w:val="515215FE"/>
    <w:rsid w:val="516246AE"/>
    <w:rsid w:val="51823B5E"/>
    <w:rsid w:val="519C7640"/>
    <w:rsid w:val="51AB0377"/>
    <w:rsid w:val="51C7474C"/>
    <w:rsid w:val="51D4009A"/>
    <w:rsid w:val="51E320C0"/>
    <w:rsid w:val="51E76653"/>
    <w:rsid w:val="51EE0AF1"/>
    <w:rsid w:val="51F750B3"/>
    <w:rsid w:val="520E17EB"/>
    <w:rsid w:val="52380347"/>
    <w:rsid w:val="523E2188"/>
    <w:rsid w:val="52651A2E"/>
    <w:rsid w:val="52700210"/>
    <w:rsid w:val="52A240E9"/>
    <w:rsid w:val="52B60A4E"/>
    <w:rsid w:val="52CB3500"/>
    <w:rsid w:val="531C3F0A"/>
    <w:rsid w:val="53414F56"/>
    <w:rsid w:val="53616913"/>
    <w:rsid w:val="53675176"/>
    <w:rsid w:val="536844C1"/>
    <w:rsid w:val="538A53EA"/>
    <w:rsid w:val="53900681"/>
    <w:rsid w:val="53905F52"/>
    <w:rsid w:val="53F1756C"/>
    <w:rsid w:val="540B6021"/>
    <w:rsid w:val="54412CC0"/>
    <w:rsid w:val="545B4891"/>
    <w:rsid w:val="54822205"/>
    <w:rsid w:val="54B95D49"/>
    <w:rsid w:val="54E406E1"/>
    <w:rsid w:val="54F94340"/>
    <w:rsid w:val="54FC7994"/>
    <w:rsid w:val="55734AED"/>
    <w:rsid w:val="55C0372B"/>
    <w:rsid w:val="55C76E7A"/>
    <w:rsid w:val="55D6554D"/>
    <w:rsid w:val="55ED5713"/>
    <w:rsid w:val="5603199E"/>
    <w:rsid w:val="561E3948"/>
    <w:rsid w:val="561F6B7C"/>
    <w:rsid w:val="56332E1D"/>
    <w:rsid w:val="56783A4D"/>
    <w:rsid w:val="56A2151F"/>
    <w:rsid w:val="56A724C0"/>
    <w:rsid w:val="56B71FC6"/>
    <w:rsid w:val="56BF269A"/>
    <w:rsid w:val="56E0270D"/>
    <w:rsid w:val="56E91509"/>
    <w:rsid w:val="56F81ED6"/>
    <w:rsid w:val="571C2B4D"/>
    <w:rsid w:val="57523D83"/>
    <w:rsid w:val="577A03F5"/>
    <w:rsid w:val="579D3C92"/>
    <w:rsid w:val="57D41B5B"/>
    <w:rsid w:val="57ED15B8"/>
    <w:rsid w:val="57F02582"/>
    <w:rsid w:val="57FF601C"/>
    <w:rsid w:val="580412B8"/>
    <w:rsid w:val="581C47B0"/>
    <w:rsid w:val="58541E06"/>
    <w:rsid w:val="585D3A2B"/>
    <w:rsid w:val="58662F9E"/>
    <w:rsid w:val="5867120C"/>
    <w:rsid w:val="58955145"/>
    <w:rsid w:val="58A237EF"/>
    <w:rsid w:val="58B62318"/>
    <w:rsid w:val="590247A4"/>
    <w:rsid w:val="59294DEF"/>
    <w:rsid w:val="593E0845"/>
    <w:rsid w:val="59553583"/>
    <w:rsid w:val="59582970"/>
    <w:rsid w:val="5964404F"/>
    <w:rsid w:val="59751F25"/>
    <w:rsid w:val="599129DB"/>
    <w:rsid w:val="59A3543A"/>
    <w:rsid w:val="59C73E00"/>
    <w:rsid w:val="59CF4D9E"/>
    <w:rsid w:val="59E922EB"/>
    <w:rsid w:val="59F05AC5"/>
    <w:rsid w:val="59F20C49"/>
    <w:rsid w:val="5A3F77B4"/>
    <w:rsid w:val="5A48634D"/>
    <w:rsid w:val="5A67624B"/>
    <w:rsid w:val="5A6F29D6"/>
    <w:rsid w:val="5A7549F4"/>
    <w:rsid w:val="5A836023"/>
    <w:rsid w:val="5AA97B17"/>
    <w:rsid w:val="5AAD190B"/>
    <w:rsid w:val="5B0F2E94"/>
    <w:rsid w:val="5B1D21F8"/>
    <w:rsid w:val="5B39720D"/>
    <w:rsid w:val="5B403C6D"/>
    <w:rsid w:val="5B5D1E68"/>
    <w:rsid w:val="5B747FF6"/>
    <w:rsid w:val="5B945691"/>
    <w:rsid w:val="5BD67C69"/>
    <w:rsid w:val="5BDF3197"/>
    <w:rsid w:val="5BE048AE"/>
    <w:rsid w:val="5BE64BB1"/>
    <w:rsid w:val="5C04614B"/>
    <w:rsid w:val="5C144ED1"/>
    <w:rsid w:val="5C240A1A"/>
    <w:rsid w:val="5C34286D"/>
    <w:rsid w:val="5C5D4C2A"/>
    <w:rsid w:val="5C6E45CE"/>
    <w:rsid w:val="5CDE6D13"/>
    <w:rsid w:val="5CEF6407"/>
    <w:rsid w:val="5CFD14E7"/>
    <w:rsid w:val="5D1D68E6"/>
    <w:rsid w:val="5D4C49D6"/>
    <w:rsid w:val="5D582959"/>
    <w:rsid w:val="5D630072"/>
    <w:rsid w:val="5D8E3862"/>
    <w:rsid w:val="5DEC562B"/>
    <w:rsid w:val="5E174F5B"/>
    <w:rsid w:val="5E7039A7"/>
    <w:rsid w:val="5E9535C4"/>
    <w:rsid w:val="5EAE5CA1"/>
    <w:rsid w:val="5EB57148"/>
    <w:rsid w:val="5ED00B03"/>
    <w:rsid w:val="5ED82BA4"/>
    <w:rsid w:val="5EDA02F5"/>
    <w:rsid w:val="5EE17B47"/>
    <w:rsid w:val="5EF157B7"/>
    <w:rsid w:val="5F04540A"/>
    <w:rsid w:val="5F260F2F"/>
    <w:rsid w:val="5F3B23C5"/>
    <w:rsid w:val="5F3F5F49"/>
    <w:rsid w:val="5F7048CD"/>
    <w:rsid w:val="5F7A4F12"/>
    <w:rsid w:val="5F975B9D"/>
    <w:rsid w:val="5FB2774C"/>
    <w:rsid w:val="5FD10D1C"/>
    <w:rsid w:val="60186933"/>
    <w:rsid w:val="601C4C85"/>
    <w:rsid w:val="60453D15"/>
    <w:rsid w:val="60DC13FF"/>
    <w:rsid w:val="60E42E92"/>
    <w:rsid w:val="611A1EDC"/>
    <w:rsid w:val="615A575E"/>
    <w:rsid w:val="615F29B3"/>
    <w:rsid w:val="61687B39"/>
    <w:rsid w:val="61786E24"/>
    <w:rsid w:val="61A70DBA"/>
    <w:rsid w:val="61E26F0E"/>
    <w:rsid w:val="61E329EA"/>
    <w:rsid w:val="61F9061C"/>
    <w:rsid w:val="62114BE7"/>
    <w:rsid w:val="62152A13"/>
    <w:rsid w:val="62185B7F"/>
    <w:rsid w:val="624D5CF7"/>
    <w:rsid w:val="62617DEE"/>
    <w:rsid w:val="62A972BC"/>
    <w:rsid w:val="62AC24A3"/>
    <w:rsid w:val="62BC7E03"/>
    <w:rsid w:val="62C47C17"/>
    <w:rsid w:val="62E94F19"/>
    <w:rsid w:val="63092022"/>
    <w:rsid w:val="63393874"/>
    <w:rsid w:val="634B4098"/>
    <w:rsid w:val="634D4F2C"/>
    <w:rsid w:val="635D429D"/>
    <w:rsid w:val="6362434E"/>
    <w:rsid w:val="63701DC2"/>
    <w:rsid w:val="6384595B"/>
    <w:rsid w:val="63DC70E6"/>
    <w:rsid w:val="63E11C8B"/>
    <w:rsid w:val="63F47470"/>
    <w:rsid w:val="641E343C"/>
    <w:rsid w:val="644F0E16"/>
    <w:rsid w:val="64561CA5"/>
    <w:rsid w:val="64767574"/>
    <w:rsid w:val="64947310"/>
    <w:rsid w:val="649E58A6"/>
    <w:rsid w:val="64A04236"/>
    <w:rsid w:val="64D60CDE"/>
    <w:rsid w:val="64E3431A"/>
    <w:rsid w:val="64EA6BD5"/>
    <w:rsid w:val="650B39BE"/>
    <w:rsid w:val="65197CE3"/>
    <w:rsid w:val="651E1B55"/>
    <w:rsid w:val="656747F8"/>
    <w:rsid w:val="65AD776F"/>
    <w:rsid w:val="65B14010"/>
    <w:rsid w:val="662016FD"/>
    <w:rsid w:val="662B7074"/>
    <w:rsid w:val="663B6959"/>
    <w:rsid w:val="66417ABB"/>
    <w:rsid w:val="66865823"/>
    <w:rsid w:val="66DB4776"/>
    <w:rsid w:val="66F440BE"/>
    <w:rsid w:val="6701001E"/>
    <w:rsid w:val="672F39F1"/>
    <w:rsid w:val="674542DC"/>
    <w:rsid w:val="676F14AA"/>
    <w:rsid w:val="67F924D1"/>
    <w:rsid w:val="680371E6"/>
    <w:rsid w:val="683518D1"/>
    <w:rsid w:val="68475F9E"/>
    <w:rsid w:val="684912F1"/>
    <w:rsid w:val="684A5DAF"/>
    <w:rsid w:val="68A5392D"/>
    <w:rsid w:val="68A83A33"/>
    <w:rsid w:val="68B73A11"/>
    <w:rsid w:val="68B97F60"/>
    <w:rsid w:val="68CB1B95"/>
    <w:rsid w:val="68CB7285"/>
    <w:rsid w:val="691F3AFF"/>
    <w:rsid w:val="694E250A"/>
    <w:rsid w:val="69580F87"/>
    <w:rsid w:val="695D440F"/>
    <w:rsid w:val="697F7635"/>
    <w:rsid w:val="69B95E12"/>
    <w:rsid w:val="69D73ABE"/>
    <w:rsid w:val="6A011A58"/>
    <w:rsid w:val="6A206438"/>
    <w:rsid w:val="6A5A0507"/>
    <w:rsid w:val="6A676A80"/>
    <w:rsid w:val="6AAB1423"/>
    <w:rsid w:val="6AB21FEC"/>
    <w:rsid w:val="6AC97E87"/>
    <w:rsid w:val="6B2541C2"/>
    <w:rsid w:val="6B69210F"/>
    <w:rsid w:val="6B827251"/>
    <w:rsid w:val="6BAD7B99"/>
    <w:rsid w:val="6BC2676F"/>
    <w:rsid w:val="6BCA468B"/>
    <w:rsid w:val="6BF43BAE"/>
    <w:rsid w:val="6C385E98"/>
    <w:rsid w:val="6C694F36"/>
    <w:rsid w:val="6C734F64"/>
    <w:rsid w:val="6C90579D"/>
    <w:rsid w:val="6C9F26AC"/>
    <w:rsid w:val="6CCB2F04"/>
    <w:rsid w:val="6CDB6426"/>
    <w:rsid w:val="6CED59F3"/>
    <w:rsid w:val="6CFF5040"/>
    <w:rsid w:val="6D2B3AAB"/>
    <w:rsid w:val="6D3B1FA1"/>
    <w:rsid w:val="6D9358CA"/>
    <w:rsid w:val="6D9E3EDC"/>
    <w:rsid w:val="6DAA36C3"/>
    <w:rsid w:val="6DC470AB"/>
    <w:rsid w:val="6DFE558F"/>
    <w:rsid w:val="6E0C6BA1"/>
    <w:rsid w:val="6E306E3E"/>
    <w:rsid w:val="6E4B4200"/>
    <w:rsid w:val="6E561728"/>
    <w:rsid w:val="6E7E0E03"/>
    <w:rsid w:val="6EA56C3C"/>
    <w:rsid w:val="6EFB5EE7"/>
    <w:rsid w:val="6F060E0B"/>
    <w:rsid w:val="6F231E77"/>
    <w:rsid w:val="6F300965"/>
    <w:rsid w:val="6F626F68"/>
    <w:rsid w:val="6F6B58FF"/>
    <w:rsid w:val="6F840910"/>
    <w:rsid w:val="6F8E77F0"/>
    <w:rsid w:val="6FCF07EA"/>
    <w:rsid w:val="6FD5049D"/>
    <w:rsid w:val="6FF5662D"/>
    <w:rsid w:val="70416765"/>
    <w:rsid w:val="707474B3"/>
    <w:rsid w:val="707E35C9"/>
    <w:rsid w:val="707F79B1"/>
    <w:rsid w:val="70BC360C"/>
    <w:rsid w:val="70C13915"/>
    <w:rsid w:val="70E14C52"/>
    <w:rsid w:val="70FF43C5"/>
    <w:rsid w:val="7121059F"/>
    <w:rsid w:val="71255005"/>
    <w:rsid w:val="71BA7235"/>
    <w:rsid w:val="71CA4EB4"/>
    <w:rsid w:val="71D267BD"/>
    <w:rsid w:val="71D548AF"/>
    <w:rsid w:val="71E110E7"/>
    <w:rsid w:val="71E92320"/>
    <w:rsid w:val="71EB4CE8"/>
    <w:rsid w:val="71F06AFA"/>
    <w:rsid w:val="72014552"/>
    <w:rsid w:val="72034ACE"/>
    <w:rsid w:val="72123207"/>
    <w:rsid w:val="72244547"/>
    <w:rsid w:val="72460552"/>
    <w:rsid w:val="72924856"/>
    <w:rsid w:val="72C9637F"/>
    <w:rsid w:val="72E712EC"/>
    <w:rsid w:val="72F74B5A"/>
    <w:rsid w:val="73010267"/>
    <w:rsid w:val="732A787A"/>
    <w:rsid w:val="73453337"/>
    <w:rsid w:val="73562741"/>
    <w:rsid w:val="736B6166"/>
    <w:rsid w:val="7379621E"/>
    <w:rsid w:val="73811C21"/>
    <w:rsid w:val="73BF3F44"/>
    <w:rsid w:val="73DC6118"/>
    <w:rsid w:val="73EC7524"/>
    <w:rsid w:val="74035A68"/>
    <w:rsid w:val="740B325F"/>
    <w:rsid w:val="74134E7F"/>
    <w:rsid w:val="74400DCB"/>
    <w:rsid w:val="74421DFB"/>
    <w:rsid w:val="744368EE"/>
    <w:rsid w:val="744A0BC2"/>
    <w:rsid w:val="744B6F60"/>
    <w:rsid w:val="74B616E9"/>
    <w:rsid w:val="74C146F6"/>
    <w:rsid w:val="74DC780B"/>
    <w:rsid w:val="74F403FA"/>
    <w:rsid w:val="74F61FE4"/>
    <w:rsid w:val="75850688"/>
    <w:rsid w:val="75A4377C"/>
    <w:rsid w:val="75BE3B89"/>
    <w:rsid w:val="75CD3DDB"/>
    <w:rsid w:val="75E837ED"/>
    <w:rsid w:val="75F95F23"/>
    <w:rsid w:val="76074115"/>
    <w:rsid w:val="76250430"/>
    <w:rsid w:val="768246EA"/>
    <w:rsid w:val="768772B2"/>
    <w:rsid w:val="768D10C3"/>
    <w:rsid w:val="768F5E43"/>
    <w:rsid w:val="76B71FDA"/>
    <w:rsid w:val="76CB7B00"/>
    <w:rsid w:val="76CE5911"/>
    <w:rsid w:val="772C6005"/>
    <w:rsid w:val="774A294F"/>
    <w:rsid w:val="776F1BFE"/>
    <w:rsid w:val="77740FAC"/>
    <w:rsid w:val="77C21FDC"/>
    <w:rsid w:val="77EF7CC6"/>
    <w:rsid w:val="77F54D77"/>
    <w:rsid w:val="78007F8A"/>
    <w:rsid w:val="78036D46"/>
    <w:rsid w:val="780C6F69"/>
    <w:rsid w:val="783A2BDB"/>
    <w:rsid w:val="785C7C7D"/>
    <w:rsid w:val="787455A6"/>
    <w:rsid w:val="78E23E7A"/>
    <w:rsid w:val="796A2499"/>
    <w:rsid w:val="79A633F0"/>
    <w:rsid w:val="79CF2452"/>
    <w:rsid w:val="7A0019E2"/>
    <w:rsid w:val="7A984DC2"/>
    <w:rsid w:val="7AD82D7F"/>
    <w:rsid w:val="7AF87638"/>
    <w:rsid w:val="7B033960"/>
    <w:rsid w:val="7B173121"/>
    <w:rsid w:val="7B20210A"/>
    <w:rsid w:val="7B7B64E5"/>
    <w:rsid w:val="7B8F3FB7"/>
    <w:rsid w:val="7C20377E"/>
    <w:rsid w:val="7C395DE1"/>
    <w:rsid w:val="7C3C3D70"/>
    <w:rsid w:val="7C4B7362"/>
    <w:rsid w:val="7C7D0CB6"/>
    <w:rsid w:val="7C801E3E"/>
    <w:rsid w:val="7CA95079"/>
    <w:rsid w:val="7CAC003A"/>
    <w:rsid w:val="7CB03B1B"/>
    <w:rsid w:val="7CDC0649"/>
    <w:rsid w:val="7D05584B"/>
    <w:rsid w:val="7D0741BB"/>
    <w:rsid w:val="7D0A731C"/>
    <w:rsid w:val="7D117D3B"/>
    <w:rsid w:val="7D1B6FE0"/>
    <w:rsid w:val="7D1D5EF7"/>
    <w:rsid w:val="7D40510E"/>
    <w:rsid w:val="7D580A83"/>
    <w:rsid w:val="7D5C3AA0"/>
    <w:rsid w:val="7D5E5FA3"/>
    <w:rsid w:val="7D930EFD"/>
    <w:rsid w:val="7DE415C8"/>
    <w:rsid w:val="7DE609A7"/>
    <w:rsid w:val="7E1402E4"/>
    <w:rsid w:val="7E1A656D"/>
    <w:rsid w:val="7E3A267E"/>
    <w:rsid w:val="7E516090"/>
    <w:rsid w:val="7E5841FC"/>
    <w:rsid w:val="7E591456"/>
    <w:rsid w:val="7E6C785C"/>
    <w:rsid w:val="7E8E7023"/>
    <w:rsid w:val="7EAC2E07"/>
    <w:rsid w:val="7EC02506"/>
    <w:rsid w:val="7EDC7F2C"/>
    <w:rsid w:val="7EDE2A7E"/>
    <w:rsid w:val="7EFA7F63"/>
    <w:rsid w:val="7F3E2100"/>
    <w:rsid w:val="7F4A4B72"/>
    <w:rsid w:val="7F4B2154"/>
    <w:rsid w:val="7F6B62DE"/>
    <w:rsid w:val="7F7D74BC"/>
    <w:rsid w:val="7F927F60"/>
    <w:rsid w:val="7FA15994"/>
    <w:rsid w:val="7FA949AD"/>
    <w:rsid w:val="7FB32447"/>
    <w:rsid w:val="7FC93D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1" w:semiHidden="0" w:name="heading 5"/>
    <w:lsdException w:qFormat="1" w:unhideWhenUsed="0" w:uiPriority="1" w:semiHidden="0" w:name="heading 6"/>
    <w:lsdException w:qFormat="1" w:uiPriority="0" w:name="heading 7"/>
    <w:lsdException w:qFormat="1" w:unhideWhenUsed="0" w:uiPriority="1"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spacing w:after="200" w:line="276" w:lineRule="auto"/>
    </w:pPr>
    <w:rPr>
      <w:rFonts w:ascii="宋体" w:hAnsi="宋体" w:eastAsia="宋体" w:cs="宋体"/>
      <w:sz w:val="22"/>
      <w:szCs w:val="22"/>
      <w:lang w:val="en-US" w:eastAsia="zh-CN" w:bidi="ar-SA"/>
    </w:rPr>
  </w:style>
  <w:style w:type="paragraph" w:styleId="2">
    <w:name w:val="heading 1"/>
    <w:basedOn w:val="1"/>
    <w:next w:val="1"/>
    <w:autoRedefine/>
    <w:qFormat/>
    <w:uiPriority w:val="99"/>
    <w:pPr>
      <w:spacing w:before="44"/>
      <w:ind w:right="118"/>
      <w:jc w:val="center"/>
      <w:outlineLvl w:val="0"/>
    </w:pPr>
    <w:rPr>
      <w:b/>
      <w:bCs/>
      <w:sz w:val="30"/>
      <w:szCs w:val="30"/>
    </w:rPr>
  </w:style>
  <w:style w:type="paragraph" w:styleId="3">
    <w:name w:val="heading 2"/>
    <w:basedOn w:val="1"/>
    <w:next w:val="1"/>
    <w:autoRedefine/>
    <w:qFormat/>
    <w:uiPriority w:val="99"/>
    <w:pPr>
      <w:spacing w:before="47"/>
      <w:jc w:val="center"/>
      <w:outlineLvl w:val="1"/>
    </w:pPr>
    <w:rPr>
      <w:b/>
      <w:bCs/>
      <w:sz w:val="28"/>
      <w:szCs w:val="28"/>
    </w:rPr>
  </w:style>
  <w:style w:type="paragraph" w:styleId="4">
    <w:name w:val="heading 3"/>
    <w:basedOn w:val="1"/>
    <w:next w:val="1"/>
    <w:autoRedefine/>
    <w:qFormat/>
    <w:uiPriority w:val="99"/>
    <w:pPr>
      <w:ind w:left="1890"/>
      <w:outlineLvl w:val="2"/>
    </w:pPr>
    <w:rPr>
      <w:sz w:val="28"/>
      <w:szCs w:val="28"/>
    </w:rPr>
  </w:style>
  <w:style w:type="paragraph" w:styleId="5">
    <w:name w:val="heading 4"/>
    <w:basedOn w:val="1"/>
    <w:next w:val="1"/>
    <w:autoRedefine/>
    <w:qFormat/>
    <w:uiPriority w:val="99"/>
    <w:pPr>
      <w:ind w:left="100" w:hanging="483"/>
      <w:outlineLvl w:val="3"/>
    </w:pPr>
    <w:rPr>
      <w:b/>
      <w:bCs/>
      <w:sz w:val="24"/>
      <w:szCs w:val="24"/>
    </w:rPr>
  </w:style>
  <w:style w:type="paragraph" w:styleId="6">
    <w:name w:val="heading 5"/>
    <w:basedOn w:val="1"/>
    <w:next w:val="1"/>
    <w:autoRedefine/>
    <w:qFormat/>
    <w:uiPriority w:val="1"/>
    <w:pPr>
      <w:ind w:left="400"/>
      <w:outlineLvl w:val="4"/>
    </w:pPr>
    <w:rPr>
      <w:b/>
      <w:bCs/>
      <w:sz w:val="24"/>
      <w:szCs w:val="24"/>
      <w:lang w:val="zh-CN" w:bidi="zh-CN"/>
    </w:rPr>
  </w:style>
  <w:style w:type="paragraph" w:styleId="7">
    <w:name w:val="heading 6"/>
    <w:basedOn w:val="1"/>
    <w:next w:val="1"/>
    <w:autoRedefine/>
    <w:qFormat/>
    <w:uiPriority w:val="1"/>
    <w:pPr>
      <w:ind w:left="800"/>
      <w:outlineLvl w:val="5"/>
    </w:pPr>
    <w:rPr>
      <w:rFonts w:ascii="Microsoft JhengHei" w:hAnsi="Microsoft JhengHei" w:eastAsia="Microsoft JhengHei" w:cs="Microsoft JhengHei"/>
      <w:b/>
      <w:bCs/>
      <w:sz w:val="24"/>
      <w:szCs w:val="24"/>
      <w:lang w:val="zh-CN" w:eastAsia="zh-CN" w:bidi="zh-CN"/>
    </w:rPr>
  </w:style>
  <w:style w:type="paragraph" w:styleId="8">
    <w:name w:val="heading 8"/>
    <w:basedOn w:val="1"/>
    <w:next w:val="1"/>
    <w:autoRedefine/>
    <w:qFormat/>
    <w:uiPriority w:val="1"/>
    <w:pPr>
      <w:spacing w:before="72"/>
      <w:ind w:left="1823" w:hanging="485"/>
      <w:outlineLvl w:val="7"/>
    </w:pPr>
    <w:rPr>
      <w:rFonts w:ascii="微软雅黑" w:hAnsi="微软雅黑" w:eastAsia="微软雅黑" w:cs="微软雅黑"/>
      <w:b/>
      <w:bCs/>
      <w:i/>
      <w:sz w:val="24"/>
      <w:szCs w:val="24"/>
      <w:lang w:val="zh-CN" w:eastAsia="zh-CN" w:bidi="zh-CN"/>
    </w:rPr>
  </w:style>
  <w:style w:type="character" w:default="1" w:styleId="34">
    <w:name w:val="Default Paragraph Font"/>
    <w:autoRedefine/>
    <w:semiHidden/>
    <w:unhideWhenUsed/>
    <w:qFormat/>
    <w:uiPriority w:val="1"/>
  </w:style>
  <w:style w:type="table" w:default="1" w:styleId="32">
    <w:name w:val="Normal Table"/>
    <w:autoRedefine/>
    <w:semiHidden/>
    <w:unhideWhenUsed/>
    <w:qFormat/>
    <w:uiPriority w:val="99"/>
    <w:tblPr>
      <w:tblCellMar>
        <w:top w:w="0" w:type="dxa"/>
        <w:left w:w="108" w:type="dxa"/>
        <w:bottom w:w="0" w:type="dxa"/>
        <w:right w:w="108" w:type="dxa"/>
      </w:tblCellMar>
    </w:tblPr>
  </w:style>
  <w:style w:type="paragraph" w:styleId="9">
    <w:name w:val="Normal Indent"/>
    <w:basedOn w:val="1"/>
    <w:autoRedefine/>
    <w:qFormat/>
    <w:uiPriority w:val="0"/>
    <w:pPr>
      <w:ind w:firstLine="420" w:firstLineChars="200"/>
    </w:pPr>
    <w:rPr>
      <w:szCs w:val="24"/>
    </w:rPr>
  </w:style>
  <w:style w:type="paragraph" w:styleId="10">
    <w:name w:val="index 5"/>
    <w:basedOn w:val="1"/>
    <w:next w:val="1"/>
    <w:autoRedefine/>
    <w:semiHidden/>
    <w:qFormat/>
    <w:uiPriority w:val="0"/>
    <w:pPr>
      <w:ind w:left="1680"/>
    </w:pPr>
    <w:rPr>
      <w:rFonts w:eastAsia="Times New Roman"/>
      <w:sz w:val="32"/>
      <w:szCs w:val="24"/>
    </w:rPr>
  </w:style>
  <w:style w:type="paragraph" w:styleId="11">
    <w:name w:val="annotation text"/>
    <w:basedOn w:val="1"/>
    <w:autoRedefine/>
    <w:qFormat/>
    <w:uiPriority w:val="0"/>
  </w:style>
  <w:style w:type="paragraph" w:styleId="12">
    <w:name w:val="Body Text"/>
    <w:basedOn w:val="1"/>
    <w:next w:val="13"/>
    <w:autoRedefine/>
    <w:unhideWhenUsed/>
    <w:qFormat/>
    <w:uiPriority w:val="99"/>
    <w:rPr>
      <w:sz w:val="24"/>
      <w:szCs w:val="24"/>
    </w:rPr>
  </w:style>
  <w:style w:type="paragraph" w:customStyle="1" w:styleId="13">
    <w:name w:val="style4"/>
    <w:basedOn w:val="14"/>
    <w:next w:val="19"/>
    <w:qFormat/>
    <w:uiPriority w:val="0"/>
    <w:pPr>
      <w:widowControl/>
      <w:spacing w:before="100" w:beforeAutospacing="1" w:after="100" w:afterAutospacing="1"/>
      <w:jc w:val="left"/>
    </w:pPr>
    <w:rPr>
      <w:rFonts w:ascii="宋体" w:hAnsi="宋体" w:cs="宋体"/>
      <w:kern w:val="0"/>
      <w:sz w:val="18"/>
      <w:szCs w:val="18"/>
    </w:rPr>
  </w:style>
  <w:style w:type="paragraph" w:customStyle="1" w:styleId="14">
    <w:name w:val="正文_0"/>
    <w:next w:val="15"/>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15">
    <w:name w:val="Body Text First Indent"/>
    <w:basedOn w:val="12"/>
    <w:next w:val="16"/>
    <w:autoRedefine/>
    <w:qFormat/>
    <w:uiPriority w:val="99"/>
    <w:pPr>
      <w:spacing w:line="312" w:lineRule="auto"/>
      <w:ind w:firstLine="420"/>
    </w:pPr>
  </w:style>
  <w:style w:type="paragraph" w:styleId="16">
    <w:name w:val="Body Text First Indent 2"/>
    <w:basedOn w:val="17"/>
    <w:next w:val="1"/>
    <w:autoRedefine/>
    <w:qFormat/>
    <w:uiPriority w:val="0"/>
    <w:pPr>
      <w:ind w:firstLine="420" w:firstLineChars="200"/>
    </w:pPr>
  </w:style>
  <w:style w:type="paragraph" w:styleId="17">
    <w:name w:val="Body Text Indent"/>
    <w:basedOn w:val="1"/>
    <w:next w:val="18"/>
    <w:autoRedefine/>
    <w:qFormat/>
    <w:uiPriority w:val="0"/>
    <w:pPr>
      <w:spacing w:after="120"/>
      <w:ind w:left="200" w:leftChars="200"/>
    </w:pPr>
  </w:style>
  <w:style w:type="paragraph" w:styleId="18">
    <w:name w:val="envelope return"/>
    <w:basedOn w:val="1"/>
    <w:autoRedefine/>
    <w:qFormat/>
    <w:uiPriority w:val="0"/>
    <w:pPr>
      <w:snapToGrid w:val="0"/>
    </w:pPr>
    <w:rPr>
      <w:rFonts w:ascii="Arial" w:hAnsi="Arial" w:cs="Arial"/>
    </w:rPr>
  </w:style>
  <w:style w:type="paragraph" w:customStyle="1" w:styleId="19">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styleId="20">
    <w:name w:val="List 2"/>
    <w:basedOn w:val="1"/>
    <w:autoRedefine/>
    <w:unhideWhenUsed/>
    <w:qFormat/>
    <w:uiPriority w:val="99"/>
    <w:pPr>
      <w:spacing w:beforeAutospacing="1" w:after="0" w:afterAutospacing="1" w:line="360" w:lineRule="auto"/>
      <w:ind w:left="100" w:leftChars="200" w:hanging="200" w:hangingChars="200"/>
      <w:contextualSpacing/>
    </w:pPr>
    <w:rPr>
      <w:sz w:val="24"/>
    </w:rPr>
  </w:style>
  <w:style w:type="paragraph" w:styleId="21">
    <w:name w:val="toc 3"/>
    <w:basedOn w:val="1"/>
    <w:next w:val="1"/>
    <w:autoRedefine/>
    <w:qFormat/>
    <w:uiPriority w:val="39"/>
    <w:pPr>
      <w:ind w:left="840" w:leftChars="400"/>
    </w:pPr>
  </w:style>
  <w:style w:type="paragraph" w:styleId="22">
    <w:name w:val="Plain Text"/>
    <w:basedOn w:val="1"/>
    <w:autoRedefine/>
    <w:qFormat/>
    <w:uiPriority w:val="0"/>
    <w:pPr>
      <w:ind w:firstLine="200" w:firstLineChars="200"/>
    </w:pPr>
    <w:rPr>
      <w:szCs w:val="21"/>
    </w:rPr>
  </w:style>
  <w:style w:type="paragraph" w:styleId="23">
    <w:name w:val="Date"/>
    <w:basedOn w:val="1"/>
    <w:next w:val="1"/>
    <w:autoRedefine/>
    <w:qFormat/>
    <w:uiPriority w:val="0"/>
    <w:rPr>
      <w:sz w:val="32"/>
    </w:rPr>
  </w:style>
  <w:style w:type="paragraph" w:styleId="24">
    <w:name w:val="Balloon Text"/>
    <w:basedOn w:val="1"/>
    <w:link w:val="66"/>
    <w:autoRedefine/>
    <w:qFormat/>
    <w:uiPriority w:val="0"/>
    <w:pPr>
      <w:spacing w:after="0" w:line="240" w:lineRule="auto"/>
    </w:pPr>
    <w:rPr>
      <w:sz w:val="18"/>
      <w:szCs w:val="18"/>
    </w:rPr>
  </w:style>
  <w:style w:type="paragraph" w:styleId="25">
    <w:name w:val="footer"/>
    <w:basedOn w:val="1"/>
    <w:link w:val="67"/>
    <w:autoRedefine/>
    <w:qFormat/>
    <w:uiPriority w:val="99"/>
    <w:pPr>
      <w:tabs>
        <w:tab w:val="center" w:pos="4153"/>
        <w:tab w:val="right" w:pos="8306"/>
      </w:tabs>
      <w:snapToGrid w:val="0"/>
    </w:pPr>
    <w:rPr>
      <w:sz w:val="18"/>
    </w:rPr>
  </w:style>
  <w:style w:type="paragraph" w:styleId="2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27">
    <w:name w:val="toc 1"/>
    <w:basedOn w:val="1"/>
    <w:next w:val="1"/>
    <w:autoRedefine/>
    <w:qFormat/>
    <w:uiPriority w:val="39"/>
  </w:style>
  <w:style w:type="paragraph" w:styleId="28">
    <w:name w:val="toc 2"/>
    <w:basedOn w:val="1"/>
    <w:next w:val="1"/>
    <w:autoRedefine/>
    <w:qFormat/>
    <w:uiPriority w:val="39"/>
    <w:pPr>
      <w:tabs>
        <w:tab w:val="right" w:leader="dot" w:pos="9345"/>
      </w:tabs>
      <w:spacing w:line="360" w:lineRule="auto"/>
      <w:ind w:left="210"/>
    </w:pPr>
    <w:rPr>
      <w:smallCaps/>
    </w:rPr>
  </w:style>
  <w:style w:type="paragraph" w:styleId="29">
    <w:name w:val="Body Text 2"/>
    <w:basedOn w:val="1"/>
    <w:next w:val="12"/>
    <w:autoRedefine/>
    <w:unhideWhenUsed/>
    <w:qFormat/>
    <w:uiPriority w:val="99"/>
    <w:pPr>
      <w:spacing w:after="120" w:line="480" w:lineRule="auto"/>
    </w:pPr>
  </w:style>
  <w:style w:type="paragraph" w:styleId="30">
    <w:name w:val="Message Header"/>
    <w:basedOn w:val="1"/>
    <w:autoRedefine/>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cs="Cambria"/>
      <w:sz w:val="24"/>
      <w:szCs w:val="24"/>
    </w:rPr>
  </w:style>
  <w:style w:type="paragraph" w:styleId="31">
    <w:name w:val="Normal (Web)"/>
    <w:basedOn w:val="1"/>
    <w:autoRedefine/>
    <w:qFormat/>
    <w:uiPriority w:val="0"/>
    <w:pPr>
      <w:spacing w:after="120"/>
    </w:pPr>
    <w:rPr>
      <w:rFonts w:ascii="微软雅黑" w:hAnsi="微软雅黑" w:eastAsia="微软雅黑" w:cs="Times New Roman"/>
      <w:color w:val="323232"/>
      <w:sz w:val="24"/>
    </w:rPr>
  </w:style>
  <w:style w:type="table" w:styleId="33">
    <w:name w:val="Table Grid"/>
    <w:basedOn w:val="3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5">
    <w:name w:val="Strong"/>
    <w:basedOn w:val="34"/>
    <w:autoRedefine/>
    <w:qFormat/>
    <w:uiPriority w:val="0"/>
    <w:rPr>
      <w:b/>
      <w:color w:val="FFFFFF"/>
      <w:sz w:val="18"/>
      <w:szCs w:val="18"/>
    </w:rPr>
  </w:style>
  <w:style w:type="character" w:styleId="36">
    <w:name w:val="FollowedHyperlink"/>
    <w:basedOn w:val="34"/>
    <w:autoRedefine/>
    <w:qFormat/>
    <w:uiPriority w:val="0"/>
    <w:rPr>
      <w:rFonts w:hint="eastAsia" w:ascii="微软雅黑" w:hAnsi="微软雅黑" w:eastAsia="微软雅黑" w:cs="微软雅黑"/>
      <w:color w:val="428BCA"/>
      <w:u w:val="none"/>
    </w:rPr>
  </w:style>
  <w:style w:type="character" w:styleId="37">
    <w:name w:val="HTML Definition"/>
    <w:basedOn w:val="34"/>
    <w:autoRedefine/>
    <w:qFormat/>
    <w:uiPriority w:val="0"/>
    <w:rPr>
      <w:i/>
    </w:rPr>
  </w:style>
  <w:style w:type="character" w:styleId="38">
    <w:name w:val="Hyperlink"/>
    <w:basedOn w:val="34"/>
    <w:autoRedefine/>
    <w:unhideWhenUsed/>
    <w:qFormat/>
    <w:uiPriority w:val="99"/>
    <w:rPr>
      <w:rFonts w:hint="eastAsia" w:ascii="微软雅黑" w:hAnsi="微软雅黑" w:eastAsia="微软雅黑" w:cs="微软雅黑"/>
      <w:color w:val="428BCA"/>
      <w:u w:val="none"/>
    </w:rPr>
  </w:style>
  <w:style w:type="character" w:styleId="39">
    <w:name w:val="HTML Code"/>
    <w:basedOn w:val="34"/>
    <w:autoRedefine/>
    <w:qFormat/>
    <w:uiPriority w:val="0"/>
    <w:rPr>
      <w:rFonts w:hint="default" w:ascii="Consolas" w:hAnsi="Consolas" w:eastAsia="Consolas" w:cs="Consolas"/>
      <w:color w:val="C7254E"/>
      <w:sz w:val="21"/>
      <w:szCs w:val="21"/>
      <w:shd w:val="clear" w:color="auto" w:fill="F9F2F4"/>
    </w:rPr>
  </w:style>
  <w:style w:type="character" w:styleId="40">
    <w:name w:val="HTML Keyboard"/>
    <w:basedOn w:val="34"/>
    <w:autoRedefine/>
    <w:qFormat/>
    <w:uiPriority w:val="0"/>
    <w:rPr>
      <w:rFonts w:hint="default" w:ascii="Consolas" w:hAnsi="Consolas" w:eastAsia="Consolas" w:cs="Consolas"/>
      <w:color w:val="FFFFFF"/>
      <w:sz w:val="21"/>
      <w:szCs w:val="21"/>
      <w:shd w:val="clear" w:color="auto" w:fill="333333"/>
    </w:rPr>
  </w:style>
  <w:style w:type="character" w:styleId="41">
    <w:name w:val="HTML Sample"/>
    <w:basedOn w:val="34"/>
    <w:autoRedefine/>
    <w:qFormat/>
    <w:uiPriority w:val="0"/>
    <w:rPr>
      <w:rFonts w:ascii="Consolas" w:hAnsi="Consolas" w:eastAsia="Consolas" w:cs="Consolas"/>
      <w:sz w:val="21"/>
      <w:szCs w:val="21"/>
    </w:rPr>
  </w:style>
  <w:style w:type="paragraph" w:styleId="42">
    <w:name w:val="Quote"/>
    <w:basedOn w:val="1"/>
    <w:next w:val="1"/>
    <w:autoRedefine/>
    <w:qFormat/>
    <w:uiPriority w:val="99"/>
    <w:pPr>
      <w:ind w:left="864" w:right="864"/>
      <w:jc w:val="center"/>
    </w:pPr>
    <w:rPr>
      <w:rFonts w:ascii="Times New Roman" w:hAnsi="Times New Roman" w:cs="Times New Roman"/>
      <w:i/>
      <w:iCs/>
      <w:color w:val="404040"/>
      <w:szCs w:val="21"/>
    </w:rPr>
  </w:style>
  <w:style w:type="paragraph" w:customStyle="1" w:styleId="43">
    <w:name w:val="BodyText1I"/>
    <w:basedOn w:val="44"/>
    <w:autoRedefine/>
    <w:qFormat/>
    <w:uiPriority w:val="0"/>
    <w:pPr>
      <w:ind w:firstLine="420" w:firstLineChars="100"/>
    </w:pPr>
    <w:rPr>
      <w:szCs w:val="21"/>
    </w:rPr>
  </w:style>
  <w:style w:type="paragraph" w:customStyle="1" w:styleId="44">
    <w:name w:val="BodyText"/>
    <w:basedOn w:val="1"/>
    <w:next w:val="45"/>
    <w:autoRedefine/>
    <w:qFormat/>
    <w:uiPriority w:val="0"/>
    <w:pPr>
      <w:snapToGrid w:val="0"/>
      <w:spacing w:line="360" w:lineRule="auto"/>
    </w:pPr>
    <w:rPr>
      <w:rFonts w:ascii="Arial" w:hAnsi="Arial" w:eastAsia="仿宋_GB2312"/>
      <w:sz w:val="31"/>
    </w:rPr>
  </w:style>
  <w:style w:type="paragraph" w:customStyle="1" w:styleId="45">
    <w:name w:val="UserStyle_9"/>
    <w:autoRedefine/>
    <w:qFormat/>
    <w:uiPriority w:val="0"/>
    <w:pPr>
      <w:spacing w:after="160" w:line="259" w:lineRule="auto"/>
      <w:textAlignment w:val="baseline"/>
    </w:pPr>
    <w:rPr>
      <w:rFonts w:ascii="宋体" w:hAnsi="Calibri" w:eastAsia="宋体" w:cs="Times New Roman"/>
      <w:color w:val="000000"/>
      <w:sz w:val="24"/>
      <w:szCs w:val="24"/>
      <w:lang w:val="en-US" w:eastAsia="zh-CN" w:bidi="ar-SA"/>
    </w:rPr>
  </w:style>
  <w:style w:type="paragraph" w:customStyle="1" w:styleId="46">
    <w:name w:val="Default"/>
    <w:autoRedefine/>
    <w:qFormat/>
    <w:uiPriority w:val="0"/>
    <w:pPr>
      <w:widowControl w:val="0"/>
      <w:autoSpaceDE w:val="0"/>
      <w:autoSpaceDN w:val="0"/>
      <w:adjustRightInd w:val="0"/>
      <w:spacing w:after="200" w:line="276" w:lineRule="auto"/>
    </w:pPr>
    <w:rPr>
      <w:rFonts w:ascii="宋体" w:hAnsi="Times New Roman" w:eastAsia="宋体" w:cs="Times New Roman"/>
      <w:color w:val="000000"/>
      <w:sz w:val="24"/>
      <w:lang w:val="en-US" w:eastAsia="zh-CN" w:bidi="ar-SA"/>
    </w:rPr>
  </w:style>
  <w:style w:type="paragraph" w:customStyle="1" w:styleId="47">
    <w:name w:val="目录 61"/>
    <w:next w:val="1"/>
    <w:autoRedefine/>
    <w:qFormat/>
    <w:uiPriority w:val="0"/>
    <w:pPr>
      <w:wordWrap w:val="0"/>
      <w:spacing w:after="200" w:line="276" w:lineRule="auto"/>
      <w:ind w:left="2125"/>
      <w:jc w:val="both"/>
    </w:pPr>
    <w:rPr>
      <w:rFonts w:ascii="Calibri" w:hAnsi="Calibri" w:eastAsia="宋体" w:cs="Times New Roman"/>
      <w:sz w:val="21"/>
      <w:lang w:val="en-US" w:eastAsia="zh-CN" w:bidi="ar-SA"/>
    </w:rPr>
  </w:style>
  <w:style w:type="paragraph" w:customStyle="1" w:styleId="48">
    <w:name w:val="正文文本 21"/>
    <w:basedOn w:val="1"/>
    <w:autoRedefine/>
    <w:qFormat/>
    <w:uiPriority w:val="0"/>
    <w:rPr>
      <w:rFonts w:ascii="Times New Roman" w:hAnsi="Times New Roman" w:cs="Times New Roman"/>
      <w:sz w:val="28"/>
    </w:rPr>
  </w:style>
  <w:style w:type="paragraph" w:customStyle="1" w:styleId="49">
    <w:name w:val="无间隔1"/>
    <w:basedOn w:val="1"/>
    <w:autoRedefine/>
    <w:qFormat/>
    <w:uiPriority w:val="0"/>
    <w:pPr>
      <w:spacing w:line="400" w:lineRule="exact"/>
    </w:pPr>
    <w:rPr>
      <w:sz w:val="24"/>
      <w:szCs w:val="24"/>
    </w:rPr>
  </w:style>
  <w:style w:type="paragraph" w:customStyle="1" w:styleId="50">
    <w:name w:val="Heading 1_0"/>
    <w:basedOn w:val="1"/>
    <w:autoRedefine/>
    <w:qFormat/>
    <w:uiPriority w:val="0"/>
    <w:pPr>
      <w:spacing w:before="50" w:after="0"/>
      <w:jc w:val="center"/>
      <w:outlineLvl w:val="1"/>
    </w:pPr>
    <w:rPr>
      <w:rFonts w:hint="eastAsia" w:cs="Times New Roman"/>
      <w:b/>
      <w:sz w:val="36"/>
      <w:szCs w:val="36"/>
    </w:rPr>
  </w:style>
  <w:style w:type="paragraph" w:customStyle="1" w:styleId="51">
    <w:name w:val="正文11"/>
    <w:autoRedefine/>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customStyle="1" w:styleId="52">
    <w:name w:val="目录 11"/>
    <w:basedOn w:val="1"/>
    <w:next w:val="1"/>
    <w:autoRedefine/>
    <w:qFormat/>
    <w:uiPriority w:val="0"/>
    <w:pPr>
      <w:spacing w:before="385"/>
      <w:ind w:left="100"/>
    </w:pPr>
    <w:rPr>
      <w:b/>
      <w:bCs/>
      <w:sz w:val="28"/>
      <w:szCs w:val="28"/>
    </w:rPr>
  </w:style>
  <w:style w:type="paragraph" w:customStyle="1" w:styleId="53">
    <w:name w:val="章正文"/>
    <w:basedOn w:val="1"/>
    <w:autoRedefine/>
    <w:qFormat/>
    <w:uiPriority w:val="0"/>
    <w:pPr>
      <w:spacing w:before="50" w:beforeLines="50" w:after="120" w:line="300" w:lineRule="auto"/>
      <w:ind w:firstLine="480"/>
    </w:pPr>
    <w:rPr>
      <w:rFonts w:ascii="Helvetica" w:hAnsi="Helvetica"/>
      <w:sz w:val="24"/>
    </w:rPr>
  </w:style>
  <w:style w:type="paragraph" w:customStyle="1" w:styleId="54">
    <w:name w:val="msolistparagraph"/>
    <w:basedOn w:val="1"/>
    <w:autoRedefine/>
    <w:qFormat/>
    <w:uiPriority w:val="0"/>
    <w:pPr>
      <w:spacing w:after="0"/>
      <w:ind w:left="598" w:firstLine="554"/>
    </w:pPr>
    <w:rPr>
      <w:rFonts w:hint="eastAsia" w:cs="Times New Roman"/>
    </w:rPr>
  </w:style>
  <w:style w:type="paragraph" w:customStyle="1" w:styleId="55">
    <w:name w:val="*正文"/>
    <w:basedOn w:val="1"/>
    <w:next w:val="1"/>
    <w:autoRedefine/>
    <w:qFormat/>
    <w:uiPriority w:val="0"/>
    <w:pPr>
      <w:widowControl/>
      <w:ind w:firstLine="482"/>
    </w:pPr>
    <w:rPr>
      <w:rFonts w:ascii="微软雅黑" w:hAnsi="微软雅黑" w:eastAsia="微软雅黑"/>
      <w:sz w:val="21"/>
    </w:rPr>
  </w:style>
  <w:style w:type="paragraph" w:customStyle="1" w:styleId="56">
    <w:name w:val="WPSOffice手动目录 1"/>
    <w:autoRedefine/>
    <w:qFormat/>
    <w:uiPriority w:val="0"/>
    <w:pPr>
      <w:spacing w:after="200" w:line="276" w:lineRule="auto"/>
    </w:pPr>
    <w:rPr>
      <w:rFonts w:ascii="Times New Roman" w:hAnsi="Times New Roman" w:eastAsia="宋体" w:cs="Times New Roman"/>
      <w:lang w:val="en-US" w:eastAsia="en-US" w:bidi="ar-SA"/>
    </w:rPr>
  </w:style>
  <w:style w:type="paragraph" w:customStyle="1" w:styleId="57">
    <w:name w:val="列出段落1"/>
    <w:basedOn w:val="1"/>
    <w:autoRedefine/>
    <w:qFormat/>
    <w:uiPriority w:val="0"/>
    <w:pPr>
      <w:ind w:left="100" w:firstLine="451"/>
    </w:pPr>
  </w:style>
  <w:style w:type="paragraph" w:customStyle="1" w:styleId="58">
    <w:name w:val="标题 71"/>
    <w:basedOn w:val="1"/>
    <w:autoRedefine/>
    <w:qFormat/>
    <w:uiPriority w:val="0"/>
    <w:pPr>
      <w:spacing w:after="0"/>
      <w:ind w:left="1516" w:hanging="365"/>
      <w:outlineLvl w:val="7"/>
    </w:pPr>
    <w:rPr>
      <w:rFonts w:hint="eastAsia" w:cs="Times New Roman"/>
      <w:b/>
      <w:sz w:val="24"/>
      <w:szCs w:val="24"/>
    </w:rPr>
  </w:style>
  <w:style w:type="paragraph" w:customStyle="1" w:styleId="59">
    <w:name w:val="Table Paragraph"/>
    <w:basedOn w:val="1"/>
    <w:autoRedefine/>
    <w:qFormat/>
    <w:uiPriority w:val="0"/>
  </w:style>
  <w:style w:type="character" w:customStyle="1" w:styleId="60">
    <w:name w:val="hover5"/>
    <w:basedOn w:val="34"/>
    <w:autoRedefine/>
    <w:qFormat/>
    <w:uiPriority w:val="0"/>
  </w:style>
  <w:style w:type="paragraph" w:customStyle="1" w:styleId="61">
    <w:name w:val="No Spacing1"/>
    <w:basedOn w:val="1"/>
    <w:autoRedefine/>
    <w:qFormat/>
    <w:uiPriority w:val="1"/>
    <w:pPr>
      <w:spacing w:after="0" w:line="400" w:lineRule="exact"/>
    </w:pPr>
    <w:rPr>
      <w:sz w:val="24"/>
    </w:rPr>
  </w:style>
  <w:style w:type="paragraph" w:customStyle="1" w:styleId="62">
    <w:name w:val="0"/>
    <w:basedOn w:val="1"/>
    <w:autoRedefine/>
    <w:qFormat/>
    <w:uiPriority w:val="0"/>
    <w:pPr>
      <w:widowControl/>
      <w:snapToGrid w:val="0"/>
    </w:pPr>
    <w:rPr>
      <w:rFonts w:ascii="Times New Roman" w:hAnsi="Times New Roman" w:cs="Times New Roman"/>
      <w:sz w:val="21"/>
      <w:szCs w:val="21"/>
    </w:rPr>
  </w:style>
  <w:style w:type="paragraph" w:customStyle="1" w:styleId="63">
    <w:name w:val="Body text|21"/>
    <w:basedOn w:val="1"/>
    <w:autoRedefine/>
    <w:qFormat/>
    <w:uiPriority w:val="0"/>
    <w:pPr>
      <w:shd w:val="clear" w:color="auto" w:fill="FFFFFF"/>
      <w:spacing w:before="180" w:line="360" w:lineRule="exact"/>
      <w:ind w:hanging="360"/>
    </w:pPr>
    <w:rPr>
      <w:rFonts w:ascii="PMingLiU" w:hAnsi="PMingLiU" w:eastAsia="PMingLiU" w:cs="PMingLiU"/>
      <w:sz w:val="20"/>
      <w:szCs w:val="20"/>
    </w:rPr>
  </w:style>
  <w:style w:type="paragraph" w:customStyle="1" w:styleId="64">
    <w:name w:val="列出段落1_0"/>
    <w:basedOn w:val="1"/>
    <w:autoRedefine/>
    <w:qFormat/>
    <w:uiPriority w:val="0"/>
    <w:pPr>
      <w:ind w:firstLine="420" w:firstLineChars="200"/>
    </w:pPr>
    <w:rPr>
      <w:szCs w:val="24"/>
    </w:rPr>
  </w:style>
  <w:style w:type="paragraph" w:customStyle="1" w:styleId="65">
    <w:name w:val="TOC Heading"/>
    <w:basedOn w:val="2"/>
    <w:next w:val="1"/>
    <w:autoRedefine/>
    <w:semiHidden/>
    <w:unhideWhenUsed/>
    <w:qFormat/>
    <w:uiPriority w:val="39"/>
    <w:pPr>
      <w:keepNext/>
      <w:keepLines/>
      <w:widowControl/>
      <w:autoSpaceDE/>
      <w:autoSpaceDN/>
      <w:spacing w:before="480" w:after="0"/>
      <w:ind w:right="0"/>
      <w:jc w:val="left"/>
      <w:outlineLvl w:val="9"/>
    </w:pPr>
    <w:rPr>
      <w:rFonts w:asciiTheme="majorHAnsi" w:hAnsiTheme="majorHAnsi" w:eastAsiaTheme="majorEastAsia" w:cstheme="majorBidi"/>
      <w:color w:val="376092" w:themeColor="accent1" w:themeShade="BF"/>
      <w:sz w:val="28"/>
      <w:szCs w:val="28"/>
    </w:rPr>
  </w:style>
  <w:style w:type="character" w:customStyle="1" w:styleId="66">
    <w:name w:val="批注框文本 Char"/>
    <w:basedOn w:val="34"/>
    <w:link w:val="24"/>
    <w:autoRedefine/>
    <w:qFormat/>
    <w:uiPriority w:val="0"/>
    <w:rPr>
      <w:rFonts w:ascii="宋体" w:hAnsi="宋体" w:eastAsia="宋体" w:cs="宋体"/>
      <w:sz w:val="18"/>
      <w:szCs w:val="18"/>
      <w:lang w:eastAsia="zh-CN"/>
    </w:rPr>
  </w:style>
  <w:style w:type="character" w:customStyle="1" w:styleId="67">
    <w:name w:val="页脚 Char"/>
    <w:basedOn w:val="34"/>
    <w:link w:val="25"/>
    <w:autoRedefine/>
    <w:qFormat/>
    <w:uiPriority w:val="99"/>
    <w:rPr>
      <w:rFonts w:ascii="宋体" w:hAnsi="宋体" w:eastAsia="宋体" w:cs="宋体"/>
      <w:sz w:val="18"/>
      <w:szCs w:val="22"/>
      <w:lang w:eastAsia="zh-CN"/>
    </w:rPr>
  </w:style>
  <w:style w:type="paragraph" w:customStyle="1" w:styleId="68">
    <w:name w:val="样式 标题 3 + (中文) 黑体 小四 非加粗 段前: 7.8 磅 段后: 0 磅 行距: 固定值 20 磅"/>
    <w:basedOn w:val="4"/>
    <w:autoRedefine/>
    <w:qFormat/>
    <w:uiPriority w:val="0"/>
    <w:pPr>
      <w:spacing w:before="0" w:after="0" w:line="400" w:lineRule="exact"/>
    </w:pPr>
    <w:rPr>
      <w:rFonts w:eastAsia="黑体" w:cs="宋体"/>
      <w:sz w:val="24"/>
      <w:szCs w:val="20"/>
    </w:rPr>
  </w:style>
  <w:style w:type="paragraph" w:styleId="69">
    <w:name w:val="List Paragraph"/>
    <w:basedOn w:val="1"/>
    <w:autoRedefine/>
    <w:qFormat/>
    <w:uiPriority w:val="1"/>
    <w:pPr>
      <w:spacing w:before="72"/>
      <w:ind w:left="800" w:firstLine="539"/>
    </w:pPr>
    <w:rPr>
      <w:rFonts w:ascii="微软雅黑" w:hAnsi="微软雅黑" w:eastAsia="微软雅黑" w:cs="微软雅黑"/>
      <w:lang w:val="zh-CN" w:eastAsia="zh-CN" w:bidi="zh-CN"/>
    </w:rPr>
  </w:style>
  <w:style w:type="character" w:customStyle="1" w:styleId="70">
    <w:name w:val="current[data-v-02f58284]"/>
    <w:basedOn w:val="34"/>
    <w:autoRedefine/>
    <w:qFormat/>
    <w:uiPriority w:val="0"/>
    <w:rPr>
      <w:color w:val="FFFFFF"/>
      <w:shd w:val="clear" w:color="auto" w:fill="065CBC"/>
    </w:rPr>
  </w:style>
  <w:style w:type="character" w:customStyle="1" w:styleId="71">
    <w:name w:val="not([class*=suffix])"/>
    <w:basedOn w:val="34"/>
    <w:autoRedefine/>
    <w:qFormat/>
    <w:uiPriority w:val="0"/>
    <w:rPr>
      <w:sz w:val="19"/>
      <w:szCs w:val="19"/>
    </w:rPr>
  </w:style>
  <w:style w:type="character" w:customStyle="1" w:styleId="72">
    <w:name w:val="not([class*=suffix])1"/>
    <w:basedOn w:val="34"/>
    <w:autoRedefine/>
    <w:qFormat/>
    <w:uiPriority w:val="0"/>
  </w:style>
  <w:style w:type="character" w:customStyle="1" w:styleId="73">
    <w:name w:val="current[data-v-0a447db4]"/>
    <w:basedOn w:val="34"/>
    <w:autoRedefine/>
    <w:qFormat/>
    <w:uiPriority w:val="0"/>
    <w:rPr>
      <w:color w:val="FFFFFF"/>
      <w:shd w:val="clear" w:color="auto" w:fill="065CBC"/>
    </w:rPr>
  </w:style>
  <w:style w:type="character" w:customStyle="1" w:styleId="74">
    <w:name w:val="active[data-v-3f5430ea]"/>
    <w:basedOn w:val="34"/>
    <w:autoRedefine/>
    <w:qFormat/>
    <w:uiPriority w:val="0"/>
    <w:rPr>
      <w:rFonts w:ascii="MicrosoftYaHei" w:hAnsi="MicrosoftYaHei" w:eastAsia="MicrosoftYaHei" w:cs="MicrosoftYaHei"/>
      <w:b/>
      <w:color w:val="2874E4"/>
      <w:sz w:val="24"/>
      <w:szCs w:val="24"/>
    </w:rPr>
  </w:style>
  <w:style w:type="paragraph" w:customStyle="1" w:styleId="75">
    <w:name w:val="WPSOffice手动目录 2"/>
    <w:autoRedefine/>
    <w:qFormat/>
    <w:uiPriority w:val="0"/>
    <w:pPr>
      <w:ind w:leftChars="200"/>
    </w:pPr>
    <w:rPr>
      <w:rFonts w:asciiTheme="minorHAnsi" w:hAnsiTheme="minorHAnsi" w:eastAsiaTheme="minorHAnsi" w:cstheme="minorBidi"/>
      <w:sz w:val="20"/>
      <w:szCs w:val="20"/>
      <w:lang w:val="en-US" w:eastAsia="en-US" w:bidi="ar-SA"/>
    </w:rPr>
  </w:style>
  <w:style w:type="paragraph" w:customStyle="1" w:styleId="76">
    <w:name w:val="WPSOffice手动目录 3"/>
    <w:autoRedefine/>
    <w:qFormat/>
    <w:uiPriority w:val="0"/>
    <w:pPr>
      <w:ind w:leftChars="400"/>
    </w:pPr>
    <w:rPr>
      <w:rFonts w:asciiTheme="minorHAnsi" w:hAnsiTheme="minorHAnsi" w:eastAsiaTheme="minorHAnsi" w:cstheme="minorBidi"/>
      <w:sz w:val="20"/>
      <w:szCs w:val="20"/>
      <w:lang w:val="en-US" w:eastAsia="en-US" w:bidi="ar-SA"/>
    </w:rPr>
  </w:style>
  <w:style w:type="character" w:customStyle="1" w:styleId="77">
    <w:name w:val="current[data-v-3f48f332]"/>
    <w:basedOn w:val="34"/>
    <w:autoRedefine/>
    <w:qFormat/>
    <w:uiPriority w:val="0"/>
    <w:rPr>
      <w:color w:val="FFFFFF"/>
      <w:shd w:val="clear" w:color="auto" w:fill="065CBC"/>
    </w:rPr>
  </w:style>
  <w:style w:type="character" w:customStyle="1" w:styleId="78">
    <w:name w:val="current[data-v-5e1194b2]"/>
    <w:basedOn w:val="34"/>
    <w:autoRedefine/>
    <w:qFormat/>
    <w:uiPriority w:val="0"/>
    <w:rPr>
      <w:color w:val="FFFFFF"/>
      <w:shd w:val="clear" w:color="auto" w:fill="065CBC"/>
    </w:rPr>
  </w:style>
  <w:style w:type="paragraph" w:customStyle="1" w:styleId="79">
    <w:name w:val="Table Text"/>
    <w:basedOn w:val="1"/>
    <w:autoRedefine/>
    <w:semiHidden/>
    <w:qFormat/>
    <w:uiPriority w:val="0"/>
    <w:rPr>
      <w:rFonts w:ascii="宋体" w:hAnsi="宋体" w:eastAsia="宋体" w:cs="宋体"/>
      <w:sz w:val="24"/>
      <w:szCs w:val="24"/>
      <w:lang w:val="en-US" w:eastAsia="en-US" w:bidi="ar-SA"/>
    </w:rPr>
  </w:style>
  <w:style w:type="table" w:customStyle="1" w:styleId="80">
    <w:name w:val="Table Normal"/>
    <w:autoRedefine/>
    <w:semiHidden/>
    <w:unhideWhenUsed/>
    <w:qFormat/>
    <w:uiPriority w:val="0"/>
    <w:tblPr>
      <w:tblCellMar>
        <w:top w:w="0" w:type="dxa"/>
        <w:left w:w="0" w:type="dxa"/>
        <w:bottom w:w="0" w:type="dxa"/>
        <w:right w:w="0" w:type="dxa"/>
      </w:tblCellMar>
    </w:tblPr>
  </w:style>
  <w:style w:type="paragraph" w:customStyle="1" w:styleId="81">
    <w:name w:val="默认段落字体 Para Char"/>
    <w:basedOn w:val="1"/>
    <w:qFormat/>
    <w:uiPriority w:val="0"/>
  </w:style>
  <w:style w:type="paragraph" w:customStyle="1" w:styleId="8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83">
    <w:name w:val="null3"/>
    <w:hidden/>
    <w:qFormat/>
    <w:uiPriority w:val="0"/>
    <w:rPr>
      <w:rFonts w:hint="eastAsia" w:asciiTheme="minorHAnsi" w:hAnsiTheme="minorHAnsi" w:eastAsiaTheme="minorEastAsia" w:cstheme="minorBidi"/>
      <w:lang w:val="en-US" w:eastAsia="zh-Hans"/>
    </w:rPr>
  </w:style>
  <w:style w:type="table" w:customStyle="1" w:styleId="84">
    <w:name w:val="Table Normal_1"/>
    <w:autoRedefine/>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6e23086-8c9a-4c11-a8a6-662e041af4d6}"/>
        <w:style w:val=""/>
        <w:category>
          <w:name w:val="常规"/>
          <w:gallery w:val="placeholder"/>
        </w:category>
        <w:types>
          <w:type w:val="bbPlcHdr"/>
        </w:types>
        <w:behaviors>
          <w:behavior w:val="content"/>
        </w:behaviors>
        <w:description w:val=""/>
        <w:guid w:val="{B6E23086-8C9A-4C11-A8A6-662E041AF4D6}"/>
      </w:docPartPr>
      <w:docPartBody>
        <w:p w14:paraId="2A0EE8CE">
          <w:r>
            <w:rPr>
              <w:color w:val="808080"/>
            </w:rPr>
            <w:t>单击此处输入文字。</w:t>
          </w:r>
        </w:p>
      </w:docPartBody>
    </w:docPart>
    <w:docPart>
      <w:docPartPr>
        <w:name w:val="{e117c76c-5c5a-42b5-9749-126ec3f270e5}"/>
        <w:style w:val=""/>
        <w:category>
          <w:name w:val="常规"/>
          <w:gallery w:val="placeholder"/>
        </w:category>
        <w:types>
          <w:type w:val="bbPlcHdr"/>
        </w:types>
        <w:behaviors>
          <w:behavior w:val="content"/>
        </w:behaviors>
        <w:description w:val=""/>
        <w:guid w:val="{E117C76C-5C5A-42B5-9749-126EC3F270E5}"/>
      </w:docPartPr>
      <w:docPartBody>
        <w:p w14:paraId="75AA1EFC">
          <w:r>
            <w:rPr>
              <w:color w:val="808080"/>
            </w:rPr>
            <w:t>单击此处输入文字。</w:t>
          </w:r>
        </w:p>
      </w:docPartBody>
    </w:docPart>
    <w:docPart>
      <w:docPartPr>
        <w:name w:val="{40a875ad-3b01-4252-93b0-5b1dada79be7}"/>
        <w:style w:val=""/>
        <w:category>
          <w:name w:val="常规"/>
          <w:gallery w:val="placeholder"/>
        </w:category>
        <w:types>
          <w:type w:val="bbPlcHdr"/>
        </w:types>
        <w:behaviors>
          <w:behavior w:val="content"/>
        </w:behaviors>
        <w:description w:val=""/>
        <w:guid w:val="{40A875AD-3B01-4252-93B0-5B1DADA79BE7}"/>
      </w:docPartPr>
      <w:docPartBody>
        <w:p w14:paraId="5148C351">
          <w:r>
            <w:rPr>
              <w:color w:val="808080"/>
            </w:rPr>
            <w:t>单击此处输入文字。</w:t>
          </w:r>
        </w:p>
      </w:docPartBody>
    </w:docPart>
    <w:docPart>
      <w:docPartPr>
        <w:name w:val="{2df530c5-c0c1-471c-bba3-ad68dee91d19}"/>
        <w:style w:val=""/>
        <w:category>
          <w:name w:val="常规"/>
          <w:gallery w:val="placeholder"/>
        </w:category>
        <w:types>
          <w:type w:val="bbPlcHdr"/>
        </w:types>
        <w:behaviors>
          <w:behavior w:val="content"/>
        </w:behaviors>
        <w:description w:val=""/>
        <w:guid w:val="{2DF530C5-C0C1-471C-BBA3-AD68DEE91D19}"/>
      </w:docPartPr>
      <w:docPartBody>
        <w:p w14:paraId="35F491AC">
          <w:r>
            <w:rPr>
              <w:color w:val="808080"/>
            </w:rPr>
            <w:t>单击此处输入文字。</w:t>
          </w:r>
        </w:p>
      </w:docPartBody>
    </w:docPart>
    <w:docPart>
      <w:docPartPr>
        <w:name w:val="{1a51e5e9-a6f9-48b7-a070-4f30ed9096a7}"/>
        <w:style w:val=""/>
        <w:category>
          <w:name w:val="常规"/>
          <w:gallery w:val="placeholder"/>
        </w:category>
        <w:types>
          <w:type w:val="bbPlcHdr"/>
        </w:types>
        <w:behaviors>
          <w:behavior w:val="content"/>
        </w:behaviors>
        <w:description w:val=""/>
        <w:guid w:val="{1A51E5E9-A6F9-48B7-A070-4F30ED9096A7}"/>
      </w:docPartPr>
      <w:docPartBody>
        <w:p w14:paraId="781DFE38">
          <w:r>
            <w:rPr>
              <w:color w:val="808080"/>
            </w:rPr>
            <w:t>单击此处输入文字。</w:t>
          </w:r>
        </w:p>
      </w:docPartBody>
    </w:docPart>
    <w:docPart>
      <w:docPartPr>
        <w:name w:val="{47ff0ac5-f344-4f08-b0bc-f79bf52e98b9}"/>
        <w:style w:val=""/>
        <w:category>
          <w:name w:val="常规"/>
          <w:gallery w:val="placeholder"/>
        </w:category>
        <w:types>
          <w:type w:val="bbPlcHdr"/>
        </w:types>
        <w:behaviors>
          <w:behavior w:val="content"/>
        </w:behaviors>
        <w:description w:val=""/>
        <w:guid w:val="{47FF0AC5-F344-4F08-B0BC-F79BF52E98B9}"/>
      </w:docPartPr>
      <w:docPartBody>
        <w:p w14:paraId="129A9D84">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atentStyles>
  <w:style w:type="paragraph" w:default="1" w:styleId="1">
    <w:name w:val="Normal"/>
    <w:autoRedefine/>
    <w:qFormat/>
    <w:uiPriority w:val="0"/>
    <w:rPr>
      <w:rFonts w:asciiTheme="minorHAnsi" w:hAnsiTheme="minorHAnsi" w:eastAsiaTheme="minorEastAsia" w:cstheme="minorBidi"/>
    </w:rPr>
  </w:style>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FA8F07-50DA-453A-A3E8-5BA9E407E739}">
  <ds:schemaRefs/>
</ds:datastoreItem>
</file>

<file path=docProps/app.xml><?xml version="1.0" encoding="utf-8"?>
<Properties xmlns="http://schemas.openxmlformats.org/officeDocument/2006/extended-properties" xmlns:vt="http://schemas.openxmlformats.org/officeDocument/2006/docPropsVTypes">
  <Template>Normal</Template>
  <Pages>73</Pages>
  <Words>22128</Words>
  <Characters>23544</Characters>
  <Lines>193</Lines>
  <Paragraphs>54</Paragraphs>
  <TotalTime>143</TotalTime>
  <ScaleCrop>false</ScaleCrop>
  <LinksUpToDate>false</LinksUpToDate>
  <CharactersWithSpaces>23888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2020-06-23T03:07:00Z</dcterms:created>
  <dc:creator>zhang</dc:creator>
  <cp:lastModifiedBy>Administrator</cp:lastModifiedBy>
  <cp:lastPrinted>2026-09-28T08:59:00Z</cp:lastPrinted>
  <dcterms:modified xsi:type="dcterms:W3CDTF">2026-10-19T01:45:50Z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54EC69747FE243C4B4D18CD2AFCE2FDD_13</vt:lpwstr>
  </property>
  <property fmtid="{D5CDD505-2E9C-101B-9397-08002B2CF9AE}" pid="3" name="KSOProductBuildVer">
    <vt:lpwstr>2052-12.1.0.29161</vt:lpwstr>
  </property>
  <property fmtid="{D5CDD505-2E9C-101B-9397-08002B2CF9AE}" pid="4" name="KSOTemplateDocerSaveRecord">
    <vt:lpwstr>eyJoZGlkIjoiY2U2YWY5MzE5N2JjNDhmMjU2YzFlMDgxMTUzYzljY2MiLCJ1c2VySWQiOiIzMDY3MTQ2NiJ9</vt:lpwstr>
  </property>
</Properties>
</file>