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FED2">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b/>
          <w:bCs/>
          <w:sz w:val="72"/>
          <w:szCs w:val="72"/>
          <w:lang w:val="en-US" w:eastAsia="zh-CN"/>
        </w:rPr>
      </w:pPr>
      <w:bookmarkStart w:id="0" w:name="_Toc144974478"/>
      <w:bookmarkStart w:id="1" w:name="_Toc152042286"/>
    </w:p>
    <w:p w14:paraId="1CAFEAF4">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2026年固始县公安局DNA实验室</w:t>
      </w:r>
    </w:p>
    <w:p w14:paraId="6781CD3E">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购置试剂盒及耗材项目</w:t>
      </w:r>
    </w:p>
    <w:p w14:paraId="2B494402">
      <w:pPr>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jc w:val="center"/>
        <w:textAlignment w:val="auto"/>
        <w:outlineLvl w:val="9"/>
        <w:rPr>
          <w:rFonts w:hint="eastAsia" w:ascii="宋体" w:hAnsi="宋体" w:eastAsia="宋体" w:cs="宋体"/>
          <w:b/>
          <w:sz w:val="60"/>
          <w:szCs w:val="192"/>
          <w:lang w:val="en-US" w:eastAsia="zh-CN"/>
        </w:rPr>
      </w:pPr>
      <w:r>
        <w:rPr>
          <w:rFonts w:hint="eastAsia" w:ascii="宋体" w:hAnsi="宋体" w:eastAsia="宋体" w:cs="宋体"/>
          <w:b/>
          <w:sz w:val="60"/>
          <w:szCs w:val="192"/>
          <w:lang w:val="en-US" w:eastAsia="zh-CN"/>
        </w:rPr>
        <w:t>竞争性</w:t>
      </w:r>
      <w:r>
        <w:rPr>
          <w:rFonts w:hint="eastAsia" w:ascii="宋体" w:hAnsi="宋体" w:eastAsia="宋体" w:cs="宋体"/>
          <w:b/>
          <w:sz w:val="60"/>
          <w:szCs w:val="192"/>
          <w:lang w:eastAsia="zh-CN"/>
        </w:rPr>
        <w:t>磋商</w:t>
      </w:r>
      <w:r>
        <w:rPr>
          <w:rFonts w:hint="eastAsia" w:ascii="宋体" w:hAnsi="宋体" w:eastAsia="宋体" w:cs="宋体"/>
          <w:b/>
          <w:sz w:val="60"/>
          <w:szCs w:val="192"/>
          <w:lang w:val="en-US" w:eastAsia="zh-CN"/>
        </w:rPr>
        <w:t>文件</w:t>
      </w:r>
    </w:p>
    <w:p w14:paraId="3C0DCEFB">
      <w:pPr>
        <w:ind w:left="0" w:leftChars="0" w:firstLine="0" w:firstLineChars="0"/>
        <w:jc w:val="center"/>
        <w:rPr>
          <w:rFonts w:hint="default" w:ascii="楷体" w:hAnsi="楷体" w:eastAsia="楷体" w:cs="楷体"/>
          <w:sz w:val="24"/>
          <w:szCs w:val="28"/>
          <w:lang w:val="en-US" w:eastAsia="zh-CN"/>
        </w:rPr>
      </w:pPr>
      <w:r>
        <w:rPr>
          <w:rFonts w:hint="eastAsia" w:ascii="楷体" w:hAnsi="楷体" w:eastAsia="楷体" w:cs="楷体"/>
          <w:b w:val="0"/>
          <w:bCs/>
          <w:color w:val="000000"/>
          <w:sz w:val="28"/>
          <w:szCs w:val="28"/>
        </w:rPr>
        <w:t>采购编号：固财磋商采购-202</w:t>
      </w:r>
      <w:r>
        <w:rPr>
          <w:rFonts w:hint="eastAsia" w:ascii="楷体" w:hAnsi="楷体" w:eastAsia="楷体" w:cs="楷体"/>
          <w:b w:val="0"/>
          <w:bCs/>
          <w:color w:val="000000"/>
          <w:sz w:val="28"/>
          <w:szCs w:val="28"/>
          <w:lang w:val="en-US" w:eastAsia="zh-CN"/>
        </w:rPr>
        <w:t>6</w:t>
      </w:r>
      <w:r>
        <w:rPr>
          <w:rFonts w:hint="eastAsia" w:ascii="楷体" w:hAnsi="楷体" w:eastAsia="楷体" w:cs="楷体"/>
          <w:b w:val="0"/>
          <w:bCs/>
          <w:color w:val="000000"/>
          <w:sz w:val="28"/>
          <w:szCs w:val="28"/>
        </w:rPr>
        <w:t>-</w:t>
      </w:r>
      <w:r>
        <w:rPr>
          <w:rFonts w:hint="eastAsia" w:ascii="楷体" w:hAnsi="楷体" w:eastAsia="楷体" w:cs="楷体"/>
          <w:b w:val="0"/>
          <w:bCs/>
          <w:color w:val="000000"/>
          <w:sz w:val="28"/>
          <w:szCs w:val="28"/>
          <w:lang w:val="en-US" w:eastAsia="zh-CN"/>
        </w:rPr>
        <w:t>40</w:t>
      </w:r>
    </w:p>
    <w:p w14:paraId="41A80744">
      <w:pPr>
        <w:pStyle w:val="3"/>
        <w:rPr>
          <w:rFonts w:ascii="宋体" w:hAnsi="宋体"/>
        </w:rPr>
      </w:pPr>
    </w:p>
    <w:p w14:paraId="3357F03A">
      <w:pPr>
        <w:pStyle w:val="2"/>
        <w:ind w:firstLine="210"/>
        <w:rPr>
          <w:rFonts w:ascii="宋体" w:hAnsi="宋体"/>
        </w:rPr>
      </w:pPr>
    </w:p>
    <w:p w14:paraId="23563E01">
      <w:pPr>
        <w:pStyle w:val="2"/>
        <w:spacing w:line="240" w:lineRule="auto"/>
        <w:ind w:left="0" w:leftChars="0"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2335530" cy="2335530"/>
            <wp:effectExtent l="0" t="0" r="0" b="0"/>
            <wp:docPr id="4" name="图片 4"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采购中心标识"/>
                    <pic:cNvPicPr>
                      <a:picLocks noChangeAspect="1"/>
                    </pic:cNvPicPr>
                  </pic:nvPicPr>
                  <pic:blipFill>
                    <a:blip r:embed="rId16"/>
                    <a:stretch>
                      <a:fillRect/>
                    </a:stretch>
                  </pic:blipFill>
                  <pic:spPr>
                    <a:xfrm>
                      <a:off x="0" y="0"/>
                      <a:ext cx="2335530" cy="2335530"/>
                    </a:xfrm>
                    <a:prstGeom prst="rect">
                      <a:avLst/>
                    </a:prstGeom>
                  </pic:spPr>
                </pic:pic>
              </a:graphicData>
            </a:graphic>
          </wp:inline>
        </w:drawing>
      </w:r>
    </w:p>
    <w:p w14:paraId="0F2C08F3">
      <w:pPr>
        <w:pStyle w:val="21"/>
        <w:tabs>
          <w:tab w:val="left" w:pos="945"/>
          <w:tab w:val="left" w:pos="1155"/>
        </w:tabs>
        <w:ind w:firstLine="560"/>
      </w:pPr>
    </w:p>
    <w:p w14:paraId="5B362C1B"/>
    <w:p w14:paraId="351F75A2">
      <w:pPr>
        <w:pStyle w:val="3"/>
      </w:pPr>
    </w:p>
    <w:p w14:paraId="17417DAF">
      <w:pPr>
        <w:keepNext w:val="0"/>
        <w:keepLines w:val="0"/>
        <w:pageBreakBefore w:val="0"/>
        <w:widowControl/>
        <w:tabs>
          <w:tab w:val="right" w:pos="6904"/>
        </w:tabs>
        <w:kinsoku/>
        <w:wordWrap/>
        <w:overflowPunct/>
        <w:topLinePunct w:val="0"/>
        <w:autoSpaceDE/>
        <w:autoSpaceDN/>
        <w:bidi w:val="0"/>
        <w:adjustRightInd/>
        <w:snapToGrid/>
        <w:spacing w:line="480" w:lineRule="auto"/>
        <w:ind w:firstLine="2249" w:firstLineChars="700"/>
        <w:textAlignment w:val="auto"/>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val="en-US" w:eastAsia="zh-CN"/>
        </w:rPr>
        <w:t>固始县公安局</w:t>
      </w:r>
      <w:r>
        <w:rPr>
          <w:rFonts w:hint="eastAsia" w:ascii="宋体" w:hAnsi="宋体" w:cs="宋体"/>
          <w:b/>
          <w:bCs/>
          <w:kern w:val="0"/>
          <w:sz w:val="32"/>
          <w:szCs w:val="32"/>
          <w:lang w:eastAsia="zh-CN"/>
        </w:rPr>
        <w:tab/>
      </w:r>
    </w:p>
    <w:p w14:paraId="04994BEA">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default" w:ascii="宋体" w:hAnsi="宋体" w:eastAsia="宋体" w:cs="宋体"/>
          <w:b/>
          <w:bCs/>
          <w:kern w:val="0"/>
          <w:sz w:val="32"/>
          <w:szCs w:val="32"/>
          <w:lang w:val="en-US" w:eastAsia="zh-CN"/>
        </w:rPr>
      </w:pPr>
      <w:r>
        <w:rPr>
          <w:rFonts w:hint="eastAsia" w:ascii="宋体" w:hAnsi="宋体" w:cs="宋体"/>
          <w:b/>
          <w:bCs/>
          <w:kern w:val="0"/>
          <w:sz w:val="32"/>
          <w:szCs w:val="32"/>
        </w:rPr>
        <w:t>采购代理机构：</w:t>
      </w:r>
      <w:r>
        <w:rPr>
          <w:rFonts w:hint="eastAsia" w:ascii="宋体" w:hAnsi="宋体" w:cs="宋体"/>
          <w:b/>
          <w:bCs/>
          <w:color w:val="000000"/>
          <w:kern w:val="0"/>
          <w:sz w:val="32"/>
          <w:szCs w:val="32"/>
          <w:lang w:val="en-US" w:eastAsia="zh-CN"/>
        </w:rPr>
        <w:t>固始县采购中心</w:t>
      </w:r>
    </w:p>
    <w:p w14:paraId="59AE5C0F">
      <w:pPr>
        <w:keepNext w:val="0"/>
        <w:keepLines w:val="0"/>
        <w:pageBreakBefore w:val="0"/>
        <w:widowControl/>
        <w:kinsoku/>
        <w:wordWrap/>
        <w:overflowPunct/>
        <w:topLinePunct w:val="0"/>
        <w:autoSpaceDE/>
        <w:autoSpaceDN/>
        <w:bidi w:val="0"/>
        <w:adjustRightInd/>
        <w:snapToGrid/>
        <w:spacing w:line="480" w:lineRule="auto"/>
        <w:ind w:firstLine="2249" w:firstLineChars="700"/>
        <w:textAlignment w:val="auto"/>
        <w:rPr>
          <w:rFonts w:hint="eastAsia" w:ascii="宋体" w:hAnsi="宋体" w:cs="宋体"/>
          <w:b/>
          <w:sz w:val="28"/>
          <w:szCs w:val="28"/>
        </w:rPr>
      </w:pPr>
      <w:r>
        <w:rPr>
          <w:rFonts w:hint="eastAsia" w:ascii="宋体" w:hAnsi="宋体" w:cs="宋体"/>
          <w:b/>
          <w:bCs/>
          <w:kern w:val="0"/>
          <w:sz w:val="32"/>
          <w:szCs w:val="32"/>
        </w:rPr>
        <w:t>日        期：二</w:t>
      </w:r>
      <w:r>
        <w:rPr>
          <w:rFonts w:hint="eastAsia" w:ascii="宋体" w:hAnsi="宋体" w:cs="宋体"/>
          <w:b/>
          <w:bCs/>
          <w:kern w:val="0"/>
          <w:sz w:val="32"/>
          <w:szCs w:val="32"/>
          <w:lang w:val="en-US" w:eastAsia="zh-CN"/>
        </w:rPr>
        <w:t>零</w:t>
      </w:r>
      <w:r>
        <w:rPr>
          <w:rFonts w:hint="eastAsia" w:ascii="宋体" w:hAnsi="宋体" w:cs="宋体"/>
          <w:b/>
          <w:bCs/>
          <w:kern w:val="0"/>
          <w:sz w:val="32"/>
          <w:szCs w:val="32"/>
        </w:rPr>
        <w:t>二</w:t>
      </w:r>
      <w:r>
        <w:rPr>
          <w:rFonts w:hint="eastAsia" w:ascii="宋体" w:hAnsi="宋体" w:cs="宋体"/>
          <w:b/>
          <w:bCs/>
          <w:kern w:val="0"/>
          <w:sz w:val="32"/>
          <w:szCs w:val="32"/>
          <w:lang w:val="en-US" w:eastAsia="zh-CN"/>
        </w:rPr>
        <w:t>六</w:t>
      </w:r>
      <w:r>
        <w:rPr>
          <w:rFonts w:hint="eastAsia" w:ascii="宋体" w:hAnsi="宋体" w:cs="宋体"/>
          <w:b/>
          <w:bCs/>
          <w:kern w:val="0"/>
          <w:sz w:val="32"/>
          <w:szCs w:val="32"/>
        </w:rPr>
        <w:t>年</w:t>
      </w:r>
      <w:r>
        <w:rPr>
          <w:rFonts w:hint="eastAsia" w:ascii="宋体" w:hAnsi="宋体" w:cs="宋体"/>
          <w:b/>
          <w:bCs/>
          <w:kern w:val="0"/>
          <w:sz w:val="32"/>
          <w:szCs w:val="32"/>
          <w:lang w:val="en-US" w:eastAsia="zh-CN"/>
        </w:rPr>
        <w:t>六</w:t>
      </w:r>
      <w:r>
        <w:rPr>
          <w:rFonts w:hint="eastAsia" w:ascii="宋体" w:hAnsi="宋体" w:cs="宋体"/>
          <w:b/>
          <w:bCs/>
          <w:kern w:val="0"/>
          <w:sz w:val="32"/>
          <w:szCs w:val="32"/>
        </w:rPr>
        <w:t>月</w:t>
      </w:r>
    </w:p>
    <w:p w14:paraId="5E2CF2F4">
      <w:pPr>
        <w:pStyle w:val="8"/>
        <w:ind w:firstLine="0" w:firstLineChars="0"/>
        <w:jc w:val="center"/>
        <w:rPr>
          <w:rFonts w:hint="eastAsia" w:ascii="宋体" w:hAnsi="宋体" w:cs="宋体"/>
          <w:b/>
          <w:sz w:val="36"/>
          <w:szCs w:val="24"/>
        </w:rPr>
        <w:sectPr>
          <w:headerReference r:id="rId5" w:type="default"/>
          <w:footerReference r:id="rId6" w:type="default"/>
          <w:pgSz w:w="11850" w:h="16783"/>
          <w:pgMar w:top="1134" w:right="1134" w:bottom="1134" w:left="1417" w:header="850" w:footer="669" w:gutter="0"/>
          <w:pgNumType w:fmt="numberInDash" w:start="1"/>
          <w:cols w:space="720" w:num="1"/>
          <w:rtlGutter w:val="0"/>
          <w:docGrid w:type="lines" w:linePitch="380" w:charSpace="0"/>
        </w:sectPr>
      </w:pPr>
    </w:p>
    <w:p w14:paraId="3AB827FC">
      <w:pPr>
        <w:pStyle w:val="8"/>
        <w:ind w:firstLine="0" w:firstLineChars="0"/>
        <w:jc w:val="center"/>
        <w:rPr>
          <w:rFonts w:ascii="宋体" w:hAnsi="宋体" w:cs="宋体"/>
          <w:b/>
          <w:sz w:val="52"/>
          <w:szCs w:val="40"/>
        </w:rPr>
      </w:pPr>
      <w:r>
        <w:rPr>
          <w:rFonts w:hint="eastAsia" w:ascii="宋体" w:hAnsi="宋体" w:cs="宋体"/>
          <w:b/>
          <w:sz w:val="36"/>
          <w:szCs w:val="24"/>
        </w:rPr>
        <w:t>目    录</w:t>
      </w:r>
      <w:bookmarkEnd w:id="0"/>
      <w:bookmarkEnd w:id="1"/>
      <w:bookmarkStart w:id="2" w:name="_Toc490667779"/>
      <w:bookmarkStart w:id="3" w:name="_Toc152042287"/>
      <w:bookmarkStart w:id="4" w:name="_Toc144974479"/>
      <w:bookmarkStart w:id="5" w:name="_Toc152045511"/>
    </w:p>
    <w:p w14:paraId="67280EE9">
      <w:pPr>
        <w:pStyle w:val="16"/>
        <w:tabs>
          <w:tab w:val="right" w:leader="dot" w:pos="9040"/>
        </w:tabs>
        <w:spacing w:line="600" w:lineRule="auto"/>
        <w:ind w:firstLine="0" w:firstLineChars="0"/>
        <w:rPr>
          <w:rFonts w:ascii="宋体" w:hAnsi="宋体" w:eastAsia="宋体" w:cs="宋体"/>
          <w:sz w:val="24"/>
          <w:szCs w:val="24"/>
        </w:rPr>
      </w:pPr>
    </w:p>
    <w:p w14:paraId="1ABB6D34">
      <w:pPr>
        <w:pStyle w:val="16"/>
        <w:tabs>
          <w:tab w:val="right" w:leader="dot" w:pos="9040"/>
        </w:tabs>
        <w:spacing w:line="600" w:lineRule="auto"/>
        <w:ind w:firstLine="0" w:firstLineChars="0"/>
        <w:rPr>
          <w:sz w:val="24"/>
          <w:szCs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fldChar w:fldCharType="begin"/>
      </w:r>
      <w:r>
        <w:instrText xml:space="preserve"> HYPERLINK \l "_Toc19546" </w:instrText>
      </w:r>
      <w:r>
        <w:fldChar w:fldCharType="separate"/>
      </w:r>
      <w:r>
        <w:rPr>
          <w:rFonts w:hint="eastAsia" w:ascii="宋体" w:hAnsi="宋体" w:cs="宋体"/>
          <w:bCs/>
          <w:sz w:val="24"/>
          <w:szCs w:val="40"/>
        </w:rPr>
        <w:t>第一章 竞争性磋商公告</w:t>
      </w:r>
      <w:r>
        <w:rPr>
          <w:sz w:val="24"/>
          <w:szCs w:val="28"/>
        </w:rPr>
        <w:tab/>
      </w:r>
      <w:r>
        <w:rPr>
          <w:sz w:val="24"/>
          <w:szCs w:val="28"/>
        </w:rPr>
        <w:fldChar w:fldCharType="begin"/>
      </w:r>
      <w:r>
        <w:rPr>
          <w:sz w:val="24"/>
          <w:szCs w:val="28"/>
        </w:rPr>
        <w:instrText xml:space="preserve"> PAGEREF _Toc19546 \h </w:instrText>
      </w:r>
      <w:r>
        <w:rPr>
          <w:sz w:val="24"/>
          <w:szCs w:val="28"/>
        </w:rPr>
        <w:fldChar w:fldCharType="separate"/>
      </w:r>
      <w:r>
        <w:rPr>
          <w:sz w:val="24"/>
          <w:szCs w:val="28"/>
        </w:rPr>
        <w:t>5</w:t>
      </w:r>
      <w:r>
        <w:rPr>
          <w:sz w:val="24"/>
          <w:szCs w:val="28"/>
        </w:rPr>
        <w:fldChar w:fldCharType="end"/>
      </w:r>
      <w:r>
        <w:rPr>
          <w:sz w:val="24"/>
          <w:szCs w:val="28"/>
        </w:rPr>
        <w:fldChar w:fldCharType="end"/>
      </w:r>
    </w:p>
    <w:p w14:paraId="01A05033">
      <w:pPr>
        <w:pStyle w:val="16"/>
        <w:tabs>
          <w:tab w:val="right" w:leader="dot" w:pos="9040"/>
        </w:tabs>
        <w:spacing w:line="600" w:lineRule="auto"/>
        <w:ind w:firstLine="0" w:firstLineChars="0"/>
        <w:rPr>
          <w:sz w:val="24"/>
          <w:szCs w:val="28"/>
        </w:rPr>
      </w:pPr>
      <w:r>
        <w:fldChar w:fldCharType="begin"/>
      </w:r>
      <w:r>
        <w:instrText xml:space="preserve"> HYPERLINK \l "_Toc9894" </w:instrText>
      </w:r>
      <w:r>
        <w:fldChar w:fldCharType="separate"/>
      </w:r>
      <w:r>
        <w:rPr>
          <w:rFonts w:hint="eastAsia" w:ascii="宋体" w:hAnsi="宋体" w:cs="宋体"/>
          <w:bCs/>
          <w:sz w:val="24"/>
          <w:szCs w:val="40"/>
        </w:rPr>
        <w:t>第二章 供应商须知</w:t>
      </w:r>
      <w:r>
        <w:rPr>
          <w:sz w:val="24"/>
          <w:szCs w:val="28"/>
        </w:rPr>
        <w:tab/>
      </w:r>
      <w:r>
        <w:rPr>
          <w:rFonts w:hint="eastAsia"/>
          <w:sz w:val="24"/>
          <w:szCs w:val="28"/>
        </w:rPr>
        <w:t>1</w:t>
      </w:r>
      <w:r>
        <w:rPr>
          <w:rFonts w:hint="eastAsia"/>
          <w:sz w:val="24"/>
          <w:szCs w:val="28"/>
        </w:rPr>
        <w:fldChar w:fldCharType="end"/>
      </w:r>
      <w:r>
        <w:rPr>
          <w:rFonts w:hint="eastAsia"/>
          <w:sz w:val="24"/>
          <w:szCs w:val="28"/>
        </w:rPr>
        <w:t>1</w:t>
      </w:r>
    </w:p>
    <w:p w14:paraId="55CEE10D">
      <w:pPr>
        <w:pStyle w:val="16"/>
        <w:tabs>
          <w:tab w:val="right" w:leader="dot" w:pos="9040"/>
        </w:tabs>
        <w:spacing w:line="600" w:lineRule="auto"/>
        <w:ind w:firstLine="0" w:firstLineChars="0"/>
        <w:rPr>
          <w:rFonts w:ascii="宋体" w:hAnsi="宋体" w:cs="宋体"/>
          <w:b/>
          <w:bCs/>
          <w:sz w:val="24"/>
          <w:szCs w:val="24"/>
        </w:rPr>
      </w:pPr>
      <w:r>
        <w:fldChar w:fldCharType="begin"/>
      </w:r>
      <w:r>
        <w:instrText xml:space="preserve"> HYPERLINK \l "_Toc4131" </w:instrText>
      </w:r>
      <w:r>
        <w:fldChar w:fldCharType="separate"/>
      </w:r>
      <w:r>
        <w:rPr>
          <w:rFonts w:hint="eastAsia" w:ascii="宋体" w:hAnsi="宋体" w:cs="宋体"/>
          <w:kern w:val="44"/>
          <w:sz w:val="24"/>
          <w:szCs w:val="40"/>
        </w:rPr>
        <w:t>第三章 评审办法（综合评分法）</w:t>
      </w:r>
      <w:r>
        <w:rPr>
          <w:sz w:val="24"/>
          <w:szCs w:val="28"/>
        </w:rPr>
        <w:tab/>
      </w:r>
      <w:r>
        <w:rPr>
          <w:sz w:val="24"/>
          <w:szCs w:val="28"/>
        </w:rPr>
        <w:fldChar w:fldCharType="begin"/>
      </w:r>
      <w:r>
        <w:rPr>
          <w:sz w:val="24"/>
          <w:szCs w:val="28"/>
        </w:rPr>
        <w:instrText xml:space="preserve"> PAGEREF _Toc4131 \h </w:instrText>
      </w:r>
      <w:r>
        <w:rPr>
          <w:sz w:val="24"/>
          <w:szCs w:val="28"/>
        </w:rPr>
        <w:fldChar w:fldCharType="separate"/>
      </w:r>
      <w:r>
        <w:rPr>
          <w:sz w:val="24"/>
          <w:szCs w:val="28"/>
        </w:rPr>
        <w:t>24</w:t>
      </w:r>
      <w:r>
        <w:rPr>
          <w:sz w:val="24"/>
          <w:szCs w:val="28"/>
        </w:rPr>
        <w:fldChar w:fldCharType="end"/>
      </w:r>
      <w:r>
        <w:rPr>
          <w:sz w:val="24"/>
          <w:szCs w:val="28"/>
        </w:rPr>
        <w:fldChar w:fldCharType="end"/>
      </w:r>
    </w:p>
    <w:p w14:paraId="59B195A3">
      <w:pPr>
        <w:pStyle w:val="16"/>
        <w:tabs>
          <w:tab w:val="right" w:leader="dot" w:pos="9040"/>
        </w:tabs>
        <w:spacing w:line="600" w:lineRule="auto"/>
        <w:ind w:firstLine="0" w:firstLineChars="0"/>
        <w:rPr>
          <w:sz w:val="24"/>
          <w:szCs w:val="28"/>
        </w:rPr>
      </w:pPr>
      <w:r>
        <w:fldChar w:fldCharType="begin"/>
      </w:r>
      <w:r>
        <w:instrText xml:space="preserve"> HYPERLINK \l "_Toc27582" </w:instrText>
      </w:r>
      <w:r>
        <w:fldChar w:fldCharType="separate"/>
      </w:r>
      <w:r>
        <w:rPr>
          <w:rFonts w:hint="eastAsia" w:ascii="宋体" w:hAnsi="宋体" w:cs="宋体"/>
          <w:kern w:val="44"/>
          <w:sz w:val="24"/>
          <w:szCs w:val="40"/>
        </w:rPr>
        <w:t>第四章 河南省政府采购合同（参考文本）</w:t>
      </w:r>
      <w:r>
        <w:rPr>
          <w:sz w:val="24"/>
          <w:szCs w:val="28"/>
        </w:rPr>
        <w:tab/>
      </w:r>
      <w:r>
        <w:rPr>
          <w:rFonts w:hint="eastAsia"/>
          <w:sz w:val="24"/>
          <w:szCs w:val="28"/>
        </w:rPr>
        <w:t>3</w:t>
      </w:r>
      <w:r>
        <w:rPr>
          <w:rFonts w:hint="eastAsia"/>
          <w:sz w:val="24"/>
          <w:szCs w:val="28"/>
        </w:rPr>
        <w:fldChar w:fldCharType="end"/>
      </w:r>
      <w:r>
        <w:rPr>
          <w:rFonts w:hint="eastAsia"/>
          <w:sz w:val="24"/>
          <w:szCs w:val="28"/>
        </w:rPr>
        <w:t>4</w:t>
      </w:r>
    </w:p>
    <w:p w14:paraId="59E44A7A">
      <w:pPr>
        <w:pStyle w:val="16"/>
        <w:tabs>
          <w:tab w:val="right" w:leader="dot" w:pos="9040"/>
        </w:tabs>
        <w:spacing w:line="600" w:lineRule="auto"/>
        <w:ind w:firstLine="0" w:firstLineChars="0"/>
        <w:rPr>
          <w:sz w:val="24"/>
          <w:szCs w:val="28"/>
        </w:rPr>
      </w:pPr>
      <w:r>
        <w:fldChar w:fldCharType="begin"/>
      </w:r>
      <w:r>
        <w:instrText xml:space="preserve"> HYPERLINK \l "_Toc16235" </w:instrText>
      </w:r>
      <w:r>
        <w:fldChar w:fldCharType="separate"/>
      </w:r>
      <w:r>
        <w:rPr>
          <w:rFonts w:hint="eastAsia" w:ascii="宋体" w:hAnsi="宋体" w:cs="宋体"/>
          <w:sz w:val="24"/>
          <w:szCs w:val="36"/>
        </w:rPr>
        <w:t>第五章 采购项目技术参数、规格与要求</w:t>
      </w:r>
      <w:r>
        <w:rPr>
          <w:sz w:val="24"/>
          <w:szCs w:val="28"/>
        </w:rPr>
        <w:tab/>
      </w:r>
      <w:r>
        <w:rPr>
          <w:rFonts w:hint="eastAsia"/>
          <w:sz w:val="24"/>
          <w:szCs w:val="28"/>
        </w:rPr>
        <w:t>3</w:t>
      </w:r>
      <w:r>
        <w:rPr>
          <w:rFonts w:hint="eastAsia"/>
          <w:sz w:val="24"/>
          <w:szCs w:val="28"/>
        </w:rPr>
        <w:fldChar w:fldCharType="end"/>
      </w:r>
      <w:r>
        <w:rPr>
          <w:rFonts w:hint="eastAsia"/>
          <w:sz w:val="24"/>
          <w:szCs w:val="28"/>
        </w:rPr>
        <w:t>6</w:t>
      </w:r>
    </w:p>
    <w:p w14:paraId="415861F5">
      <w:pPr>
        <w:pStyle w:val="16"/>
        <w:tabs>
          <w:tab w:val="right" w:leader="dot" w:pos="9040"/>
        </w:tabs>
        <w:spacing w:line="600" w:lineRule="auto"/>
        <w:ind w:firstLine="0" w:firstLineChars="0"/>
        <w:rPr>
          <w:sz w:val="24"/>
          <w:szCs w:val="28"/>
        </w:rPr>
      </w:pPr>
      <w:r>
        <w:fldChar w:fldCharType="begin"/>
      </w:r>
      <w:r>
        <w:instrText xml:space="preserve"> HYPERLINK \l "_Toc14701" </w:instrText>
      </w:r>
      <w:r>
        <w:fldChar w:fldCharType="separate"/>
      </w:r>
      <w:r>
        <w:rPr>
          <w:rFonts w:hint="eastAsia" w:ascii="宋体" w:hAnsi="宋体" w:cs="宋体"/>
          <w:sz w:val="24"/>
          <w:szCs w:val="36"/>
        </w:rPr>
        <w:t>第六章 竞争性磋商响应文件格式</w:t>
      </w:r>
      <w:r>
        <w:rPr>
          <w:sz w:val="24"/>
          <w:szCs w:val="28"/>
        </w:rPr>
        <w:tab/>
      </w:r>
      <w:r>
        <w:rPr>
          <w:rFonts w:hint="eastAsia"/>
          <w:sz w:val="24"/>
          <w:szCs w:val="28"/>
        </w:rPr>
        <w:t>3</w:t>
      </w:r>
      <w:r>
        <w:rPr>
          <w:rFonts w:hint="eastAsia"/>
          <w:sz w:val="24"/>
          <w:szCs w:val="28"/>
        </w:rPr>
        <w:fldChar w:fldCharType="end"/>
      </w:r>
      <w:r>
        <w:rPr>
          <w:rFonts w:hint="eastAsia"/>
          <w:sz w:val="24"/>
          <w:szCs w:val="28"/>
        </w:rPr>
        <w:t>8</w:t>
      </w:r>
    </w:p>
    <w:p w14:paraId="3FA9EF91">
      <w:pPr>
        <w:spacing w:line="440" w:lineRule="exact"/>
        <w:ind w:firstLine="0" w:firstLineChars="0"/>
        <w:rPr>
          <w:rFonts w:ascii="宋体" w:hAnsi="宋体" w:eastAsia="宋体" w:cs="宋体"/>
          <w:szCs w:val="24"/>
        </w:rPr>
      </w:pPr>
    </w:p>
    <w:p w14:paraId="492731DE">
      <w:pPr>
        <w:spacing w:line="440" w:lineRule="exact"/>
        <w:ind w:firstLine="0" w:firstLineChars="0"/>
        <w:rPr>
          <w:rFonts w:ascii="宋体" w:hAnsi="宋体" w:eastAsia="宋体" w:cs="宋体"/>
          <w:szCs w:val="24"/>
        </w:rPr>
      </w:pPr>
      <w:r>
        <w:rPr>
          <w:rFonts w:hint="eastAsia" w:ascii="宋体" w:hAnsi="宋体" w:eastAsia="宋体" w:cs="宋体"/>
          <w:szCs w:val="24"/>
        </w:rPr>
        <w:fldChar w:fldCharType="end"/>
      </w:r>
    </w:p>
    <w:p w14:paraId="4E2FDAEE">
      <w:pPr>
        <w:pStyle w:val="2"/>
        <w:ind w:firstLine="210"/>
        <w:rPr>
          <w:rFonts w:ascii="宋体" w:hAnsi="宋体" w:eastAsia="宋体" w:cs="宋体"/>
          <w:szCs w:val="24"/>
        </w:rPr>
      </w:pPr>
    </w:p>
    <w:p w14:paraId="1324C84D">
      <w:pPr>
        <w:pStyle w:val="21"/>
        <w:rPr>
          <w:rFonts w:ascii="宋体" w:hAnsi="宋体" w:eastAsia="宋体" w:cs="宋体"/>
          <w:szCs w:val="24"/>
        </w:rPr>
      </w:pPr>
    </w:p>
    <w:p w14:paraId="49BE4F3D">
      <w:pPr>
        <w:ind w:firstLine="420"/>
        <w:rPr>
          <w:rFonts w:ascii="宋体" w:hAnsi="宋体" w:eastAsia="宋体" w:cs="宋体"/>
          <w:szCs w:val="24"/>
        </w:rPr>
      </w:pPr>
    </w:p>
    <w:p w14:paraId="212EA0A6">
      <w:pPr>
        <w:pStyle w:val="2"/>
        <w:ind w:firstLine="210"/>
        <w:rPr>
          <w:rFonts w:ascii="宋体" w:hAnsi="宋体" w:eastAsia="宋体" w:cs="宋体"/>
          <w:szCs w:val="24"/>
        </w:rPr>
      </w:pPr>
    </w:p>
    <w:p w14:paraId="7C8AB39D">
      <w:pPr>
        <w:ind w:firstLine="0" w:firstLineChars="0"/>
      </w:pPr>
    </w:p>
    <w:p w14:paraId="35B84459">
      <w:pPr>
        <w:ind w:firstLine="420"/>
        <w:rPr>
          <w:rFonts w:ascii="宋体" w:hAnsi="宋体" w:eastAsia="宋体" w:cs="宋体"/>
          <w:szCs w:val="24"/>
        </w:rPr>
      </w:pPr>
    </w:p>
    <w:p w14:paraId="095BC71A">
      <w:pPr>
        <w:pStyle w:val="21"/>
        <w:ind w:left="0" w:leftChars="0" w:firstLine="0" w:firstLineChars="0"/>
        <w:rPr>
          <w:rFonts w:ascii="宋体" w:hAnsi="宋体" w:eastAsia="宋体" w:cs="宋体"/>
          <w:szCs w:val="24"/>
        </w:rPr>
      </w:pPr>
    </w:p>
    <w:p w14:paraId="5B678BEC">
      <w:pPr>
        <w:ind w:firstLine="420"/>
        <w:rPr>
          <w:rFonts w:ascii="宋体" w:hAnsi="宋体" w:eastAsia="宋体" w:cs="宋体"/>
          <w:szCs w:val="24"/>
        </w:rPr>
      </w:pPr>
    </w:p>
    <w:p w14:paraId="236C0064">
      <w:pPr>
        <w:pStyle w:val="2"/>
        <w:ind w:firstLine="0" w:firstLineChars="0"/>
      </w:pPr>
    </w:p>
    <w:p w14:paraId="3EAC0E6D">
      <w:pPr>
        <w:spacing w:line="240" w:lineRule="auto"/>
        <w:ind w:firstLine="0" w:firstLineChars="0"/>
        <w:jc w:val="center"/>
        <w:rPr>
          <w:rFonts w:ascii="宋体" w:hAnsi="宋体" w:eastAsia="宋体" w:cs="宋体"/>
          <w:b/>
          <w:spacing w:val="14"/>
          <w:sz w:val="44"/>
          <w:szCs w:val="44"/>
        </w:rPr>
        <w:sectPr>
          <w:footerReference r:id="rId7" w:type="default"/>
          <w:pgSz w:w="11850" w:h="16783"/>
          <w:pgMar w:top="1134" w:right="1134" w:bottom="1134" w:left="1417" w:header="850" w:footer="669" w:gutter="0"/>
          <w:pgNumType w:fmt="numberInDash" w:start="1"/>
          <w:cols w:space="720" w:num="1"/>
          <w:rtlGutter w:val="0"/>
          <w:docGrid w:type="lines" w:linePitch="380" w:charSpace="0"/>
        </w:sectPr>
      </w:pPr>
    </w:p>
    <w:p w14:paraId="0C848A9D">
      <w:pPr>
        <w:spacing w:line="240" w:lineRule="auto"/>
        <w:ind w:firstLine="0" w:firstLineChars="0"/>
        <w:jc w:val="center"/>
        <w:rPr>
          <w:rFonts w:ascii="宋体" w:hAnsi="宋体" w:eastAsia="宋体" w:cs="宋体"/>
          <w:b/>
          <w:spacing w:val="14"/>
          <w:sz w:val="44"/>
          <w:szCs w:val="44"/>
        </w:rPr>
      </w:pPr>
      <w:r>
        <w:rPr>
          <w:rFonts w:hint="eastAsia" w:ascii="宋体" w:hAnsi="宋体" w:eastAsia="宋体" w:cs="宋体"/>
          <w:b/>
          <w:spacing w:val="14"/>
          <w:sz w:val="36"/>
          <w:szCs w:val="36"/>
        </w:rPr>
        <w:t>特别提示</w:t>
      </w:r>
    </w:p>
    <w:p w14:paraId="76426DB9">
      <w:pPr>
        <w:spacing w:line="400" w:lineRule="exact"/>
        <w:ind w:firstLine="482"/>
        <w:rPr>
          <w:rFonts w:ascii="宋体" w:hAnsi="宋体" w:cs="宋体"/>
          <w:b/>
          <w:bCs/>
          <w:sz w:val="24"/>
        </w:rPr>
      </w:pPr>
    </w:p>
    <w:p w14:paraId="04A07AD1">
      <w:pPr>
        <w:wordWrap w:val="0"/>
        <w:spacing w:line="360" w:lineRule="auto"/>
        <w:ind w:left="-199" w:leftChars="-95" w:firstLine="440" w:firstLineChars="200"/>
        <w:jc w:val="left"/>
        <w:rPr>
          <w:rFonts w:hint="eastAsia" w:ascii="宋体" w:hAnsi="宋体" w:cs="宋体"/>
          <w:sz w:val="22"/>
          <w:szCs w:val="22"/>
        </w:rPr>
      </w:pPr>
      <w:bookmarkStart w:id="6" w:name="_Toc19546"/>
      <w:bookmarkStart w:id="7" w:name="_Toc30363"/>
      <w:r>
        <w:rPr>
          <w:rFonts w:hint="eastAsia" w:ascii="宋体" w:hAnsi="宋体" w:cs="宋体"/>
          <w:sz w:val="22"/>
          <w:szCs w:val="22"/>
        </w:rPr>
        <w:t>一、投标人（供应商）注册</w:t>
      </w:r>
    </w:p>
    <w:p w14:paraId="018711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2B63BB0C">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6BF09684">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0EEDE35E">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p w14:paraId="2E03BBD7">
      <w:pPr>
        <w:pStyle w:val="18"/>
        <w:tabs>
          <w:tab w:val="right" w:leader="underscore" w:pos="8296"/>
        </w:tabs>
        <w:spacing w:line="360" w:lineRule="auto"/>
        <w:ind w:left="0" w:firstLine="0" w:firstLineChars="0"/>
        <w:jc w:val="center"/>
        <w:outlineLvl w:val="0"/>
        <w:rPr>
          <w:rFonts w:hint="eastAsia" w:ascii="宋体" w:hAnsi="宋体" w:cs="宋体"/>
          <w:b/>
          <w:bCs/>
          <w:sz w:val="32"/>
          <w:szCs w:val="32"/>
        </w:rPr>
      </w:pPr>
    </w:p>
    <w:bookmarkEnd w:id="2"/>
    <w:bookmarkEnd w:id="3"/>
    <w:bookmarkEnd w:id="4"/>
    <w:bookmarkEnd w:id="5"/>
    <w:bookmarkEnd w:id="6"/>
    <w:bookmarkEnd w:id="7"/>
    <w:p w14:paraId="1A749AA2">
      <w:pPr>
        <w:pStyle w:val="4"/>
        <w:tabs>
          <w:tab w:val="left" w:pos="1440"/>
        </w:tabs>
        <w:wordWrap w:val="0"/>
        <w:rPr>
          <w:rFonts w:ascii="宋体" w:hAnsi="宋体" w:cs="宋体"/>
          <w:sz w:val="36"/>
          <w:szCs w:val="24"/>
        </w:rPr>
      </w:pPr>
      <w:bookmarkStart w:id="8" w:name="_Toc2362"/>
      <w:bookmarkStart w:id="9" w:name="_Toc22722"/>
      <w:r>
        <w:rPr>
          <w:rFonts w:hint="eastAsia" w:ascii="宋体" w:hAnsi="宋体" w:cs="宋体"/>
          <w:sz w:val="36"/>
          <w:szCs w:val="24"/>
        </w:rPr>
        <w:t>第一章 竞争性磋商公告</w:t>
      </w:r>
      <w:bookmarkEnd w:id="8"/>
      <w:bookmarkEnd w:id="9"/>
    </w:p>
    <w:p w14:paraId="6E9DF5BB">
      <w:pPr>
        <w:tabs>
          <w:tab w:val="left" w:pos="709"/>
        </w:tabs>
        <w:wordWrap w:val="0"/>
        <w:autoSpaceDE w:val="0"/>
        <w:autoSpaceDN w:val="0"/>
        <w:adjustRightInd w:val="0"/>
        <w:snapToGrid w:val="0"/>
        <w:spacing w:line="360" w:lineRule="auto"/>
        <w:jc w:val="center"/>
        <w:rPr>
          <w:rFonts w:hint="eastAsia" w:ascii="宋体" w:hAnsi="宋体" w:cs="宋体"/>
          <w:b/>
          <w:sz w:val="28"/>
          <w:szCs w:val="28"/>
          <w:lang w:eastAsia="zh-CN"/>
        </w:rPr>
      </w:pPr>
      <w:bookmarkStart w:id="10" w:name="_Toc20435"/>
    </w:p>
    <w:p w14:paraId="00F52898">
      <w:pPr>
        <w:tabs>
          <w:tab w:val="left" w:pos="709"/>
        </w:tabs>
        <w:wordWrap w:val="0"/>
        <w:autoSpaceDE w:val="0"/>
        <w:autoSpaceDN w:val="0"/>
        <w:adjustRightInd w:val="0"/>
        <w:snapToGrid w:val="0"/>
        <w:spacing w:line="360" w:lineRule="auto"/>
        <w:jc w:val="center"/>
        <w:rPr>
          <w:rFonts w:ascii="宋体" w:hAnsi="宋体" w:cs="宋体"/>
          <w:b/>
          <w:sz w:val="28"/>
          <w:szCs w:val="28"/>
        </w:rPr>
      </w:pPr>
      <w:r>
        <w:rPr>
          <w:rFonts w:hint="eastAsia" w:ascii="宋体" w:hAnsi="宋体" w:cs="宋体"/>
          <w:b/>
          <w:sz w:val="28"/>
          <w:szCs w:val="28"/>
          <w:lang w:eastAsia="zh-CN"/>
        </w:rPr>
        <w:t>2026年固始县公安局DNA实验室购置试剂盒及耗材项目</w:t>
      </w:r>
      <w:r>
        <w:rPr>
          <w:rFonts w:hint="eastAsia" w:ascii="宋体" w:hAnsi="宋体" w:cs="宋体"/>
          <w:b/>
          <w:sz w:val="28"/>
          <w:szCs w:val="28"/>
        </w:rPr>
        <w:t>竞争性磋商公告</w:t>
      </w:r>
    </w:p>
    <w:p w14:paraId="207E8848">
      <w:pPr>
        <w:pBdr>
          <w:top w:val="single" w:color="auto" w:sz="4" w:space="1"/>
          <w:left w:val="single" w:color="auto" w:sz="4" w:space="4"/>
          <w:bottom w:val="single" w:color="auto" w:sz="4" w:space="1"/>
          <w:right w:val="single" w:color="auto" w:sz="4" w:space="4"/>
        </w:pBd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19AF754D">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z w:val="24"/>
          <w:szCs w:val="24"/>
          <w:u w:val="single"/>
          <w:shd w:val="clear" w:color="auto" w:fill="FFFFFF"/>
          <w:lang w:eastAsia="zh-CN"/>
        </w:rPr>
        <w:t>2026年固始县公安局DNA实验室购置试剂盒及耗材项目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）”获取磋商文件，并</w:t>
      </w:r>
      <w:r>
        <w:rPr>
          <w:rFonts w:hint="eastAsia" w:asciiTheme="minorEastAsia" w:hAnsiTheme="minorEastAsia" w:eastAsiaTheme="minorEastAsia" w:cstheme="minorEastAsia"/>
          <w:color w:val="auto"/>
          <w:sz w:val="24"/>
          <w:szCs w:val="24"/>
          <w:highlight w:val="none"/>
          <w:shd w:val="clear" w:color="auto" w:fill="FFFFFF"/>
        </w:rPr>
        <w:t>于</w:t>
      </w:r>
      <w:r>
        <w:rPr>
          <w:rFonts w:hint="eastAsia" w:asciiTheme="minorEastAsia" w:hAnsiTheme="minorEastAsia" w:eastAsiaTheme="minorEastAsia" w:cstheme="minorEastAsia"/>
          <w:b/>
          <w:bCs w:val="0"/>
          <w:color w:val="auto"/>
          <w:sz w:val="24"/>
          <w:szCs w:val="24"/>
          <w:highlight w:val="none"/>
          <w:u w:val="single"/>
          <w:shd w:val="clear" w:color="auto" w:fill="FFFFFF"/>
          <w:lang w:eastAsia="zh-CN"/>
        </w:rPr>
        <w:t>202</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年</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月</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cstheme="minorEastAsia"/>
          <w:b/>
          <w:bCs w:val="0"/>
          <w:color w:val="auto"/>
          <w:sz w:val="24"/>
          <w:szCs w:val="24"/>
          <w:highlight w:val="none"/>
          <w:u w:val="single"/>
          <w:shd w:val="clear" w:color="auto" w:fill="FFFFFF"/>
          <w:lang w:val="en-US" w:eastAsia="zh-CN"/>
        </w:rPr>
        <w:t>23</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lang w:eastAsia="zh-CN"/>
        </w:rPr>
        <w:t>日</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08</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时</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single"/>
          <w:shd w:val="clear" w:color="auto" w:fill="FFFFFF"/>
        </w:rPr>
        <w:t>30</w:t>
      </w:r>
      <w:r>
        <w:rPr>
          <w:rFonts w:hint="eastAsia" w:asciiTheme="minorEastAsia" w:hAnsiTheme="minorEastAsia" w:eastAsiaTheme="minorEastAsia" w:cstheme="minorEastAsia"/>
          <w:b/>
          <w:bCs w:val="0"/>
          <w:color w:val="auto"/>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color w:val="auto"/>
          <w:sz w:val="24"/>
          <w:szCs w:val="24"/>
          <w:highlight w:val="none"/>
          <w:u w:val="none"/>
          <w:shd w:val="clear" w:color="auto" w:fill="FFFFFF"/>
        </w:rPr>
        <w:t>分</w:t>
      </w:r>
      <w:r>
        <w:rPr>
          <w:rFonts w:hint="eastAsia" w:asciiTheme="minorEastAsia" w:hAnsiTheme="minorEastAsia" w:eastAsiaTheme="minorEastAsia" w:cstheme="minorEastAsia"/>
          <w:color w:val="auto"/>
          <w:sz w:val="24"/>
          <w:szCs w:val="24"/>
          <w:highlight w:val="none"/>
          <w:shd w:val="clear" w:color="auto" w:fill="FFFFFF"/>
        </w:rPr>
        <w:t>（北京时间）前递交响应文件。</w:t>
      </w:r>
    </w:p>
    <w:p w14:paraId="72DCADB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1、采购编号：固财磋商采购-2026-40</w:t>
      </w:r>
    </w:p>
    <w:p w14:paraId="438DF53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2、项目名称：2026年固始县公安局DNA实验室购置试剂盒及耗材项目</w:t>
      </w:r>
    </w:p>
    <w:p w14:paraId="68D4ED4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3、采购方式：竞争性磋商</w:t>
      </w:r>
    </w:p>
    <w:p w14:paraId="5D4A19B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4、预算金额：982952元</w:t>
      </w:r>
    </w:p>
    <w:p w14:paraId="349AE33B">
      <w:pPr>
        <w:keepNext w:val="0"/>
        <w:keepLines w:val="0"/>
        <w:pageBreakBefore w:val="0"/>
        <w:kinsoku/>
        <w:wordWrap/>
        <w:overflowPunct/>
        <w:topLinePunct w:val="0"/>
        <w:autoSpaceDE w:val="0"/>
        <w:autoSpaceDN w:val="0"/>
        <w:bidi w:val="0"/>
        <w:adjustRightInd w:val="0"/>
        <w:snapToGrid/>
        <w:spacing w:line="440" w:lineRule="exact"/>
        <w:ind w:left="0" w:right="0" w:firstLine="960" w:firstLineChars="4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最高限价：982952元 </w:t>
      </w:r>
    </w:p>
    <w:tbl>
      <w:tblPr>
        <w:tblStyle w:val="22"/>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2655"/>
        <w:gridCol w:w="2611"/>
        <w:gridCol w:w="170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14:paraId="4DD413F6">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655" w:type="dxa"/>
            <w:tcBorders>
              <w:top w:val="single" w:color="000000" w:sz="4" w:space="0"/>
              <w:left w:val="single" w:color="000000" w:sz="4" w:space="0"/>
              <w:bottom w:val="single" w:color="000000" w:sz="4" w:space="0"/>
              <w:right w:val="single" w:color="000000" w:sz="4" w:space="0"/>
            </w:tcBorders>
            <w:vAlign w:val="center"/>
          </w:tcPr>
          <w:p w14:paraId="6E83EC9E">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包号</w:t>
            </w:r>
          </w:p>
        </w:tc>
        <w:tc>
          <w:tcPr>
            <w:tcW w:w="2611" w:type="dxa"/>
            <w:tcBorders>
              <w:top w:val="single" w:color="000000" w:sz="4" w:space="0"/>
              <w:left w:val="single" w:color="000000" w:sz="4" w:space="0"/>
              <w:bottom w:val="single" w:color="000000" w:sz="4" w:space="0"/>
              <w:right w:val="single" w:color="auto" w:sz="4" w:space="0"/>
            </w:tcBorders>
            <w:vAlign w:val="center"/>
          </w:tcPr>
          <w:p w14:paraId="368B7F05">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w:t>
            </w:r>
          </w:p>
        </w:tc>
        <w:tc>
          <w:tcPr>
            <w:tcW w:w="1706" w:type="dxa"/>
            <w:tcBorders>
              <w:top w:val="single" w:color="000000" w:sz="4" w:space="0"/>
              <w:left w:val="single" w:color="000000" w:sz="4" w:space="0"/>
              <w:bottom w:val="single" w:color="000000" w:sz="4" w:space="0"/>
              <w:right w:val="single" w:color="auto" w:sz="4" w:space="0"/>
            </w:tcBorders>
            <w:vAlign w:val="center"/>
          </w:tcPr>
          <w:p w14:paraId="6E0C7F13">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wordWrap w:val="0"/>
              <w:spacing w:line="240" w:lineRule="auto"/>
              <w:ind w:left="0" w:leftChars="0" w:firstLine="0" w:firstLineChars="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559" w:type="dxa"/>
            <w:tcBorders>
              <w:top w:val="single" w:color="000000" w:sz="4" w:space="0"/>
              <w:left w:val="single" w:color="000000" w:sz="4" w:space="0"/>
              <w:right w:val="single" w:color="000000" w:sz="4" w:space="0"/>
            </w:tcBorders>
            <w:vAlign w:val="center"/>
          </w:tcPr>
          <w:p w14:paraId="02F2739A">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655" w:type="dxa"/>
            <w:tcBorders>
              <w:top w:val="single" w:color="000000" w:sz="4" w:space="0"/>
              <w:left w:val="single" w:color="000000" w:sz="4" w:space="0"/>
              <w:bottom w:val="single" w:color="000000" w:sz="4" w:space="0"/>
              <w:right w:val="single" w:color="000000" w:sz="4" w:space="0"/>
            </w:tcBorders>
            <w:vAlign w:val="center"/>
          </w:tcPr>
          <w:p w14:paraId="7EB68826">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cstheme="minorEastAsia"/>
                <w:sz w:val="22"/>
                <w:szCs w:val="22"/>
                <w:highlight w:val="none"/>
                <w:shd w:val="clear" w:color="auto" w:fill="FFFFFF"/>
                <w:lang w:val="en-US" w:eastAsia="zh-CN"/>
              </w:rPr>
              <w:t>40</w:t>
            </w:r>
            <w:r>
              <w:rPr>
                <w:rFonts w:hint="eastAsia" w:asciiTheme="minorEastAsia" w:hAnsiTheme="minorEastAsia" w:eastAsiaTheme="minorEastAsia" w:cstheme="minorEastAsia"/>
                <w:sz w:val="22"/>
                <w:szCs w:val="22"/>
                <w:highlight w:val="none"/>
                <w:shd w:val="clear" w:color="auto" w:fill="FFFFFF"/>
              </w:rPr>
              <w:t>-1</w:t>
            </w:r>
          </w:p>
        </w:tc>
        <w:tc>
          <w:tcPr>
            <w:tcW w:w="2611" w:type="dxa"/>
            <w:tcBorders>
              <w:top w:val="single" w:color="000000" w:sz="4" w:space="0"/>
              <w:left w:val="single" w:color="000000" w:sz="4" w:space="0"/>
              <w:bottom w:val="single" w:color="000000" w:sz="4" w:space="0"/>
              <w:right w:val="single" w:color="auto" w:sz="4" w:space="0"/>
            </w:tcBorders>
            <w:vAlign w:val="center"/>
          </w:tcPr>
          <w:p w14:paraId="48DEE75F">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2026年固始县公安局DNA实验室购置试剂盒及耗材项目</w:t>
            </w:r>
          </w:p>
        </w:tc>
        <w:tc>
          <w:tcPr>
            <w:tcW w:w="1706" w:type="dxa"/>
            <w:tcBorders>
              <w:top w:val="single" w:color="000000" w:sz="4" w:space="0"/>
              <w:left w:val="single" w:color="000000" w:sz="4" w:space="0"/>
              <w:bottom w:val="single" w:color="000000" w:sz="4" w:space="0"/>
              <w:right w:val="single" w:color="auto" w:sz="4" w:space="0"/>
            </w:tcBorders>
            <w:vAlign w:val="center"/>
          </w:tcPr>
          <w:p w14:paraId="1DD4CBD4">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cstheme="minorEastAsia"/>
                <w:sz w:val="24"/>
                <w:szCs w:val="24"/>
                <w:highlight w:val="none"/>
                <w:lang w:val="en-US" w:eastAsia="zh-CN"/>
              </w:rPr>
              <w:t>982952</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wordWrap w:val="0"/>
              <w:spacing w:line="240" w:lineRule="auto"/>
              <w:ind w:left="0" w:leftChars="0" w:firstLine="0" w:firstLineChars="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cstheme="minorEastAsia"/>
                <w:sz w:val="24"/>
                <w:szCs w:val="24"/>
                <w:highlight w:val="none"/>
                <w:lang w:val="en-US" w:eastAsia="zh-CN"/>
              </w:rPr>
              <w:t>982952</w:t>
            </w:r>
          </w:p>
        </w:tc>
      </w:tr>
    </w:tbl>
    <w:p w14:paraId="76D3ADAE">
      <w:pPr>
        <w:tabs>
          <w:tab w:val="left" w:pos="709"/>
        </w:tabs>
        <w:wordWrap w:val="0"/>
        <w:autoSpaceDE w:val="0"/>
        <w:autoSpaceDN w:val="0"/>
        <w:adjustRightInd w:val="0"/>
        <w:snapToGrid w:val="0"/>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p>
    <w:p w14:paraId="46952F1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3E90652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采购内容：</w:t>
      </w:r>
      <w:r>
        <w:rPr>
          <w:rFonts w:hint="eastAsia" w:ascii="宋体" w:hAnsi="宋体" w:eastAsia="宋体" w:cs="宋体"/>
          <w:sz w:val="24"/>
          <w:szCs w:val="24"/>
          <w:highlight w:val="none"/>
          <w:lang w:val="en-US" w:eastAsia="zh-CN"/>
        </w:rPr>
        <w:t>包括</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en-US" w:eastAsia="zh-CN"/>
        </w:rPr>
        <w:t>DNA实验室购置试剂盒及耗材等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w:t>
      </w:r>
      <w:r>
        <w:rPr>
          <w:rFonts w:hint="eastAsia" w:ascii="宋体" w:hAnsi="宋体" w:eastAsia="宋体" w:cs="宋体"/>
          <w:sz w:val="24"/>
          <w:szCs w:val="24"/>
          <w:highlight w:val="none"/>
        </w:rPr>
        <w:t>详见磋商文件第五章。</w:t>
      </w:r>
    </w:p>
    <w:p w14:paraId="1989A61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质量要求</w:t>
      </w:r>
      <w:r>
        <w:rPr>
          <w:rFonts w:hint="eastAsia" w:ascii="宋体" w:hAnsi="宋体" w:eastAsia="宋体" w:cs="宋体"/>
          <w:sz w:val="24"/>
          <w:szCs w:val="24"/>
          <w:highlight w:val="none"/>
        </w:rPr>
        <w:t>：达到国家相关行业合格标准；</w:t>
      </w:r>
    </w:p>
    <w:p w14:paraId="31D1AE73">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 交货地点：采购人指定地点；</w:t>
      </w:r>
    </w:p>
    <w:p w14:paraId="5BF2DC7F">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6、合同履行期限：</w:t>
      </w:r>
      <w:r>
        <w:rPr>
          <w:rFonts w:hint="eastAsia" w:ascii="宋体" w:hAnsi="宋体" w:eastAsia="宋体" w:cs="宋体"/>
          <w:sz w:val="24"/>
          <w:szCs w:val="24"/>
          <w:highlight w:val="none"/>
          <w:lang w:val="en-US" w:eastAsia="zh-CN"/>
        </w:rPr>
        <w:t>接采购人通知后，15日历天内货到现场</w:t>
      </w:r>
      <w:r>
        <w:rPr>
          <w:rFonts w:hint="eastAsia" w:ascii="宋体" w:hAnsi="宋体" w:eastAsia="宋体" w:cs="宋体"/>
          <w:sz w:val="24"/>
          <w:szCs w:val="24"/>
          <w:highlight w:val="none"/>
          <w:lang w:eastAsia="zh-CN"/>
        </w:rPr>
        <w:t>；</w:t>
      </w:r>
    </w:p>
    <w:p w14:paraId="6461AAA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7、是否接受进口产品投标：否</w:t>
      </w:r>
    </w:p>
    <w:p w14:paraId="21DB8CC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8、是否接受联合体投标：否</w:t>
      </w:r>
    </w:p>
    <w:p w14:paraId="3FF3245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9、是否专门面向中小企业：</w:t>
      </w:r>
      <w:r>
        <w:rPr>
          <w:rFonts w:hint="eastAsia" w:ascii="宋体" w:hAnsi="宋体" w:eastAsia="宋体" w:cs="宋体"/>
          <w:sz w:val="24"/>
          <w:szCs w:val="24"/>
          <w:highlight w:val="none"/>
          <w:lang w:val="en-US" w:eastAsia="zh-CN"/>
        </w:rPr>
        <w:t>否</w:t>
      </w:r>
    </w:p>
    <w:p w14:paraId="4078DF08">
      <w:pPr>
        <w:keepNext w:val="0"/>
        <w:keepLines w:val="0"/>
        <w:pageBreakBefore w:val="0"/>
        <w:kinsoku/>
        <w:wordWrap/>
        <w:overflowPunct/>
        <w:topLinePunct w:val="0"/>
        <w:autoSpaceDE w:val="0"/>
        <w:autoSpaceDN w:val="0"/>
        <w:bidi w:val="0"/>
        <w:adjustRightInd w:val="0"/>
        <w:snapToGrid/>
        <w:spacing w:line="440" w:lineRule="exact"/>
        <w:ind w:left="0" w:right="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4C1FEA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本项目适用信用承诺（详见下述要求）。</w:t>
      </w:r>
    </w:p>
    <w:p w14:paraId="55479276">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45E03FA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①供应商须具有独立承担民事责任的能力，提供法人或者其他组织的营业执照等证明文件；</w:t>
      </w:r>
    </w:p>
    <w:p w14:paraId="50F7556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供应商须具有良好的商业信誉和健全的财务会计制度（提供2024年度或2025年度经审计的财务审计报告或提供基本户的开户行开具的银行资信证明）；</w:t>
      </w:r>
    </w:p>
    <w:p w14:paraId="24CADAF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③供应商须具有履行合同所必需的设备和专业技术能力（提供相关证明材料或承诺函）；</w:t>
      </w:r>
    </w:p>
    <w:p w14:paraId="63FC36E3">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27F97A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⑤供应商参加政府采购活动前三年内，在经营活动中没有重大违法记录（提供声明函）；</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544C414B">
      <w:pPr>
        <w:keepNext w:val="0"/>
        <w:keepLines w:val="0"/>
        <w:pageBreakBefore w:val="0"/>
        <w:widowControl w:val="0"/>
        <w:kinsoku/>
        <w:wordWrap w:val="0"/>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 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sz w:val="24"/>
          <w:szCs w:val="24"/>
          <w:highlight w:val="none"/>
        </w:rPr>
        <w:t>；</w:t>
      </w:r>
    </w:p>
    <w:p w14:paraId="4A0E8AE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 供应商在中标（成交）后，应将上述由信用承诺函替代的证明材料提交采购人核验，经核验无误后，由采购人发出中标（成交）通知书。</w:t>
      </w:r>
    </w:p>
    <w:p w14:paraId="7D1E56F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三、获取磋商文件</w:t>
      </w:r>
    </w:p>
    <w:p w14:paraId="650524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日（北京时间）；每天上午08:00至12:00，下午12:00至18:00（北京时间，法定节假日除外）</w:t>
      </w:r>
    </w:p>
    <w:p w14:paraId="7AD31F3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eastAsia="zh-CN"/>
        </w:rPr>
        <w:t>《固始县公共资源交易网》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w:t>
      </w:r>
    </w:p>
    <w:p w14:paraId="2F7E4D8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3、方式：供应商</w:t>
      </w:r>
      <w:r>
        <w:rPr>
          <w:rFonts w:hint="eastAsia" w:asciiTheme="minorEastAsia" w:hAnsiTheme="minorEastAsia" w:eastAsiaTheme="minorEastAsia" w:cstheme="minorEastAsia"/>
          <w:sz w:val="24"/>
          <w:szCs w:val="24"/>
          <w:highlight w:val="none"/>
          <w:lang w:val="en-US" w:eastAsia="zh-CN"/>
        </w:rPr>
        <w:t>登录固始县公共资源交易</w:t>
      </w:r>
      <w:r>
        <w:rPr>
          <w:rFonts w:hint="eastAsia" w:asciiTheme="minorEastAsia" w:hAnsiTheme="minorEastAsia" w:eastAsiaTheme="minorEastAsia" w:cstheme="minorEastAsia"/>
          <w:sz w:val="24"/>
          <w:szCs w:val="24"/>
          <w:highlight w:val="none"/>
        </w:rPr>
        <w:t>系统后，即可按网上提示免费下载磋商文件及资料（操作程序详见固始县公共资源交易中心网站下载中心栏目里供应商操作手册）。磋商文件(*.</w:t>
      </w:r>
      <w:r>
        <w:rPr>
          <w:rFonts w:hint="eastAsia" w:asciiTheme="minorEastAsia" w:hAnsiTheme="minorEastAsia" w:eastAsiaTheme="minorEastAsia" w:cstheme="minorEastAsia"/>
          <w:sz w:val="24"/>
          <w:szCs w:val="24"/>
          <w:highlight w:val="none"/>
          <w:lang w:eastAsia="zh-CN"/>
        </w:rPr>
        <w:t>XYZF</w:t>
      </w:r>
      <w:r>
        <w:rPr>
          <w:rFonts w:hint="eastAsia" w:asciiTheme="minorEastAsia" w:hAnsiTheme="minorEastAsia" w:eastAsiaTheme="minorEastAsia" w:cstheme="minorEastAsia"/>
          <w:sz w:val="24"/>
          <w:szCs w:val="24"/>
          <w:highlight w:val="none"/>
        </w:rPr>
        <w:t>格式)下载后需使用“固始县电子投标文件制作工具软件”打开（该工具软件可在“固始县公共资源交易中心（</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）”网站下载中心栏目内下载或在磋商文件领取页面下载）。</w:t>
      </w:r>
    </w:p>
    <w:p w14:paraId="25A3AED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18C996C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color w:val="auto"/>
          <w:sz w:val="24"/>
          <w:szCs w:val="24"/>
          <w:highlight w:val="none"/>
          <w:lang w:eastAsia="zh-CN"/>
        </w:rPr>
        <w:t>XYTF</w:t>
      </w:r>
      <w:r>
        <w:rPr>
          <w:rFonts w:hint="eastAsia" w:asciiTheme="minorEastAsia" w:hAnsiTheme="minorEastAsia" w:eastAsiaTheme="minorEastAsia" w:cstheme="minorEastAsia"/>
          <w:color w:val="auto"/>
          <w:sz w:val="24"/>
          <w:szCs w:val="24"/>
          <w:highlight w:val="none"/>
        </w:rPr>
        <w:t>格式)。上传的电子响应文件应使用投标人CA数字证书认证并加密。</w:t>
      </w:r>
    </w:p>
    <w:p w14:paraId="2650364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五、开标时间及地点</w:t>
      </w:r>
    </w:p>
    <w:p w14:paraId="61BF6B0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1、时间：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年</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eastAsia="zh-CN"/>
        </w:rPr>
        <w:t>日</w:t>
      </w:r>
      <w:r>
        <w:rPr>
          <w:rFonts w:hint="eastAsia" w:asciiTheme="minorEastAsia" w:hAnsiTheme="minorEastAsia" w:eastAsiaTheme="minorEastAsia" w:cstheme="minorEastAsia"/>
          <w:color w:val="auto"/>
          <w:sz w:val="24"/>
          <w:szCs w:val="24"/>
          <w:highlight w:val="none"/>
        </w:rPr>
        <w:t>08时30分(北京时间）</w:t>
      </w:r>
    </w:p>
    <w:p w14:paraId="5C4CDF4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2、地点：固始县公共资源交易中心六楼不见面</w:t>
      </w:r>
      <w:r>
        <w:rPr>
          <w:rFonts w:hint="eastAsia" w:asciiTheme="minorEastAsia" w:hAnsiTheme="minorEastAsia" w:eastAsiaTheme="minorEastAsia" w:cstheme="minorEastAsia"/>
          <w:color w:val="auto"/>
          <w:sz w:val="24"/>
          <w:szCs w:val="24"/>
          <w:highlight w:val="none"/>
          <w:lang w:eastAsia="zh-CN"/>
        </w:rPr>
        <w:t>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开标室</w:t>
      </w:r>
      <w:r>
        <w:rPr>
          <w:rFonts w:hint="eastAsia" w:asciiTheme="minorEastAsia" w:hAnsiTheme="minorEastAsia" w:eastAsiaTheme="minorEastAsia" w:cstheme="minorEastAsia"/>
          <w:color w:val="auto"/>
          <w:sz w:val="24"/>
          <w:szCs w:val="24"/>
          <w:highlight w:val="none"/>
        </w:rPr>
        <w:t>。</w:t>
      </w:r>
    </w:p>
    <w:p w14:paraId="4F36FC50">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22E0A230">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名称</w:t>
      </w:r>
      <w:r>
        <w:rPr>
          <w:rFonts w:hint="eastAsia" w:ascii="宋体" w:hAnsi="宋体" w:cs="宋体"/>
          <w:b w:val="0"/>
          <w:bCs w:val="0"/>
          <w:color w:val="000000"/>
          <w:kern w:val="0"/>
          <w:sz w:val="24"/>
          <w:szCs w:val="24"/>
          <w:highlight w:val="none"/>
        </w:rPr>
        <w:t>：固始县</w:t>
      </w:r>
      <w:r>
        <w:rPr>
          <w:rFonts w:hint="eastAsia" w:ascii="宋体" w:hAnsi="宋体" w:cs="宋体"/>
          <w:b w:val="0"/>
          <w:bCs w:val="0"/>
          <w:color w:val="000000"/>
          <w:kern w:val="0"/>
          <w:sz w:val="24"/>
          <w:szCs w:val="24"/>
          <w:highlight w:val="none"/>
          <w:lang w:val="en-US" w:eastAsia="zh-CN"/>
        </w:rPr>
        <w:t>公安局</w:t>
      </w:r>
    </w:p>
    <w:p w14:paraId="51FED01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孙壮</w:t>
      </w:r>
    </w:p>
    <w:p w14:paraId="566BB854">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w:t>
      </w:r>
      <w:r>
        <w:rPr>
          <w:rFonts w:hint="eastAsia" w:ascii="宋体" w:hAnsi="宋体" w:eastAsia="宋体" w:cs="宋体"/>
          <w:b w:val="0"/>
          <w:bCs w:val="0"/>
          <w:color w:val="000000"/>
          <w:kern w:val="0"/>
          <w:sz w:val="24"/>
          <w:szCs w:val="24"/>
          <w:highlight w:val="none"/>
        </w:rPr>
        <w:t>电话：</w:t>
      </w:r>
      <w:r>
        <w:rPr>
          <w:rFonts w:hint="default" w:ascii="宋体" w:hAnsi="宋体" w:eastAsia="宋体" w:cs="宋体"/>
          <w:b w:val="0"/>
          <w:bCs w:val="0"/>
          <w:color w:val="000000"/>
          <w:kern w:val="0"/>
          <w:sz w:val="24"/>
          <w:szCs w:val="24"/>
          <w:highlight w:val="none"/>
          <w:lang w:val="en-US" w:eastAsia="zh-CN"/>
        </w:rPr>
        <w:t>0376-4656032</w:t>
      </w:r>
    </w:p>
    <w:p w14:paraId="31F68A7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29CB633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2F757B2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4AE37EDA">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67275A24">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联系方式：</w:t>
      </w:r>
      <w:r>
        <w:rPr>
          <w:rFonts w:hint="eastAsia" w:ascii="宋体" w:hAnsi="宋体" w:cs="宋体"/>
          <w:b w:val="0"/>
          <w:bCs w:val="0"/>
          <w:color w:val="000000"/>
          <w:kern w:val="0"/>
          <w:sz w:val="24"/>
          <w:szCs w:val="24"/>
          <w:highlight w:val="none"/>
          <w:lang w:val="en-US" w:eastAsia="zh-CN"/>
        </w:rPr>
        <w:t>0376-4667718</w:t>
      </w:r>
      <w:r>
        <w:rPr>
          <w:rFonts w:hint="eastAsia" w:ascii="宋体" w:hAnsi="宋体" w:cs="宋体"/>
          <w:b w:val="0"/>
          <w:bCs w:val="0"/>
          <w:color w:val="000000"/>
          <w:kern w:val="0"/>
          <w:sz w:val="24"/>
          <w:szCs w:val="24"/>
          <w:highlight w:val="none"/>
        </w:rPr>
        <w:t xml:space="preserve"> </w:t>
      </w:r>
    </w:p>
    <w:p w14:paraId="2580CAF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xml:space="preserve">  </w:t>
      </w:r>
    </w:p>
    <w:p w14:paraId="4B6E7C6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4D3A0341">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孙壮</w:t>
      </w:r>
    </w:p>
    <w:p w14:paraId="66C396A3">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联系电话：0376-4656032</w:t>
      </w:r>
    </w:p>
    <w:p w14:paraId="4C18DA8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5B4C2447">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CAFDAB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60C2250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001733D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4EE8D5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2FDEC5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1906F0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44CAD2F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5A4B9DD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00828FC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7D01983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p>
    <w:p w14:paraId="7DDAEDB0">
      <w:pPr>
        <w:numPr>
          <w:ilvl w:val="0"/>
          <w:numId w:val="1"/>
        </w:numPr>
        <w:wordWrap w:val="0"/>
        <w:autoSpaceDE w:val="0"/>
        <w:autoSpaceDN w:val="0"/>
        <w:adjustRightInd w:val="0"/>
        <w:snapToGrid w:val="0"/>
        <w:spacing w:after="120" w:afterLines="50"/>
        <w:ind w:left="0" w:leftChars="0" w:firstLine="0" w:firstLineChars="0"/>
        <w:jc w:val="center"/>
        <w:outlineLvl w:val="0"/>
        <w:rPr>
          <w:rFonts w:ascii="宋体" w:hAnsi="宋体" w:cs="宋体"/>
          <w:b/>
          <w:bCs/>
          <w:kern w:val="44"/>
          <w:sz w:val="44"/>
          <w:szCs w:val="44"/>
        </w:rPr>
      </w:pPr>
      <w:bookmarkStart w:id="11" w:name="_Toc26326"/>
      <w:bookmarkStart w:id="12" w:name="_Toc23165"/>
      <w:r>
        <w:rPr>
          <w:rFonts w:hint="eastAsia" w:ascii="宋体" w:hAnsi="宋体" w:cs="宋体"/>
          <w:b/>
          <w:bCs/>
          <w:kern w:val="44"/>
          <w:sz w:val="44"/>
          <w:szCs w:val="44"/>
          <w:lang w:val="en-US" w:eastAsia="zh-CN"/>
        </w:rPr>
        <w:t>供应</w:t>
      </w:r>
      <w:r>
        <w:rPr>
          <w:rFonts w:hint="eastAsia" w:ascii="宋体" w:hAnsi="宋体" w:cs="宋体"/>
          <w:b/>
          <w:bCs/>
          <w:kern w:val="44"/>
          <w:sz w:val="44"/>
          <w:szCs w:val="44"/>
        </w:rPr>
        <w:t>商须知</w:t>
      </w:r>
      <w:bookmarkEnd w:id="10"/>
      <w:bookmarkEnd w:id="11"/>
      <w:bookmarkEnd w:id="12"/>
    </w:p>
    <w:p w14:paraId="35B1AFA7">
      <w:pPr>
        <w:wordWrap w:val="0"/>
        <w:autoSpaceDE w:val="0"/>
        <w:autoSpaceDN w:val="0"/>
        <w:adjustRightInd w:val="0"/>
        <w:spacing w:before="72" w:beforeLines="30" w:line="288" w:lineRule="auto"/>
        <w:ind w:left="20" w:leftChars="0" w:right="21" w:rightChars="10" w:hanging="20" w:hangingChars="7"/>
        <w:jc w:val="center"/>
        <w:rPr>
          <w:rFonts w:hint="eastAsia" w:asciiTheme="minorEastAsia" w:hAnsiTheme="minorEastAsia" w:eastAsiaTheme="minorEastAsia" w:cstheme="minorEastAsia"/>
          <w:b/>
          <w:kern w:val="0"/>
          <w:sz w:val="28"/>
          <w:szCs w:val="28"/>
        </w:rPr>
      </w:pPr>
      <w:bookmarkStart w:id="13" w:name="_Toc2549"/>
      <w:r>
        <w:rPr>
          <w:rFonts w:hint="eastAsia" w:asciiTheme="minorEastAsia" w:hAnsiTheme="minorEastAsia" w:eastAsiaTheme="minorEastAsia" w:cstheme="minorEastAsia"/>
          <w:b/>
          <w:kern w:val="0"/>
          <w:sz w:val="28"/>
          <w:szCs w:val="28"/>
        </w:rPr>
        <w:t>供应商须知前附表</w:t>
      </w:r>
      <w:bookmarkEnd w:id="13"/>
    </w:p>
    <w:tbl>
      <w:tblPr>
        <w:tblStyle w:val="2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wordWrap w:val="0"/>
              <w:autoSpaceDE w:val="0"/>
              <w:autoSpaceDN w:val="0"/>
              <w:adjustRightInd w:val="0"/>
              <w:spacing w:before="72" w:beforeLines="30" w:line="240" w:lineRule="auto"/>
              <w:ind w:left="0" w:leftChars="0" w:right="-139" w:rightChars="-66" w:firstLine="0" w:firstLineChars="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wordWrap w:val="0"/>
              <w:autoSpaceDE w:val="0"/>
              <w:autoSpaceDN w:val="0"/>
              <w:adjustRightInd w:val="0"/>
              <w:spacing w:before="72" w:beforeLines="30" w:line="240" w:lineRule="auto"/>
              <w:ind w:left="19" w:leftChars="0" w:right="21" w:rightChars="10" w:hanging="19" w:hangingChars="8"/>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wordWrap w:val="0"/>
              <w:autoSpaceDE w:val="0"/>
              <w:autoSpaceDN w:val="0"/>
              <w:adjustRightInd w:val="0"/>
              <w:spacing w:before="72" w:beforeLines="30" w:line="240"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称：固始县公安局</w:t>
            </w:r>
          </w:p>
          <w:p w14:paraId="3CD4B90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 系 人：孙壮</w:t>
            </w:r>
          </w:p>
          <w:p w14:paraId="15DB159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联系电话：0376-4656032</w:t>
            </w:r>
          </w:p>
          <w:p w14:paraId="0869DBC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联系地址：固始县蓼城大道与成功大道交叉口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联系方式：0376-4667718</w:t>
            </w:r>
          </w:p>
          <w:p w14:paraId="1451E6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2026年固始县公安局DNA实验室购置试剂盒及耗材项目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r>
              <w:rPr>
                <w:rFonts w:hint="eastAsia" w:asciiTheme="minorEastAsia" w:hAnsiTheme="minorEastAsia" w:cstheme="minorEastAsia"/>
                <w:sz w:val="24"/>
                <w:szCs w:val="24"/>
                <w:highlight w:val="none"/>
                <w:lang w:val="en-US" w:eastAsia="zh-CN"/>
              </w:rPr>
              <w:t>982952</w:t>
            </w:r>
            <w:r>
              <w:rPr>
                <w:rFonts w:hint="eastAsia" w:ascii="宋体" w:hAnsi="宋体" w:eastAsia="宋体" w:cs="宋体"/>
                <w:color w:val="000000"/>
                <w:kern w:val="0"/>
                <w:sz w:val="21"/>
                <w:szCs w:val="21"/>
                <w:highlight w:val="none"/>
                <w:lang w:val="en-US" w:eastAsia="zh-CN" w:bidi="ar-SA"/>
              </w:rPr>
              <w:t>元</w:t>
            </w:r>
          </w:p>
          <w:p w14:paraId="7176AF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（大写：玖拾捌万贰仟玖佰伍拾贰元）</w:t>
            </w:r>
          </w:p>
          <w:p w14:paraId="149E9B1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采购DNA实验室购置试剂盒及耗材等，具体详见磋商文件第五章。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16" w:type="dxa"/>
            <w:vAlign w:val="center"/>
          </w:tcPr>
          <w:p w14:paraId="22E37822">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供货期</w:t>
            </w:r>
          </w:p>
        </w:tc>
        <w:tc>
          <w:tcPr>
            <w:tcW w:w="6392" w:type="dxa"/>
            <w:vAlign w:val="center"/>
          </w:tcPr>
          <w:p w14:paraId="779E0CB0">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接采购人通知后，15日历天内货到现场；</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达到国家相关行业合格标准；</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1、满足《中华人民共和国政府采购法》第二十二条规定；</w:t>
            </w:r>
          </w:p>
          <w:p w14:paraId="5544090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3、本项目的特定资格要求 </w:t>
            </w:r>
          </w:p>
          <w:p w14:paraId="12AFC99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3.1  本项目适用信用承诺（详见下述要求）。</w:t>
            </w:r>
          </w:p>
          <w:p w14:paraId="0585E5A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19F7F0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①供应商须具有独立承担民事责任的能力，提供法人或者其他组织的营业执照等证明文件；</w:t>
            </w:r>
          </w:p>
          <w:p w14:paraId="661641A2">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供应商须具有良好的商业信誉和健全的财务会计制度（提供2024年度或2025年度经审计的财务审计报告或提供基本户的开户行开具的银行资信证明）；</w:t>
            </w:r>
          </w:p>
          <w:p w14:paraId="2181E7D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③供应商须具有履行合同所必需的设备和专业技术能力（提供相关证明材料或承诺函）；</w:t>
            </w:r>
          </w:p>
          <w:p w14:paraId="5B508A7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297E3571">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⑤供应商参加政府采购活动前三年内，在经营活动中没有重大违法记录（提供声明函）；</w:t>
            </w:r>
          </w:p>
          <w:p w14:paraId="312B3B8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4、其他说明</w:t>
            </w:r>
          </w:p>
          <w:p w14:paraId="37CB6B2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71B4C6C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4.2供应商在中标（成交）后，应将上述由信用承诺函替代的证明材料提交采购人核验，经核验无误后，由采购人发出中标（成交）通知书。</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wordWrap w:val="0"/>
              <w:spacing w:line="340" w:lineRule="exact"/>
              <w:ind w:left="19" w:leftChars="0" w:hanging="19" w:hangingChars="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wordWrap w:val="0"/>
              <w:autoSpaceDE w:val="0"/>
              <w:autoSpaceDN w:val="0"/>
              <w:adjustRightInd w:val="0"/>
              <w:spacing w:before="72" w:beforeLines="30" w:line="288" w:lineRule="auto"/>
              <w:ind w:left="18" w:leftChars="0" w:right="21" w:rightChars="10" w:hanging="18" w:hangingChars="8"/>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提交响应文件截止时间</w:t>
            </w:r>
          </w:p>
        </w:tc>
        <w:tc>
          <w:tcPr>
            <w:tcW w:w="6392" w:type="dxa"/>
            <w:vAlign w:val="center"/>
          </w:tcPr>
          <w:p w14:paraId="14F09434">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2026年6月23日08时30分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wordWrap w:val="0"/>
              <w:adjustRightInd w:val="0"/>
              <w:spacing w:line="340" w:lineRule="exact"/>
              <w:ind w:left="0" w:lef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wordWrap w:val="0"/>
              <w:adjustRightInd w:val="0"/>
              <w:spacing w:line="340" w:lineRule="exact"/>
              <w:ind w:left="19" w:leftChars="0" w:hanging="19" w:hangingChars="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392" w:type="dxa"/>
            <w:vAlign w:val="center"/>
          </w:tcPr>
          <w:p w14:paraId="48897FFC">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磋商时间：同响应文件提交截止时间</w:t>
            </w:r>
          </w:p>
          <w:p w14:paraId="4430732E">
            <w:pPr>
              <w:wordWrap w:val="0"/>
              <w:adjustRightInd w:val="0"/>
              <w:spacing w:line="340" w:lineRule="exact"/>
              <w:ind w:left="0" w:leftChars="0" w:firstLine="0" w:firstLineChars="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磋商地点：固始县公共资源交易中心六楼不见面第二开标室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磋商小组构成：3人，其中业主代表1人，技术、经济类专家2人；</w:t>
            </w:r>
          </w:p>
          <w:p w14:paraId="3BB122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wordWrap w:val="0"/>
              <w:autoSpaceDE w:val="0"/>
              <w:autoSpaceDN w:val="0"/>
              <w:adjustRightInd w:val="0"/>
              <w:spacing w:before="72" w:beforeLines="30" w:line="288" w:lineRule="auto"/>
              <w:ind w:left="-79" w:leftChars="-57" w:right="21" w:rightChars="10" w:hanging="41" w:hangingChars="17"/>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wordWrap w:val="0"/>
              <w:autoSpaceDE w:val="0"/>
              <w:autoSpaceDN w:val="0"/>
              <w:adjustRightInd w:val="0"/>
              <w:spacing w:before="72" w:beforeLines="30" w:line="288" w:lineRule="auto"/>
              <w:ind w:left="0" w:leftChars="0" w:right="21" w:rightChars="10" w:firstLine="0" w:firstLineChars="0"/>
              <w:jc w:val="both"/>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wordWrap w:val="0"/>
              <w:autoSpaceDE w:val="0"/>
              <w:autoSpaceDN w:val="0"/>
              <w:adjustRightInd w:val="0"/>
              <w:spacing w:before="72" w:beforeLines="30" w:line="288" w:lineRule="auto"/>
              <w:ind w:left="19" w:leftChars="0" w:right="21" w:rightChars="10" w:hanging="19" w:hangingChars="8"/>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本项目核心产品</w:t>
            </w:r>
          </w:p>
        </w:tc>
        <w:tc>
          <w:tcPr>
            <w:tcW w:w="6392" w:type="dxa"/>
            <w:vAlign w:val="center"/>
          </w:tcPr>
          <w:p w14:paraId="42CA1CE2">
            <w:pPr>
              <w:wordWrap w:val="0"/>
              <w:autoSpaceDE w:val="0"/>
              <w:autoSpaceDN w:val="0"/>
              <w:adjustRightInd w:val="0"/>
              <w:spacing w:before="72" w:beforeLines="30" w:line="288" w:lineRule="auto"/>
              <w:ind w:left="-79" w:leftChars="-57" w:right="21" w:rightChars="10" w:hanging="41" w:hangingChars="17"/>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常染色体建库试剂盒</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4" w:name="_Toc16296"/>
            <w:bookmarkStart w:id="15" w:name="_Toc27364"/>
            <w:bookmarkStart w:id="16" w:name="_Toc195921851"/>
            <w:bookmarkStart w:id="17" w:name="_Toc3568"/>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wordWrap w:val="0"/>
              <w:adjustRightInd w:val="0"/>
              <w:spacing w:line="340" w:lineRule="exact"/>
              <w:ind w:left="-59" w:leftChars="-38" w:hanging="21" w:hangingChars="1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wordWrap w:val="0"/>
              <w:adjustRightInd w:val="0"/>
              <w:spacing w:line="340" w:lineRule="exact"/>
              <w:ind w:left="-59" w:leftChars="-38" w:hanging="21" w:hangingChars="1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wordWrap w:val="0"/>
              <w:adjustRightInd w:val="0"/>
              <w:spacing w:line="340" w:lineRule="exact"/>
              <w:ind w:left="-59" w:leftChars="-38" w:hanging="21" w:hangingChars="1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4"/>
      <w:bookmarkEnd w:id="15"/>
      <w:bookmarkStart w:id="18" w:name="_Toc455867769"/>
      <w:bookmarkStart w:id="19" w:name="_Toc455080109"/>
      <w:bookmarkStart w:id="20" w:name="_Toc274409866"/>
      <w:bookmarkStart w:id="21" w:name="_Toc318450675"/>
      <w:bookmarkStart w:id="22" w:name="_Toc466298092"/>
      <w:bookmarkStart w:id="23" w:name="_Toc281380952"/>
      <w:bookmarkStart w:id="24" w:name="_Toc21458"/>
      <w:bookmarkStart w:id="25" w:name="_Toc21266"/>
      <w:bookmarkStart w:id="26" w:name="_Toc1172"/>
      <w:bookmarkStart w:id="27" w:name="_Toc29023"/>
      <w:bookmarkStart w:id="28" w:name="_Toc490667828"/>
      <w:bookmarkStart w:id="29" w:name="_Toc31404"/>
      <w:bookmarkStart w:id="30" w:name="_Toc20827"/>
      <w:bookmarkStart w:id="31" w:name="_Toc10273"/>
      <w:bookmarkStart w:id="32" w:name="_Toc9136"/>
      <w:bookmarkStart w:id="33" w:name="_Toc15709"/>
      <w:bookmarkStart w:id="34" w:name="_Toc658"/>
      <w:bookmarkStart w:id="35" w:name="_Toc6747"/>
      <w:bookmarkStart w:id="36" w:name="_Toc152045531"/>
      <w:bookmarkStart w:id="37" w:name="_Toc144974499"/>
      <w:bookmarkStart w:id="38" w:name="_Toc152042307"/>
    </w:p>
    <w:p w14:paraId="69D1398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Theme="minorEastAsia" w:hAnsiTheme="minorEastAsia" w:eastAsiaTheme="minorEastAsia" w:cstheme="minorEastAsia"/>
          <w:b/>
          <w:bCs/>
          <w:sz w:val="24"/>
          <w:szCs w:val="24"/>
          <w:lang w:val="en-US" w:eastAsia="zh-CN"/>
        </w:rPr>
        <w:t>采购项目概括</w:t>
      </w:r>
    </w:p>
    <w:p w14:paraId="304A6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9" w:name="_Toc30891"/>
      <w:bookmarkStart w:id="40" w:name="_Toc455080110"/>
      <w:bookmarkStart w:id="41" w:name="_Toc3336"/>
      <w:bookmarkStart w:id="42" w:name="_Toc7237"/>
      <w:bookmarkStart w:id="43" w:name="_Toc31929"/>
      <w:bookmarkStart w:id="44" w:name="_Toc490667829"/>
      <w:bookmarkStart w:id="45" w:name="_Toc25773"/>
      <w:bookmarkStart w:id="46" w:name="_Toc24852"/>
      <w:bookmarkStart w:id="47" w:name="_Toc2929"/>
      <w:bookmarkStart w:id="48" w:name="_Toc318450676"/>
      <w:bookmarkStart w:id="49" w:name="_Toc32619"/>
      <w:bookmarkStart w:id="50" w:name="_Toc455867770"/>
      <w:bookmarkStart w:id="51" w:name="_Toc10269"/>
      <w:bookmarkStart w:id="52" w:name="_Toc710"/>
      <w:bookmarkStart w:id="53" w:name="_Toc10556"/>
      <w:bookmarkStart w:id="54" w:name="_Toc281405468"/>
      <w:bookmarkStart w:id="55" w:name="_Toc274409867"/>
      <w:bookmarkStart w:id="56" w:name="_Toc466298093"/>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CCDE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7" w:name="_Toc281405469"/>
      <w:bookmarkStart w:id="58" w:name="_Toc17016"/>
      <w:bookmarkStart w:id="59" w:name="_Toc4952"/>
      <w:bookmarkStart w:id="60" w:name="_Toc318450677"/>
      <w:bookmarkStart w:id="61" w:name="_Toc18960"/>
      <w:bookmarkStart w:id="62" w:name="_Toc16931"/>
      <w:bookmarkStart w:id="63" w:name="_Toc4563"/>
      <w:bookmarkStart w:id="64" w:name="_Toc22979"/>
      <w:bookmarkStart w:id="65" w:name="_Toc4122"/>
      <w:bookmarkStart w:id="66" w:name="_Toc2415"/>
      <w:bookmarkStart w:id="67" w:name="_Toc455080111"/>
      <w:bookmarkStart w:id="68" w:name="_Toc274409868"/>
      <w:bookmarkStart w:id="69" w:name="_Toc466298094"/>
      <w:bookmarkStart w:id="70" w:name="_Toc17146"/>
      <w:bookmarkStart w:id="71" w:name="_Toc1373"/>
      <w:bookmarkStart w:id="72" w:name="_Toc490667830"/>
      <w:bookmarkStart w:id="73" w:name="_Toc455867771"/>
      <w:bookmarkStart w:id="74" w:name="_Toc3477"/>
    </w:p>
    <w:p w14:paraId="4CBD7954">
      <w:pPr>
        <w:wordWrap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E420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6"/>
      <w:bookmarkEnd w:id="37"/>
      <w:bookmarkEnd w:id="38"/>
      <w:bookmarkStart w:id="75" w:name="_Toc455867772"/>
      <w:bookmarkStart w:id="76" w:name="_Toc10894"/>
      <w:bookmarkStart w:id="77" w:name="_Toc27407"/>
      <w:bookmarkStart w:id="78" w:name="_Toc318450678"/>
      <w:bookmarkStart w:id="79" w:name="_Toc14043"/>
      <w:bookmarkStart w:id="80" w:name="_Toc12752"/>
      <w:bookmarkStart w:id="81" w:name="_Toc17808"/>
      <w:bookmarkStart w:id="82" w:name="_Toc455080112"/>
      <w:bookmarkStart w:id="83" w:name="_Toc490667831"/>
      <w:bookmarkStart w:id="84" w:name="_Toc17908"/>
      <w:bookmarkStart w:id="85" w:name="_Toc152045532"/>
      <w:bookmarkStart w:id="86" w:name="_Toc26189"/>
      <w:bookmarkStart w:id="87" w:name="_Toc16470"/>
      <w:bookmarkStart w:id="88" w:name="_Toc21766"/>
      <w:bookmarkStart w:id="89" w:name="_Toc19363"/>
      <w:bookmarkStart w:id="90" w:name="_Toc466298095"/>
      <w:bookmarkStart w:id="91" w:name="_Toc32236"/>
      <w:bookmarkStart w:id="92" w:name="_Toc144974500"/>
      <w:bookmarkStart w:id="93" w:name="_Toc152042308"/>
    </w:p>
    <w:p w14:paraId="055B0D3A">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4" w:name="_Toc318450679"/>
      <w:bookmarkStart w:id="95" w:name="_Toc152042310"/>
      <w:bookmarkStart w:id="96" w:name="_Toc144974502"/>
      <w:bookmarkStart w:id="97" w:name="_Toc152045534"/>
      <w:bookmarkStart w:id="98" w:name="_Toc18689"/>
      <w:bookmarkStart w:id="99" w:name="_Toc4711"/>
      <w:bookmarkStart w:id="100" w:name="_Toc32156"/>
      <w:bookmarkStart w:id="101" w:name="_Toc7209"/>
      <w:bookmarkStart w:id="102" w:name="_Toc5019"/>
      <w:bookmarkStart w:id="103" w:name="_Toc490667832"/>
      <w:bookmarkStart w:id="104" w:name="_Toc11063"/>
      <w:bookmarkStart w:id="105" w:name="_Toc22643"/>
      <w:bookmarkStart w:id="106" w:name="_Toc18004"/>
      <w:bookmarkStart w:id="107" w:name="_Toc1602"/>
      <w:bookmarkStart w:id="108" w:name="_Toc10081"/>
      <w:bookmarkStart w:id="109" w:name="_Toc455867773"/>
      <w:bookmarkStart w:id="110" w:name="_Toc466298096"/>
      <w:bookmarkStart w:id="111" w:name="_Toc455080113"/>
      <w:bookmarkStart w:id="112" w:name="_Toc4301"/>
    </w:p>
    <w:p w14:paraId="78C18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4"/>
      <w:bookmarkEnd w:id="95"/>
      <w:bookmarkEnd w:id="96"/>
      <w:bookmarkEnd w:id="97"/>
      <w:r>
        <w:rPr>
          <w:rFonts w:hint="eastAsia" w:asciiTheme="minorEastAsia" w:hAnsiTheme="minorEastAsia" w:eastAsiaTheme="minorEastAsia" w:cstheme="minorEastAsia"/>
          <w:b/>
          <w:sz w:val="24"/>
          <w:szCs w:val="24"/>
        </w:rPr>
        <w:t>供应商资质条件和能力</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07D568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3" w:name="_Toc455867774"/>
      <w:bookmarkStart w:id="114" w:name="_Toc490667833"/>
      <w:bookmarkStart w:id="115" w:name="_Toc152042311"/>
      <w:bookmarkStart w:id="116" w:name="_Toc466298097"/>
      <w:bookmarkStart w:id="117" w:name="_Toc28135"/>
      <w:bookmarkStart w:id="118" w:name="_Toc318450680"/>
      <w:bookmarkStart w:id="119" w:name="_Toc651"/>
      <w:bookmarkStart w:id="120" w:name="_Toc11905"/>
      <w:bookmarkStart w:id="121" w:name="_Toc981"/>
      <w:bookmarkStart w:id="122" w:name="_Toc16889"/>
      <w:bookmarkStart w:id="123" w:name="_Toc5162"/>
      <w:bookmarkStart w:id="124" w:name="_Toc9505"/>
      <w:bookmarkStart w:id="125" w:name="_Toc455080114"/>
      <w:bookmarkStart w:id="126" w:name="_Toc31497"/>
      <w:bookmarkStart w:id="127" w:name="_Toc12403"/>
      <w:bookmarkStart w:id="128" w:name="_Toc152045535"/>
      <w:bookmarkStart w:id="129" w:name="_Toc144974503"/>
      <w:bookmarkStart w:id="130" w:name="_Toc32446"/>
      <w:bookmarkStart w:id="131" w:name="_Toc31854"/>
    </w:p>
    <w:p w14:paraId="408FDB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6DA12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32" w:name="_Toc1879"/>
      <w:bookmarkStart w:id="133" w:name="_Toc144974504"/>
      <w:bookmarkStart w:id="134" w:name="_Toc490667834"/>
      <w:bookmarkStart w:id="135" w:name="_Toc22136"/>
      <w:bookmarkStart w:id="136" w:name="_Toc455080115"/>
      <w:bookmarkStart w:id="137" w:name="_Toc2622"/>
      <w:bookmarkStart w:id="138" w:name="_Toc152042312"/>
      <w:bookmarkStart w:id="139" w:name="_Toc20145"/>
      <w:bookmarkStart w:id="140" w:name="_Toc32053"/>
      <w:bookmarkStart w:id="141" w:name="_Toc22800"/>
      <w:bookmarkStart w:id="142" w:name="_Toc6014"/>
      <w:bookmarkStart w:id="143" w:name="_Toc466298098"/>
      <w:bookmarkStart w:id="144" w:name="_Toc8598"/>
      <w:bookmarkStart w:id="145" w:name="_Toc24601"/>
      <w:bookmarkStart w:id="146" w:name="_Toc5402"/>
      <w:bookmarkStart w:id="147" w:name="_Toc152045536"/>
      <w:bookmarkStart w:id="148" w:name="_Toc8055"/>
      <w:bookmarkStart w:id="149" w:name="_Toc455867775"/>
      <w:bookmarkStart w:id="150" w:name="_Toc318450681"/>
    </w:p>
    <w:p w14:paraId="2AC38EE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11B2493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51" w:name="_Toc144974505"/>
      <w:bookmarkStart w:id="152" w:name="_Toc466298099"/>
      <w:bookmarkStart w:id="153" w:name="_Toc455080116"/>
      <w:bookmarkStart w:id="154" w:name="_Toc30747"/>
      <w:bookmarkStart w:id="155" w:name="_Toc490667835"/>
      <w:bookmarkStart w:id="156" w:name="_Toc7031"/>
      <w:bookmarkStart w:id="157" w:name="_Toc14775"/>
      <w:bookmarkStart w:id="158" w:name="_Toc455867776"/>
      <w:bookmarkStart w:id="159" w:name="_Toc318450682"/>
      <w:bookmarkStart w:id="160" w:name="_Toc21089"/>
      <w:bookmarkStart w:id="161" w:name="_Toc22226"/>
      <w:bookmarkStart w:id="162" w:name="_Toc25517"/>
      <w:bookmarkStart w:id="163" w:name="_Toc13976"/>
      <w:bookmarkStart w:id="164" w:name="_Toc3628"/>
      <w:bookmarkStart w:id="165" w:name="_Toc152045537"/>
      <w:bookmarkStart w:id="166" w:name="_Toc6615"/>
      <w:bookmarkStart w:id="167" w:name="_Toc30583"/>
      <w:bookmarkStart w:id="168" w:name="_Toc152042313"/>
      <w:bookmarkStart w:id="169" w:name="_Toc15673"/>
    </w:p>
    <w:p w14:paraId="15009E6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51"/>
      <w:r>
        <w:rPr>
          <w:rFonts w:hint="eastAsia" w:asciiTheme="minorEastAsia" w:hAnsiTheme="minorEastAsia" w:eastAsiaTheme="minorEastAsia" w:cstheme="minorEastAsia"/>
          <w:b/>
          <w:sz w:val="24"/>
          <w:szCs w:val="24"/>
        </w:rPr>
        <w:t>文字</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5C444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70" w:name="_Toc466298100"/>
      <w:bookmarkStart w:id="171" w:name="_Toc9446"/>
      <w:bookmarkStart w:id="172" w:name="_Toc21543"/>
      <w:bookmarkStart w:id="173" w:name="_Toc4237"/>
      <w:bookmarkStart w:id="174" w:name="_Toc2702"/>
      <w:bookmarkStart w:id="175" w:name="_Toc22378"/>
      <w:bookmarkStart w:id="176" w:name="_Toc22415"/>
      <w:bookmarkStart w:id="177" w:name="_Toc318450683"/>
      <w:bookmarkStart w:id="178" w:name="_Toc152042314"/>
      <w:bookmarkStart w:id="179" w:name="_Toc14934"/>
      <w:bookmarkStart w:id="180" w:name="_Toc455867777"/>
      <w:bookmarkStart w:id="181" w:name="_Toc152045538"/>
      <w:bookmarkStart w:id="182" w:name="_Toc18357"/>
      <w:bookmarkStart w:id="183" w:name="_Toc144974506"/>
      <w:bookmarkStart w:id="184" w:name="_Toc24337"/>
      <w:bookmarkStart w:id="185" w:name="_Toc455080117"/>
      <w:bookmarkStart w:id="186" w:name="_Toc490667836"/>
      <w:bookmarkStart w:id="187" w:name="_Toc4501"/>
      <w:bookmarkStart w:id="188" w:name="_Toc32507"/>
    </w:p>
    <w:p w14:paraId="07623F7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DEBCD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9" w:name="_Toc466298101"/>
      <w:bookmarkStart w:id="190" w:name="_Toc152042316"/>
      <w:bookmarkStart w:id="191" w:name="_Toc455080118"/>
      <w:bookmarkStart w:id="192" w:name="_Toc27570"/>
      <w:bookmarkStart w:id="193" w:name="_Toc12027"/>
      <w:bookmarkStart w:id="194" w:name="_Toc338"/>
      <w:bookmarkStart w:id="195" w:name="_Toc144974508"/>
      <w:bookmarkStart w:id="196" w:name="_Toc2508"/>
      <w:bookmarkStart w:id="197" w:name="_Toc13675"/>
      <w:bookmarkStart w:id="198" w:name="_Toc455867778"/>
      <w:bookmarkStart w:id="199" w:name="_Toc19685"/>
      <w:bookmarkStart w:id="200" w:name="_Toc18589"/>
      <w:bookmarkStart w:id="201" w:name="_Toc318450684"/>
      <w:bookmarkStart w:id="202" w:name="_Toc490667837"/>
      <w:bookmarkStart w:id="203" w:name="_Toc284"/>
      <w:bookmarkStart w:id="204" w:name="_Toc31195"/>
      <w:bookmarkStart w:id="205" w:name="_Toc152045540"/>
      <w:bookmarkStart w:id="206" w:name="_Toc29845"/>
      <w:bookmarkStart w:id="207" w:name="_Toc32253"/>
    </w:p>
    <w:p w14:paraId="56602C3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eastAsia" w:asciiTheme="minorEastAsia" w:hAnsiTheme="minorEastAsia" w:eastAsiaTheme="minorEastAsia" w:cstheme="minorEastAsia"/>
          <w:b/>
          <w:sz w:val="24"/>
          <w:szCs w:val="24"/>
        </w:rPr>
        <w:t>现场踏勘</w:t>
      </w:r>
      <w:bookmarkEnd w:id="207"/>
      <w:bookmarkStart w:id="208" w:name="_Toc466298102"/>
      <w:bookmarkStart w:id="209" w:name="_Toc11744"/>
      <w:bookmarkStart w:id="210" w:name="_Toc152045541"/>
      <w:bookmarkStart w:id="211" w:name="_Toc23635"/>
      <w:bookmarkStart w:id="212" w:name="_Toc25208"/>
      <w:bookmarkStart w:id="213" w:name="_Toc23678"/>
      <w:bookmarkStart w:id="214" w:name="_Toc455080119"/>
      <w:bookmarkStart w:id="215" w:name="_Toc31725"/>
      <w:bookmarkStart w:id="216" w:name="_Toc28719"/>
      <w:bookmarkStart w:id="217" w:name="_Toc24262"/>
      <w:bookmarkStart w:id="218" w:name="_Toc32757"/>
      <w:bookmarkStart w:id="219" w:name="_Toc144974509"/>
      <w:bookmarkStart w:id="220" w:name="_Toc9182"/>
      <w:bookmarkStart w:id="221" w:name="_Toc3853"/>
      <w:bookmarkStart w:id="222" w:name="_Toc455867779"/>
      <w:bookmarkStart w:id="223" w:name="_Toc490667838"/>
      <w:bookmarkStart w:id="224" w:name="_Toc152042317"/>
      <w:bookmarkStart w:id="225" w:name="_Toc318450685"/>
    </w:p>
    <w:p w14:paraId="7CCD88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8F3B1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6" w:name="_Toc455080120"/>
      <w:bookmarkStart w:id="227" w:name="_Toc152045542"/>
      <w:bookmarkStart w:id="228" w:name="_Toc144974510"/>
      <w:bookmarkStart w:id="229" w:name="_Toc152042318"/>
    </w:p>
    <w:bookmarkEnd w:id="226"/>
    <w:bookmarkEnd w:id="227"/>
    <w:bookmarkEnd w:id="228"/>
    <w:bookmarkEnd w:id="229"/>
    <w:p w14:paraId="3D220A0E">
      <w:pPr>
        <w:wordWrap w:val="0"/>
        <w:spacing w:line="360" w:lineRule="auto"/>
        <w:ind w:firstLine="482" w:firstLineChars="200"/>
        <w:rPr>
          <w:rFonts w:hint="eastAsia" w:asciiTheme="minorEastAsia" w:hAnsiTheme="minorEastAsia" w:eastAsiaTheme="minorEastAsia" w:cstheme="minorEastAsia"/>
          <w:b/>
          <w:sz w:val="24"/>
          <w:szCs w:val="24"/>
        </w:rPr>
      </w:pPr>
      <w:bookmarkStart w:id="230" w:name="_Toc24635"/>
      <w:bookmarkStart w:id="231" w:name="_Toc2792"/>
      <w:r>
        <w:rPr>
          <w:rFonts w:hint="eastAsia" w:asciiTheme="minorEastAsia" w:hAnsiTheme="minorEastAsia" w:eastAsiaTheme="minorEastAsia" w:cstheme="minorEastAsia"/>
          <w:b/>
          <w:sz w:val="24"/>
          <w:szCs w:val="24"/>
        </w:rPr>
        <w:t>2.竞争性磋商文件</w:t>
      </w:r>
      <w:bookmarkEnd w:id="230"/>
      <w:bookmarkEnd w:id="231"/>
      <w:bookmarkStart w:id="232" w:name="_Toc455867781"/>
      <w:bookmarkStart w:id="233" w:name="_Toc11599"/>
      <w:bookmarkStart w:id="234" w:name="_Toc144974511"/>
      <w:bookmarkStart w:id="235" w:name="_Toc32711"/>
      <w:bookmarkStart w:id="236" w:name="_Toc466298104"/>
      <w:bookmarkStart w:id="237" w:name="_Toc11567"/>
      <w:bookmarkStart w:id="238" w:name="_Toc152042319"/>
      <w:bookmarkStart w:id="239" w:name="_Toc12004"/>
      <w:bookmarkStart w:id="240" w:name="_Toc9780"/>
      <w:bookmarkStart w:id="241" w:name="_Toc23649"/>
      <w:bookmarkStart w:id="242" w:name="_Toc25982"/>
      <w:bookmarkStart w:id="243" w:name="_Toc152045543"/>
      <w:bookmarkStart w:id="244" w:name="_Toc7999"/>
      <w:bookmarkStart w:id="245" w:name="_Toc12640"/>
      <w:bookmarkStart w:id="246" w:name="_Toc490667840"/>
      <w:bookmarkStart w:id="247" w:name="_Toc3982"/>
      <w:bookmarkStart w:id="248" w:name="_Toc455080121"/>
      <w:bookmarkStart w:id="249" w:name="_Toc1008"/>
      <w:bookmarkStart w:id="250" w:name="_Toc318450687"/>
    </w:p>
    <w:p w14:paraId="41A3987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45536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51" w:name="_Toc15658"/>
      <w:bookmarkStart w:id="252" w:name="_Toc6508"/>
      <w:bookmarkStart w:id="253" w:name="_Toc152042322"/>
      <w:bookmarkStart w:id="254" w:name="_Toc144974514"/>
      <w:bookmarkStart w:id="255" w:name="_Toc152045546"/>
      <w:bookmarkStart w:id="256" w:name="_Toc455080124"/>
    </w:p>
    <w:p w14:paraId="77B6108A">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51"/>
      <w:bookmarkEnd w:id="252"/>
    </w:p>
    <w:p w14:paraId="6D741DF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7" w:name="_Toc8263"/>
      <w:bookmarkStart w:id="258" w:name="_Toc9923"/>
    </w:p>
    <w:p w14:paraId="070EEB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7"/>
      <w:bookmarkEnd w:id="258"/>
    </w:p>
    <w:p w14:paraId="150C2A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wordWrap w:val="0"/>
        <w:spacing w:line="360" w:lineRule="auto"/>
        <w:ind w:firstLine="482" w:firstLineChars="200"/>
        <w:rPr>
          <w:rFonts w:hint="eastAsia" w:asciiTheme="minorEastAsia" w:hAnsiTheme="minorEastAsia" w:eastAsiaTheme="minorEastAsia" w:cstheme="minorEastAsia"/>
          <w:b/>
          <w:sz w:val="24"/>
          <w:szCs w:val="24"/>
        </w:rPr>
      </w:pPr>
      <w:bookmarkStart w:id="259" w:name="_Toc26311"/>
      <w:bookmarkStart w:id="260" w:name="_Toc20484"/>
      <w:bookmarkStart w:id="261" w:name="_Toc4666"/>
      <w:r>
        <w:rPr>
          <w:rFonts w:hint="eastAsia" w:asciiTheme="minorEastAsia" w:hAnsiTheme="minorEastAsia" w:eastAsiaTheme="minorEastAsia" w:cstheme="minorEastAsia"/>
          <w:b/>
          <w:sz w:val="24"/>
          <w:szCs w:val="24"/>
        </w:rPr>
        <w:t xml:space="preserve">3. </w:t>
      </w:r>
      <w:bookmarkEnd w:id="253"/>
      <w:bookmarkEnd w:id="254"/>
      <w:bookmarkEnd w:id="255"/>
      <w:r>
        <w:rPr>
          <w:rFonts w:hint="eastAsia" w:asciiTheme="minorEastAsia" w:hAnsiTheme="minorEastAsia" w:eastAsiaTheme="minorEastAsia" w:cstheme="minorEastAsia"/>
          <w:b/>
          <w:sz w:val="24"/>
          <w:szCs w:val="24"/>
        </w:rPr>
        <w:t>响应文件</w:t>
      </w:r>
      <w:bookmarkEnd w:id="256"/>
      <w:bookmarkEnd w:id="259"/>
      <w:bookmarkEnd w:id="260"/>
      <w:bookmarkEnd w:id="261"/>
      <w:bookmarkStart w:id="262" w:name="_Toc318450691"/>
      <w:bookmarkStart w:id="263" w:name="_Toc490667844"/>
      <w:bookmarkStart w:id="264" w:name="_Toc1102"/>
      <w:bookmarkStart w:id="265" w:name="_Toc9273"/>
      <w:bookmarkStart w:id="266" w:name="_Toc144974515"/>
      <w:bookmarkStart w:id="267" w:name="_Toc16198"/>
      <w:bookmarkStart w:id="268" w:name="_Toc152042323"/>
      <w:bookmarkStart w:id="269" w:name="_Toc27373"/>
      <w:bookmarkStart w:id="270" w:name="_Toc24440"/>
      <w:bookmarkStart w:id="271" w:name="_Toc15810"/>
      <w:bookmarkStart w:id="272" w:name="_Toc10096"/>
      <w:bookmarkStart w:id="273" w:name="_Toc152045547"/>
    </w:p>
    <w:p w14:paraId="43EFF32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62"/>
      <w:bookmarkEnd w:id="263"/>
      <w:bookmarkEnd w:id="264"/>
      <w:bookmarkEnd w:id="265"/>
      <w:bookmarkEnd w:id="266"/>
      <w:bookmarkEnd w:id="267"/>
      <w:bookmarkEnd w:id="268"/>
      <w:bookmarkEnd w:id="269"/>
      <w:bookmarkEnd w:id="270"/>
      <w:bookmarkEnd w:id="271"/>
      <w:bookmarkEnd w:id="272"/>
      <w:bookmarkEnd w:id="273"/>
    </w:p>
    <w:p w14:paraId="34ABD3D8">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4" w:name="_Toc279156232"/>
      <w:bookmarkStart w:id="275" w:name="_Toc318450692"/>
      <w:bookmarkStart w:id="276" w:name="_Toc152045548"/>
      <w:bookmarkStart w:id="277" w:name="_Toc144974516"/>
      <w:bookmarkStart w:id="278" w:name="_Toc899"/>
      <w:bookmarkStart w:id="279" w:name="_Toc152042324"/>
      <w:bookmarkStart w:id="280" w:name="_Toc26291"/>
      <w:r>
        <w:rPr>
          <w:rFonts w:hint="eastAsia" w:asciiTheme="minorEastAsia" w:hAnsiTheme="minorEastAsia" w:eastAsiaTheme="minorEastAsia" w:cstheme="minorEastAsia"/>
          <w:sz w:val="24"/>
          <w:szCs w:val="24"/>
          <w:highlight w:val="none"/>
        </w:rPr>
        <w:t>响应文件应包括下列内容：</w:t>
      </w:r>
    </w:p>
    <w:p w14:paraId="30D1CBE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81" w:name="_Toc4592"/>
      <w:r>
        <w:rPr>
          <w:rFonts w:hint="eastAsia" w:asciiTheme="minorEastAsia" w:hAnsiTheme="minorEastAsia" w:eastAsiaTheme="minorEastAsia" w:cstheme="minorEastAsia"/>
          <w:b w:val="0"/>
          <w:bCs/>
          <w:sz w:val="24"/>
          <w:szCs w:val="24"/>
          <w:highlight w:val="none"/>
        </w:rPr>
        <w:t>一、响应函及响应函附录</w:t>
      </w:r>
    </w:p>
    <w:p w14:paraId="696634CB">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wordWrap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4"/>
      <w:bookmarkEnd w:id="275"/>
      <w:bookmarkEnd w:id="276"/>
      <w:bookmarkEnd w:id="277"/>
      <w:bookmarkEnd w:id="278"/>
      <w:bookmarkEnd w:id="279"/>
      <w:bookmarkEnd w:id="280"/>
      <w:bookmarkEnd w:id="281"/>
    </w:p>
    <w:p w14:paraId="49B48ADD">
      <w:pPr>
        <w:wordWrap w:val="0"/>
        <w:spacing w:line="360" w:lineRule="auto"/>
        <w:ind w:firstLine="480" w:firstLineChars="200"/>
        <w:rPr>
          <w:rFonts w:hint="eastAsia" w:asciiTheme="minorEastAsia" w:hAnsiTheme="minorEastAsia" w:eastAsiaTheme="minorEastAsia" w:cstheme="minorEastAsia"/>
          <w:sz w:val="24"/>
          <w:szCs w:val="24"/>
        </w:rPr>
      </w:pPr>
      <w:bookmarkStart w:id="282" w:name="_Toc12402"/>
      <w:bookmarkStart w:id="283" w:name="_Toc7105"/>
      <w:bookmarkStart w:id="284" w:name="_Toc6105"/>
      <w:bookmarkStart w:id="285" w:name="_Toc21680"/>
      <w:bookmarkStart w:id="286" w:name="_Toc2425"/>
      <w:bookmarkStart w:id="287" w:name="_Toc3624"/>
      <w:bookmarkStart w:id="288" w:name="_Toc455867786"/>
      <w:bookmarkStart w:id="289" w:name="_Toc7910"/>
      <w:bookmarkStart w:id="290" w:name="_Toc466298109"/>
      <w:bookmarkStart w:id="291" w:name="_Toc455080126"/>
      <w:bookmarkStart w:id="292" w:name="_Toc21600"/>
      <w:bookmarkStart w:id="293" w:name="_Toc318450693"/>
      <w:bookmarkStart w:id="294" w:name="_Toc11968"/>
      <w:bookmarkStart w:id="295" w:name="_Toc490667846"/>
      <w:bookmarkStart w:id="296" w:name="_Toc144974517"/>
      <w:bookmarkStart w:id="297" w:name="_Toc25387"/>
      <w:bookmarkStart w:id="298" w:name="_Toc152042325"/>
      <w:bookmarkStart w:id="299" w:name="_Toc152045549"/>
      <w:bookmarkStart w:id="300" w:name="_Toc29133"/>
      <w:r>
        <w:rPr>
          <w:rFonts w:hint="eastAsia" w:asciiTheme="minorEastAsia" w:hAnsiTheme="minorEastAsia" w:eastAsiaTheme="minorEastAsia" w:cstheme="minorEastAsia"/>
          <w:sz w:val="24"/>
          <w:szCs w:val="24"/>
        </w:rPr>
        <w:t xml:space="preserve">3.2.1 </w:t>
      </w:r>
      <w:bookmarkEnd w:id="282"/>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wordWrap w:val="0"/>
        <w:spacing w:line="360" w:lineRule="auto"/>
        <w:ind w:firstLine="482" w:firstLineChars="200"/>
        <w:rPr>
          <w:rFonts w:hint="eastAsia" w:asciiTheme="minorEastAsia" w:hAnsiTheme="minorEastAsia" w:eastAsiaTheme="minorEastAsia" w:cstheme="minorEastAsia"/>
          <w:b/>
          <w:sz w:val="24"/>
          <w:szCs w:val="24"/>
        </w:rPr>
      </w:pPr>
      <w:bookmarkStart w:id="301" w:name="_Toc31126"/>
      <w:r>
        <w:rPr>
          <w:rFonts w:hint="eastAsia" w:asciiTheme="minorEastAsia" w:hAnsiTheme="minorEastAsia" w:eastAsiaTheme="minorEastAsia" w:cstheme="minorEastAsia"/>
          <w:b/>
          <w:sz w:val="24"/>
          <w:szCs w:val="24"/>
        </w:rPr>
        <w:t>3.3 磋商有效期</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893FBB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wordWrap w:val="0"/>
        <w:spacing w:line="360" w:lineRule="auto"/>
        <w:ind w:firstLine="482" w:firstLineChars="200"/>
        <w:rPr>
          <w:rFonts w:hint="eastAsia" w:asciiTheme="minorEastAsia" w:hAnsiTheme="minorEastAsia" w:eastAsiaTheme="minorEastAsia" w:cstheme="minorEastAsia"/>
          <w:sz w:val="24"/>
          <w:szCs w:val="24"/>
        </w:rPr>
      </w:pPr>
      <w:bookmarkStart w:id="302" w:name="_Toc30697"/>
      <w:bookmarkStart w:id="303" w:name="_Toc8406"/>
      <w:bookmarkStart w:id="304" w:name="_Toc4165"/>
      <w:bookmarkStart w:id="305" w:name="_Toc7973"/>
      <w:bookmarkStart w:id="306" w:name="_Toc22634"/>
      <w:bookmarkStart w:id="307" w:name="_Toc455080127"/>
      <w:bookmarkStart w:id="308" w:name="_Toc152045550"/>
      <w:bookmarkStart w:id="309" w:name="_Toc152042326"/>
      <w:bookmarkStart w:id="310" w:name="_Toc144974518"/>
      <w:bookmarkStart w:id="311" w:name="_Toc2505"/>
      <w:bookmarkStart w:id="312" w:name="_Toc10370"/>
      <w:bookmarkStart w:id="313" w:name="_Toc455867787"/>
      <w:bookmarkStart w:id="314" w:name="_Toc466298110"/>
      <w:bookmarkStart w:id="315" w:name="_Toc7618"/>
      <w:bookmarkStart w:id="316" w:name="_Toc7057"/>
      <w:bookmarkStart w:id="317" w:name="_Toc318450694"/>
      <w:bookmarkStart w:id="318" w:name="_Toc490667847"/>
      <w:bookmarkStart w:id="319" w:name="_Toc1907"/>
      <w:bookmarkStart w:id="320" w:name="_Toc13921"/>
      <w:r>
        <w:rPr>
          <w:rFonts w:hint="eastAsia" w:asciiTheme="minorEastAsia" w:hAnsiTheme="minorEastAsia" w:eastAsiaTheme="minorEastAsia" w:cstheme="minorEastAsia"/>
          <w:b/>
          <w:sz w:val="24"/>
          <w:szCs w:val="24"/>
        </w:rPr>
        <w:t>3.4 磋商保证金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Start w:id="321" w:name="_Toc318450695"/>
      <w:bookmarkStart w:id="322" w:name="_Toc144974520"/>
      <w:bookmarkStart w:id="323" w:name="_Toc152045552"/>
      <w:bookmarkStart w:id="324" w:name="_Toc152042328"/>
    </w:p>
    <w:p w14:paraId="4189B18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9"/>
      <w:bookmarkEnd w:id="320"/>
    </w:p>
    <w:p w14:paraId="41AD7B95">
      <w:pPr>
        <w:wordWrap w:val="0"/>
        <w:spacing w:line="360" w:lineRule="auto"/>
        <w:ind w:firstLine="482" w:firstLineChars="200"/>
        <w:rPr>
          <w:rFonts w:hint="eastAsia" w:asciiTheme="minorEastAsia" w:hAnsiTheme="minorEastAsia" w:eastAsiaTheme="minorEastAsia" w:cstheme="minorEastAsia"/>
          <w:b/>
          <w:sz w:val="24"/>
          <w:szCs w:val="24"/>
        </w:rPr>
      </w:pPr>
      <w:bookmarkStart w:id="325" w:name="_Toc11077"/>
      <w:bookmarkStart w:id="326" w:name="_Toc20328"/>
      <w:bookmarkStart w:id="327" w:name="_Toc13680"/>
      <w:bookmarkStart w:id="328" w:name="_Toc22527"/>
      <w:bookmarkStart w:id="329" w:name="_Toc17153"/>
      <w:bookmarkStart w:id="330" w:name="_Toc16747"/>
      <w:bookmarkStart w:id="331" w:name="_Toc490667848"/>
      <w:bookmarkStart w:id="332" w:name="_Toc27678"/>
      <w:bookmarkStart w:id="333" w:name="_Toc15547"/>
      <w:bookmarkStart w:id="334" w:name="_Toc455080128"/>
      <w:bookmarkStart w:id="335" w:name="_Toc466298111"/>
      <w:bookmarkStart w:id="336" w:name="_Toc22384"/>
      <w:bookmarkStart w:id="337" w:name="_Toc455867788"/>
      <w:bookmarkStart w:id="338" w:name="_Toc27579"/>
      <w:r>
        <w:rPr>
          <w:rFonts w:hint="eastAsia" w:asciiTheme="minorEastAsia" w:hAnsiTheme="minorEastAsia" w:eastAsiaTheme="minorEastAsia" w:cstheme="minorEastAsia"/>
          <w:b/>
          <w:sz w:val="24"/>
          <w:szCs w:val="24"/>
        </w:rPr>
        <w:t>3.5 资格审查资料</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DD2CE2C">
      <w:pPr>
        <w:wordWrap w:val="0"/>
        <w:spacing w:line="360" w:lineRule="auto"/>
        <w:ind w:firstLine="480" w:firstLineChars="200"/>
        <w:rPr>
          <w:rFonts w:hint="eastAsia" w:asciiTheme="minorEastAsia" w:hAnsiTheme="minorEastAsia" w:eastAsiaTheme="minorEastAsia" w:cstheme="minorEastAsia"/>
          <w:sz w:val="24"/>
          <w:szCs w:val="24"/>
        </w:rPr>
      </w:pPr>
      <w:bookmarkStart w:id="339" w:name="_Toc4586"/>
      <w:bookmarkStart w:id="340" w:name="_Toc15687"/>
      <w:bookmarkStart w:id="341" w:name="_Toc30442"/>
      <w:bookmarkStart w:id="342" w:name="_Toc490667849"/>
      <w:bookmarkStart w:id="343" w:name="_Toc455867789"/>
      <w:bookmarkStart w:id="344" w:name="_Toc11694"/>
      <w:bookmarkStart w:id="345" w:name="_Toc318450696"/>
      <w:bookmarkStart w:id="346" w:name="_Toc26258"/>
      <w:bookmarkStart w:id="347" w:name="_Toc19724"/>
      <w:bookmarkStart w:id="348" w:name="_Toc9015"/>
      <w:bookmarkStart w:id="349" w:name="_Toc152045553"/>
      <w:bookmarkStart w:id="350" w:name="_Toc3286"/>
      <w:bookmarkStart w:id="351" w:name="_Toc152042329"/>
      <w:bookmarkStart w:id="352" w:name="_Toc455080129"/>
      <w:bookmarkStart w:id="353" w:name="_Toc144974521"/>
      <w:bookmarkStart w:id="354" w:name="_Toc1228"/>
      <w:bookmarkStart w:id="355" w:name="_Toc5132"/>
      <w:bookmarkStart w:id="356" w:name="_Toc466298112"/>
      <w:bookmarkStart w:id="357" w:name="_Toc18915"/>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9"/>
      <w:bookmarkEnd w:id="340"/>
    </w:p>
    <w:p w14:paraId="26CA284A">
      <w:pPr>
        <w:wordWrap w:val="0"/>
        <w:spacing w:line="360" w:lineRule="auto"/>
        <w:ind w:firstLine="482" w:firstLineChars="200"/>
        <w:rPr>
          <w:rFonts w:hint="eastAsia" w:asciiTheme="minorEastAsia" w:hAnsiTheme="minorEastAsia" w:eastAsiaTheme="minorEastAsia" w:cstheme="minorEastAsia"/>
          <w:b/>
          <w:sz w:val="24"/>
          <w:szCs w:val="24"/>
        </w:rPr>
      </w:pPr>
      <w:bookmarkStart w:id="358" w:name="_Toc3708"/>
      <w:bookmarkStart w:id="359" w:name="_Toc24859"/>
      <w:r>
        <w:rPr>
          <w:rFonts w:hint="eastAsia" w:asciiTheme="minorEastAsia" w:hAnsiTheme="minorEastAsia" w:eastAsiaTheme="minorEastAsia" w:cstheme="minorEastAsia"/>
          <w:b/>
          <w:sz w:val="24"/>
          <w:szCs w:val="24"/>
        </w:rPr>
        <w:t>3.6 备选方案</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639F88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wordWrap w:val="0"/>
        <w:spacing w:line="360" w:lineRule="auto"/>
        <w:ind w:firstLine="482" w:firstLineChars="200"/>
        <w:rPr>
          <w:rFonts w:hint="eastAsia" w:asciiTheme="minorEastAsia" w:hAnsiTheme="minorEastAsia" w:eastAsiaTheme="minorEastAsia" w:cstheme="minorEastAsia"/>
          <w:b/>
          <w:sz w:val="24"/>
          <w:szCs w:val="24"/>
        </w:rPr>
      </w:pPr>
      <w:bookmarkStart w:id="360" w:name="_Toc7626"/>
      <w:bookmarkStart w:id="361" w:name="_Toc12275"/>
      <w:bookmarkStart w:id="362" w:name="_Toc7966"/>
      <w:bookmarkStart w:id="363" w:name="_Toc18912"/>
      <w:bookmarkStart w:id="364" w:name="_Toc144974522"/>
      <w:bookmarkStart w:id="365" w:name="_Toc466298113"/>
      <w:bookmarkStart w:id="366" w:name="_Toc152045554"/>
      <w:bookmarkStart w:id="367" w:name="_Toc5516"/>
      <w:bookmarkStart w:id="368" w:name="_Toc17697"/>
      <w:bookmarkStart w:id="369" w:name="_Toc318450697"/>
      <w:bookmarkStart w:id="370" w:name="_Toc12541"/>
      <w:bookmarkStart w:id="371" w:name="_Toc17982"/>
      <w:bookmarkStart w:id="372" w:name="_Toc28656"/>
      <w:bookmarkStart w:id="373" w:name="_Toc490667850"/>
      <w:bookmarkStart w:id="374" w:name="_Toc455867790"/>
      <w:bookmarkStart w:id="375" w:name="_Toc455080130"/>
      <w:bookmarkStart w:id="376" w:name="_Toc25620"/>
      <w:bookmarkStart w:id="377" w:name="_Toc152042330"/>
      <w:bookmarkStart w:id="378" w:name="_Toc6323"/>
      <w:r>
        <w:rPr>
          <w:rFonts w:hint="eastAsia" w:asciiTheme="minorEastAsia" w:hAnsiTheme="minorEastAsia" w:eastAsiaTheme="minorEastAsia" w:cstheme="minorEastAsia"/>
          <w:b/>
          <w:sz w:val="24"/>
          <w:szCs w:val="24"/>
        </w:rPr>
        <w:t>3.7 响应文件的编制</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Toc144974523"/>
      <w:bookmarkStart w:id="380" w:name="_Toc152042331"/>
      <w:bookmarkStart w:id="381" w:name="_Toc152045555"/>
      <w:bookmarkStart w:id="382" w:name="_Toc455080131"/>
    </w:p>
    <w:p w14:paraId="101BC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wordWrap w:val="0"/>
        <w:spacing w:line="360" w:lineRule="auto"/>
        <w:ind w:firstLine="482" w:firstLineChars="200"/>
        <w:rPr>
          <w:rFonts w:hint="eastAsia" w:asciiTheme="minorEastAsia" w:hAnsiTheme="minorEastAsia" w:eastAsiaTheme="minorEastAsia" w:cstheme="minorEastAsia"/>
          <w:b/>
          <w:sz w:val="24"/>
          <w:szCs w:val="24"/>
        </w:rPr>
      </w:pPr>
      <w:bookmarkStart w:id="383" w:name="_Toc19433"/>
      <w:bookmarkStart w:id="384" w:name="_Toc28805"/>
      <w:bookmarkStart w:id="385" w:name="_Toc10732"/>
      <w:r>
        <w:rPr>
          <w:rFonts w:hint="eastAsia" w:asciiTheme="minorEastAsia" w:hAnsiTheme="minorEastAsia" w:eastAsiaTheme="minorEastAsia" w:cstheme="minorEastAsia"/>
          <w:b/>
          <w:sz w:val="24"/>
          <w:szCs w:val="24"/>
        </w:rPr>
        <w:t xml:space="preserve">4. </w:t>
      </w:r>
      <w:bookmarkEnd w:id="379"/>
      <w:bookmarkEnd w:id="380"/>
      <w:bookmarkEnd w:id="381"/>
      <w:bookmarkEnd w:id="382"/>
      <w:r>
        <w:rPr>
          <w:rFonts w:hint="eastAsia" w:asciiTheme="minorEastAsia" w:hAnsiTheme="minorEastAsia" w:eastAsiaTheme="minorEastAsia" w:cstheme="minorEastAsia"/>
          <w:b/>
          <w:sz w:val="24"/>
          <w:szCs w:val="24"/>
        </w:rPr>
        <w:t>磋商</w:t>
      </w:r>
      <w:bookmarkEnd w:id="383"/>
      <w:bookmarkEnd w:id="384"/>
      <w:bookmarkEnd w:id="385"/>
      <w:bookmarkStart w:id="386" w:name="_Toc318450699"/>
      <w:bookmarkStart w:id="387" w:name="_Toc455867792"/>
      <w:bookmarkStart w:id="388" w:name="_Toc16783"/>
      <w:bookmarkStart w:id="389" w:name="_Toc26583"/>
      <w:bookmarkStart w:id="390" w:name="_Toc16344"/>
      <w:bookmarkStart w:id="391" w:name="_Toc152045556"/>
      <w:bookmarkStart w:id="392" w:name="_Toc152042332"/>
      <w:bookmarkStart w:id="393" w:name="_Toc144974524"/>
      <w:bookmarkStart w:id="394" w:name="_Toc18820"/>
      <w:bookmarkStart w:id="395" w:name="_Toc490667852"/>
      <w:bookmarkStart w:id="396" w:name="_Toc466298115"/>
      <w:bookmarkStart w:id="397" w:name="_Toc26550"/>
      <w:bookmarkStart w:id="398" w:name="_Toc31492"/>
      <w:bookmarkStart w:id="399" w:name="_Toc22961"/>
      <w:bookmarkStart w:id="400" w:name="_Toc11243"/>
      <w:bookmarkStart w:id="401" w:name="_Toc455080132"/>
      <w:bookmarkStart w:id="402" w:name="_Toc16962"/>
      <w:bookmarkStart w:id="403" w:name="_Toc21145"/>
      <w:bookmarkStart w:id="404" w:name="_Toc19950"/>
    </w:p>
    <w:p w14:paraId="726FB5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Theme="minorEastAsia" w:hAnsiTheme="minorEastAsia" w:eastAsiaTheme="minorEastAsia" w:cstheme="minorEastAsia"/>
          <w:b/>
          <w:sz w:val="24"/>
          <w:szCs w:val="24"/>
        </w:rPr>
        <w:t>上传</w:t>
      </w:r>
      <w:bookmarkEnd w:id="403"/>
      <w:bookmarkEnd w:id="404"/>
    </w:p>
    <w:p w14:paraId="3D60536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wordWrap w:val="0"/>
        <w:spacing w:line="360" w:lineRule="auto"/>
        <w:ind w:firstLine="482" w:firstLineChars="200"/>
        <w:rPr>
          <w:rFonts w:hint="eastAsia" w:asciiTheme="minorEastAsia" w:hAnsiTheme="minorEastAsia" w:eastAsiaTheme="minorEastAsia" w:cstheme="minorEastAsia"/>
          <w:b/>
          <w:sz w:val="24"/>
          <w:szCs w:val="24"/>
        </w:rPr>
      </w:pPr>
      <w:bookmarkStart w:id="405" w:name="_Toc4767"/>
      <w:bookmarkStart w:id="406" w:name="_Toc490667853"/>
      <w:bookmarkStart w:id="407" w:name="_Toc21897"/>
      <w:bookmarkStart w:id="408" w:name="_Toc5518"/>
      <w:bookmarkStart w:id="409" w:name="_Toc27132"/>
      <w:bookmarkStart w:id="410" w:name="_Toc7663"/>
      <w:bookmarkStart w:id="411" w:name="_Toc466298116"/>
      <w:bookmarkStart w:id="412" w:name="_Toc318450700"/>
      <w:bookmarkStart w:id="413" w:name="_Toc144974525"/>
      <w:bookmarkStart w:id="414" w:name="_Toc20259"/>
      <w:bookmarkStart w:id="415" w:name="_Toc152042333"/>
      <w:bookmarkStart w:id="416" w:name="_Toc455867793"/>
      <w:bookmarkStart w:id="417" w:name="_Toc21072"/>
      <w:bookmarkStart w:id="418" w:name="_Toc462"/>
      <w:bookmarkStart w:id="419" w:name="_Toc28272"/>
      <w:bookmarkStart w:id="420" w:name="_Toc152045557"/>
      <w:bookmarkStart w:id="421" w:name="_Toc16832"/>
      <w:bookmarkStart w:id="422" w:name="_Toc8754"/>
      <w:bookmarkStart w:id="423" w:name="_Toc455080133"/>
      <w:r>
        <w:rPr>
          <w:rFonts w:hint="eastAsia" w:asciiTheme="minorEastAsia" w:hAnsiTheme="minorEastAsia" w:eastAsiaTheme="minorEastAsia" w:cstheme="minorEastAsia"/>
          <w:b/>
          <w:sz w:val="24"/>
          <w:szCs w:val="24"/>
        </w:rPr>
        <w:t>4.2 响应文件的递交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B7CFA5A">
      <w:pPr>
        <w:wordWrap w:val="0"/>
        <w:spacing w:line="360" w:lineRule="auto"/>
        <w:ind w:firstLine="480" w:firstLineChars="200"/>
        <w:rPr>
          <w:rFonts w:hint="eastAsia" w:asciiTheme="minorEastAsia" w:hAnsiTheme="minorEastAsia" w:eastAsiaTheme="minorEastAsia" w:cstheme="minorEastAsia"/>
          <w:sz w:val="24"/>
          <w:szCs w:val="24"/>
        </w:rPr>
      </w:pPr>
      <w:bookmarkStart w:id="424" w:name="_Toc17161"/>
      <w:bookmarkStart w:id="425" w:name="_Toc20281"/>
      <w:bookmarkStart w:id="426" w:name="_Toc152045558"/>
      <w:bookmarkStart w:id="427" w:name="_Toc318450701"/>
      <w:bookmarkStart w:id="428" w:name="_Toc30860"/>
      <w:bookmarkStart w:id="429" w:name="_Toc5102"/>
      <w:bookmarkStart w:id="430" w:name="_Toc26684"/>
      <w:bookmarkStart w:id="431" w:name="_Toc455080134"/>
      <w:bookmarkStart w:id="432" w:name="_Toc2952"/>
      <w:bookmarkStart w:id="433" w:name="_Toc21890"/>
      <w:bookmarkStart w:id="434" w:name="_Toc11817"/>
      <w:bookmarkStart w:id="435" w:name="_Toc19951"/>
      <w:bookmarkStart w:id="436" w:name="_Toc152042334"/>
      <w:bookmarkStart w:id="437" w:name="_Toc490667854"/>
      <w:bookmarkStart w:id="438" w:name="_Toc144974526"/>
      <w:bookmarkStart w:id="439" w:name="_Toc455867794"/>
      <w:bookmarkStart w:id="440" w:name="_Toc466298117"/>
      <w:r>
        <w:rPr>
          <w:rFonts w:hint="eastAsia" w:asciiTheme="minorEastAsia" w:hAnsiTheme="minorEastAsia" w:eastAsiaTheme="minorEastAsia" w:cstheme="minorEastAsia"/>
          <w:sz w:val="24"/>
          <w:szCs w:val="24"/>
        </w:rPr>
        <w:t>4.2.1 电子响应文件的递交</w:t>
      </w:r>
    </w:p>
    <w:p w14:paraId="2CCB1B3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41" w:name="_Toc1790"/>
      <w:bookmarkStart w:id="442" w:name="_Toc30434"/>
    </w:p>
    <w:p w14:paraId="60E07C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FF30A2D">
      <w:pPr>
        <w:wordWrap w:val="0"/>
        <w:spacing w:line="360" w:lineRule="auto"/>
        <w:ind w:firstLine="480" w:firstLineChars="200"/>
        <w:rPr>
          <w:rFonts w:hint="eastAsia" w:asciiTheme="minorEastAsia" w:hAnsiTheme="minorEastAsia" w:eastAsiaTheme="minorEastAsia" w:cstheme="minorEastAsia"/>
          <w:sz w:val="24"/>
          <w:szCs w:val="24"/>
        </w:rPr>
      </w:pPr>
      <w:bookmarkStart w:id="443" w:name="_Toc152045559"/>
      <w:bookmarkStart w:id="444" w:name="_Toc152042335"/>
      <w:bookmarkStart w:id="445" w:name="_Toc144974527"/>
      <w:bookmarkStart w:id="446"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3"/>
    <w:bookmarkEnd w:id="444"/>
    <w:bookmarkEnd w:id="445"/>
    <w:p w14:paraId="4B6F32AA">
      <w:pPr>
        <w:wordWrap w:val="0"/>
        <w:spacing w:line="360" w:lineRule="auto"/>
        <w:ind w:firstLine="482" w:firstLineChars="200"/>
        <w:rPr>
          <w:rFonts w:hint="eastAsia" w:asciiTheme="minorEastAsia" w:hAnsiTheme="minorEastAsia" w:eastAsiaTheme="minorEastAsia" w:cstheme="minorEastAsia"/>
          <w:b/>
          <w:sz w:val="24"/>
          <w:szCs w:val="24"/>
        </w:rPr>
      </w:pPr>
      <w:bookmarkStart w:id="447" w:name="_Toc5719"/>
      <w:bookmarkStart w:id="448" w:name="_Toc31291"/>
      <w:bookmarkStart w:id="449" w:name="_Toc14969"/>
      <w:r>
        <w:rPr>
          <w:rFonts w:hint="eastAsia" w:asciiTheme="minorEastAsia" w:hAnsiTheme="minorEastAsia" w:eastAsiaTheme="minorEastAsia" w:cstheme="minorEastAsia"/>
          <w:b/>
          <w:sz w:val="24"/>
          <w:szCs w:val="24"/>
        </w:rPr>
        <w:t>5. 磋商开始</w:t>
      </w:r>
      <w:bookmarkEnd w:id="446"/>
      <w:bookmarkEnd w:id="447"/>
      <w:bookmarkEnd w:id="448"/>
      <w:bookmarkEnd w:id="449"/>
      <w:bookmarkStart w:id="450" w:name="_Toc16040"/>
      <w:bookmarkStart w:id="451" w:name="_Toc466298119"/>
      <w:bookmarkStart w:id="452" w:name="_Toc6763"/>
      <w:bookmarkStart w:id="453" w:name="_Toc20333"/>
      <w:bookmarkStart w:id="454" w:name="_Toc9969"/>
      <w:bookmarkStart w:id="455" w:name="_Toc26426"/>
      <w:bookmarkStart w:id="456" w:name="_Toc490667856"/>
      <w:bookmarkStart w:id="457" w:name="_Toc25809"/>
      <w:bookmarkStart w:id="458" w:name="_Toc144974528"/>
      <w:bookmarkStart w:id="459" w:name="_Toc318450703"/>
      <w:bookmarkStart w:id="460" w:name="_Toc455080136"/>
      <w:bookmarkStart w:id="461" w:name="_Toc20660"/>
      <w:bookmarkStart w:id="462" w:name="_Toc455867796"/>
      <w:bookmarkStart w:id="463" w:name="_Toc152042336"/>
      <w:bookmarkStart w:id="464" w:name="_Toc25533"/>
      <w:bookmarkStart w:id="465" w:name="_Toc152045560"/>
      <w:bookmarkStart w:id="466" w:name="_Toc14"/>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4C00CEF5">
      <w:pPr>
        <w:wordWrap w:val="0"/>
        <w:spacing w:line="360" w:lineRule="auto"/>
        <w:ind w:firstLine="482" w:firstLineChars="200"/>
        <w:rPr>
          <w:rFonts w:hint="eastAsia" w:asciiTheme="minorEastAsia" w:hAnsiTheme="minorEastAsia" w:eastAsiaTheme="minorEastAsia" w:cstheme="minorEastAsia"/>
          <w:b/>
          <w:sz w:val="24"/>
          <w:szCs w:val="24"/>
        </w:rPr>
      </w:pPr>
      <w:bookmarkStart w:id="467" w:name="_Toc19037"/>
      <w:bookmarkStart w:id="468" w:name="_Toc144974529"/>
      <w:bookmarkStart w:id="469" w:name="_Toc30792"/>
      <w:bookmarkStart w:id="470" w:name="_Toc318450704"/>
      <w:bookmarkStart w:id="471" w:name="_Toc3865"/>
      <w:bookmarkStart w:id="472" w:name="_Toc18582"/>
      <w:bookmarkStart w:id="473" w:name="_Toc455867797"/>
      <w:bookmarkStart w:id="474" w:name="_Toc11148"/>
      <w:bookmarkStart w:id="475" w:name="_Toc152045561"/>
      <w:bookmarkStart w:id="476" w:name="_Toc747"/>
      <w:bookmarkStart w:id="477" w:name="_Toc17491"/>
      <w:bookmarkStart w:id="478" w:name="_Toc25911"/>
      <w:bookmarkStart w:id="479" w:name="_Toc466298120"/>
      <w:bookmarkStart w:id="480" w:name="_Toc30074"/>
      <w:bookmarkStart w:id="481" w:name="_Toc30965"/>
      <w:bookmarkStart w:id="482" w:name="_Toc9328"/>
      <w:bookmarkStart w:id="483" w:name="_Toc152042337"/>
      <w:bookmarkStart w:id="484" w:name="_Toc455080137"/>
      <w:bookmarkStart w:id="485" w:name="_Toc490667857"/>
      <w:r>
        <w:rPr>
          <w:rFonts w:hint="eastAsia" w:asciiTheme="minorEastAsia" w:hAnsiTheme="minorEastAsia" w:eastAsiaTheme="minorEastAsia" w:cstheme="minorEastAsia"/>
          <w:b/>
          <w:sz w:val="24"/>
          <w:szCs w:val="24"/>
        </w:rPr>
        <w:t>5.1 磋商时间和地点</w:t>
      </w:r>
      <w:bookmarkEnd w:id="467"/>
    </w:p>
    <w:p w14:paraId="61B9A41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wordWrap w:val="0"/>
        <w:spacing w:line="360" w:lineRule="auto"/>
        <w:ind w:firstLine="482" w:firstLineChars="200"/>
        <w:rPr>
          <w:rFonts w:hint="eastAsia" w:asciiTheme="minorEastAsia" w:hAnsiTheme="minorEastAsia" w:eastAsiaTheme="minorEastAsia" w:cstheme="minorEastAsia"/>
          <w:b/>
          <w:sz w:val="24"/>
          <w:szCs w:val="24"/>
        </w:rPr>
      </w:pPr>
      <w:bookmarkStart w:id="486" w:name="_Toc6880"/>
      <w:r>
        <w:rPr>
          <w:rFonts w:hint="eastAsia" w:asciiTheme="minorEastAsia" w:hAnsiTheme="minorEastAsia" w:eastAsiaTheme="minorEastAsia" w:cstheme="minorEastAsia"/>
          <w:b/>
          <w:sz w:val="24"/>
          <w:szCs w:val="24"/>
        </w:rPr>
        <w:t>5.2 磋商程序</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Start w:id="487" w:name="_Toc14413"/>
      <w:bookmarkStart w:id="488" w:name="_Toc30403"/>
    </w:p>
    <w:p w14:paraId="50642E4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7"/>
      <w:bookmarkEnd w:id="488"/>
    </w:p>
    <w:p w14:paraId="5B2CBDDB">
      <w:pPr>
        <w:wordWrap w:val="0"/>
        <w:spacing w:line="360" w:lineRule="auto"/>
        <w:ind w:firstLine="480" w:firstLineChars="200"/>
        <w:rPr>
          <w:rFonts w:hint="eastAsia" w:asciiTheme="minorEastAsia" w:hAnsiTheme="minorEastAsia" w:eastAsiaTheme="minorEastAsia" w:cstheme="minorEastAsia"/>
          <w:sz w:val="24"/>
          <w:szCs w:val="24"/>
        </w:rPr>
      </w:pPr>
      <w:bookmarkStart w:id="489" w:name="_Toc152042338"/>
      <w:bookmarkStart w:id="490" w:name="_Toc144974530"/>
      <w:bookmarkStart w:id="491" w:name="_Toc152045562"/>
      <w:r>
        <w:rPr>
          <w:rFonts w:hint="eastAsia" w:asciiTheme="minorEastAsia" w:hAnsiTheme="minorEastAsia" w:eastAsiaTheme="minorEastAsia" w:cstheme="minorEastAsia"/>
          <w:sz w:val="24"/>
          <w:szCs w:val="24"/>
        </w:rPr>
        <w:t>5.2.2 磋商小组推选组长，讨论、通过磋商工作流程和磋商要点。</w:t>
      </w:r>
    </w:p>
    <w:p w14:paraId="2724AF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wordWrap w:val="0"/>
        <w:spacing w:line="360" w:lineRule="auto"/>
        <w:ind w:firstLine="482" w:firstLineChars="200"/>
        <w:rPr>
          <w:rFonts w:hint="eastAsia" w:asciiTheme="minorEastAsia" w:hAnsiTheme="minorEastAsia" w:eastAsiaTheme="minorEastAsia" w:cstheme="minorEastAsia"/>
          <w:b/>
          <w:sz w:val="24"/>
          <w:szCs w:val="24"/>
        </w:rPr>
      </w:pPr>
      <w:bookmarkStart w:id="492" w:name="_Toc455080138"/>
      <w:bookmarkStart w:id="493" w:name="_Toc32276"/>
      <w:bookmarkStart w:id="494" w:name="_Toc14039"/>
      <w:bookmarkStart w:id="495" w:name="_Toc16609"/>
      <w:r>
        <w:rPr>
          <w:rFonts w:hint="eastAsia" w:asciiTheme="minorEastAsia" w:hAnsiTheme="minorEastAsia" w:eastAsiaTheme="minorEastAsia" w:cstheme="minorEastAsia"/>
          <w:b/>
          <w:sz w:val="24"/>
          <w:szCs w:val="24"/>
        </w:rPr>
        <w:t xml:space="preserve">6. </w:t>
      </w:r>
      <w:bookmarkEnd w:id="489"/>
      <w:bookmarkEnd w:id="490"/>
      <w:bookmarkEnd w:id="491"/>
      <w:r>
        <w:rPr>
          <w:rFonts w:hint="eastAsia" w:asciiTheme="minorEastAsia" w:hAnsiTheme="minorEastAsia" w:eastAsiaTheme="minorEastAsia" w:cstheme="minorEastAsia"/>
          <w:b/>
          <w:sz w:val="24"/>
          <w:szCs w:val="24"/>
        </w:rPr>
        <w:t>磋商</w:t>
      </w:r>
      <w:bookmarkEnd w:id="492"/>
      <w:r>
        <w:rPr>
          <w:rFonts w:hint="eastAsia" w:asciiTheme="minorEastAsia" w:hAnsiTheme="minorEastAsia" w:eastAsiaTheme="minorEastAsia" w:cstheme="minorEastAsia"/>
          <w:b/>
          <w:sz w:val="24"/>
          <w:szCs w:val="24"/>
        </w:rPr>
        <w:t>小组</w:t>
      </w:r>
      <w:bookmarkEnd w:id="493"/>
      <w:bookmarkEnd w:id="494"/>
      <w:bookmarkEnd w:id="495"/>
    </w:p>
    <w:p w14:paraId="5112D715">
      <w:pPr>
        <w:wordWrap w:val="0"/>
        <w:spacing w:line="360" w:lineRule="auto"/>
        <w:ind w:firstLine="482" w:firstLineChars="200"/>
        <w:rPr>
          <w:rFonts w:hint="eastAsia" w:asciiTheme="minorEastAsia" w:hAnsiTheme="minorEastAsia" w:eastAsiaTheme="minorEastAsia" w:cstheme="minorEastAsia"/>
          <w:b/>
          <w:sz w:val="24"/>
          <w:szCs w:val="24"/>
        </w:rPr>
      </w:pPr>
      <w:bookmarkStart w:id="496" w:name="_Toc22250"/>
      <w:bookmarkStart w:id="497" w:name="_Toc152045563"/>
      <w:bookmarkStart w:id="498" w:name="_Toc144974531"/>
      <w:bookmarkStart w:id="499" w:name="_Toc9808"/>
      <w:bookmarkStart w:id="500" w:name="_Toc152042339"/>
      <w:bookmarkStart w:id="501" w:name="_Toc318450706"/>
      <w:bookmarkStart w:id="502" w:name="_Toc26098"/>
      <w:bookmarkStart w:id="503" w:name="_Toc8157"/>
      <w:bookmarkStart w:id="504" w:name="_Toc455867799"/>
      <w:bookmarkStart w:id="505" w:name="_Toc12742"/>
      <w:bookmarkStart w:id="506" w:name="_Toc490667859"/>
      <w:bookmarkStart w:id="507" w:name="_Toc23138"/>
      <w:bookmarkStart w:id="508" w:name="_Toc1546"/>
      <w:bookmarkStart w:id="509" w:name="_Toc1574"/>
      <w:bookmarkStart w:id="510" w:name="_Toc8725"/>
      <w:bookmarkStart w:id="511" w:name="_Toc18985"/>
      <w:bookmarkStart w:id="512" w:name="_Toc455080139"/>
      <w:bookmarkStart w:id="513" w:name="_Toc13978"/>
      <w:bookmarkStart w:id="514" w:name="_Toc466298122"/>
      <w:r>
        <w:rPr>
          <w:rFonts w:hint="eastAsia" w:asciiTheme="minorEastAsia" w:hAnsiTheme="minorEastAsia" w:eastAsiaTheme="minorEastAsia" w:cstheme="minorEastAsia"/>
          <w:b/>
          <w:sz w:val="24"/>
          <w:szCs w:val="24"/>
        </w:rPr>
        <w:t>6.1</w:t>
      </w:r>
      <w:bookmarkEnd w:id="496"/>
      <w:bookmarkEnd w:id="497"/>
      <w:bookmarkEnd w:id="498"/>
      <w:bookmarkEnd w:id="499"/>
      <w:bookmarkEnd w:id="500"/>
      <w:bookmarkEnd w:id="501"/>
      <w:bookmarkEnd w:id="502"/>
      <w:r>
        <w:rPr>
          <w:rFonts w:hint="eastAsia" w:asciiTheme="minorEastAsia" w:hAnsiTheme="minorEastAsia" w:eastAsiaTheme="minorEastAsia" w:cstheme="minorEastAsia"/>
          <w:b/>
          <w:sz w:val="24"/>
          <w:szCs w:val="24"/>
        </w:rPr>
        <w:t xml:space="preserve"> 磋商小组</w:t>
      </w:r>
      <w:bookmarkEnd w:id="503"/>
      <w:bookmarkEnd w:id="504"/>
      <w:bookmarkEnd w:id="505"/>
      <w:bookmarkEnd w:id="506"/>
      <w:bookmarkEnd w:id="507"/>
      <w:bookmarkEnd w:id="508"/>
      <w:bookmarkEnd w:id="509"/>
      <w:bookmarkEnd w:id="510"/>
      <w:bookmarkEnd w:id="511"/>
      <w:bookmarkEnd w:id="512"/>
      <w:bookmarkEnd w:id="513"/>
      <w:bookmarkEnd w:id="514"/>
    </w:p>
    <w:p w14:paraId="5382964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5" w:name="_Toc21102"/>
      <w:bookmarkStart w:id="516" w:name="_Toc466298123"/>
      <w:bookmarkStart w:id="517" w:name="_Toc25721"/>
      <w:bookmarkStart w:id="518" w:name="_Toc144974532"/>
      <w:bookmarkStart w:id="519" w:name="_Toc10765"/>
      <w:bookmarkStart w:id="520" w:name="_Toc22143"/>
      <w:bookmarkStart w:id="521" w:name="_Toc490667860"/>
      <w:bookmarkStart w:id="522" w:name="_Toc152045564"/>
      <w:bookmarkStart w:id="523" w:name="_Toc9532"/>
      <w:bookmarkStart w:id="524" w:name="_Toc27035"/>
      <w:bookmarkStart w:id="525" w:name="_Toc455867800"/>
      <w:bookmarkStart w:id="526" w:name="_Toc13368"/>
      <w:bookmarkStart w:id="527" w:name="_Toc8240"/>
      <w:bookmarkStart w:id="528" w:name="_Toc4435"/>
      <w:bookmarkStart w:id="529" w:name="_Toc7286"/>
      <w:bookmarkStart w:id="530" w:name="_Toc152042340"/>
      <w:bookmarkStart w:id="531" w:name="_Toc455080140"/>
      <w:bookmarkStart w:id="532" w:name="_Toc318450707"/>
      <w:bookmarkStart w:id="533" w:name="_Toc8248"/>
    </w:p>
    <w:p w14:paraId="79887F9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3A02C8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4" w:name="_Toc152042341"/>
      <w:bookmarkStart w:id="535" w:name="_Toc16725"/>
      <w:bookmarkStart w:id="536" w:name="_Toc8705"/>
      <w:bookmarkStart w:id="537" w:name="_Toc144974533"/>
      <w:bookmarkStart w:id="538" w:name="_Toc152045565"/>
      <w:bookmarkStart w:id="539" w:name="_Toc15595"/>
      <w:bookmarkStart w:id="540" w:name="_Toc318450708"/>
      <w:bookmarkStart w:id="541" w:name="_Toc466298124"/>
      <w:bookmarkStart w:id="542" w:name="_Toc24358"/>
      <w:bookmarkStart w:id="543" w:name="_Toc490667861"/>
      <w:bookmarkStart w:id="544" w:name="_Toc455080141"/>
      <w:bookmarkStart w:id="545" w:name="_Toc3606"/>
      <w:bookmarkStart w:id="546" w:name="_Toc7890"/>
      <w:bookmarkStart w:id="547" w:name="_Toc28734"/>
      <w:bookmarkStart w:id="548" w:name="_Toc18756"/>
      <w:bookmarkStart w:id="549" w:name="_Toc20062"/>
      <w:bookmarkStart w:id="550" w:name="_Toc24526"/>
      <w:bookmarkStart w:id="551" w:name="_Toc27036"/>
      <w:bookmarkStart w:id="552" w:name="_Toc455867801"/>
    </w:p>
    <w:p w14:paraId="4CEEE99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4"/>
      <w:bookmarkEnd w:id="535"/>
      <w:bookmarkEnd w:id="536"/>
      <w:bookmarkEnd w:id="537"/>
      <w:bookmarkEnd w:id="538"/>
      <w:bookmarkEnd w:id="539"/>
      <w:bookmarkEnd w:id="540"/>
      <w:r>
        <w:rPr>
          <w:rFonts w:hint="eastAsia" w:asciiTheme="minorEastAsia" w:hAnsiTheme="minorEastAsia" w:eastAsiaTheme="minorEastAsia" w:cstheme="minorEastAsia"/>
          <w:b/>
          <w:sz w:val="24"/>
          <w:szCs w:val="24"/>
        </w:rPr>
        <w:t>磋商</w:t>
      </w:r>
      <w:bookmarkEnd w:id="541"/>
      <w:bookmarkEnd w:id="542"/>
      <w:bookmarkEnd w:id="543"/>
      <w:bookmarkEnd w:id="544"/>
      <w:bookmarkEnd w:id="545"/>
      <w:bookmarkEnd w:id="546"/>
      <w:bookmarkEnd w:id="547"/>
      <w:bookmarkEnd w:id="548"/>
      <w:bookmarkEnd w:id="549"/>
      <w:bookmarkEnd w:id="550"/>
      <w:bookmarkEnd w:id="551"/>
      <w:bookmarkEnd w:id="552"/>
    </w:p>
    <w:p w14:paraId="1849DCE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3" w:name="_Toc455080142"/>
      <w:bookmarkStart w:id="554" w:name="_Toc144974534"/>
      <w:bookmarkStart w:id="555" w:name="_Toc5971"/>
      <w:bookmarkStart w:id="556" w:name="_Toc152045566"/>
      <w:bookmarkStart w:id="557" w:name="_Toc9522"/>
      <w:bookmarkStart w:id="558" w:name="_Toc6334"/>
      <w:bookmarkStart w:id="559" w:name="_Toc152042342"/>
    </w:p>
    <w:p w14:paraId="4FF749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3"/>
      <w:bookmarkEnd w:id="554"/>
      <w:bookmarkEnd w:id="555"/>
      <w:bookmarkEnd w:id="556"/>
      <w:bookmarkEnd w:id="557"/>
      <w:bookmarkEnd w:id="558"/>
      <w:bookmarkEnd w:id="559"/>
    </w:p>
    <w:p w14:paraId="3402C8EE">
      <w:pPr>
        <w:wordWrap w:val="0"/>
        <w:spacing w:line="360" w:lineRule="auto"/>
        <w:ind w:firstLine="482" w:firstLineChars="200"/>
        <w:rPr>
          <w:rFonts w:hint="eastAsia" w:asciiTheme="minorEastAsia" w:hAnsiTheme="minorEastAsia" w:eastAsiaTheme="minorEastAsia" w:cstheme="minorEastAsia"/>
          <w:b/>
          <w:sz w:val="24"/>
          <w:szCs w:val="24"/>
        </w:rPr>
      </w:pPr>
      <w:bookmarkStart w:id="560" w:name="_Toc466298126"/>
      <w:bookmarkStart w:id="561" w:name="_Toc490667863"/>
      <w:bookmarkStart w:id="562" w:name="_Toc318450710"/>
      <w:bookmarkStart w:id="563" w:name="_Toc32135"/>
      <w:bookmarkStart w:id="564" w:name="_Toc22461"/>
      <w:bookmarkStart w:id="565" w:name="_Toc25316"/>
      <w:bookmarkStart w:id="566" w:name="_Toc455080143"/>
      <w:bookmarkStart w:id="567" w:name="_Toc29686"/>
      <w:bookmarkStart w:id="568" w:name="_Toc152045567"/>
      <w:bookmarkStart w:id="569" w:name="_Toc28919"/>
      <w:bookmarkStart w:id="570" w:name="_Toc11409"/>
      <w:bookmarkStart w:id="571" w:name="_Toc7358"/>
      <w:bookmarkStart w:id="572" w:name="_Toc144974535"/>
      <w:bookmarkStart w:id="573" w:name="_Toc17660"/>
      <w:bookmarkStart w:id="574" w:name="_Toc14528"/>
      <w:bookmarkStart w:id="575" w:name="_Toc29664"/>
      <w:bookmarkStart w:id="576" w:name="_Toc455867803"/>
      <w:bookmarkStart w:id="577" w:name="_Toc20777"/>
      <w:bookmarkStart w:id="578" w:name="_Toc152042343"/>
      <w:r>
        <w:rPr>
          <w:rFonts w:hint="eastAsia" w:asciiTheme="minorEastAsia" w:hAnsiTheme="minorEastAsia" w:eastAsiaTheme="minorEastAsia" w:cstheme="minorEastAsia"/>
          <w:b/>
          <w:sz w:val="24"/>
          <w:szCs w:val="24"/>
        </w:rPr>
        <w:t>7.1 定标方式</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D334A23">
      <w:pPr>
        <w:wordWrap w:val="0"/>
        <w:spacing w:line="360" w:lineRule="auto"/>
        <w:ind w:firstLine="480" w:firstLineChars="200"/>
        <w:rPr>
          <w:rFonts w:hint="eastAsia" w:asciiTheme="minorEastAsia" w:hAnsiTheme="minorEastAsia" w:eastAsiaTheme="minorEastAsia" w:cstheme="minorEastAsia"/>
          <w:sz w:val="24"/>
          <w:szCs w:val="24"/>
        </w:rPr>
      </w:pPr>
      <w:bookmarkStart w:id="579" w:name="_Toc318450711"/>
      <w:bookmarkStart w:id="580" w:name="_Toc144974536"/>
      <w:bookmarkStart w:id="581" w:name="_Toc152045568"/>
      <w:bookmarkStart w:id="582" w:name="_Toc28254"/>
      <w:bookmarkStart w:id="583" w:name="_Toc7066"/>
      <w:bookmarkStart w:id="584" w:name="_Toc10868"/>
      <w:bookmarkStart w:id="585" w:name="_Toc152042344"/>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wordWrap w:val="0"/>
        <w:spacing w:line="360" w:lineRule="auto"/>
        <w:ind w:firstLine="482" w:firstLineChars="200"/>
        <w:rPr>
          <w:rFonts w:hint="eastAsia" w:asciiTheme="minorEastAsia" w:hAnsiTheme="minorEastAsia" w:eastAsiaTheme="minorEastAsia" w:cstheme="minorEastAsia"/>
          <w:b/>
          <w:sz w:val="24"/>
          <w:szCs w:val="24"/>
        </w:rPr>
      </w:pPr>
      <w:bookmarkStart w:id="586" w:name="_Toc1484"/>
      <w:bookmarkStart w:id="587" w:name="_Toc466298127"/>
      <w:bookmarkStart w:id="588" w:name="_Toc490667864"/>
      <w:bookmarkStart w:id="589" w:name="_Toc455867804"/>
      <w:bookmarkStart w:id="590" w:name="_Toc9775"/>
      <w:bookmarkStart w:id="591" w:name="_Toc16163"/>
      <w:bookmarkStart w:id="592" w:name="_Toc9897"/>
      <w:bookmarkStart w:id="593" w:name="_Toc15825"/>
      <w:bookmarkStart w:id="594" w:name="_Toc28177"/>
      <w:bookmarkStart w:id="595" w:name="_Toc455080144"/>
      <w:bookmarkStart w:id="596" w:name="_Toc5668"/>
      <w:bookmarkStart w:id="597" w:name="_Toc5428"/>
      <w:r>
        <w:rPr>
          <w:rFonts w:hint="eastAsia" w:asciiTheme="minorEastAsia" w:hAnsiTheme="minorEastAsia" w:eastAsiaTheme="minorEastAsia" w:cstheme="minorEastAsia"/>
          <w:b/>
          <w:sz w:val="24"/>
          <w:szCs w:val="24"/>
        </w:rPr>
        <w:t>7.2 成交通知</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ED4EE9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wordWrap w:val="0"/>
        <w:spacing w:line="360" w:lineRule="auto"/>
        <w:ind w:firstLine="482" w:firstLineChars="200"/>
        <w:rPr>
          <w:rFonts w:hint="eastAsia" w:asciiTheme="minorEastAsia" w:hAnsiTheme="minorEastAsia" w:eastAsiaTheme="minorEastAsia" w:cstheme="minorEastAsia"/>
          <w:b/>
          <w:sz w:val="24"/>
          <w:szCs w:val="24"/>
        </w:rPr>
      </w:pPr>
      <w:bookmarkStart w:id="598" w:name="_Toc22732"/>
      <w:r>
        <w:rPr>
          <w:rFonts w:hint="eastAsia" w:asciiTheme="minorEastAsia" w:hAnsiTheme="minorEastAsia" w:eastAsiaTheme="minorEastAsia" w:cstheme="minorEastAsia"/>
          <w:b/>
          <w:sz w:val="24"/>
          <w:szCs w:val="24"/>
        </w:rPr>
        <w:t>7.3 履约保证金</w:t>
      </w:r>
      <w:bookmarkEnd w:id="598"/>
    </w:p>
    <w:p w14:paraId="0CEBC6B1">
      <w:pPr>
        <w:wordWrap w:val="0"/>
        <w:spacing w:line="360" w:lineRule="auto"/>
        <w:ind w:firstLine="480" w:firstLineChars="200"/>
        <w:rPr>
          <w:rFonts w:hint="eastAsia" w:asciiTheme="minorEastAsia" w:hAnsiTheme="minorEastAsia" w:eastAsiaTheme="minorEastAsia" w:cstheme="minorEastAsia"/>
          <w:sz w:val="24"/>
          <w:szCs w:val="24"/>
        </w:rPr>
      </w:pPr>
      <w:bookmarkStart w:id="599" w:name="_Toc21617"/>
      <w:bookmarkStart w:id="600" w:name="_Toc21271"/>
      <w:bookmarkStart w:id="601" w:name="_Toc26760"/>
      <w:bookmarkStart w:id="602" w:name="_Toc152042346"/>
      <w:bookmarkStart w:id="603" w:name="_Toc490667865"/>
      <w:bookmarkStart w:id="604" w:name="_Toc152045570"/>
      <w:bookmarkStart w:id="605" w:name="_Toc455867805"/>
      <w:bookmarkStart w:id="606" w:name="_Toc26915"/>
      <w:bookmarkStart w:id="607" w:name="_Toc466298128"/>
      <w:bookmarkStart w:id="608" w:name="_Toc12663"/>
      <w:bookmarkStart w:id="609" w:name="_Toc15458"/>
      <w:bookmarkStart w:id="610" w:name="_Toc144974538"/>
      <w:bookmarkStart w:id="611" w:name="_Toc13147"/>
      <w:bookmarkStart w:id="612" w:name="_Toc455080145"/>
      <w:bookmarkStart w:id="613" w:name="_Toc10082"/>
      <w:bookmarkStart w:id="614" w:name="_Toc24026"/>
      <w:bookmarkStart w:id="615" w:name="_Toc26655"/>
      <w:bookmarkStart w:id="616" w:name="_Toc318450712"/>
      <w:bookmarkStart w:id="617" w:name="_Toc8886"/>
      <w:r>
        <w:rPr>
          <w:rFonts w:hint="eastAsia" w:asciiTheme="minorEastAsia" w:hAnsiTheme="minorEastAsia" w:eastAsiaTheme="minorEastAsia" w:cstheme="minorEastAsia"/>
          <w:sz w:val="24"/>
          <w:szCs w:val="24"/>
        </w:rPr>
        <w:t>免收履约保证金</w:t>
      </w:r>
      <w:bookmarkEnd w:id="599"/>
    </w:p>
    <w:p w14:paraId="2ED46351">
      <w:pPr>
        <w:wordWrap w:val="0"/>
        <w:spacing w:line="360" w:lineRule="auto"/>
        <w:ind w:firstLine="482" w:firstLineChars="200"/>
        <w:rPr>
          <w:rFonts w:hint="eastAsia" w:asciiTheme="minorEastAsia" w:hAnsiTheme="minorEastAsia" w:eastAsiaTheme="minorEastAsia" w:cstheme="minorEastAsia"/>
          <w:b/>
          <w:sz w:val="24"/>
          <w:szCs w:val="24"/>
        </w:rPr>
      </w:pPr>
      <w:bookmarkStart w:id="618" w:name="_Toc25032"/>
      <w:r>
        <w:rPr>
          <w:rFonts w:hint="eastAsia" w:asciiTheme="minorEastAsia" w:hAnsiTheme="minorEastAsia" w:eastAsiaTheme="minorEastAsia" w:cstheme="minorEastAsia"/>
          <w:b/>
          <w:sz w:val="24"/>
          <w:szCs w:val="24"/>
        </w:rPr>
        <w:t>7.4 签订合同</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28401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9" w:name="_Toc152042350"/>
      <w:bookmarkStart w:id="620" w:name="_Toc152045574"/>
      <w:bookmarkStart w:id="621" w:name="_Toc144974542"/>
    </w:p>
    <w:p w14:paraId="665FFF5E">
      <w:pPr>
        <w:wordWrap w:val="0"/>
        <w:spacing w:line="360" w:lineRule="auto"/>
        <w:ind w:firstLine="482" w:firstLineChars="200"/>
        <w:rPr>
          <w:rFonts w:hint="eastAsia" w:asciiTheme="minorEastAsia" w:hAnsiTheme="minorEastAsia" w:eastAsiaTheme="minorEastAsia" w:cstheme="minorEastAsia"/>
          <w:b/>
          <w:sz w:val="24"/>
          <w:szCs w:val="24"/>
        </w:rPr>
      </w:pPr>
      <w:bookmarkStart w:id="622" w:name="_Toc16866"/>
      <w:bookmarkStart w:id="623" w:name="_Toc20121"/>
      <w:bookmarkStart w:id="624" w:name="_Toc455080146"/>
      <w:bookmarkStart w:id="625" w:name="_Toc24956"/>
      <w:r>
        <w:rPr>
          <w:rFonts w:hint="eastAsia" w:asciiTheme="minorEastAsia" w:hAnsiTheme="minorEastAsia" w:eastAsiaTheme="minorEastAsia" w:cstheme="minorEastAsia"/>
          <w:b/>
          <w:sz w:val="24"/>
          <w:szCs w:val="24"/>
        </w:rPr>
        <w:t>8. 重新招标</w:t>
      </w:r>
      <w:bookmarkEnd w:id="622"/>
      <w:bookmarkEnd w:id="623"/>
      <w:bookmarkEnd w:id="624"/>
      <w:bookmarkEnd w:id="625"/>
    </w:p>
    <w:p w14:paraId="70B789BF">
      <w:pPr>
        <w:wordWrap w:val="0"/>
        <w:spacing w:line="360" w:lineRule="auto"/>
        <w:ind w:firstLine="482" w:firstLineChars="200"/>
        <w:rPr>
          <w:rFonts w:hint="eastAsia" w:asciiTheme="minorEastAsia" w:hAnsiTheme="minorEastAsia" w:eastAsiaTheme="minorEastAsia" w:cstheme="minorEastAsia"/>
          <w:b/>
          <w:sz w:val="24"/>
          <w:szCs w:val="24"/>
        </w:rPr>
      </w:pPr>
      <w:bookmarkStart w:id="626" w:name="_Toc21278"/>
      <w:bookmarkStart w:id="627" w:name="_Toc16556"/>
      <w:r>
        <w:rPr>
          <w:rFonts w:hint="eastAsia" w:asciiTheme="minorEastAsia" w:hAnsiTheme="minorEastAsia" w:eastAsiaTheme="minorEastAsia" w:cstheme="minorEastAsia"/>
          <w:b/>
          <w:sz w:val="24"/>
          <w:szCs w:val="24"/>
        </w:rPr>
        <w:t>8.1 重新招标</w:t>
      </w:r>
      <w:bookmarkEnd w:id="626"/>
      <w:bookmarkEnd w:id="627"/>
    </w:p>
    <w:p w14:paraId="7BCFCF54">
      <w:pPr>
        <w:wordWrap w:val="0"/>
        <w:spacing w:line="360" w:lineRule="auto"/>
        <w:ind w:firstLine="480" w:firstLineChars="200"/>
        <w:rPr>
          <w:rFonts w:hint="eastAsia" w:asciiTheme="minorEastAsia" w:hAnsiTheme="minorEastAsia" w:eastAsiaTheme="minorEastAsia" w:cstheme="minorEastAsia"/>
          <w:sz w:val="24"/>
          <w:szCs w:val="24"/>
        </w:rPr>
      </w:pPr>
      <w:bookmarkStart w:id="628" w:name="_Toc9985"/>
      <w:r>
        <w:rPr>
          <w:rFonts w:hint="eastAsia" w:asciiTheme="minorEastAsia" w:hAnsiTheme="minorEastAsia" w:eastAsiaTheme="minorEastAsia" w:cstheme="minorEastAsia"/>
          <w:sz w:val="24"/>
          <w:szCs w:val="24"/>
        </w:rPr>
        <w:t>有下列情形之一的，采购人将重新招标：</w:t>
      </w:r>
      <w:bookmarkEnd w:id="628"/>
    </w:p>
    <w:p w14:paraId="59ED9CCA">
      <w:pPr>
        <w:wordWrap w:val="0"/>
        <w:spacing w:line="360" w:lineRule="auto"/>
        <w:ind w:firstLine="480" w:firstLineChars="200"/>
        <w:rPr>
          <w:rFonts w:hint="eastAsia" w:asciiTheme="minorEastAsia" w:hAnsiTheme="minorEastAsia" w:eastAsiaTheme="minorEastAsia" w:cstheme="minorEastAsia"/>
          <w:sz w:val="24"/>
          <w:szCs w:val="24"/>
        </w:rPr>
      </w:pPr>
      <w:bookmarkStart w:id="629" w:name="_Toc25063"/>
      <w:r>
        <w:rPr>
          <w:rFonts w:hint="eastAsia" w:asciiTheme="minorEastAsia" w:hAnsiTheme="minorEastAsia" w:eastAsiaTheme="minorEastAsia" w:cstheme="minorEastAsia"/>
          <w:sz w:val="24"/>
          <w:szCs w:val="24"/>
        </w:rPr>
        <w:t>（1）提交响应文件截止时间止，供应商少于3个的；</w:t>
      </w:r>
      <w:bookmarkEnd w:id="629"/>
    </w:p>
    <w:p w14:paraId="475A0ECD">
      <w:pPr>
        <w:wordWrap w:val="0"/>
        <w:spacing w:line="360" w:lineRule="auto"/>
        <w:ind w:firstLine="480" w:firstLineChars="200"/>
        <w:rPr>
          <w:rFonts w:hint="eastAsia" w:asciiTheme="minorEastAsia" w:hAnsiTheme="minorEastAsia" w:eastAsiaTheme="minorEastAsia" w:cstheme="minorEastAsia"/>
          <w:sz w:val="24"/>
          <w:szCs w:val="24"/>
        </w:rPr>
      </w:pPr>
      <w:bookmarkStart w:id="630" w:name="_Toc17911"/>
      <w:r>
        <w:rPr>
          <w:rFonts w:hint="eastAsia" w:asciiTheme="minorEastAsia" w:hAnsiTheme="minorEastAsia" w:eastAsiaTheme="minorEastAsia" w:cstheme="minorEastAsia"/>
          <w:sz w:val="24"/>
          <w:szCs w:val="24"/>
        </w:rPr>
        <w:t>（2）经磋商小组评审后否决所有响应文件的。</w:t>
      </w:r>
      <w:bookmarkEnd w:id="630"/>
    </w:p>
    <w:p w14:paraId="7FD6277A">
      <w:pPr>
        <w:wordWrap w:val="0"/>
        <w:spacing w:line="360" w:lineRule="auto"/>
        <w:ind w:firstLine="482" w:firstLineChars="200"/>
        <w:rPr>
          <w:rFonts w:hint="eastAsia" w:asciiTheme="minorEastAsia" w:hAnsiTheme="minorEastAsia" w:eastAsiaTheme="minorEastAsia" w:cstheme="minorEastAsia"/>
          <w:b/>
          <w:sz w:val="24"/>
          <w:szCs w:val="24"/>
        </w:rPr>
      </w:pPr>
      <w:bookmarkStart w:id="631" w:name="_Toc8213"/>
      <w:bookmarkStart w:id="632" w:name="_Toc27506"/>
      <w:bookmarkStart w:id="633" w:name="_Toc9996"/>
      <w:bookmarkStart w:id="634" w:name="_Toc455080147"/>
      <w:r>
        <w:rPr>
          <w:rFonts w:hint="eastAsia" w:asciiTheme="minorEastAsia" w:hAnsiTheme="minorEastAsia" w:eastAsiaTheme="minorEastAsia" w:cstheme="minorEastAsia"/>
          <w:b/>
          <w:sz w:val="24"/>
          <w:szCs w:val="24"/>
        </w:rPr>
        <w:t>9. 纪律和监督</w:t>
      </w:r>
      <w:bookmarkEnd w:id="619"/>
      <w:bookmarkEnd w:id="620"/>
      <w:bookmarkEnd w:id="621"/>
      <w:bookmarkEnd w:id="631"/>
      <w:bookmarkEnd w:id="632"/>
      <w:bookmarkEnd w:id="633"/>
      <w:bookmarkEnd w:id="634"/>
    </w:p>
    <w:p w14:paraId="79EA37C0">
      <w:pPr>
        <w:wordWrap w:val="0"/>
        <w:spacing w:line="360" w:lineRule="auto"/>
        <w:ind w:firstLine="482" w:firstLineChars="200"/>
        <w:rPr>
          <w:rFonts w:hint="eastAsia" w:asciiTheme="minorEastAsia" w:hAnsiTheme="minorEastAsia" w:eastAsiaTheme="minorEastAsia" w:cstheme="minorEastAsia"/>
          <w:b/>
          <w:sz w:val="24"/>
          <w:szCs w:val="24"/>
        </w:rPr>
      </w:pPr>
      <w:bookmarkStart w:id="635" w:name="_Toc12992"/>
      <w:bookmarkStart w:id="636" w:name="_Toc152045575"/>
      <w:bookmarkStart w:id="637" w:name="_Toc455867808"/>
      <w:bookmarkStart w:id="638" w:name="_Toc490667868"/>
      <w:bookmarkStart w:id="639" w:name="_Toc697"/>
      <w:bookmarkStart w:id="640" w:name="_Toc14155"/>
      <w:bookmarkStart w:id="641" w:name="_Toc269"/>
      <w:bookmarkStart w:id="642" w:name="_Toc15769"/>
      <w:bookmarkStart w:id="643" w:name="_Toc19159"/>
      <w:bookmarkStart w:id="644" w:name="_Toc13970"/>
      <w:bookmarkStart w:id="645" w:name="_Toc318450714"/>
      <w:bookmarkStart w:id="646" w:name="_Toc455080148"/>
      <w:bookmarkStart w:id="647" w:name="_Toc466298131"/>
      <w:bookmarkStart w:id="648" w:name="_Toc144974543"/>
      <w:bookmarkStart w:id="649" w:name="_Toc1282"/>
      <w:bookmarkStart w:id="650" w:name="_Toc20009"/>
      <w:bookmarkStart w:id="651" w:name="_Toc152042351"/>
      <w:bookmarkStart w:id="652" w:name="_Toc15592"/>
      <w:bookmarkStart w:id="653" w:name="_Toc27836"/>
      <w:r>
        <w:rPr>
          <w:rFonts w:hint="eastAsia" w:asciiTheme="minorEastAsia" w:hAnsiTheme="minorEastAsia" w:eastAsiaTheme="minorEastAsia" w:cstheme="minorEastAsia"/>
          <w:b/>
          <w:sz w:val="24"/>
          <w:szCs w:val="24"/>
        </w:rPr>
        <w:t>9.1 对采购人的纪律要求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B8B80E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wordWrap w:val="0"/>
        <w:spacing w:line="360" w:lineRule="auto"/>
        <w:ind w:firstLine="482" w:firstLineChars="200"/>
        <w:rPr>
          <w:rFonts w:hint="eastAsia" w:asciiTheme="minorEastAsia" w:hAnsiTheme="minorEastAsia" w:eastAsiaTheme="minorEastAsia" w:cstheme="minorEastAsia"/>
          <w:b/>
          <w:sz w:val="24"/>
          <w:szCs w:val="24"/>
        </w:rPr>
      </w:pPr>
      <w:bookmarkStart w:id="654" w:name="_Toc27698"/>
      <w:bookmarkStart w:id="655" w:name="_Toc1743"/>
      <w:bookmarkStart w:id="656" w:name="_Toc466298132"/>
      <w:bookmarkStart w:id="657" w:name="_Toc152045576"/>
      <w:bookmarkStart w:id="658" w:name="_Toc3089"/>
      <w:bookmarkStart w:id="659" w:name="_Toc18204"/>
      <w:bookmarkStart w:id="660" w:name="_Toc144974544"/>
      <w:bookmarkStart w:id="661" w:name="_Toc490667869"/>
      <w:bookmarkStart w:id="662" w:name="_Toc21646"/>
      <w:bookmarkStart w:id="663" w:name="_Toc455867809"/>
      <w:bookmarkStart w:id="664" w:name="_Toc152042352"/>
      <w:bookmarkStart w:id="665" w:name="_Toc455080149"/>
      <w:bookmarkStart w:id="666" w:name="_Toc318450715"/>
      <w:bookmarkStart w:id="667" w:name="_Toc17040"/>
      <w:bookmarkStart w:id="668" w:name="_Toc20261"/>
      <w:bookmarkStart w:id="669" w:name="_Toc7572"/>
      <w:bookmarkStart w:id="670" w:name="_Toc19167"/>
      <w:bookmarkStart w:id="671" w:name="_Toc18604"/>
      <w:bookmarkStart w:id="672" w:name="_Toc3662"/>
      <w:r>
        <w:rPr>
          <w:rFonts w:hint="eastAsia" w:asciiTheme="minorEastAsia" w:hAnsiTheme="minorEastAsia" w:eastAsiaTheme="minorEastAsia" w:cstheme="minorEastAsia"/>
          <w:b/>
          <w:sz w:val="24"/>
          <w:szCs w:val="24"/>
        </w:rPr>
        <w:t>9.2 对供应商的纪律要求</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20C567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wordWrap w:val="0"/>
        <w:spacing w:line="360" w:lineRule="auto"/>
        <w:ind w:firstLine="482" w:firstLineChars="200"/>
        <w:rPr>
          <w:rFonts w:hint="eastAsia" w:asciiTheme="minorEastAsia" w:hAnsiTheme="minorEastAsia" w:eastAsiaTheme="minorEastAsia" w:cstheme="minorEastAsia"/>
          <w:b/>
          <w:sz w:val="24"/>
          <w:szCs w:val="24"/>
        </w:rPr>
      </w:pPr>
      <w:bookmarkStart w:id="673" w:name="_Toc490667870"/>
      <w:bookmarkStart w:id="674" w:name="_Toc25211"/>
      <w:bookmarkStart w:id="675" w:name="_Toc455867810"/>
      <w:bookmarkStart w:id="676" w:name="_Toc19965"/>
      <w:bookmarkStart w:id="677" w:name="_Toc152042353"/>
      <w:bookmarkStart w:id="678" w:name="_Toc7107"/>
      <w:bookmarkStart w:id="679" w:name="_Toc7439"/>
      <w:bookmarkStart w:id="680" w:name="_Toc31001"/>
      <w:bookmarkStart w:id="681" w:name="_Toc152045577"/>
      <w:bookmarkStart w:id="682" w:name="_Toc32320"/>
      <w:bookmarkStart w:id="683" w:name="_Toc318450716"/>
      <w:bookmarkStart w:id="684" w:name="_Toc12177"/>
      <w:bookmarkStart w:id="685" w:name="_Toc11909"/>
      <w:bookmarkStart w:id="686" w:name="_Toc28813"/>
      <w:bookmarkStart w:id="687" w:name="_Toc466298133"/>
      <w:bookmarkStart w:id="688" w:name="_Toc30153"/>
      <w:bookmarkStart w:id="689" w:name="_Toc455080150"/>
      <w:bookmarkStart w:id="690" w:name="_Toc25241"/>
      <w:bookmarkStart w:id="691" w:name="_Toc144974545"/>
      <w:r>
        <w:rPr>
          <w:rFonts w:hint="eastAsia" w:asciiTheme="minorEastAsia" w:hAnsiTheme="minorEastAsia" w:eastAsiaTheme="minorEastAsia" w:cstheme="minorEastAsia"/>
          <w:b/>
          <w:sz w:val="24"/>
          <w:szCs w:val="24"/>
        </w:rPr>
        <w:t>9.3 对磋商小组成员的纪律要求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36353D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wordWrap w:val="0"/>
        <w:spacing w:line="360" w:lineRule="auto"/>
        <w:ind w:firstLine="482" w:firstLineChars="200"/>
        <w:rPr>
          <w:rFonts w:hint="eastAsia" w:asciiTheme="minorEastAsia" w:hAnsiTheme="minorEastAsia" w:eastAsiaTheme="minorEastAsia" w:cstheme="minorEastAsia"/>
          <w:b/>
          <w:sz w:val="24"/>
          <w:szCs w:val="24"/>
        </w:rPr>
      </w:pPr>
      <w:bookmarkStart w:id="692" w:name="_Toc11405"/>
      <w:bookmarkStart w:id="693" w:name="_Toc7368"/>
      <w:bookmarkStart w:id="694" w:name="_Toc466298134"/>
      <w:bookmarkStart w:id="695" w:name="_Toc490667871"/>
      <w:bookmarkStart w:id="696" w:name="_Toc455867811"/>
      <w:bookmarkStart w:id="697" w:name="_Toc152045578"/>
      <w:bookmarkStart w:id="698" w:name="_Toc455080151"/>
      <w:bookmarkStart w:id="699" w:name="_Toc1295"/>
      <w:bookmarkStart w:id="700" w:name="_Toc27559"/>
      <w:bookmarkStart w:id="701" w:name="_Toc9063"/>
      <w:bookmarkStart w:id="702" w:name="_Toc23717"/>
      <w:bookmarkStart w:id="703" w:name="_Toc20546"/>
      <w:bookmarkStart w:id="704" w:name="_Toc235"/>
      <w:bookmarkStart w:id="705" w:name="_Toc152042354"/>
      <w:bookmarkStart w:id="706" w:name="_Toc318450717"/>
      <w:bookmarkStart w:id="707" w:name="_Toc26462"/>
      <w:bookmarkStart w:id="708" w:name="_Toc19485"/>
      <w:bookmarkStart w:id="709" w:name="_Toc24"/>
      <w:bookmarkStart w:id="710" w:name="_Toc144974546"/>
      <w:r>
        <w:rPr>
          <w:rFonts w:hint="eastAsia" w:asciiTheme="minorEastAsia" w:hAnsiTheme="minorEastAsia" w:eastAsiaTheme="minorEastAsia" w:cstheme="minorEastAsia"/>
          <w:b/>
          <w:sz w:val="24"/>
          <w:szCs w:val="24"/>
        </w:rPr>
        <w:t>9.4 对与评标活动有关的工作人员的纪律要求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41BBDAA">
      <w:pPr>
        <w:wordWrap w:val="0"/>
        <w:spacing w:line="360" w:lineRule="auto"/>
        <w:ind w:firstLine="480" w:firstLineChars="200"/>
        <w:rPr>
          <w:rFonts w:hint="eastAsia" w:asciiTheme="minorEastAsia" w:hAnsiTheme="minorEastAsia" w:eastAsiaTheme="minorEastAsia" w:cstheme="minorEastAsia"/>
          <w:sz w:val="24"/>
          <w:szCs w:val="24"/>
        </w:rPr>
      </w:pPr>
      <w:bookmarkStart w:id="711"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11"/>
    </w:p>
    <w:p w14:paraId="219BDD2D">
      <w:pPr>
        <w:wordWrap w:val="0"/>
        <w:spacing w:line="360" w:lineRule="auto"/>
        <w:ind w:firstLine="482" w:firstLineChars="200"/>
        <w:rPr>
          <w:rFonts w:hint="eastAsia" w:asciiTheme="minorEastAsia" w:hAnsiTheme="minorEastAsia" w:eastAsiaTheme="minorEastAsia" w:cstheme="minorEastAsia"/>
          <w:b/>
          <w:sz w:val="24"/>
          <w:szCs w:val="24"/>
        </w:rPr>
      </w:pPr>
      <w:bookmarkStart w:id="712" w:name="_Toc17735"/>
      <w:bookmarkStart w:id="713" w:name="_Toc27420"/>
      <w:bookmarkStart w:id="714" w:name="_Toc5504"/>
      <w:bookmarkStart w:id="715" w:name="_Toc455080152"/>
      <w:bookmarkStart w:id="716" w:name="_Toc466298135"/>
      <w:bookmarkStart w:id="717" w:name="_Toc152042356"/>
      <w:bookmarkStart w:id="718" w:name="_Toc490667872"/>
      <w:bookmarkStart w:id="719" w:name="_Toc3303"/>
      <w:bookmarkStart w:id="720" w:name="_Toc152045579"/>
      <w:bookmarkStart w:id="721" w:name="_Toc6199"/>
      <w:bookmarkStart w:id="722" w:name="_Toc3617"/>
      <w:bookmarkStart w:id="723" w:name="_Toc31010"/>
      <w:bookmarkStart w:id="724" w:name="_Toc318450718"/>
      <w:bookmarkStart w:id="725" w:name="_Toc1820"/>
      <w:bookmarkStart w:id="726" w:name="_Toc8074"/>
      <w:bookmarkStart w:id="727" w:name="_Toc32675"/>
      <w:bookmarkStart w:id="728" w:name="_Toc455867812"/>
      <w:bookmarkStart w:id="729" w:name="_Toc25751"/>
      <w:r>
        <w:rPr>
          <w:rFonts w:hint="eastAsia" w:asciiTheme="minorEastAsia" w:hAnsiTheme="minorEastAsia" w:eastAsiaTheme="minorEastAsia" w:cstheme="minorEastAsia"/>
          <w:b/>
          <w:sz w:val="24"/>
          <w:szCs w:val="24"/>
        </w:rPr>
        <w:t>9.5 投诉</w:t>
      </w:r>
      <w:bookmarkEnd w:id="710"/>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EE1FF2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wordWrap w:val="0"/>
        <w:spacing w:line="360" w:lineRule="auto"/>
        <w:ind w:firstLine="482" w:firstLineChars="200"/>
        <w:rPr>
          <w:rFonts w:hint="eastAsia"/>
        </w:rPr>
      </w:pPr>
      <w:bookmarkStart w:id="730" w:name="_Toc152045580"/>
      <w:bookmarkStart w:id="731" w:name="_Toc14221"/>
      <w:bookmarkStart w:id="732" w:name="_Toc18280"/>
      <w:bookmarkStart w:id="733" w:name="_Toc455080153"/>
      <w:bookmarkStart w:id="734" w:name="_Toc152042357"/>
      <w:bookmarkStart w:id="735" w:name="_Toc144974547"/>
      <w:bookmarkStart w:id="736" w:name="_Toc24942"/>
      <w:r>
        <w:rPr>
          <w:rFonts w:hint="eastAsia" w:asciiTheme="minorEastAsia" w:hAnsiTheme="minorEastAsia" w:eastAsiaTheme="minorEastAsia" w:cstheme="minorEastAsia"/>
          <w:b/>
          <w:sz w:val="24"/>
          <w:szCs w:val="24"/>
        </w:rPr>
        <w:t>10. 需要补充的其他内容</w:t>
      </w:r>
      <w:bookmarkEnd w:id="730"/>
      <w:bookmarkEnd w:id="731"/>
      <w:bookmarkEnd w:id="732"/>
      <w:bookmarkEnd w:id="733"/>
      <w:bookmarkEnd w:id="734"/>
      <w:bookmarkEnd w:id="735"/>
      <w:bookmarkEnd w:id="736"/>
      <w:bookmarkStart w:id="737" w:name="_Toc22213"/>
      <w:bookmarkStart w:id="738" w:name="_Toc16648"/>
    </w:p>
    <w:p w14:paraId="23270F32">
      <w:pPr>
        <w:wordWrap w:val="0"/>
        <w:spacing w:line="360" w:lineRule="auto"/>
        <w:ind w:firstLine="480" w:firstLineChars="200"/>
        <w:rPr>
          <w:rFonts w:hint="eastAsia" w:asciiTheme="minorEastAsia" w:hAnsiTheme="minorEastAsia" w:eastAsiaTheme="minorEastAsia" w:cstheme="minorEastAsia"/>
          <w:sz w:val="24"/>
          <w:szCs w:val="24"/>
        </w:rPr>
      </w:pPr>
      <w:bookmarkStart w:id="739"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9"/>
    </w:p>
    <w:p w14:paraId="2E54CD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19D54E75">
      <w:pPr>
        <w:wordWrap w:val="0"/>
        <w:autoSpaceDE w:val="0"/>
        <w:autoSpaceDN w:val="0"/>
        <w:adjustRightInd w:val="0"/>
        <w:snapToGrid w:val="0"/>
        <w:spacing w:after="120" w:afterLines="50"/>
        <w:jc w:val="center"/>
        <w:outlineLvl w:val="0"/>
        <w:rPr>
          <w:rFonts w:hint="eastAsia" w:ascii="宋体" w:hAnsi="宋体" w:cs="宋体"/>
          <w:b/>
          <w:bCs/>
          <w:kern w:val="44"/>
          <w:sz w:val="44"/>
          <w:szCs w:val="44"/>
        </w:rPr>
      </w:pPr>
      <w:r>
        <w:rPr>
          <w:rFonts w:hint="eastAsia" w:ascii="宋体" w:hAnsi="宋体" w:cs="宋体"/>
          <w:b/>
          <w:bCs/>
          <w:kern w:val="44"/>
          <w:sz w:val="44"/>
          <w:szCs w:val="44"/>
        </w:rPr>
        <w:t>第三章 评标办法</w:t>
      </w:r>
      <w:bookmarkEnd w:id="16"/>
      <w:bookmarkEnd w:id="17"/>
      <w:r>
        <w:rPr>
          <w:rFonts w:hint="eastAsia" w:ascii="宋体" w:hAnsi="宋体" w:cs="宋体"/>
          <w:b/>
          <w:bCs/>
          <w:kern w:val="44"/>
          <w:sz w:val="44"/>
          <w:szCs w:val="44"/>
        </w:rPr>
        <w:t>（综合评分法）</w:t>
      </w:r>
      <w:bookmarkEnd w:id="737"/>
      <w:bookmarkEnd w:id="738"/>
      <w:bookmarkStart w:id="740" w:name="_Toc455867816"/>
      <w:bookmarkStart w:id="741" w:name="_Toc482"/>
      <w:bookmarkStart w:id="742" w:name="_Toc318450721"/>
      <w:bookmarkStart w:id="743" w:name="_Toc455080156"/>
      <w:bookmarkStart w:id="744" w:name="_Toc466298139"/>
      <w:bookmarkStart w:id="745" w:name="_Toc144974566"/>
      <w:bookmarkStart w:id="746" w:name="_Toc27806"/>
      <w:bookmarkStart w:id="747" w:name="_Toc28069"/>
      <w:bookmarkStart w:id="748" w:name="_Toc152045599"/>
      <w:bookmarkStart w:id="749" w:name="_Toc281405527"/>
      <w:bookmarkStart w:id="750" w:name="_Toc922"/>
      <w:bookmarkStart w:id="751" w:name="_Toc152042376"/>
    </w:p>
    <w:p w14:paraId="4F4F4E3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2" w:name="_Toc27153"/>
    </w:p>
    <w:p w14:paraId="2EF248A1">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一、初步评审</w:t>
      </w:r>
      <w:bookmarkEnd w:id="752"/>
    </w:p>
    <w:p w14:paraId="05440AC3">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初步评审分为资格性检查和符合性检查。</w:t>
      </w:r>
    </w:p>
    <w:p w14:paraId="746290E6">
      <w:pPr>
        <w:pageBreakBefore w:val="0"/>
        <w:kinsoku/>
        <w:wordWrap w:val="0"/>
        <w:overflowPunct/>
        <w:bidi w:val="0"/>
        <w:spacing w:line="360" w:lineRule="auto"/>
        <w:ind w:firstLine="440" w:firstLineChars="200"/>
        <w:rPr>
          <w:rFonts w:hint="eastAsia" w:ascii="宋体" w:hAnsi="宋体" w:eastAsia="宋体" w:cs="宋体"/>
          <w:sz w:val="22"/>
          <w:szCs w:val="24"/>
          <w:lang w:val="en-US" w:eastAsia="zh-CN"/>
        </w:rPr>
      </w:pPr>
      <w:bookmarkStart w:id="753" w:name="_Toc16543"/>
      <w:r>
        <w:rPr>
          <w:rFonts w:hint="eastAsia" w:ascii="宋体" w:hAnsi="宋体" w:eastAsia="宋体" w:cs="宋体"/>
          <w:sz w:val="22"/>
          <w:szCs w:val="24"/>
          <w:lang w:val="en-US" w:eastAsia="zh-CN"/>
        </w:rPr>
        <w:t>1.资格性检查</w:t>
      </w:r>
      <w:bookmarkEnd w:id="753"/>
    </w:p>
    <w:p w14:paraId="27953331">
      <w:pPr>
        <w:keepNext w:val="0"/>
        <w:keepLines w:val="0"/>
        <w:pageBreakBefore w:val="0"/>
        <w:kinsoku/>
        <w:wordWrap w:val="0"/>
        <w:overflowPunct/>
        <w:topLinePunct/>
        <w:autoSpaceDE w:val="0"/>
        <w:autoSpaceDN w:val="0"/>
        <w:bidi w:val="0"/>
        <w:spacing w:line="109" w:lineRule="exact"/>
        <w:rPr>
          <w:rFonts w:hint="eastAsia" w:ascii="宋体" w:hAnsi="宋体" w:eastAsia="宋体" w:cs="宋体"/>
          <w:color w:val="auto"/>
          <w:highlight w:val="none"/>
        </w:rPr>
      </w:pP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872"/>
        <w:gridCol w:w="2883"/>
        <w:gridCol w:w="4104"/>
      </w:tblGrid>
      <w:tr w14:paraId="6F9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1552" w:type="dxa"/>
            <w:gridSpan w:val="2"/>
            <w:tcBorders>
              <w:tl2br w:val="nil"/>
              <w:tr2bl w:val="nil"/>
            </w:tcBorders>
            <w:noWrap w:val="0"/>
            <w:vAlign w:val="center"/>
          </w:tcPr>
          <w:p w14:paraId="5ECF59A5">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2883" w:type="dxa"/>
            <w:tcBorders>
              <w:tl2br w:val="nil"/>
              <w:tr2bl w:val="nil"/>
            </w:tcBorders>
            <w:noWrap w:val="0"/>
            <w:vAlign w:val="center"/>
          </w:tcPr>
          <w:p w14:paraId="6B945191">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4104" w:type="dxa"/>
            <w:tcBorders>
              <w:tl2br w:val="nil"/>
              <w:tr2bl w:val="nil"/>
            </w:tcBorders>
            <w:noWrap w:val="0"/>
            <w:vAlign w:val="center"/>
          </w:tcPr>
          <w:p w14:paraId="05A31B0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1B06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restart"/>
            <w:tcBorders>
              <w:tl2br w:val="nil"/>
              <w:tr2bl w:val="nil"/>
            </w:tcBorders>
            <w:noWrap w:val="0"/>
            <w:vAlign w:val="center"/>
          </w:tcPr>
          <w:p w14:paraId="044D55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2E502EB2">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11A7F80F">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2.1</w:t>
            </w:r>
          </w:p>
        </w:tc>
        <w:tc>
          <w:tcPr>
            <w:tcW w:w="872" w:type="dxa"/>
            <w:vMerge w:val="restart"/>
            <w:tcBorders>
              <w:tl2br w:val="nil"/>
              <w:tr2bl w:val="nil"/>
            </w:tcBorders>
            <w:noWrap w:val="0"/>
            <w:vAlign w:val="center"/>
          </w:tcPr>
          <w:p w14:paraId="11FE9AFE">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74D55A59">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p>
          <w:p w14:paraId="02FD122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资格评审标准</w:t>
            </w:r>
          </w:p>
        </w:tc>
        <w:tc>
          <w:tcPr>
            <w:tcW w:w="2883" w:type="dxa"/>
            <w:tcBorders>
              <w:tl2br w:val="nil"/>
              <w:tr2bl w:val="nil"/>
            </w:tcBorders>
            <w:noWrap w:val="0"/>
            <w:vAlign w:val="center"/>
          </w:tcPr>
          <w:p w14:paraId="148DDBD6">
            <w:pPr>
              <w:spacing w:line="240" w:lineRule="auto"/>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符合《中华人民共和国政府采购法》第22条规定</w:t>
            </w:r>
          </w:p>
        </w:tc>
        <w:tc>
          <w:tcPr>
            <w:tcW w:w="4104" w:type="dxa"/>
            <w:tcBorders>
              <w:tl2br w:val="nil"/>
              <w:tr2bl w:val="nil"/>
            </w:tcBorders>
            <w:noWrap w:val="0"/>
            <w:vAlign w:val="center"/>
          </w:tcPr>
          <w:p w14:paraId="62A87436">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11F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246412A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9DDCCC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32F9E01D">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落实政府采购政策</w:t>
            </w:r>
          </w:p>
        </w:tc>
        <w:tc>
          <w:tcPr>
            <w:tcW w:w="4104" w:type="dxa"/>
            <w:tcBorders>
              <w:tl2br w:val="nil"/>
              <w:tr2bl w:val="nil"/>
            </w:tcBorders>
            <w:noWrap w:val="0"/>
            <w:vAlign w:val="center"/>
          </w:tcPr>
          <w:p w14:paraId="6B8E2D5E">
            <w:pPr>
              <w:spacing w:line="400" w:lineRule="exact"/>
              <w:ind w:right="105"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5142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1B7DB94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7248130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58D3D694">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特定资格要求</w:t>
            </w:r>
          </w:p>
        </w:tc>
        <w:tc>
          <w:tcPr>
            <w:tcW w:w="4104" w:type="dxa"/>
            <w:tcBorders>
              <w:tl2br w:val="nil"/>
              <w:tr2bl w:val="nil"/>
            </w:tcBorders>
            <w:noWrap w:val="0"/>
            <w:vAlign w:val="center"/>
          </w:tcPr>
          <w:p w14:paraId="017D8D6F">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r w14:paraId="0B04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680" w:type="dxa"/>
            <w:vMerge w:val="continue"/>
            <w:tcBorders>
              <w:tl2br w:val="nil"/>
              <w:tr2bl w:val="nil"/>
            </w:tcBorders>
            <w:noWrap w:val="0"/>
            <w:vAlign w:val="center"/>
          </w:tcPr>
          <w:p w14:paraId="59EA1995">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872" w:type="dxa"/>
            <w:vMerge w:val="continue"/>
            <w:tcBorders>
              <w:tl2br w:val="nil"/>
              <w:tr2bl w:val="nil"/>
            </w:tcBorders>
            <w:noWrap w:val="0"/>
            <w:vAlign w:val="center"/>
          </w:tcPr>
          <w:p w14:paraId="14DA819C">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2883" w:type="dxa"/>
            <w:tcBorders>
              <w:tl2br w:val="nil"/>
              <w:tr2bl w:val="nil"/>
            </w:tcBorders>
            <w:noWrap w:val="0"/>
            <w:vAlign w:val="center"/>
          </w:tcPr>
          <w:p w14:paraId="0FCB8482">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其他要求</w:t>
            </w:r>
          </w:p>
        </w:tc>
        <w:tc>
          <w:tcPr>
            <w:tcW w:w="4104" w:type="dxa"/>
            <w:tcBorders>
              <w:tl2br w:val="nil"/>
              <w:tr2bl w:val="nil"/>
            </w:tcBorders>
            <w:noWrap w:val="0"/>
            <w:vAlign w:val="center"/>
          </w:tcPr>
          <w:p w14:paraId="4AC62357">
            <w:pPr>
              <w:spacing w:line="400" w:lineRule="exact"/>
              <w:ind w:right="105"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.1项规定</w:t>
            </w:r>
          </w:p>
        </w:tc>
      </w:tr>
    </w:tbl>
    <w:p w14:paraId="76ADC193">
      <w:pPr>
        <w:pageBreakBefore w:val="0"/>
        <w:kinsoku/>
        <w:wordWrap w:val="0"/>
        <w:overflowPunct/>
        <w:bidi w:val="0"/>
        <w:spacing w:line="360" w:lineRule="auto"/>
        <w:ind w:firstLine="420" w:firstLineChars="200"/>
        <w:rPr>
          <w:rFonts w:hint="eastAsia" w:ascii="宋体" w:hAnsi="宋体" w:eastAsia="宋体" w:cs="宋体"/>
          <w:lang w:val="en-US" w:eastAsia="zh-CN"/>
        </w:rPr>
      </w:pPr>
    </w:p>
    <w:p w14:paraId="14AE85A8">
      <w:pPr>
        <w:pageBreakBefore w:val="0"/>
        <w:kinsoku/>
        <w:wordWrap w:val="0"/>
        <w:overflowPunct/>
        <w:bidi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注： 本项目为资格后审，由采购人代表进行资格性审查。</w:t>
      </w:r>
    </w:p>
    <w:p w14:paraId="595164C2">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p>
    <w:p w14:paraId="3C243F0A">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2.符合性审查</w:t>
      </w:r>
    </w:p>
    <w:p w14:paraId="6561E7FB">
      <w:pPr>
        <w:keepNext w:val="0"/>
        <w:keepLines w:val="0"/>
        <w:pageBreakBefore w:val="0"/>
        <w:kinsoku/>
        <w:wordWrap w:val="0"/>
        <w:overflowPunct/>
        <w:topLinePunct/>
        <w:autoSpaceDE w:val="0"/>
        <w:autoSpaceDN w:val="0"/>
        <w:bidi w:val="0"/>
        <w:spacing w:line="95" w:lineRule="exact"/>
        <w:rPr>
          <w:rFonts w:hint="eastAsia" w:ascii="宋体" w:hAnsi="宋体" w:eastAsia="宋体" w:cs="宋体"/>
          <w:color w:val="auto"/>
          <w:highlight w:val="none"/>
        </w:rPr>
      </w:pPr>
    </w:p>
    <w:tbl>
      <w:tblPr>
        <w:tblStyle w:val="48"/>
        <w:tblW w:w="8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245"/>
        <w:gridCol w:w="2205"/>
        <w:gridCol w:w="4228"/>
      </w:tblGrid>
      <w:tr w14:paraId="5835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960" w:type="dxa"/>
            <w:tcBorders>
              <w:top w:val="single" w:color="000000" w:sz="2" w:space="0"/>
              <w:bottom w:val="single" w:color="000000" w:sz="2" w:space="0"/>
            </w:tcBorders>
            <w:vAlign w:val="center"/>
          </w:tcPr>
          <w:p w14:paraId="251ECA27">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245" w:type="dxa"/>
            <w:tcBorders>
              <w:top w:val="single" w:color="000000" w:sz="2" w:space="0"/>
              <w:bottom w:val="single" w:color="000000" w:sz="2" w:space="0"/>
            </w:tcBorders>
            <w:vAlign w:val="center"/>
          </w:tcPr>
          <w:p w14:paraId="49789F53">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评审因素</w:t>
            </w:r>
          </w:p>
        </w:tc>
        <w:tc>
          <w:tcPr>
            <w:tcW w:w="6433" w:type="dxa"/>
            <w:gridSpan w:val="2"/>
            <w:tcBorders>
              <w:top w:val="single" w:color="000000" w:sz="2" w:space="0"/>
              <w:bottom w:val="single" w:color="000000" w:sz="2" w:space="0"/>
            </w:tcBorders>
            <w:vAlign w:val="center"/>
          </w:tcPr>
          <w:p w14:paraId="173538FD">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评审标准</w:t>
            </w:r>
          </w:p>
        </w:tc>
      </w:tr>
      <w:tr w14:paraId="36B2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960" w:type="dxa"/>
            <w:vMerge w:val="restart"/>
            <w:tcBorders>
              <w:top w:val="single" w:color="000000" w:sz="2" w:space="0"/>
            </w:tcBorders>
            <w:vAlign w:val="center"/>
          </w:tcPr>
          <w:p w14:paraId="7494FC80">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p>
        </w:tc>
        <w:tc>
          <w:tcPr>
            <w:tcW w:w="1245" w:type="dxa"/>
            <w:vMerge w:val="restart"/>
            <w:tcBorders>
              <w:top w:val="single" w:color="000000" w:sz="2" w:space="0"/>
            </w:tcBorders>
            <w:vAlign w:val="center"/>
          </w:tcPr>
          <w:p w14:paraId="797C66AC">
            <w:pPr>
              <w:keepNext w:val="0"/>
              <w:keepLines w:val="0"/>
              <w:pageBreakBefore w:val="0"/>
              <w:kinsoku/>
              <w:wordWrap w:val="0"/>
              <w:overflowPunct/>
              <w:topLinePunct/>
              <w:autoSpaceDE w:val="0"/>
              <w:autoSpaceDN w:val="0"/>
              <w:bidi w:val="0"/>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符合性评审标准</w:t>
            </w:r>
          </w:p>
        </w:tc>
        <w:tc>
          <w:tcPr>
            <w:tcW w:w="2205" w:type="dxa"/>
            <w:tcBorders>
              <w:top w:val="single" w:color="000000" w:sz="2" w:space="0"/>
              <w:bottom w:val="single" w:color="000000" w:sz="2" w:space="0"/>
            </w:tcBorders>
            <w:vAlign w:val="center"/>
          </w:tcPr>
          <w:p w14:paraId="33CC349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4228" w:type="dxa"/>
            <w:tcBorders>
              <w:top w:val="single" w:color="000000" w:sz="2" w:space="0"/>
              <w:bottom w:val="single" w:color="000000" w:sz="2" w:space="0"/>
            </w:tcBorders>
            <w:vAlign w:val="center"/>
          </w:tcPr>
          <w:p w14:paraId="235C8D9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与营业执照等证明文件一致</w:t>
            </w:r>
          </w:p>
        </w:tc>
      </w:tr>
      <w:tr w14:paraId="1316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60" w:type="dxa"/>
            <w:vMerge w:val="continue"/>
            <w:vAlign w:val="center"/>
          </w:tcPr>
          <w:p w14:paraId="5370896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vAlign w:val="center"/>
          </w:tcPr>
          <w:p w14:paraId="3EB31DF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vAlign w:val="center"/>
          </w:tcPr>
          <w:p w14:paraId="075AA2A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函签字盖章</w:t>
            </w:r>
          </w:p>
        </w:tc>
        <w:tc>
          <w:tcPr>
            <w:tcW w:w="4228" w:type="dxa"/>
            <w:tcBorders>
              <w:top w:val="single" w:color="000000" w:sz="2" w:space="0"/>
              <w:bottom w:val="single" w:color="000000" w:sz="2" w:space="0"/>
            </w:tcBorders>
            <w:vAlign w:val="center"/>
          </w:tcPr>
          <w:p w14:paraId="0B0A7EC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签字盖章的要求</w:t>
            </w:r>
          </w:p>
        </w:tc>
      </w:tr>
      <w:tr w14:paraId="3045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60" w:type="dxa"/>
            <w:vMerge w:val="continue"/>
            <w:vAlign w:val="center"/>
          </w:tcPr>
          <w:p w14:paraId="5CD8130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vAlign w:val="center"/>
          </w:tcPr>
          <w:p w14:paraId="7915298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vAlign w:val="center"/>
          </w:tcPr>
          <w:p w14:paraId="16CB126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4228" w:type="dxa"/>
            <w:tcBorders>
              <w:top w:val="single" w:color="000000" w:sz="2" w:space="0"/>
              <w:bottom w:val="single" w:color="000000" w:sz="2" w:space="0"/>
            </w:tcBorders>
            <w:vAlign w:val="center"/>
          </w:tcPr>
          <w:p w14:paraId="5CD1039B">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符合第六</w:t>
            </w:r>
            <w:r>
              <w:rPr>
                <w:rFonts w:hint="eastAsia" w:ascii="宋体" w:hAnsi="宋体" w:eastAsia="宋体" w:cs="宋体"/>
                <w:color w:val="auto"/>
                <w:highlight w:val="none"/>
                <w:lang w:val="en-US" w:eastAsia="zh-CN"/>
              </w:rPr>
              <w:t>章</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格式”的要求</w:t>
            </w:r>
          </w:p>
        </w:tc>
      </w:tr>
      <w:tr w14:paraId="6B135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60" w:type="dxa"/>
            <w:vMerge w:val="continue"/>
            <w:vAlign w:val="center"/>
          </w:tcPr>
          <w:p w14:paraId="23AFB58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vAlign w:val="center"/>
          </w:tcPr>
          <w:p w14:paraId="58F677F6">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vAlign w:val="center"/>
          </w:tcPr>
          <w:p w14:paraId="5363591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质量要求</w:t>
            </w:r>
          </w:p>
        </w:tc>
        <w:tc>
          <w:tcPr>
            <w:tcW w:w="4228" w:type="dxa"/>
            <w:tcBorders>
              <w:top w:val="single" w:color="000000" w:sz="2" w:space="0"/>
              <w:bottom w:val="single" w:color="000000" w:sz="2" w:space="0"/>
            </w:tcBorders>
            <w:vAlign w:val="center"/>
          </w:tcPr>
          <w:p w14:paraId="6A0B8FB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文件要求</w:t>
            </w:r>
          </w:p>
        </w:tc>
      </w:tr>
      <w:tr w14:paraId="4180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60" w:type="dxa"/>
            <w:vMerge w:val="continue"/>
            <w:vAlign w:val="center"/>
          </w:tcPr>
          <w:p w14:paraId="6C3B3593">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vAlign w:val="center"/>
          </w:tcPr>
          <w:p w14:paraId="64AC927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vAlign w:val="center"/>
          </w:tcPr>
          <w:p w14:paraId="23226461">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交货期</w:t>
            </w:r>
          </w:p>
        </w:tc>
        <w:tc>
          <w:tcPr>
            <w:tcW w:w="4228" w:type="dxa"/>
            <w:tcBorders>
              <w:top w:val="single" w:color="000000" w:sz="2" w:space="0"/>
              <w:bottom w:val="single" w:color="000000" w:sz="2" w:space="0"/>
            </w:tcBorders>
            <w:vAlign w:val="center"/>
          </w:tcPr>
          <w:p w14:paraId="4F4D0C4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660E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960" w:type="dxa"/>
            <w:vMerge w:val="continue"/>
            <w:vAlign w:val="center"/>
          </w:tcPr>
          <w:p w14:paraId="166E125E">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vAlign w:val="center"/>
          </w:tcPr>
          <w:p w14:paraId="3CAD55E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vAlign w:val="center"/>
          </w:tcPr>
          <w:p w14:paraId="6D68D329">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4228" w:type="dxa"/>
            <w:tcBorders>
              <w:top w:val="single" w:color="000000" w:sz="2" w:space="0"/>
              <w:bottom w:val="single" w:color="000000" w:sz="2" w:space="0"/>
            </w:tcBorders>
            <w:vAlign w:val="center"/>
          </w:tcPr>
          <w:p w14:paraId="153B22BA">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满足</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w:t>
            </w:r>
          </w:p>
        </w:tc>
      </w:tr>
      <w:tr w14:paraId="14E9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960" w:type="dxa"/>
            <w:vMerge w:val="continue"/>
            <w:vAlign w:val="center"/>
          </w:tcPr>
          <w:p w14:paraId="3F3137DF">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rPr>
            </w:pPr>
          </w:p>
        </w:tc>
        <w:tc>
          <w:tcPr>
            <w:tcW w:w="1245" w:type="dxa"/>
            <w:vMerge w:val="continue"/>
            <w:tcBorders>
              <w:bottom w:val="single" w:color="000000" w:sz="2" w:space="0"/>
            </w:tcBorders>
            <w:vAlign w:val="center"/>
          </w:tcPr>
          <w:p w14:paraId="128B93E4">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color w:val="auto"/>
                <w:highlight w:val="none"/>
                <w:lang w:val="en-US" w:eastAsia="zh-CN"/>
              </w:rPr>
            </w:pPr>
          </w:p>
        </w:tc>
        <w:tc>
          <w:tcPr>
            <w:tcW w:w="2205" w:type="dxa"/>
            <w:tcBorders>
              <w:top w:val="single" w:color="000000" w:sz="2" w:space="0"/>
              <w:bottom w:val="single" w:color="000000" w:sz="2" w:space="0"/>
            </w:tcBorders>
            <w:shd w:val="clear" w:color="auto" w:fill="auto"/>
            <w:vAlign w:val="center"/>
          </w:tcPr>
          <w:p w14:paraId="5631BDA8">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highlight w:val="none"/>
                <w:lang w:val="en-US" w:eastAsia="zh-CN"/>
              </w:rPr>
              <w:t>信用记录</w:t>
            </w:r>
          </w:p>
        </w:tc>
        <w:tc>
          <w:tcPr>
            <w:tcW w:w="4228" w:type="dxa"/>
            <w:tcBorders>
              <w:top w:val="single" w:color="000000" w:sz="2" w:space="0"/>
              <w:bottom w:val="single" w:color="000000" w:sz="2" w:space="0"/>
            </w:tcBorders>
            <w:shd w:val="clear" w:color="auto" w:fill="auto"/>
            <w:vAlign w:val="center"/>
          </w:tcPr>
          <w:p w14:paraId="7D15D0D2">
            <w:pPr>
              <w:keepNext w:val="0"/>
              <w:keepLines w:val="0"/>
              <w:pageBreakBefore w:val="0"/>
              <w:kinsoku/>
              <w:wordWrap w:val="0"/>
              <w:overflowPunct/>
              <w:topLinePunct/>
              <w:autoSpaceDE w:val="0"/>
              <w:autoSpaceDN w:val="0"/>
              <w:bidi w:val="0"/>
              <w:spacing w:line="240" w:lineRule="auto"/>
              <w:ind w:left="0" w:lef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bl>
    <w:p w14:paraId="3C295E9C">
      <w:pPr>
        <w:keepNext w:val="0"/>
        <w:keepLines w:val="0"/>
        <w:pageBreakBefore w:val="0"/>
        <w:kinsoku/>
        <w:wordWrap w:val="0"/>
        <w:overflowPunct/>
        <w:topLinePunct/>
        <w:autoSpaceDE w:val="0"/>
        <w:autoSpaceDN w:val="0"/>
        <w:bidi w:val="0"/>
        <w:spacing w:line="363" w:lineRule="auto"/>
        <w:rPr>
          <w:rFonts w:hint="eastAsia" w:ascii="宋体" w:hAnsi="宋体" w:eastAsia="宋体" w:cs="宋体"/>
          <w:color w:val="auto"/>
          <w:sz w:val="21"/>
          <w:highlight w:val="none"/>
        </w:rPr>
      </w:pPr>
    </w:p>
    <w:p w14:paraId="55F0D4CF">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p>
    <w:p w14:paraId="6C467EBD">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3.详细评审</w:t>
      </w:r>
    </w:p>
    <w:p w14:paraId="619B9290">
      <w:pPr>
        <w:keepNext w:val="0"/>
        <w:keepLines w:val="0"/>
        <w:pageBreakBefore w:val="0"/>
        <w:kinsoku/>
        <w:wordWrap w:val="0"/>
        <w:overflowPunct/>
        <w:topLinePunct/>
        <w:autoSpaceDE w:val="0"/>
        <w:autoSpaceDN w:val="0"/>
        <w:bidi w:val="0"/>
        <w:spacing w:line="360" w:lineRule="auto"/>
        <w:ind w:firstLine="422" w:firstLineChars="200"/>
        <w:rPr>
          <w:rFonts w:hint="eastAsia" w:ascii="宋体" w:hAnsi="宋体" w:eastAsia="宋体" w:cs="宋体"/>
          <w:b/>
          <w:bCs/>
          <w:color w:val="auto"/>
          <w:highlight w:val="none"/>
          <w:lang w:val="en-US" w:eastAsia="zh-CN"/>
        </w:rPr>
      </w:pPr>
    </w:p>
    <w:bookmarkEnd w:id="740"/>
    <w:bookmarkEnd w:id="741"/>
    <w:bookmarkEnd w:id="742"/>
    <w:bookmarkEnd w:id="743"/>
    <w:bookmarkEnd w:id="744"/>
    <w:bookmarkEnd w:id="745"/>
    <w:bookmarkEnd w:id="746"/>
    <w:bookmarkEnd w:id="747"/>
    <w:bookmarkEnd w:id="748"/>
    <w:bookmarkEnd w:id="749"/>
    <w:bookmarkEnd w:id="750"/>
    <w:bookmarkEnd w:id="751"/>
    <w:tbl>
      <w:tblPr>
        <w:tblStyle w:val="22"/>
        <w:tblW w:w="8897" w:type="dxa"/>
        <w:jc w:val="center"/>
        <w:tblLayout w:type="fixed"/>
        <w:tblCellMar>
          <w:top w:w="15" w:type="dxa"/>
          <w:left w:w="15" w:type="dxa"/>
          <w:bottom w:w="15" w:type="dxa"/>
          <w:right w:w="15" w:type="dxa"/>
        </w:tblCellMar>
      </w:tblPr>
      <w:tblGrid>
        <w:gridCol w:w="882"/>
        <w:gridCol w:w="996"/>
        <w:gridCol w:w="6278"/>
        <w:gridCol w:w="741"/>
      </w:tblGrid>
      <w:tr w14:paraId="33B6D2A1">
        <w:tblPrEx>
          <w:tblCellMar>
            <w:top w:w="15" w:type="dxa"/>
            <w:left w:w="15" w:type="dxa"/>
            <w:bottom w:w="15" w:type="dxa"/>
            <w:right w:w="15" w:type="dxa"/>
          </w:tblCellMar>
        </w:tblPrEx>
        <w:trPr>
          <w:trHeight w:val="0"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top"/>
          </w:tcPr>
          <w:p w14:paraId="054F3177">
            <w:pPr>
              <w:keepNext w:val="0"/>
              <w:keepLines w:val="0"/>
              <w:pageBreakBefore w:val="0"/>
              <w:widowControl w:val="0"/>
              <w:tabs>
                <w:tab w:val="left" w:pos="210"/>
              </w:tabs>
              <w:kinsoku/>
              <w:overflowPunct/>
              <w:topLinePunct w:val="0"/>
              <w:bidi w:val="0"/>
              <w:adjustRightInd/>
              <w:snapToGrid/>
              <w:spacing w:line="240" w:lineRule="auto"/>
              <w:ind w:left="0" w:leftChars="0" w:hanging="10" w:firstLineChars="0"/>
              <w:jc w:val="center"/>
              <w:textAlignment w:val="top"/>
              <w:rPr>
                <w:rFonts w:hint="eastAsia" w:hAnsi="宋体" w:cs="宋体"/>
                <w:b/>
                <w:color w:val="auto"/>
                <w:sz w:val="24"/>
                <w:szCs w:val="24"/>
              </w:rPr>
            </w:pPr>
            <w:bookmarkStart w:id="754" w:name="_Toc19375"/>
            <w:bookmarkStart w:id="755" w:name="_Toc18239"/>
            <w:bookmarkStart w:id="756" w:name="_Toc12267"/>
            <w:r>
              <w:rPr>
                <w:rFonts w:hint="eastAsia" w:hAnsi="宋体" w:cs="宋体"/>
                <w:b/>
                <w:color w:val="auto"/>
                <w:sz w:val="24"/>
                <w:szCs w:val="24"/>
              </w:rPr>
              <w:t>评分</w:t>
            </w:r>
          </w:p>
          <w:p w14:paraId="7BB5DCC1">
            <w:pPr>
              <w:keepNext w:val="0"/>
              <w:keepLines w:val="0"/>
              <w:pageBreakBefore w:val="0"/>
              <w:widowControl w:val="0"/>
              <w:tabs>
                <w:tab w:val="left" w:pos="210"/>
              </w:tabs>
              <w:kinsoku/>
              <w:overflowPunct/>
              <w:topLinePunct w:val="0"/>
              <w:bidi w:val="0"/>
              <w:adjustRightInd/>
              <w:snapToGrid/>
              <w:spacing w:line="240" w:lineRule="auto"/>
              <w:ind w:left="0" w:leftChars="0" w:hanging="10" w:firstLineChars="0"/>
              <w:jc w:val="center"/>
              <w:textAlignment w:val="top"/>
              <w:rPr>
                <w:rFonts w:hint="eastAsia" w:hAnsi="宋体" w:cs="宋体"/>
                <w:b/>
                <w:color w:val="auto"/>
                <w:sz w:val="24"/>
                <w:szCs w:val="24"/>
              </w:rPr>
            </w:pPr>
            <w:r>
              <w:rPr>
                <w:rFonts w:hint="eastAsia" w:hAnsi="宋体" w:cs="宋体"/>
                <w:b/>
                <w:color w:val="auto"/>
                <w:sz w:val="24"/>
                <w:szCs w:val="24"/>
              </w:rPr>
              <w:t>因素</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FEEF3B3">
            <w:pPr>
              <w:keepNext w:val="0"/>
              <w:keepLines w:val="0"/>
              <w:pageBreakBefore w:val="0"/>
              <w:widowControl w:val="0"/>
              <w:tabs>
                <w:tab w:val="left" w:pos="210"/>
              </w:tabs>
              <w:kinsoku/>
              <w:overflowPunct/>
              <w:topLinePunct w:val="0"/>
              <w:bidi w:val="0"/>
              <w:adjustRightInd/>
              <w:snapToGrid/>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评分</w:t>
            </w:r>
          </w:p>
          <w:p w14:paraId="1CBD7B18">
            <w:pPr>
              <w:keepNext w:val="0"/>
              <w:keepLines w:val="0"/>
              <w:pageBreakBefore w:val="0"/>
              <w:widowControl w:val="0"/>
              <w:tabs>
                <w:tab w:val="left" w:pos="210"/>
              </w:tabs>
              <w:kinsoku/>
              <w:overflowPunct/>
              <w:topLinePunct w:val="0"/>
              <w:bidi w:val="0"/>
              <w:adjustRightInd/>
              <w:snapToGrid/>
              <w:spacing w:line="240" w:lineRule="auto"/>
              <w:ind w:left="212" w:leftChars="101" w:right="126" w:rightChars="60" w:firstLine="6" w:firstLineChars="0"/>
              <w:jc w:val="center"/>
              <w:textAlignment w:val="center"/>
              <w:rPr>
                <w:rFonts w:hint="eastAsia" w:hAnsi="宋体" w:cs="宋体"/>
                <w:b/>
                <w:color w:val="auto"/>
                <w:sz w:val="24"/>
                <w:szCs w:val="24"/>
              </w:rPr>
            </w:pPr>
            <w:r>
              <w:rPr>
                <w:rFonts w:hint="eastAsia" w:hAnsi="宋体" w:cs="宋体"/>
                <w:b/>
                <w:color w:val="auto"/>
                <w:sz w:val="24"/>
                <w:szCs w:val="24"/>
              </w:rPr>
              <w:t>内容</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C359503">
            <w:pPr>
              <w:keepNext w:val="0"/>
              <w:keepLines w:val="0"/>
              <w:pageBreakBefore w:val="0"/>
              <w:widowControl w:val="0"/>
              <w:tabs>
                <w:tab w:val="left" w:pos="-40"/>
              </w:tabs>
              <w:kinsoku/>
              <w:overflowPunct/>
              <w:topLinePunct w:val="0"/>
              <w:bidi w:val="0"/>
              <w:adjustRightInd/>
              <w:snapToGrid/>
              <w:spacing w:line="240" w:lineRule="auto"/>
              <w:ind w:left="10" w:leftChars="5" w:firstLine="8" w:firstLineChars="0"/>
              <w:jc w:val="center"/>
              <w:textAlignment w:val="center"/>
              <w:rPr>
                <w:rFonts w:hint="eastAsia" w:hAnsi="宋体" w:cs="宋体"/>
                <w:b/>
                <w:color w:val="auto"/>
                <w:sz w:val="24"/>
                <w:szCs w:val="24"/>
              </w:rPr>
            </w:pPr>
            <w:r>
              <w:rPr>
                <w:rFonts w:hint="eastAsia" w:hAnsi="宋体" w:cs="宋体"/>
                <w:b/>
                <w:color w:val="auto"/>
                <w:sz w:val="24"/>
                <w:szCs w:val="24"/>
              </w:rPr>
              <w:t>评分标准</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4E276C8">
            <w:pPr>
              <w:keepNext w:val="0"/>
              <w:keepLines w:val="0"/>
              <w:pageBreakBefore w:val="0"/>
              <w:widowControl w:val="0"/>
              <w:kinsoku/>
              <w:overflowPunct/>
              <w:topLinePunct w:val="0"/>
              <w:bidi w:val="0"/>
              <w:adjustRightInd/>
              <w:snapToGrid/>
              <w:spacing w:line="240" w:lineRule="auto"/>
              <w:ind w:left="-36" w:leftChars="-17" w:firstLine="17" w:firstLineChars="0"/>
              <w:jc w:val="center"/>
              <w:textAlignment w:val="center"/>
              <w:rPr>
                <w:rFonts w:hint="eastAsia" w:hAnsi="宋体" w:cs="宋体"/>
                <w:b/>
                <w:color w:val="auto"/>
                <w:sz w:val="24"/>
                <w:szCs w:val="24"/>
              </w:rPr>
            </w:pPr>
            <w:r>
              <w:rPr>
                <w:rFonts w:hint="eastAsia" w:hAnsi="宋体" w:cs="宋体"/>
                <w:b/>
                <w:color w:val="auto"/>
                <w:sz w:val="24"/>
                <w:szCs w:val="24"/>
              </w:rPr>
              <w:t>分值</w:t>
            </w:r>
          </w:p>
        </w:tc>
      </w:tr>
      <w:tr w14:paraId="4915EF4E">
        <w:tblPrEx>
          <w:tblCellMar>
            <w:top w:w="15" w:type="dxa"/>
            <w:left w:w="15" w:type="dxa"/>
            <w:bottom w:w="15" w:type="dxa"/>
            <w:right w:w="15" w:type="dxa"/>
          </w:tblCellMar>
        </w:tblPrEx>
        <w:trPr>
          <w:trHeight w:val="0" w:hRule="atLeast"/>
          <w:jc w:val="center"/>
        </w:trPr>
        <w:tc>
          <w:tcPr>
            <w:tcW w:w="882" w:type="dxa"/>
            <w:tcBorders>
              <w:top w:val="single" w:color="000000" w:sz="4" w:space="0"/>
              <w:left w:val="single" w:color="000000" w:sz="4" w:space="0"/>
              <w:bottom w:val="single" w:color="000000" w:sz="4" w:space="0"/>
              <w:right w:val="single" w:color="000000" w:sz="4" w:space="0"/>
            </w:tcBorders>
            <w:noWrap w:val="0"/>
            <w:vAlign w:val="center"/>
          </w:tcPr>
          <w:p w14:paraId="1F69F5F6">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商务部分</w:t>
            </w:r>
            <w:r>
              <w:rPr>
                <w:rFonts w:hint="eastAsia" w:ascii="宋体" w:hAnsi="宋体" w:eastAsia="宋体" w:cs="宋体"/>
                <w:color w:val="auto"/>
                <w:highlight w:val="none"/>
              </w:rPr>
              <w:t>（30分）</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EABC262">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投标报价</w:t>
            </w:r>
          </w:p>
        </w:tc>
        <w:tc>
          <w:tcPr>
            <w:tcW w:w="6278" w:type="dxa"/>
            <w:tcBorders>
              <w:top w:val="single" w:color="000000" w:sz="4" w:space="0"/>
              <w:left w:val="single" w:color="000000" w:sz="4" w:space="0"/>
              <w:bottom w:val="single" w:color="000000" w:sz="4" w:space="0"/>
              <w:right w:val="single" w:color="000000" w:sz="4" w:space="0"/>
            </w:tcBorders>
            <w:noWrap w:val="0"/>
            <w:vAlign w:val="center"/>
          </w:tcPr>
          <w:p w14:paraId="23060C4D">
            <w:pPr>
              <w:keepNext w:val="0"/>
              <w:keepLines w:val="0"/>
              <w:pageBreakBefore w:val="0"/>
              <w:widowControl w:val="0"/>
              <w:tabs>
                <w:tab w:val="left" w:pos="-40"/>
              </w:tabs>
              <w:kinsoku/>
              <w:overflowPunct/>
              <w:topLinePunct w:val="0"/>
              <w:autoSpaceDE w:val="0"/>
              <w:autoSpaceDN w:val="0"/>
              <w:bidi w:val="0"/>
              <w:adjustRightInd/>
              <w:snapToGrid/>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highlight w:val="none"/>
                <w:lang w:val="en-US" w:eastAsia="zh-CN"/>
              </w:rPr>
              <w:t>、价格扣除：①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w:t>
            </w:r>
            <w:r>
              <w:rPr>
                <w:rFonts w:hint="eastAsia" w:ascii="宋体" w:hAnsi="宋体" w:eastAsia="宋体" w:cs="宋体"/>
                <w:color w:val="auto"/>
                <w:highlight w:val="none"/>
                <w:lang w:eastAsia="zh-CN"/>
              </w:rPr>
              <w:t>②投标人所投设备属于本国产品</w:t>
            </w:r>
            <w:r>
              <w:rPr>
                <w:rFonts w:hint="eastAsia" w:ascii="宋体" w:hAnsi="宋体" w:eastAsia="宋体" w:cs="宋体"/>
                <w:color w:val="auto"/>
                <w:highlight w:val="none"/>
                <w:lang w:val="en-US" w:eastAsia="zh-CN"/>
              </w:rPr>
              <w:t>参与竞争，同时出具</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lang w:eastAsia="zh-CN"/>
              </w:rPr>
              <w:t>，该产品视为本国产品，依法对本国产品给予价格评审优惠，对本国产品的报价给予20%的价格扣除，用扣除后的价格参与评审。</w:t>
            </w:r>
          </w:p>
          <w:p w14:paraId="553DE55A">
            <w:pPr>
              <w:keepNext w:val="0"/>
              <w:keepLines w:val="0"/>
              <w:pageBreakBefore w:val="0"/>
              <w:widowControl w:val="0"/>
              <w:tabs>
                <w:tab w:val="left" w:pos="-40"/>
              </w:tabs>
              <w:kinsoku/>
              <w:overflowPunct/>
              <w:topLinePunct w:val="0"/>
              <w:autoSpaceDE w:val="0"/>
              <w:autoSpaceDN w:val="0"/>
              <w:bidi w:val="0"/>
              <w:adjustRightInd/>
              <w:snapToGrid/>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keepNext w:val="0"/>
              <w:keepLines w:val="0"/>
              <w:pageBreakBefore w:val="0"/>
              <w:widowControl w:val="0"/>
              <w:tabs>
                <w:tab w:val="left" w:pos="-40"/>
              </w:tabs>
              <w:kinsoku/>
              <w:overflowPunct/>
              <w:topLinePunct w:val="0"/>
              <w:autoSpaceDE w:val="0"/>
              <w:autoSpaceDN w:val="0"/>
              <w:bidi w:val="0"/>
              <w:adjustRightInd/>
              <w:snapToGrid/>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keepNext w:val="0"/>
              <w:keepLines w:val="0"/>
              <w:pageBreakBefore w:val="0"/>
              <w:widowControl w:val="0"/>
              <w:tabs>
                <w:tab w:val="left" w:pos="-40"/>
              </w:tabs>
              <w:kinsoku/>
              <w:overflowPunct/>
              <w:topLinePunct w:val="0"/>
              <w:autoSpaceDE w:val="0"/>
              <w:autoSpaceDN w:val="0"/>
              <w:bidi w:val="0"/>
              <w:adjustRightInd/>
              <w:snapToGrid/>
              <w:spacing w:line="340" w:lineRule="exact"/>
              <w:ind w:left="10" w:leftChars="5" w:firstLine="8"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keepNext w:val="0"/>
              <w:keepLines w:val="0"/>
              <w:pageBreakBefore w:val="0"/>
              <w:widowControl w:val="0"/>
              <w:tabs>
                <w:tab w:val="left" w:pos="-40"/>
              </w:tabs>
              <w:kinsoku/>
              <w:overflowPunct/>
              <w:topLinePunct w:val="0"/>
              <w:autoSpaceDE w:val="0"/>
              <w:autoSpaceDN w:val="0"/>
              <w:bidi w:val="0"/>
              <w:adjustRightInd/>
              <w:snapToGrid/>
              <w:spacing w:line="340" w:lineRule="exact"/>
              <w:ind w:left="10" w:leftChars="5" w:firstLine="8" w:firstLineChars="0"/>
              <w:jc w:val="left"/>
              <w:rPr>
                <w:rFonts w:hint="eastAsia" w:hAnsi="宋体" w:cs="宋体"/>
                <w:color w:val="auto"/>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color w:val="auto"/>
                <w:sz w:val="24"/>
                <w:szCs w:val="24"/>
              </w:rPr>
              <w:t>。</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14:paraId="5B11A8BA">
            <w:pPr>
              <w:keepNext w:val="0"/>
              <w:keepLines w:val="0"/>
              <w:pageBreakBefore w:val="0"/>
              <w:widowControl w:val="0"/>
              <w:kinsoku/>
              <w:overflowPunct/>
              <w:topLinePunct w:val="0"/>
              <w:bidi w:val="0"/>
              <w:adjustRightInd/>
              <w:snapToGrid/>
              <w:spacing w:line="288" w:lineRule="auto"/>
              <w:ind w:left="-36" w:leftChars="-17" w:firstLine="17" w:firstLineChars="0"/>
              <w:jc w:val="center"/>
              <w:textAlignment w:val="center"/>
              <w:rPr>
                <w:rFonts w:hint="eastAsia" w:hAnsi="宋体" w:cs="宋体"/>
                <w:color w:val="auto"/>
                <w:sz w:val="24"/>
                <w:szCs w:val="24"/>
              </w:rPr>
            </w:pPr>
            <w:r>
              <w:rPr>
                <w:rFonts w:hint="eastAsia" w:hAnsi="宋体" w:cs="宋体"/>
                <w:color w:val="auto"/>
                <w:sz w:val="24"/>
                <w:szCs w:val="24"/>
              </w:rPr>
              <w:t>30分</w:t>
            </w:r>
          </w:p>
        </w:tc>
      </w:tr>
      <w:tr w14:paraId="0EF07E58">
        <w:tblPrEx>
          <w:tblCellMar>
            <w:top w:w="15" w:type="dxa"/>
            <w:left w:w="15" w:type="dxa"/>
            <w:bottom w:w="15" w:type="dxa"/>
            <w:right w:w="15" w:type="dxa"/>
          </w:tblCellMar>
        </w:tblPrEx>
        <w:trPr>
          <w:trHeight w:val="0" w:hRule="atLeast"/>
          <w:jc w:val="center"/>
        </w:trPr>
        <w:tc>
          <w:tcPr>
            <w:tcW w:w="882" w:type="dxa"/>
            <w:vMerge w:val="restart"/>
            <w:tcBorders>
              <w:top w:val="single" w:color="auto" w:sz="4" w:space="0"/>
              <w:left w:val="single" w:color="auto" w:sz="4" w:space="0"/>
              <w:right w:val="single" w:color="auto" w:sz="4" w:space="0"/>
            </w:tcBorders>
            <w:shd w:val="clear" w:color="auto" w:fill="auto"/>
            <w:noWrap w:val="0"/>
            <w:vAlign w:val="center"/>
          </w:tcPr>
          <w:p w14:paraId="7FE5F001">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w:t>
            </w:r>
          </w:p>
          <w:p w14:paraId="498B7915">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分）</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4267F">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技术指标</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B0FB01">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投标人产品的技术参数完全满足招标文件要求的得</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lang w:val="zh-CN" w:eastAsia="zh-CN"/>
              </w:rPr>
              <w:t>分</w:t>
            </w:r>
          </w:p>
          <w:p w14:paraId="27F8003E">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带“</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color w:val="auto"/>
                <w:highlight w:val="none"/>
                <w:lang w:val="zh-CN" w:eastAsia="zh-CN"/>
              </w:rPr>
              <w:t>”</w:t>
            </w:r>
            <w:r>
              <w:rPr>
                <w:rFonts w:hint="eastAsia" w:ascii="宋体" w:hAnsi="宋体" w:eastAsia="宋体" w:cs="宋体"/>
                <w:color w:val="auto"/>
                <w:highlight w:val="none"/>
                <w:lang w:val="en-US" w:eastAsia="zh-CN"/>
              </w:rPr>
              <w:t>项为</w:t>
            </w:r>
            <w:r>
              <w:rPr>
                <w:rFonts w:hint="eastAsia" w:ascii="宋体" w:hAnsi="宋体" w:eastAsia="宋体" w:cs="宋体"/>
                <w:color w:val="auto"/>
                <w:highlight w:val="none"/>
                <w:lang w:val="zh-CN" w:eastAsia="zh-CN"/>
              </w:rPr>
              <w:t>重要技术参数，达不到招标文件要求的，每负偏离一条扣</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zh-CN" w:eastAsia="zh-CN"/>
              </w:rPr>
              <w:t>分；</w:t>
            </w:r>
            <w:r>
              <w:rPr>
                <w:rFonts w:hint="eastAsia" w:ascii="宋体" w:hAnsi="宋体" w:eastAsia="宋体" w:cs="宋体"/>
                <w:color w:val="auto"/>
                <w:highlight w:val="none"/>
                <w:lang w:val="en-US" w:eastAsia="zh-CN"/>
              </w:rPr>
              <w:t>其余为</w:t>
            </w:r>
            <w:r>
              <w:rPr>
                <w:rFonts w:hint="eastAsia" w:ascii="宋体" w:hAnsi="宋体" w:eastAsia="宋体" w:cs="宋体"/>
                <w:color w:val="auto"/>
                <w:highlight w:val="none"/>
                <w:lang w:val="zh-CN" w:eastAsia="zh-CN"/>
              </w:rPr>
              <w:t>一般性技术参数，达不到招标文件要求的，每负偏离一条扣</w:t>
            </w:r>
            <w:r>
              <w:rPr>
                <w:rFonts w:hint="eastAsia" w:ascii="宋体" w:hAnsi="宋体" w:eastAsia="宋体" w:cs="宋体"/>
                <w:color w:val="auto"/>
                <w:highlight w:val="none"/>
                <w:lang w:val="en-US" w:eastAsia="zh-CN"/>
              </w:rPr>
              <w:t>0.5</w:t>
            </w:r>
            <w:r>
              <w:rPr>
                <w:rFonts w:hint="eastAsia" w:ascii="宋体" w:hAnsi="宋体" w:eastAsia="宋体" w:cs="宋体"/>
                <w:color w:val="auto"/>
                <w:highlight w:val="none"/>
                <w:lang w:val="zh-CN" w:eastAsia="zh-CN"/>
              </w:rPr>
              <w:t>分，扣完为止。</w:t>
            </w:r>
          </w:p>
          <w:p w14:paraId="477ED4BA">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hAnsi="宋体" w:cs="宋体"/>
                <w:color w:val="auto"/>
                <w:sz w:val="24"/>
                <w:szCs w:val="24"/>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需</w:t>
            </w:r>
            <w:r>
              <w:rPr>
                <w:rFonts w:hint="eastAsia" w:ascii="宋体" w:hAnsi="宋体" w:eastAsia="宋体" w:cs="宋体"/>
                <w:b/>
                <w:bCs/>
                <w:color w:val="auto"/>
                <w:highlight w:val="none"/>
                <w:lang w:val="zh-CN" w:eastAsia="zh-CN"/>
              </w:rPr>
              <w:t>提供证明材料复印件。</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66FC22">
            <w:pPr>
              <w:keepNext w:val="0"/>
              <w:keepLines w:val="0"/>
              <w:pageBreakBefore w:val="0"/>
              <w:widowControl w:val="0"/>
              <w:kinsoku/>
              <w:wordWrap w:val="0"/>
              <w:overflowPunct/>
              <w:topLinePunct w:val="0"/>
              <w:autoSpaceDE w:val="0"/>
              <w:autoSpaceDN w:val="0"/>
              <w:bidi w:val="0"/>
              <w:adjustRightInd/>
              <w:snapToGrid/>
              <w:spacing w:line="340" w:lineRule="exact"/>
              <w:ind w:left="-36" w:leftChars="-17" w:firstLine="17" w:firstLineChars="0"/>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20</w:t>
            </w:r>
            <w:r>
              <w:rPr>
                <w:rFonts w:hint="eastAsia" w:hAnsi="宋体" w:cs="宋体"/>
                <w:color w:val="auto"/>
                <w:sz w:val="24"/>
                <w:szCs w:val="24"/>
                <w:highlight w:val="none"/>
              </w:rPr>
              <w:t>分</w:t>
            </w:r>
          </w:p>
        </w:tc>
      </w:tr>
      <w:tr w14:paraId="37703121">
        <w:tblPrEx>
          <w:tblCellMar>
            <w:top w:w="15" w:type="dxa"/>
            <w:left w:w="15" w:type="dxa"/>
            <w:bottom w:w="15" w:type="dxa"/>
            <w:right w:w="15" w:type="dxa"/>
          </w:tblCellMar>
        </w:tblPrEx>
        <w:trPr>
          <w:trHeight w:val="0" w:hRule="atLeast"/>
          <w:jc w:val="center"/>
        </w:trPr>
        <w:tc>
          <w:tcPr>
            <w:tcW w:w="882" w:type="dxa"/>
            <w:vMerge w:val="continue"/>
            <w:tcBorders>
              <w:left w:val="single" w:color="auto" w:sz="4" w:space="0"/>
              <w:right w:val="single" w:color="auto" w:sz="4" w:space="0"/>
            </w:tcBorders>
            <w:shd w:val="clear" w:color="auto" w:fill="auto"/>
            <w:noWrap w:val="0"/>
            <w:vAlign w:val="center"/>
          </w:tcPr>
          <w:p w14:paraId="4A574227">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E795A">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项目实施</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F43CC">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hAnsi="宋体" w:cs="宋体" w:asciiTheme="minorHAnsi" w:eastAsiaTheme="minorEastAsia"/>
                <w:color w:val="auto"/>
                <w:kern w:val="2"/>
                <w:sz w:val="24"/>
                <w:szCs w:val="24"/>
                <w:highlight w:val="none"/>
                <w:lang w:val="en-US" w:eastAsia="zh-CN" w:bidi="ar-SA"/>
              </w:rPr>
            </w:pPr>
            <w:r>
              <w:rPr>
                <w:rFonts w:hint="eastAsia" w:ascii="黑体" w:hAnsi="黑体" w:eastAsia="黑体" w:cs="黑体"/>
                <w:bCs/>
                <w:iCs/>
                <w:color w:val="auto"/>
                <w:kern w:val="44"/>
                <w:sz w:val="21"/>
                <w:szCs w:val="21"/>
                <w:highlight w:val="none"/>
                <w:lang w:val="en-US" w:eastAsia="zh-CN" w:bidi="ar-SA"/>
              </w:rPr>
              <w:t>根</w:t>
            </w:r>
            <w:r>
              <w:rPr>
                <w:rFonts w:hint="eastAsia" w:ascii="宋体" w:hAnsi="宋体" w:eastAsia="宋体" w:cs="宋体"/>
                <w:color w:val="auto"/>
                <w:highlight w:val="none"/>
                <w:lang w:val="en-US" w:eastAsia="zh-CN"/>
              </w:rPr>
              <w:t>据投标人提供的项目实施方案进行综合打分，应包含：①供货计划及配送流程；②供应渠道；③货运安排；④人员安排；⑤退换货方案；⑥产品质量保证措施及承诺。依据</w:t>
            </w:r>
            <w:r>
              <w:rPr>
                <w:rFonts w:hint="eastAsia" w:ascii="宋体" w:hAnsi="宋体" w:eastAsia="宋体" w:cs="宋体"/>
                <w:b w:val="0"/>
                <w:bCs w:val="0"/>
                <w:color w:val="auto"/>
                <w:highlight w:val="none"/>
                <w:lang w:val="zh-CN" w:eastAsia="zh-CN"/>
              </w:rPr>
              <w:t>“只提供评分标准标题无具体内容、无针对性、内容前后不一致、套用其他项目方案、内容前后矛盾、涉及的规范及标准错误、方案内容混乱、缺乏重点、生搬硬套、套用错用、层次不清”</w:t>
            </w:r>
            <w:r>
              <w:rPr>
                <w:rFonts w:hint="eastAsia" w:ascii="宋体" w:hAnsi="宋体" w:eastAsia="宋体" w:cs="宋体"/>
                <w:b w:val="0"/>
                <w:bCs w:val="0"/>
                <w:color w:val="auto"/>
                <w:highlight w:val="none"/>
                <w:lang w:val="en-US" w:eastAsia="zh-CN"/>
              </w:rPr>
              <w:t>等</w:t>
            </w:r>
            <w:r>
              <w:rPr>
                <w:rFonts w:hint="eastAsia" w:ascii="宋体" w:hAnsi="宋体" w:eastAsia="宋体" w:cs="宋体"/>
                <w:b w:val="0"/>
                <w:bCs w:val="0"/>
                <w:color w:val="auto"/>
                <w:highlight w:val="none"/>
                <w:lang w:val="zh-CN" w:eastAsia="zh-CN"/>
              </w:rPr>
              <w:t>情形</w:t>
            </w:r>
            <w:r>
              <w:rPr>
                <w:rFonts w:hint="eastAsia" w:ascii="宋体" w:hAnsi="宋体" w:eastAsia="宋体" w:cs="宋体"/>
                <w:b w:val="0"/>
                <w:bCs w:val="0"/>
                <w:color w:val="auto"/>
                <w:highlight w:val="none"/>
                <w:lang w:val="en-US" w:eastAsia="zh-CN"/>
              </w:rPr>
              <w:t>判断：①</w:t>
            </w:r>
            <w:r>
              <w:rPr>
                <w:rFonts w:hint="eastAsia" w:ascii="宋体" w:hAnsi="宋体" w:eastAsia="宋体" w:cs="宋体"/>
                <w:color w:val="auto"/>
                <w:highlight w:val="none"/>
                <w:lang w:val="zh-CN" w:eastAsia="zh-CN"/>
              </w:rPr>
              <w:t>条理结构清晰，内容详尽、准确响应的，</w:t>
            </w:r>
            <w:r>
              <w:rPr>
                <w:rFonts w:hint="eastAsia" w:ascii="宋体" w:hAnsi="宋体" w:eastAsia="宋体" w:cs="宋体"/>
                <w:color w:val="auto"/>
                <w:highlight w:val="none"/>
                <w:lang w:val="en-US" w:eastAsia="zh-CN"/>
              </w:rPr>
              <w:t>没有上述</w:t>
            </w:r>
            <w:r>
              <w:rPr>
                <w:rFonts w:hint="eastAsia" w:ascii="宋体" w:hAnsi="宋体" w:eastAsia="宋体" w:cs="宋体"/>
                <w:color w:val="auto"/>
                <w:highlight w:val="none"/>
                <w:lang w:val="zh-CN" w:eastAsia="zh-CN"/>
              </w:rPr>
              <w:t>缺陷或有瑕疵</w:t>
            </w:r>
            <w:r>
              <w:rPr>
                <w:rFonts w:hint="eastAsia" w:ascii="宋体" w:hAnsi="宋体" w:eastAsia="宋体" w:cs="宋体"/>
                <w:color w:val="auto"/>
                <w:highlight w:val="none"/>
                <w:lang w:val="en-US" w:eastAsia="zh-CN"/>
              </w:rPr>
              <w:t>的，每个</w:t>
            </w:r>
            <w:r>
              <w:rPr>
                <w:rFonts w:hint="eastAsia" w:ascii="宋体" w:hAnsi="宋体" w:eastAsia="宋体" w:cs="宋体"/>
                <w:color w:val="auto"/>
                <w:highlight w:val="none"/>
                <w:lang w:val="zh-CN" w:eastAsia="zh-CN"/>
              </w:rPr>
              <w:t>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分；②条理结构</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清晰，内容</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详尽、准确</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lang w:val="zh-CN" w:eastAsia="zh-CN"/>
              </w:rPr>
              <w:t>响应的，有缺陷或瑕疵的，</w:t>
            </w:r>
            <w:r>
              <w:rPr>
                <w:rFonts w:hint="eastAsia" w:ascii="宋体" w:hAnsi="宋体" w:eastAsia="宋体" w:cs="宋体"/>
                <w:color w:val="auto"/>
                <w:highlight w:val="none"/>
                <w:lang w:val="en-US" w:eastAsia="zh-CN"/>
              </w:rPr>
              <w:t>得1</w:t>
            </w:r>
            <w:r>
              <w:rPr>
                <w:rFonts w:hint="eastAsia" w:ascii="宋体" w:hAnsi="宋体" w:eastAsia="宋体" w:cs="宋体"/>
                <w:color w:val="auto"/>
                <w:highlight w:val="none"/>
                <w:lang w:val="zh-CN" w:eastAsia="zh-CN"/>
              </w:rPr>
              <w:t>分；③每缺少一项的扣</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eastAsia="zh-CN"/>
              </w:rPr>
              <w:t>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9028A">
            <w:pPr>
              <w:keepNext w:val="0"/>
              <w:keepLines w:val="0"/>
              <w:pageBreakBefore w:val="0"/>
              <w:widowControl w:val="0"/>
              <w:kinsoku/>
              <w:wordWrap w:val="0"/>
              <w:overflowPunct/>
              <w:topLinePunct w:val="0"/>
              <w:autoSpaceDE w:val="0"/>
              <w:autoSpaceDN w:val="0"/>
              <w:bidi w:val="0"/>
              <w:adjustRightInd/>
              <w:snapToGrid/>
              <w:spacing w:line="340" w:lineRule="exact"/>
              <w:ind w:left="-36" w:leftChars="-17" w:firstLine="17" w:firstLineChars="0"/>
              <w:jc w:val="center"/>
              <w:textAlignment w:val="auto"/>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18分</w:t>
            </w:r>
          </w:p>
        </w:tc>
      </w:tr>
      <w:tr w14:paraId="1681C668">
        <w:tblPrEx>
          <w:tblCellMar>
            <w:top w:w="15" w:type="dxa"/>
            <w:left w:w="15" w:type="dxa"/>
            <w:bottom w:w="15" w:type="dxa"/>
            <w:right w:w="15" w:type="dxa"/>
          </w:tblCellMar>
        </w:tblPrEx>
        <w:trPr>
          <w:trHeight w:val="0" w:hRule="atLeast"/>
          <w:jc w:val="center"/>
        </w:trPr>
        <w:tc>
          <w:tcPr>
            <w:tcW w:w="882" w:type="dxa"/>
            <w:vMerge w:val="continue"/>
            <w:tcBorders>
              <w:left w:val="single" w:color="auto" w:sz="4" w:space="0"/>
              <w:right w:val="single" w:color="auto" w:sz="4" w:space="0"/>
            </w:tcBorders>
            <w:shd w:val="clear" w:color="auto" w:fill="auto"/>
            <w:noWrap w:val="0"/>
            <w:vAlign w:val="center"/>
          </w:tcPr>
          <w:p w14:paraId="5552A392">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068F">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培训方案</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A51AF">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b w:val="0"/>
                <w:bCs w:val="0"/>
                <w:color w:val="auto"/>
                <w:highlight w:val="none"/>
                <w:lang w:val="zh-CN" w:eastAsia="zh-CN"/>
              </w:rPr>
            </w:pPr>
            <w:r>
              <w:rPr>
                <w:rFonts w:hint="eastAsia" w:ascii="宋体" w:hAnsi="宋体" w:eastAsia="宋体" w:cs="宋体"/>
                <w:b w:val="0"/>
                <w:bCs w:val="0"/>
                <w:color w:val="auto"/>
                <w:highlight w:val="none"/>
                <w:lang w:val="zh-CN" w:eastAsia="zh-CN"/>
              </w:rPr>
              <w:t>磋商小组根据各磋商供应商的培训方案内容包括培训时间、培训对象、培训内容等进行评审，培训方案可行合理、内容完整，为优的得</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val="zh-CN" w:eastAsia="zh-CN"/>
              </w:rPr>
              <w:t>分；培训方案可行合理性一般、内容不完整，为良的得</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lang w:val="zh-CN" w:eastAsia="zh-CN"/>
              </w:rPr>
              <w:t>分；培</w:t>
            </w:r>
          </w:p>
          <w:p w14:paraId="7DCFD62A">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zh-CN" w:eastAsia="zh-CN"/>
              </w:rPr>
              <w:t>训方案较差的得</w:t>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highlight w:val="none"/>
                <w:lang w:val="zh-CN" w:eastAsia="zh-CN"/>
              </w:rPr>
              <w:t>分，缺项不得分。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keepNext w:val="0"/>
              <w:keepLines w:val="0"/>
              <w:pageBreakBefore w:val="0"/>
              <w:widowControl w:val="0"/>
              <w:kinsoku/>
              <w:wordWrap w:val="0"/>
              <w:overflowPunct/>
              <w:topLinePunct w:val="0"/>
              <w:autoSpaceDE w:val="0"/>
              <w:autoSpaceDN w:val="0"/>
              <w:bidi w:val="0"/>
              <w:adjustRightInd/>
              <w:snapToGrid/>
              <w:spacing w:line="340" w:lineRule="exact"/>
              <w:ind w:left="-36" w:leftChars="-17" w:firstLine="17" w:firstLineChars="0"/>
              <w:jc w:val="center"/>
              <w:textAlignment w:val="auto"/>
              <w:rPr>
                <w:rFonts w:hint="eastAsia" w:ascii="Times New Roman"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分</w:t>
            </w:r>
          </w:p>
        </w:tc>
      </w:tr>
      <w:tr w14:paraId="0CBD7127">
        <w:tblPrEx>
          <w:tblCellMar>
            <w:top w:w="15" w:type="dxa"/>
            <w:left w:w="15" w:type="dxa"/>
            <w:bottom w:w="15" w:type="dxa"/>
            <w:right w:w="15" w:type="dxa"/>
          </w:tblCellMar>
        </w:tblPrEx>
        <w:trPr>
          <w:trHeight w:val="0" w:hRule="atLeast"/>
          <w:jc w:val="center"/>
        </w:trPr>
        <w:tc>
          <w:tcPr>
            <w:tcW w:w="882" w:type="dxa"/>
            <w:vMerge w:val="continue"/>
            <w:tcBorders>
              <w:left w:val="single" w:color="auto" w:sz="4" w:space="0"/>
              <w:right w:val="single" w:color="auto" w:sz="4" w:space="0"/>
            </w:tcBorders>
            <w:shd w:val="clear" w:color="auto" w:fill="auto"/>
            <w:noWrap w:val="0"/>
            <w:vAlign w:val="center"/>
          </w:tcPr>
          <w:p w14:paraId="6C0948B7">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992BFF">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val="en-US" w:eastAsia="zh-CN"/>
              </w:rPr>
              <w:t>售后方案</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B79C3">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default"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color w:val="auto"/>
                <w:highlight w:val="none"/>
                <w:lang w:val="zh-CN" w:eastAsia="zh-CN"/>
              </w:rPr>
              <w:t>磋商小组根据各磋商供应商售后服务承诺措施详细、完善，等进行评审，承诺完整、符合项目要求的得</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val="zh-CN" w:eastAsia="zh-CN"/>
              </w:rPr>
              <w:t>分；承诺一般、部分符合项目要求的得</w:t>
            </w:r>
            <w:r>
              <w:rPr>
                <w:rFonts w:hint="eastAsia" w:ascii="宋体" w:hAnsi="宋体" w:eastAsia="宋体" w:cs="宋体"/>
                <w:b w:val="0"/>
                <w:bCs w:val="0"/>
                <w:color w:val="auto"/>
                <w:highlight w:val="none"/>
                <w:lang w:val="en-US" w:eastAsia="zh-CN"/>
              </w:rPr>
              <w:t>4</w:t>
            </w:r>
            <w:r>
              <w:rPr>
                <w:rFonts w:hint="eastAsia" w:ascii="宋体" w:hAnsi="宋体" w:eastAsia="宋体" w:cs="宋体"/>
                <w:b w:val="0"/>
                <w:bCs w:val="0"/>
                <w:color w:val="auto"/>
                <w:highlight w:val="none"/>
                <w:lang w:val="zh-CN" w:eastAsia="zh-CN"/>
              </w:rPr>
              <w:t>分，服务方案较差、不符合项目要求的得2分,缺项不得分。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9CACD2">
            <w:pPr>
              <w:keepNext w:val="0"/>
              <w:keepLines w:val="0"/>
              <w:pageBreakBefore w:val="0"/>
              <w:widowControl w:val="0"/>
              <w:kinsoku/>
              <w:wordWrap w:val="0"/>
              <w:overflowPunct/>
              <w:topLinePunct w:val="0"/>
              <w:autoSpaceDE w:val="0"/>
              <w:autoSpaceDN w:val="0"/>
              <w:bidi w:val="0"/>
              <w:adjustRightInd/>
              <w:snapToGrid/>
              <w:spacing w:line="340" w:lineRule="exact"/>
              <w:ind w:left="-36" w:leftChars="-17" w:firstLine="17" w:firstLineChars="0"/>
              <w:jc w:val="center"/>
              <w:textAlignment w:val="auto"/>
              <w:rPr>
                <w:rFonts w:hint="default" w:hAnsi="宋体" w:cs="宋体" w:asciiTheme="minorHAnsi" w:eastAsiaTheme="minorEastAsia"/>
                <w:color w:val="auto"/>
                <w:kern w:val="2"/>
                <w:sz w:val="24"/>
                <w:szCs w:val="24"/>
                <w:highlight w:val="none"/>
                <w:lang w:val="en-US" w:eastAsia="zh-CN" w:bidi="ar-SA"/>
              </w:rPr>
            </w:pPr>
            <w:r>
              <w:rPr>
                <w:rFonts w:hint="eastAsia" w:hAnsi="宋体" w:cs="宋体"/>
                <w:color w:val="auto"/>
                <w:sz w:val="24"/>
                <w:szCs w:val="24"/>
                <w:highlight w:val="none"/>
                <w:lang w:val="en-US" w:eastAsia="zh-CN"/>
              </w:rPr>
              <w:t>6分</w:t>
            </w:r>
          </w:p>
        </w:tc>
      </w:tr>
      <w:tr w14:paraId="4262848A">
        <w:tblPrEx>
          <w:tblCellMar>
            <w:top w:w="15" w:type="dxa"/>
            <w:left w:w="15" w:type="dxa"/>
            <w:bottom w:w="15" w:type="dxa"/>
            <w:right w:w="15" w:type="dxa"/>
          </w:tblCellMar>
        </w:tblPrEx>
        <w:trPr>
          <w:trHeight w:val="0" w:hRule="atLeast"/>
          <w:jc w:val="center"/>
        </w:trPr>
        <w:tc>
          <w:tcPr>
            <w:tcW w:w="882" w:type="dxa"/>
            <w:vMerge w:val="restart"/>
            <w:tcBorders>
              <w:top w:val="single" w:color="auto" w:sz="4" w:space="0"/>
              <w:left w:val="single" w:color="auto" w:sz="4" w:space="0"/>
              <w:right w:val="single" w:color="auto" w:sz="4" w:space="0"/>
            </w:tcBorders>
            <w:shd w:val="clear" w:color="auto" w:fill="auto"/>
            <w:noWrap w:val="0"/>
            <w:vAlign w:val="center"/>
          </w:tcPr>
          <w:p w14:paraId="2FC4D9E9">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综合部分</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分）</w:t>
            </w:r>
          </w:p>
        </w:tc>
        <w:tc>
          <w:tcPr>
            <w:tcW w:w="996" w:type="dxa"/>
            <w:tcBorders>
              <w:top w:val="single" w:color="auto" w:sz="4" w:space="0"/>
              <w:left w:val="single" w:color="auto" w:sz="4" w:space="0"/>
              <w:right w:val="single" w:color="auto" w:sz="4" w:space="0"/>
            </w:tcBorders>
            <w:shd w:val="clear" w:color="auto" w:fill="auto"/>
            <w:noWrap w:val="0"/>
            <w:vAlign w:val="center"/>
          </w:tcPr>
          <w:p w14:paraId="4CEEB5A8">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p w14:paraId="6AABA3B4">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企业</w:t>
            </w:r>
            <w:r>
              <w:rPr>
                <w:rFonts w:hint="eastAsia" w:ascii="宋体" w:hAnsi="宋体" w:eastAsia="宋体" w:cs="宋体"/>
                <w:color w:val="auto"/>
                <w:highlight w:val="none"/>
                <w:lang w:val="en-US" w:eastAsia="zh-CN"/>
              </w:rPr>
              <w:t>实力</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E4971D">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0" w:leftChars="0" w:firstLine="0" w:firstLineChars="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1、为了满足特殊案件需要，投标人承诺在采购方需要时，免费提供同品牌常染色体补充基因座的试剂盒检测服务，可同步检测不少于 27 个基因座，且必须包括D18S1364、D1S1656、D13S325、D3S3045、D5S2800、D9S1122、D6S477、Amelogenin、D20S482、D8S1132、D7S3048、D2S441、D19S253、D10S1248、D22S1045、D3S1744、D12S391、D11S2368、D21S2055、D10S1435、D17S1301、D22GATA198B05、D16S539、D6S474、D14S1434、D15S659、D4S2366 等中国人群高多态性基因座，得4分（提供生产厂家盖章的panles、bins文件及经由Genemapper或者IDX软件分析出的STR分型彩色图谱以及相关免费提供服务的承诺函）；</w:t>
            </w:r>
          </w:p>
          <w:p w14:paraId="1D418A68">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0" w:leftChars="0" w:firstLine="0" w:firstLineChars="0"/>
              <w:jc w:val="both"/>
              <w:textAlignment w:val="auto"/>
              <w:rPr>
                <w:rFonts w:hint="eastAsia"/>
                <w:color w:val="auto"/>
                <w:lang w:val="en-US" w:eastAsia="zh-CN"/>
              </w:rPr>
            </w:pPr>
            <w:r>
              <w:rPr>
                <w:rFonts w:hint="eastAsia" w:ascii="宋体" w:hAnsi="宋体" w:eastAsia="宋体" w:cs="宋体"/>
                <w:color w:val="auto"/>
                <w:highlight w:val="none"/>
                <w:lang w:val="en-US" w:eastAsia="zh-CN"/>
              </w:rPr>
              <w:t>2、为了满足特殊案件需要，投标人承诺提供所投标产品同品牌Y染色体补充基因座的试剂盒,至少包含以下基因座：DYS522、DYS388、DYF387S1、DYS510、DYS587、DYS645、DYS531、DYS593、DYS617、GATA_A10、DYS622、DYS552、DYS508、DYS447、DYS527、DYS446、DYS459、DYS444、DYS557、DYS443、DYS626、DYS630、DYS526a、DYF404S1、DYS520、DYS518、DYS526b。试剂盒实体 bin 数量不少于300个，bin总数不少于501个，试剂盒最大片段长度不超过400bp，得3分(提供厂家出具的全国公安机关DNA数据库扩增试剂盒下拉菜单截图、产品技术资料等证明文件)；</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keepNext w:val="0"/>
              <w:keepLines w:val="0"/>
              <w:pageBreakBefore w:val="0"/>
              <w:widowControl w:val="0"/>
              <w:kinsoku/>
              <w:wordWrap w:val="0"/>
              <w:overflowPunct/>
              <w:topLinePunct w:val="0"/>
              <w:bidi w:val="0"/>
              <w:adjustRightInd/>
              <w:snapToGrid/>
              <w:spacing w:line="288" w:lineRule="auto"/>
              <w:ind w:left="-36" w:leftChars="-17" w:firstLine="17" w:firstLineChars="0"/>
              <w:jc w:val="center"/>
              <w:textAlignment w:val="auto"/>
              <w:rPr>
                <w:rFonts w:hint="eastAsia" w:ascii="Times New Roman" w:hAnsi="宋体" w:eastAsia="宋体" w:cs="宋体"/>
                <w:color w:val="auto"/>
                <w:kern w:val="2"/>
                <w:sz w:val="24"/>
                <w:szCs w:val="24"/>
                <w:lang w:val="en-US" w:eastAsia="zh-CN" w:bidi="ar-SA"/>
              </w:rPr>
            </w:pPr>
            <w:r>
              <w:rPr>
                <w:rFonts w:hint="eastAsia" w:hAnsi="宋体" w:cs="宋体"/>
                <w:color w:val="auto"/>
                <w:sz w:val="24"/>
                <w:szCs w:val="24"/>
                <w:lang w:val="en-US" w:eastAsia="zh-CN"/>
              </w:rPr>
              <w:t>7</w:t>
            </w:r>
            <w:r>
              <w:rPr>
                <w:rFonts w:hint="eastAsia" w:hAnsi="宋体" w:cs="宋体"/>
                <w:color w:val="auto"/>
                <w:sz w:val="24"/>
                <w:szCs w:val="24"/>
              </w:rPr>
              <w:t>分</w:t>
            </w:r>
          </w:p>
        </w:tc>
      </w:tr>
      <w:tr w14:paraId="5912640A">
        <w:tblPrEx>
          <w:tblCellMar>
            <w:top w:w="15" w:type="dxa"/>
            <w:left w:w="15" w:type="dxa"/>
            <w:bottom w:w="15" w:type="dxa"/>
            <w:right w:w="15" w:type="dxa"/>
          </w:tblCellMar>
        </w:tblPrEx>
        <w:trPr>
          <w:trHeight w:val="0" w:hRule="atLeast"/>
          <w:jc w:val="center"/>
        </w:trPr>
        <w:tc>
          <w:tcPr>
            <w:tcW w:w="882" w:type="dxa"/>
            <w:vMerge w:val="continue"/>
            <w:tcBorders>
              <w:left w:val="single" w:color="auto" w:sz="4" w:space="0"/>
              <w:right w:val="single" w:color="auto" w:sz="4" w:space="0"/>
            </w:tcBorders>
            <w:shd w:val="clear" w:color="auto" w:fill="auto"/>
            <w:noWrap w:val="0"/>
            <w:vAlign w:val="center"/>
          </w:tcPr>
          <w:p w14:paraId="20861A91">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tc>
        <w:tc>
          <w:tcPr>
            <w:tcW w:w="996" w:type="dxa"/>
            <w:tcBorders>
              <w:top w:val="single" w:color="auto" w:sz="4" w:space="0"/>
              <w:left w:val="single" w:color="auto" w:sz="4" w:space="0"/>
              <w:right w:val="single" w:color="auto" w:sz="4" w:space="0"/>
            </w:tcBorders>
            <w:shd w:val="clear" w:color="auto" w:fill="auto"/>
            <w:noWrap w:val="0"/>
            <w:vAlign w:val="center"/>
          </w:tcPr>
          <w:p w14:paraId="5B3EE1C8">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企业业绩</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6795C3">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供应商或制造商近三年（2023年1月1日以来）以来承接过类似试剂采购项目业绩的，每提供一份得3分，本项最高得9分。</w:t>
            </w:r>
            <w:r>
              <w:rPr>
                <w:rFonts w:hint="eastAsia" w:ascii="宋体" w:hAnsi="宋体" w:eastAsia="宋体" w:cs="宋体"/>
                <w:b/>
                <w:bCs/>
                <w:color w:val="auto"/>
                <w:highlight w:val="none"/>
                <w:lang w:val="en-US" w:eastAsia="zh-CN"/>
              </w:rPr>
              <w:t>（投标文件中附合同协议书原件的扫描件，时间以合同签订日期为准，未提供或提供不全不得分）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FEA50B">
            <w:pPr>
              <w:keepNext w:val="0"/>
              <w:keepLines w:val="0"/>
              <w:pageBreakBefore w:val="0"/>
              <w:widowControl w:val="0"/>
              <w:kinsoku/>
              <w:wordWrap w:val="0"/>
              <w:overflowPunct/>
              <w:topLinePunct w:val="0"/>
              <w:bidi w:val="0"/>
              <w:adjustRightInd/>
              <w:snapToGrid/>
              <w:spacing w:line="288" w:lineRule="auto"/>
              <w:ind w:left="-36" w:leftChars="-17" w:firstLine="17" w:firstLineChars="0"/>
              <w:jc w:val="center"/>
              <w:textAlignment w:val="auto"/>
              <w:rPr>
                <w:rFonts w:hint="eastAsia" w:hAnsi="宋体" w:cs="宋体"/>
                <w:color w:val="auto"/>
                <w:sz w:val="24"/>
                <w:szCs w:val="24"/>
              </w:rPr>
            </w:pPr>
            <w:r>
              <w:rPr>
                <w:rFonts w:hint="eastAsia" w:hAnsi="宋体" w:cs="宋体"/>
                <w:color w:val="auto"/>
                <w:sz w:val="24"/>
                <w:szCs w:val="24"/>
                <w:lang w:val="en-US" w:eastAsia="zh-CN"/>
              </w:rPr>
              <w:t>9分</w:t>
            </w:r>
          </w:p>
        </w:tc>
      </w:tr>
      <w:tr w14:paraId="1A25C94F">
        <w:tblPrEx>
          <w:tblCellMar>
            <w:top w:w="15" w:type="dxa"/>
            <w:left w:w="15" w:type="dxa"/>
            <w:bottom w:w="15" w:type="dxa"/>
            <w:right w:w="15" w:type="dxa"/>
          </w:tblCellMar>
        </w:tblPrEx>
        <w:trPr>
          <w:trHeight w:val="0" w:hRule="atLeast"/>
          <w:jc w:val="center"/>
        </w:trPr>
        <w:tc>
          <w:tcPr>
            <w:tcW w:w="882" w:type="dxa"/>
            <w:vMerge w:val="continue"/>
            <w:tcBorders>
              <w:left w:val="single" w:color="auto" w:sz="4" w:space="0"/>
              <w:bottom w:val="single" w:color="auto" w:sz="4" w:space="0"/>
              <w:right w:val="single" w:color="auto" w:sz="4" w:space="0"/>
            </w:tcBorders>
            <w:shd w:val="clear" w:color="auto" w:fill="auto"/>
            <w:noWrap w:val="0"/>
            <w:vAlign w:val="center"/>
          </w:tcPr>
          <w:p w14:paraId="107ADC7B">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8EDF5">
            <w:pPr>
              <w:keepNext w:val="0"/>
              <w:keepLines w:val="0"/>
              <w:pageBreakBefore w:val="0"/>
              <w:widowControl w:val="0"/>
              <w:kinsoku/>
              <w:wordWrap w:val="0"/>
              <w:overflowPunct/>
              <w:topLinePunct w:val="0"/>
              <w:autoSpaceDE w:val="0"/>
              <w:autoSpaceDN w:val="0"/>
              <w:bidi w:val="0"/>
              <w:adjustRightInd/>
              <w:snapToGrid/>
              <w:spacing w:line="240" w:lineRule="auto"/>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综合性能 评价</w:t>
            </w:r>
          </w:p>
        </w:tc>
        <w:tc>
          <w:tcPr>
            <w:tcW w:w="6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E3043">
            <w:pPr>
              <w:keepNext w:val="0"/>
              <w:keepLines w:val="0"/>
              <w:pageBreakBefore w:val="0"/>
              <w:widowControl w:val="0"/>
              <w:tabs>
                <w:tab w:val="left" w:pos="-40"/>
              </w:tabs>
              <w:kinsoku/>
              <w:wordWrap w:val="0"/>
              <w:overflowPunct/>
              <w:topLinePunct w:val="0"/>
              <w:autoSpaceDE w:val="0"/>
              <w:autoSpaceDN w:val="0"/>
              <w:bidi w:val="0"/>
              <w:adjustRightInd/>
              <w:snapToGrid/>
              <w:spacing w:line="340" w:lineRule="exact"/>
              <w:ind w:left="10" w:leftChars="5" w:firstLine="8"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对供应商提供设备的综合性能，方案的制定、标书的规范情况进行综合评价，完善、合理、可行性较好的得4分，一般得2分，较差得1分。</w:t>
            </w:r>
          </w:p>
        </w:tc>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8E8D97">
            <w:pPr>
              <w:keepNext w:val="0"/>
              <w:keepLines w:val="0"/>
              <w:pageBreakBefore w:val="0"/>
              <w:widowControl w:val="0"/>
              <w:kinsoku/>
              <w:wordWrap w:val="0"/>
              <w:overflowPunct/>
              <w:topLinePunct w:val="0"/>
              <w:bidi w:val="0"/>
              <w:adjustRightInd/>
              <w:snapToGrid/>
              <w:spacing w:line="288" w:lineRule="auto"/>
              <w:ind w:left="-36" w:leftChars="-17" w:firstLine="17" w:firstLineChars="0"/>
              <w:jc w:val="center"/>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分</w:t>
            </w:r>
          </w:p>
        </w:tc>
      </w:tr>
    </w:tbl>
    <w:p w14:paraId="4239E607">
      <w:pPr>
        <w:wordWrap w:val="0"/>
        <w:spacing w:line="360" w:lineRule="auto"/>
        <w:ind w:firstLine="422" w:firstLineChars="200"/>
        <w:rPr>
          <w:rFonts w:hint="eastAsia" w:ascii="宋体" w:hAnsi="宋体" w:eastAsia="宋体" w:cs="宋体"/>
          <w:b/>
          <w:bCs/>
          <w:color w:val="C00000"/>
          <w:highlight w:val="none"/>
          <w:lang w:val="en-US" w:eastAsia="zh-CN"/>
        </w:rPr>
      </w:pPr>
    </w:p>
    <w:p w14:paraId="7247E956">
      <w:pPr>
        <w:wordWrap w:val="0"/>
        <w:spacing w:line="360" w:lineRule="auto"/>
        <w:ind w:firstLine="422" w:firstLineChars="200"/>
        <w:rPr>
          <w:rFonts w:hint="eastAsia" w:ascii="宋体" w:hAnsi="宋体" w:cs="宋体"/>
          <w:color w:val="auto"/>
          <w:sz w:val="24"/>
          <w:szCs w:val="24"/>
          <w:lang w:val="en-US" w:eastAsia="zh-CN"/>
        </w:rPr>
      </w:pPr>
      <w:r>
        <w:rPr>
          <w:rFonts w:hint="eastAsia" w:ascii="宋体" w:hAnsi="宋体" w:eastAsia="宋体" w:cs="宋体"/>
          <w:b/>
          <w:bCs/>
          <w:color w:val="auto"/>
          <w:highlight w:val="none"/>
          <w:lang w:val="en-US" w:eastAsia="zh-CN"/>
        </w:rPr>
        <w:t>注：供应商在招投标活动中提供的相关资料和证件等应真实、有效，中标后业主有对中标候选人进行调查的权利，如发现弄虚作假、有违法违规现象，一经查实，将取消中标资格并报经建设行政主管部门给予不良行为记录等处理。</w:t>
      </w:r>
    </w:p>
    <w:p w14:paraId="32348163">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4"/>
      <w:bookmarkEnd w:id="755"/>
    </w:p>
    <w:p w14:paraId="5D969F2C">
      <w:pPr>
        <w:wordWrap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7" w:name="_Toc490667876"/>
      <w:bookmarkStart w:id="758" w:name="_Toc24936"/>
      <w:bookmarkStart w:id="759" w:name="_Toc152045601"/>
      <w:bookmarkStart w:id="760" w:name="_Toc281405529"/>
      <w:bookmarkStart w:id="761" w:name="_Toc455867817"/>
      <w:bookmarkStart w:id="762" w:name="_Toc455080157"/>
      <w:bookmarkStart w:id="763" w:name="_Toc466298140"/>
      <w:bookmarkStart w:id="764" w:name="_Toc26131"/>
      <w:bookmarkStart w:id="765" w:name="_Toc144974568"/>
      <w:bookmarkStart w:id="766" w:name="_Toc20837"/>
      <w:bookmarkStart w:id="767" w:name="_Toc29362"/>
      <w:bookmarkStart w:id="768" w:name="_Toc152042378"/>
      <w:bookmarkStart w:id="769" w:name="_Toc6612"/>
      <w:bookmarkStart w:id="770" w:name="_Toc318450723"/>
    </w:p>
    <w:p w14:paraId="05C3142D">
      <w:pPr>
        <w:wordWrap w:val="0"/>
        <w:spacing w:line="360" w:lineRule="auto"/>
        <w:ind w:firstLine="480" w:firstLineChars="200"/>
        <w:rPr>
          <w:rFonts w:ascii="宋体" w:hAnsi="宋体" w:cs="宋体"/>
          <w:sz w:val="24"/>
          <w:szCs w:val="24"/>
        </w:rPr>
      </w:pPr>
      <w:bookmarkStart w:id="771" w:name="_Toc14678"/>
      <w:bookmarkStart w:id="772" w:name="_Toc15287"/>
      <w:r>
        <w:rPr>
          <w:rFonts w:hint="eastAsia" w:ascii="宋体" w:hAnsi="宋体" w:cs="宋体"/>
          <w:sz w:val="24"/>
          <w:szCs w:val="24"/>
        </w:rPr>
        <w:t>2. 评审标准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773" w:name="_Toc15813"/>
      <w:bookmarkStart w:id="774" w:name="_Toc318450724"/>
      <w:bookmarkStart w:id="775" w:name="_Toc152045602"/>
      <w:bookmarkStart w:id="776" w:name="_Toc11223"/>
      <w:bookmarkStart w:id="777" w:name="_Toc455867818"/>
      <w:bookmarkStart w:id="778" w:name="_Toc6711"/>
      <w:bookmarkStart w:id="779" w:name="_Toc25637"/>
      <w:bookmarkStart w:id="780" w:name="_Toc144974569"/>
      <w:bookmarkStart w:id="781" w:name="_Toc466298141"/>
      <w:bookmarkStart w:id="782" w:name="_Toc455080158"/>
      <w:bookmarkStart w:id="783" w:name="_Toc281405530"/>
      <w:bookmarkStart w:id="784" w:name="_Toc31037"/>
      <w:bookmarkStart w:id="785" w:name="_Toc2867"/>
      <w:bookmarkStart w:id="786" w:name="_Toc21120"/>
      <w:bookmarkStart w:id="787" w:name="_Toc490667877"/>
      <w:bookmarkStart w:id="788" w:name="_Toc19934"/>
      <w:bookmarkStart w:id="789" w:name="_Toc24558"/>
      <w:bookmarkStart w:id="790" w:name="_Toc152042379"/>
    </w:p>
    <w:p w14:paraId="2D747DD7">
      <w:pPr>
        <w:wordWrap w:val="0"/>
        <w:spacing w:line="360" w:lineRule="auto"/>
        <w:ind w:firstLine="480" w:firstLineChars="200"/>
        <w:rPr>
          <w:rFonts w:ascii="宋体" w:hAnsi="宋体" w:cs="宋体"/>
          <w:sz w:val="24"/>
          <w:szCs w:val="24"/>
        </w:rPr>
      </w:pPr>
      <w:bookmarkStart w:id="791" w:name="_Toc26567"/>
      <w:r>
        <w:rPr>
          <w:rFonts w:hint="eastAsia" w:ascii="宋体" w:hAnsi="宋体" w:cs="宋体"/>
          <w:sz w:val="24"/>
          <w:szCs w:val="24"/>
        </w:rPr>
        <w:t>2.1 初步评审标准</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2FF6233">
      <w:pPr>
        <w:wordWrap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wordWrap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wordWrap w:val="0"/>
        <w:spacing w:line="360" w:lineRule="auto"/>
        <w:ind w:firstLine="480" w:firstLineChars="200"/>
        <w:rPr>
          <w:rFonts w:ascii="宋体" w:hAnsi="宋体" w:cs="宋体"/>
          <w:sz w:val="24"/>
          <w:szCs w:val="24"/>
        </w:rPr>
      </w:pPr>
      <w:bookmarkStart w:id="792" w:name="_Toc152045603"/>
      <w:bookmarkStart w:id="793" w:name="_Toc7284"/>
      <w:bookmarkStart w:id="794" w:name="_Toc466298142"/>
      <w:bookmarkStart w:id="795" w:name="_Toc11061"/>
      <w:bookmarkStart w:id="796" w:name="_Toc490667878"/>
      <w:bookmarkStart w:id="797" w:name="_Toc28765"/>
      <w:bookmarkStart w:id="798" w:name="_Toc455080159"/>
      <w:bookmarkStart w:id="799" w:name="_Toc144974570"/>
      <w:bookmarkStart w:id="800" w:name="_Toc24825"/>
      <w:bookmarkStart w:id="801" w:name="_Toc22439"/>
      <w:bookmarkStart w:id="802" w:name="_Toc152042380"/>
      <w:bookmarkStart w:id="803" w:name="_Toc281405531"/>
      <w:bookmarkStart w:id="804" w:name="_Toc455867819"/>
      <w:bookmarkStart w:id="805" w:name="_Toc318450725"/>
      <w:bookmarkStart w:id="806" w:name="_Toc21970"/>
      <w:bookmarkStart w:id="807" w:name="_Toc25492"/>
      <w:bookmarkStart w:id="808" w:name="_Toc12013"/>
      <w:bookmarkStart w:id="809" w:name="_Toc26179"/>
      <w:bookmarkStart w:id="810" w:name="_Toc30189"/>
      <w:r>
        <w:rPr>
          <w:rFonts w:hint="eastAsia" w:ascii="宋体" w:hAnsi="宋体" w:cs="宋体"/>
          <w:sz w:val="24"/>
          <w:szCs w:val="24"/>
        </w:rPr>
        <w:t>2.2 分值构成与评分标准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A749119">
      <w:pPr>
        <w:wordWrap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wordWrap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wordWrap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wordWrap w:val="0"/>
        <w:spacing w:line="360" w:lineRule="auto"/>
        <w:ind w:firstLine="480" w:firstLineChars="200"/>
        <w:rPr>
          <w:rFonts w:ascii="宋体" w:hAnsi="宋体" w:cs="宋体"/>
          <w:sz w:val="24"/>
          <w:szCs w:val="24"/>
        </w:rPr>
      </w:pPr>
      <w:bookmarkStart w:id="811" w:name="_Toc455867820"/>
      <w:bookmarkStart w:id="812" w:name="_Toc32314"/>
      <w:bookmarkStart w:id="813" w:name="_Toc490667879"/>
      <w:bookmarkStart w:id="814" w:name="_Toc16479"/>
      <w:bookmarkStart w:id="815" w:name="_Toc318450726"/>
      <w:bookmarkStart w:id="816" w:name="_Toc466298143"/>
      <w:bookmarkStart w:id="817" w:name="_Toc27018"/>
      <w:bookmarkStart w:id="818" w:name="_Toc281405532"/>
      <w:bookmarkStart w:id="819" w:name="_Toc29297"/>
      <w:bookmarkStart w:id="820" w:name="_Toc18127"/>
      <w:bookmarkStart w:id="821" w:name="_Toc29882"/>
      <w:bookmarkStart w:id="822" w:name="_Toc17308"/>
      <w:bookmarkStart w:id="823" w:name="_Toc455080160"/>
      <w:r>
        <w:rPr>
          <w:rFonts w:hint="eastAsia" w:ascii="宋体" w:hAnsi="宋体" w:cs="宋体"/>
          <w:sz w:val="24"/>
          <w:szCs w:val="24"/>
        </w:rPr>
        <w:t>3. 评审程序</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48EFE30C">
      <w:pPr>
        <w:wordWrap w:val="0"/>
        <w:spacing w:line="360" w:lineRule="auto"/>
        <w:ind w:firstLine="480" w:firstLineChars="200"/>
        <w:rPr>
          <w:rFonts w:ascii="宋体" w:hAnsi="宋体" w:cs="宋体"/>
          <w:sz w:val="24"/>
          <w:szCs w:val="24"/>
        </w:rPr>
      </w:pPr>
      <w:bookmarkStart w:id="824" w:name="_Toc318450727"/>
      <w:bookmarkStart w:id="825" w:name="_Toc29614"/>
      <w:bookmarkStart w:id="826" w:name="_Toc30986"/>
      <w:bookmarkStart w:id="827" w:name="_Toc29092"/>
      <w:bookmarkStart w:id="828" w:name="_Toc18886"/>
      <w:bookmarkStart w:id="829" w:name="_Toc7272"/>
      <w:bookmarkStart w:id="830" w:name="_Toc2410"/>
      <w:bookmarkStart w:id="831" w:name="_Toc490667880"/>
      <w:bookmarkStart w:id="832" w:name="_Toc455080161"/>
      <w:bookmarkStart w:id="833" w:name="_Toc466298144"/>
      <w:bookmarkStart w:id="834" w:name="_Toc5427"/>
      <w:bookmarkStart w:id="835" w:name="_Toc32763"/>
      <w:bookmarkStart w:id="836" w:name="_Toc455867821"/>
      <w:bookmarkStart w:id="837" w:name="_Toc16892"/>
      <w:bookmarkStart w:id="838" w:name="_Toc281405533"/>
      <w:bookmarkStart w:id="839" w:name="_Toc9433"/>
      <w:bookmarkStart w:id="840" w:name="_Toc14633"/>
      <w:r>
        <w:rPr>
          <w:rFonts w:hint="eastAsia" w:ascii="宋体" w:hAnsi="宋体" w:cs="宋体"/>
          <w:sz w:val="24"/>
          <w:szCs w:val="24"/>
        </w:rPr>
        <w:t>3.1 初步评审</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CFE13C3">
      <w:pPr>
        <w:wordWrap w:val="0"/>
        <w:spacing w:line="360" w:lineRule="auto"/>
        <w:ind w:firstLine="480" w:firstLineChars="200"/>
        <w:rPr>
          <w:rFonts w:ascii="宋体" w:hAnsi="宋体" w:cs="宋体"/>
          <w:sz w:val="24"/>
          <w:szCs w:val="24"/>
        </w:rPr>
      </w:pPr>
      <w:bookmarkStart w:id="841" w:name="_Toc466298145"/>
      <w:bookmarkStart w:id="842" w:name="_Toc490667881"/>
      <w:bookmarkStart w:id="843" w:name="_Toc12406"/>
      <w:bookmarkStart w:id="844" w:name="_Toc10692"/>
      <w:bookmarkStart w:id="845" w:name="_Toc26280"/>
      <w:bookmarkStart w:id="846" w:name="_Toc13386"/>
      <w:bookmarkStart w:id="847" w:name="_Toc318450728"/>
      <w:bookmarkStart w:id="848" w:name="_Toc26049"/>
      <w:bookmarkStart w:id="849" w:name="_Toc21032"/>
      <w:bookmarkStart w:id="850" w:name="_Toc455867822"/>
      <w:bookmarkStart w:id="851" w:name="_Toc281405534"/>
      <w:bookmarkStart w:id="852" w:name="_Toc455080162"/>
      <w:bookmarkStart w:id="853" w:name="_Toc21570"/>
      <w:bookmarkStart w:id="854" w:name="_Toc22101"/>
      <w:bookmarkStart w:id="855" w:name="_Toc7121"/>
      <w:bookmarkStart w:id="856" w:name="_Toc16964"/>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wordWrap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wordWrap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wordWrap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wordWrap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wordWrap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wordWrap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wordWrap w:val="0"/>
        <w:spacing w:line="360" w:lineRule="auto"/>
        <w:ind w:firstLine="480" w:firstLineChars="200"/>
        <w:rPr>
          <w:rFonts w:ascii="宋体" w:hAnsi="宋体" w:cs="宋体"/>
          <w:sz w:val="24"/>
          <w:szCs w:val="24"/>
        </w:rPr>
      </w:pPr>
      <w:bookmarkStart w:id="857" w:name="_Toc32028"/>
      <w:r>
        <w:rPr>
          <w:rFonts w:hint="eastAsia" w:ascii="宋体" w:hAnsi="宋体" w:cs="宋体"/>
          <w:sz w:val="24"/>
          <w:szCs w:val="24"/>
        </w:rPr>
        <w:t>3.2 详细评审</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278BDD35">
      <w:pPr>
        <w:wordWrap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wordWrap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wordWrap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autoSpaceDE w:val="0"/>
        <w:autoSpaceDN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6B064338">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1、小型微型企业认定及评标价格评审</w:t>
      </w:r>
    </w:p>
    <w:tbl>
      <w:tblPr>
        <w:tblStyle w:val="48"/>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spacing w:line="360" w:lineRule="auto"/>
        <w:ind w:firstLine="420"/>
        <w:rPr>
          <w:rFonts w:hint="eastAsia" w:asciiTheme="minorEastAsia" w:hAnsiTheme="minorEastAsia" w:eastAsiaTheme="minorEastAsia" w:cstheme="minorEastAsia"/>
          <w:sz w:val="24"/>
          <w:szCs w:val="24"/>
          <w:lang w:val="en-US" w:eastAsia="zh-CN"/>
        </w:rPr>
      </w:pPr>
    </w:p>
    <w:p w14:paraId="6C204506">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1F638955">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p>
    <w:p w14:paraId="4462CEDF">
      <w:pPr>
        <w:wordWrap w:val="0"/>
        <w:spacing w:line="360" w:lineRule="auto"/>
        <w:ind w:firstLine="486" w:firstLineChars="200"/>
        <w:rPr>
          <w:rFonts w:hint="eastAsia" w:ascii="宋体" w:hAnsi="宋体" w:cs="宋体"/>
          <w:b/>
          <w:bCs/>
          <w:spacing w:val="1"/>
          <w:kern w:val="0"/>
          <w:sz w:val="24"/>
          <w:szCs w:val="24"/>
        </w:rPr>
      </w:pPr>
      <w:r>
        <w:rPr>
          <w:rFonts w:hint="eastAsia" w:ascii="宋体" w:hAnsi="宋体" w:cs="宋体"/>
          <w:b/>
          <w:bCs/>
          <w:spacing w:val="1"/>
          <w:kern w:val="0"/>
          <w:sz w:val="24"/>
          <w:szCs w:val="24"/>
          <w:lang w:val="en-US" w:eastAsia="zh-CN"/>
        </w:rPr>
        <w:t>3.2.6</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autoSpaceDE w:val="0"/>
        <w:autoSpaceDN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wordWrap w:val="0"/>
        <w:spacing w:line="360" w:lineRule="auto"/>
        <w:ind w:firstLine="480" w:firstLineChars="200"/>
        <w:rPr>
          <w:rFonts w:ascii="宋体" w:hAnsi="宋体" w:cs="宋体"/>
          <w:sz w:val="24"/>
          <w:szCs w:val="24"/>
        </w:rPr>
      </w:pPr>
      <w:bookmarkStart w:id="858" w:name="_Toc281405535"/>
      <w:bookmarkStart w:id="859" w:name="_Toc2657"/>
      <w:bookmarkStart w:id="860" w:name="_Toc8813"/>
      <w:bookmarkStart w:id="861" w:name="_Toc24862"/>
      <w:bookmarkStart w:id="862" w:name="_Toc455080163"/>
      <w:bookmarkStart w:id="863" w:name="_Toc455867823"/>
      <w:bookmarkStart w:id="864" w:name="_Toc10153"/>
      <w:bookmarkStart w:id="865" w:name="_Toc12374"/>
      <w:bookmarkStart w:id="866" w:name="_Toc331"/>
      <w:bookmarkStart w:id="867" w:name="_Toc11958"/>
      <w:bookmarkStart w:id="868" w:name="_Toc22084"/>
      <w:bookmarkStart w:id="869" w:name="_Toc490667882"/>
      <w:bookmarkStart w:id="870" w:name="_Toc466298146"/>
      <w:bookmarkStart w:id="871" w:name="_Toc8342"/>
      <w:bookmarkStart w:id="872" w:name="_Toc12603"/>
      <w:bookmarkStart w:id="873" w:name="_Toc318450729"/>
      <w:bookmarkStart w:id="874" w:name="_Toc28633"/>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494E25B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wordWrap w:val="0"/>
        <w:spacing w:line="360" w:lineRule="auto"/>
        <w:ind w:firstLine="480" w:firstLineChars="200"/>
        <w:rPr>
          <w:rFonts w:ascii="宋体" w:hAnsi="宋体" w:cs="宋体"/>
          <w:sz w:val="24"/>
          <w:szCs w:val="24"/>
        </w:rPr>
      </w:pPr>
      <w:bookmarkStart w:id="875" w:name="_Toc466298147"/>
      <w:bookmarkStart w:id="876" w:name="_Toc22682"/>
      <w:bookmarkStart w:id="877" w:name="_Toc1857"/>
      <w:bookmarkStart w:id="878" w:name="_Toc32183"/>
      <w:bookmarkStart w:id="879" w:name="_Toc26894"/>
      <w:bookmarkStart w:id="880" w:name="_Toc318450730"/>
      <w:bookmarkStart w:id="881" w:name="_Toc19453"/>
      <w:bookmarkStart w:id="882" w:name="_Toc490667883"/>
      <w:bookmarkStart w:id="883" w:name="_Toc455867824"/>
      <w:bookmarkStart w:id="884" w:name="_Toc30053"/>
      <w:bookmarkStart w:id="885" w:name="_Toc455080164"/>
      <w:bookmarkStart w:id="886" w:name="_Toc14789"/>
      <w:bookmarkStart w:id="887" w:name="_Toc5903"/>
      <w:bookmarkStart w:id="888" w:name="_Toc22049"/>
      <w:bookmarkStart w:id="889" w:name="_Toc281405536"/>
      <w:bookmarkStart w:id="890" w:name="_Toc22986"/>
      <w:bookmarkStart w:id="891" w:name="_Toc19938"/>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3DD049C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92" w:name="_Toc30580"/>
    </w:p>
    <w:p w14:paraId="40976505">
      <w:pPr>
        <w:wordWrap w:val="0"/>
        <w:spacing w:line="360" w:lineRule="auto"/>
        <w:ind w:firstLine="482" w:firstLineChars="200"/>
        <w:rPr>
          <w:rFonts w:hint="eastAsia" w:ascii="宋体" w:hAnsi="宋体" w:cs="宋体"/>
          <w:b/>
          <w:sz w:val="24"/>
          <w:szCs w:val="24"/>
        </w:rPr>
      </w:pPr>
      <w:bookmarkStart w:id="893" w:name="_Toc18565"/>
      <w:bookmarkStart w:id="894" w:name="_Toc25046"/>
      <w:bookmarkStart w:id="895" w:name="_Toc11613"/>
      <w:bookmarkStart w:id="896" w:name="_Toc14521"/>
      <w:bookmarkStart w:id="897" w:name="_Toc29937"/>
      <w:bookmarkStart w:id="898" w:name="_Toc16109"/>
      <w:r>
        <w:rPr>
          <w:rFonts w:hint="eastAsia" w:ascii="宋体" w:hAnsi="宋体" w:cs="宋体"/>
          <w:b/>
          <w:sz w:val="24"/>
          <w:szCs w:val="24"/>
        </w:rPr>
        <w:t>附件：废标条件</w:t>
      </w:r>
      <w:bookmarkEnd w:id="892"/>
      <w:bookmarkEnd w:id="893"/>
      <w:bookmarkEnd w:id="894"/>
      <w:bookmarkEnd w:id="895"/>
      <w:bookmarkEnd w:id="896"/>
      <w:bookmarkEnd w:id="897"/>
      <w:bookmarkEnd w:id="898"/>
    </w:p>
    <w:p w14:paraId="1C138B5C">
      <w:pPr>
        <w:wordWrap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6"/>
    <w:p w14:paraId="75CB1A16">
      <w:pPr>
        <w:rPr>
          <w:rFonts w:hint="eastAsia" w:ascii="宋体" w:hAnsi="宋体" w:cs="宋体"/>
          <w:b/>
          <w:bCs/>
          <w:kern w:val="44"/>
          <w:sz w:val="44"/>
          <w:szCs w:val="44"/>
        </w:rPr>
      </w:pPr>
      <w:bookmarkStart w:id="899" w:name="_Toc2311"/>
      <w:bookmarkStart w:id="900" w:name="_Toc9407"/>
      <w:bookmarkStart w:id="901" w:name="_Toc19439"/>
      <w:bookmarkStart w:id="902" w:name="_Toc26853"/>
      <w:r>
        <w:rPr>
          <w:rFonts w:hint="eastAsia" w:ascii="宋体" w:hAnsi="宋体" w:cs="宋体"/>
          <w:b/>
          <w:bCs/>
          <w:kern w:val="44"/>
          <w:sz w:val="44"/>
          <w:szCs w:val="44"/>
        </w:rPr>
        <w:br w:type="page"/>
      </w:r>
    </w:p>
    <w:p w14:paraId="3AF45B9C">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9"/>
      <w:bookmarkEnd w:id="900"/>
      <w:bookmarkEnd w:id="901"/>
      <w:bookmarkEnd w:id="902"/>
      <w:bookmarkStart w:id="903" w:name="_Toc486587369"/>
    </w:p>
    <w:p w14:paraId="712AB68E">
      <w:pPr>
        <w:bidi w:val="0"/>
      </w:pPr>
    </w:p>
    <w:p w14:paraId="6F75E62B">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spacing w:line="244" w:lineRule="auto"/>
        <w:rPr>
          <w:rFonts w:ascii="Arial"/>
          <w:sz w:val="21"/>
        </w:rPr>
      </w:pPr>
    </w:p>
    <w:p w14:paraId="0B485EA0">
      <w:pPr>
        <w:spacing w:line="244" w:lineRule="auto"/>
        <w:rPr>
          <w:rFonts w:ascii="Arial"/>
          <w:sz w:val="21"/>
        </w:rPr>
      </w:pPr>
    </w:p>
    <w:p w14:paraId="46F8E6B0">
      <w:pPr>
        <w:spacing w:line="244" w:lineRule="auto"/>
        <w:rPr>
          <w:rFonts w:ascii="Arial"/>
          <w:sz w:val="21"/>
        </w:rPr>
      </w:pPr>
    </w:p>
    <w:p w14:paraId="2051AAAE">
      <w:pPr>
        <w:spacing w:line="245" w:lineRule="auto"/>
        <w:rPr>
          <w:rFonts w:ascii="Arial"/>
          <w:sz w:val="21"/>
        </w:rPr>
      </w:pPr>
    </w:p>
    <w:p w14:paraId="5B51F87A">
      <w:pPr>
        <w:spacing w:before="234" w:line="220" w:lineRule="auto"/>
        <w:ind w:left="0" w:leftChars="0" w:firstLine="0" w:firstLineChars="0"/>
        <w:jc w:val="center"/>
        <w:rPr>
          <w:rFonts w:ascii="宋体" w:hAnsi="宋体" w:eastAsia="宋体" w:cs="宋体"/>
          <w:sz w:val="72"/>
          <w:szCs w:val="72"/>
        </w:rPr>
      </w:pPr>
      <w:r>
        <w:rPr>
          <w:rFonts w:ascii="宋体" w:hAnsi="宋体" w:eastAsia="宋体" w:cs="宋体"/>
          <w:spacing w:val="-2"/>
          <w:sz w:val="72"/>
          <w:szCs w:val="72"/>
        </w:rPr>
        <w:t>政府采购合同</w:t>
      </w:r>
    </w:p>
    <w:p w14:paraId="59234215">
      <w:pPr>
        <w:spacing w:line="249" w:lineRule="auto"/>
        <w:rPr>
          <w:rFonts w:ascii="Arial"/>
          <w:sz w:val="21"/>
        </w:rPr>
      </w:pPr>
    </w:p>
    <w:p w14:paraId="24FBF2B3">
      <w:pPr>
        <w:spacing w:line="249" w:lineRule="auto"/>
        <w:rPr>
          <w:rFonts w:ascii="Arial"/>
          <w:sz w:val="21"/>
        </w:rPr>
      </w:pPr>
    </w:p>
    <w:p w14:paraId="1F141A89">
      <w:pPr>
        <w:spacing w:line="250" w:lineRule="auto"/>
        <w:rPr>
          <w:rFonts w:ascii="Arial"/>
          <w:sz w:val="21"/>
        </w:rPr>
      </w:pPr>
    </w:p>
    <w:p w14:paraId="4ADF22D1">
      <w:pPr>
        <w:spacing w:line="250" w:lineRule="auto"/>
        <w:rPr>
          <w:rFonts w:ascii="Arial"/>
          <w:sz w:val="21"/>
        </w:rPr>
      </w:pPr>
    </w:p>
    <w:p w14:paraId="56D38BB0">
      <w:pPr>
        <w:spacing w:line="250" w:lineRule="auto"/>
        <w:rPr>
          <w:rFonts w:ascii="Arial"/>
          <w:sz w:val="21"/>
        </w:rPr>
      </w:pPr>
    </w:p>
    <w:p w14:paraId="0CB7BF47">
      <w:pPr>
        <w:spacing w:line="250" w:lineRule="auto"/>
        <w:rPr>
          <w:rFonts w:ascii="Arial"/>
          <w:sz w:val="21"/>
        </w:rPr>
      </w:pPr>
    </w:p>
    <w:p w14:paraId="48919000">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 w14:paraId="57C1F614"/>
    <w:p w14:paraId="45CFA72D"/>
    <w:p w14:paraId="735FF7E4">
      <w:pPr>
        <w:pStyle w:val="2"/>
      </w:pPr>
    </w:p>
    <w:p w14:paraId="5BE795E9"/>
    <w:p w14:paraId="06545721">
      <w:pPr>
        <w:spacing w:line="91" w:lineRule="exact"/>
      </w:pPr>
    </w:p>
    <w:p w14:paraId="4C23D4BF">
      <w:pPr>
        <w:sectPr>
          <w:headerReference r:id="rId8" w:type="default"/>
          <w:footerReference r:id="rId9" w:type="default"/>
          <w:pgSz w:w="11905" w:h="16840"/>
          <w:pgMar w:top="1134" w:right="1134" w:bottom="1134" w:left="1417" w:header="0" w:footer="567" w:gutter="0"/>
          <w:pgNumType w:fmt="numberInDash"/>
          <w:cols w:space="720" w:num="1"/>
          <w:rtlGutter w:val="0"/>
        </w:sectPr>
      </w:pPr>
    </w:p>
    <w:p w14:paraId="772998DD">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sectPr>
          <w:type w:val="continuous"/>
          <w:pgSz w:w="11905" w:h="16840"/>
          <w:pgMar w:top="1134" w:right="1134" w:bottom="1134" w:left="1417" w:header="0" w:footer="0" w:gutter="0"/>
          <w:pgNumType w:fmt="numberInDash"/>
          <w:cols w:equalWidth="0" w:num="2">
            <w:col w:w="4613" w:space="100"/>
            <w:col w:w="4640"/>
          </w:cols>
          <w:rtlGutter w:val="0"/>
        </w:sectPr>
      </w:pPr>
    </w:p>
    <w:p w14:paraId="411692FC">
      <w:pPr>
        <w:spacing w:line="265" w:lineRule="auto"/>
        <w:rPr>
          <w:rFonts w:ascii="Arial"/>
          <w:sz w:val="21"/>
        </w:rPr>
      </w:pPr>
    </w:p>
    <w:p w14:paraId="15D70F3A">
      <w:pPr>
        <w:spacing w:line="266" w:lineRule="auto"/>
        <w:rPr>
          <w:rFonts w:ascii="Arial"/>
          <w:sz w:val="21"/>
        </w:rPr>
      </w:pPr>
    </w:p>
    <w:p w14:paraId="448CD68E">
      <w:pPr>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5B406811">
      <w:pPr>
        <w:spacing w:line="217" w:lineRule="auto"/>
        <w:ind w:firstLine="495"/>
        <w:rPr>
          <w:rFonts w:hint="eastAsia" w:asciiTheme="minorEastAsia" w:hAnsiTheme="minorEastAsia" w:eastAsiaTheme="minorEastAsia" w:cstheme="minorEastAsia"/>
          <w:spacing w:val="4"/>
          <w:sz w:val="24"/>
          <w:szCs w:val="24"/>
        </w:rPr>
      </w:pPr>
    </w:p>
    <w:p w14:paraId="07CE043D">
      <w:pPr>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9DDA48B">
      <w:pPr>
        <w:spacing w:before="187" w:line="217" w:lineRule="auto"/>
        <w:ind w:firstLine="497"/>
        <w:rPr>
          <w:rFonts w:hint="eastAsia" w:asciiTheme="minorEastAsia" w:hAnsiTheme="minorEastAsia" w:eastAsiaTheme="minorEastAsia" w:cstheme="minorEastAsia"/>
          <w:spacing w:val="-1"/>
          <w:sz w:val="24"/>
          <w:szCs w:val="24"/>
        </w:rPr>
      </w:pPr>
    </w:p>
    <w:p w14:paraId="2159148F">
      <w:pPr>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1E7E819">
      <w:pPr>
        <w:spacing w:before="1" w:line="217" w:lineRule="auto"/>
        <w:ind w:firstLine="497"/>
        <w:rPr>
          <w:rFonts w:hint="eastAsia" w:asciiTheme="minorEastAsia" w:hAnsiTheme="minorEastAsia" w:eastAsiaTheme="minorEastAsia" w:cstheme="minorEastAsia"/>
          <w:spacing w:val="-1"/>
          <w:sz w:val="24"/>
          <w:szCs w:val="24"/>
        </w:rPr>
      </w:pPr>
    </w:p>
    <w:p w14:paraId="3C1AB7D8">
      <w:pPr>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04D850F9">
      <w:pPr>
        <w:spacing w:before="187" w:line="216" w:lineRule="auto"/>
        <w:ind w:firstLine="497"/>
        <w:rPr>
          <w:rFonts w:hint="eastAsia" w:asciiTheme="minorEastAsia" w:hAnsiTheme="minorEastAsia" w:eastAsiaTheme="minorEastAsia" w:cstheme="minorEastAsia"/>
          <w:spacing w:val="-1"/>
          <w:sz w:val="24"/>
          <w:szCs w:val="24"/>
        </w:rPr>
      </w:pPr>
    </w:p>
    <w:p w14:paraId="328FB66C">
      <w:pPr>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spacing w:before="187" w:line="360" w:lineRule="auto"/>
        <w:ind w:right="71" w:firstLine="49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2.乙方保证货物是全新的、未使用过的，完全符合国家规范及甲乙双方确认</w:t>
      </w:r>
    </w:p>
    <w:p w14:paraId="6B19EB57">
      <w:pPr>
        <w:spacing w:before="187" w:line="360" w:lineRule="auto"/>
        <w:ind w:left="0" w:leftChars="0" w:right="7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的投标文件、本合同关于货物数量、质量的要求。货物符合实行国家“三包”</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3.乙方提交的货物应符合投标文件中所记载的详细配置、技术参数、参数及 性能，并应附有此类货物完整、详细的技术资料和说明文件。</w:t>
      </w:r>
    </w:p>
    <w:p w14:paraId="61ADBC43">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4.乙方提交的货物必须按照招标采购文件的要求和中标人投标文件的承诺， 以约定标准进行制造、安装；经政府采购管理部门批准采购的进口产品应执行原 产地国家有关部门最新颁布的相应正式标准并提供国家商检、海关报关等手续。</w:t>
      </w:r>
    </w:p>
    <w:p w14:paraId="7798EB5D">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5.乙方应保证将货物按照国家或专业标准包装、确保货物安全无损运抵合同 规定的交货地点，并进行安装、试运行。</w:t>
      </w:r>
    </w:p>
    <w:p w14:paraId="58B37BF0">
      <w:pPr>
        <w:spacing w:before="190" w:line="24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6、乙方保证货物不存在危及人身及财产安全的产品缺陷， 否则应承担全部法</w:t>
      </w:r>
    </w:p>
    <w:p w14:paraId="060972E5">
      <w:pPr>
        <w:spacing w:before="190" w:line="24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p>
    <w:p w14:paraId="389D0BB4">
      <w:pPr>
        <w:spacing w:before="134" w:line="217" w:lineRule="auto"/>
        <w:ind w:firstLine="497"/>
        <w:rPr>
          <w:rFonts w:hint="eastAsia" w:asciiTheme="minorEastAsia" w:hAnsiTheme="minorEastAsia" w:eastAsiaTheme="minorEastAsia" w:cstheme="minorEastAsia"/>
          <w:spacing w:val="-1"/>
          <w:sz w:val="24"/>
          <w:szCs w:val="24"/>
        </w:rPr>
      </w:pPr>
    </w:p>
    <w:p w14:paraId="3436E113">
      <w:pPr>
        <w:spacing w:before="134"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26824E3B">
      <w:pPr>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w:t>
      </w:r>
    </w:p>
    <w:p w14:paraId="4E26A3A3">
      <w:pPr>
        <w:spacing w:before="183" w:line="361" w:lineRule="auto"/>
        <w:ind w:right="94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5E190BD4">
      <w:pPr>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7F59AD9">
      <w:pPr>
        <w:spacing w:before="2" w:line="360" w:lineRule="auto"/>
        <w:ind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spacing w:before="1" w:line="367" w:lineRule="auto"/>
        <w:ind w:right="1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01AF70B5">
      <w:pPr>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甲方向乙方无息退还</w:t>
      </w:r>
      <w:r>
        <w:rPr>
          <w:rFonts w:hint="eastAsia" w:asciiTheme="minorEastAsia" w:hAnsiTheme="minorEastAsia" w:eastAsiaTheme="minorEastAsia" w:cstheme="minorEastAsia"/>
          <w:spacing w:val="-53"/>
          <w:sz w:val="24"/>
          <w:szCs w:val="24"/>
        </w:rPr>
        <w:t>。</w:t>
      </w:r>
    </w:p>
    <w:p w14:paraId="3979B4BC">
      <w:pPr>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0586EDFC">
      <w:pPr>
        <w:spacing w:line="217" w:lineRule="auto"/>
        <w:ind w:firstLine="503"/>
        <w:rPr>
          <w:rFonts w:hint="eastAsia" w:asciiTheme="minorEastAsia" w:hAnsiTheme="minorEastAsia" w:eastAsiaTheme="minorEastAsia" w:cstheme="minorEastAsia"/>
          <w:spacing w:val="-1"/>
          <w:sz w:val="24"/>
          <w:szCs w:val="24"/>
        </w:rPr>
      </w:pPr>
    </w:p>
    <w:p w14:paraId="7A777C2F">
      <w:pPr>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2A2E70FC">
      <w:pPr>
        <w:spacing w:before="186" w:line="359" w:lineRule="auto"/>
        <w:ind w:right="1593"/>
        <w:jc w:val="both"/>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p>
    <w:p w14:paraId="54914260">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p>
    <w:p w14:paraId="3286541D">
      <w:pPr>
        <w:spacing w:before="186" w:line="359" w:lineRule="auto"/>
        <w:ind w:right="15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spacing w:before="182" w:line="370" w:lineRule="auto"/>
        <w:ind w:right="1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22DA8C34">
      <w:pPr>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6CEF0D18">
      <w:pPr>
        <w:spacing w:line="217" w:lineRule="auto"/>
        <w:ind w:firstLine="497"/>
        <w:rPr>
          <w:rFonts w:hint="eastAsia" w:asciiTheme="minorEastAsia" w:hAnsiTheme="minorEastAsia" w:eastAsiaTheme="minorEastAsia" w:cstheme="minorEastAsia"/>
          <w:spacing w:val="-1"/>
          <w:sz w:val="24"/>
          <w:szCs w:val="24"/>
        </w:rPr>
      </w:pPr>
    </w:p>
    <w:p w14:paraId="589762B8">
      <w:pPr>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1E4A207F">
      <w:pPr>
        <w:spacing w:before="78" w:line="360" w:lineRule="auto"/>
        <w:ind w:left="0" w:leftChars="0" w:right="64"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5CCDEB42">
      <w:pPr>
        <w:spacing w:line="217" w:lineRule="auto"/>
        <w:ind w:firstLine="494"/>
        <w:rPr>
          <w:rFonts w:hint="eastAsia" w:asciiTheme="minorEastAsia" w:hAnsiTheme="minorEastAsia" w:eastAsiaTheme="minorEastAsia" w:cstheme="minorEastAsia"/>
          <w:spacing w:val="-1"/>
          <w:sz w:val="24"/>
          <w:szCs w:val="24"/>
        </w:rPr>
      </w:pPr>
    </w:p>
    <w:p w14:paraId="215B4141">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1DEA6C93">
      <w:pPr>
        <w:spacing w:line="217" w:lineRule="auto"/>
        <w:ind w:firstLine="494"/>
        <w:rPr>
          <w:rFonts w:hint="eastAsia" w:asciiTheme="minorEastAsia" w:hAnsiTheme="minorEastAsia" w:eastAsiaTheme="minorEastAsia" w:cstheme="minorEastAsia"/>
          <w:spacing w:val="-1"/>
          <w:sz w:val="24"/>
          <w:szCs w:val="24"/>
        </w:rPr>
      </w:pPr>
    </w:p>
    <w:p w14:paraId="63806489">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5BA2E9CD">
      <w:pPr>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153EC7B9">
      <w:pPr>
        <w:spacing w:line="217" w:lineRule="auto"/>
        <w:ind w:firstLine="499"/>
        <w:rPr>
          <w:rFonts w:hint="eastAsia" w:asciiTheme="minorEastAsia" w:hAnsiTheme="minorEastAsia" w:eastAsiaTheme="minorEastAsia" w:cstheme="minorEastAsia"/>
          <w:spacing w:val="-1"/>
          <w:sz w:val="24"/>
          <w:szCs w:val="24"/>
        </w:rPr>
      </w:pPr>
    </w:p>
    <w:p w14:paraId="3870BD73">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2511A37E">
      <w:pPr>
        <w:spacing w:line="217" w:lineRule="auto"/>
        <w:ind w:firstLine="499"/>
        <w:rPr>
          <w:rFonts w:hint="eastAsia" w:asciiTheme="minorEastAsia" w:hAnsiTheme="minorEastAsia" w:eastAsiaTheme="minorEastAsia" w:cstheme="minorEastAsia"/>
          <w:spacing w:val="-1"/>
          <w:sz w:val="24"/>
          <w:szCs w:val="24"/>
        </w:rPr>
      </w:pPr>
    </w:p>
    <w:p w14:paraId="03D7F001">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spacing w:before="2" w:line="382" w:lineRule="auto"/>
        <w:ind w:righ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spacing w:line="369" w:lineRule="auto"/>
        <w:ind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spacing w:before="1" w:line="21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6600871E">
      <w:pPr>
        <w:spacing w:before="136" w:line="217" w:lineRule="auto"/>
        <w:ind w:firstLine="499"/>
        <w:rPr>
          <w:rFonts w:hint="eastAsia" w:asciiTheme="minorEastAsia" w:hAnsiTheme="minorEastAsia" w:eastAsiaTheme="minorEastAsia" w:cstheme="minorEastAsia"/>
          <w:spacing w:val="-1"/>
          <w:sz w:val="24"/>
          <w:szCs w:val="24"/>
        </w:rPr>
      </w:pPr>
    </w:p>
    <w:p w14:paraId="336DD63C">
      <w:pPr>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76030BF0">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r>
        <w:rPr>
          <w:rFonts w:hint="eastAsia" w:asciiTheme="minorEastAsia" w:hAnsiTheme="minorEastAsia" w:cstheme="minorEastAsia"/>
          <w:spacing w:val="-69"/>
          <w:sz w:val="24"/>
          <w:szCs w:val="24"/>
          <w:lang w:val="en-US" w:eastAsia="zh-CN"/>
        </w:rPr>
        <w:t xml:space="preserve">               </w:t>
      </w:r>
      <w:r>
        <w:rPr>
          <w:rFonts w:hint="eastAsia" w:asciiTheme="minorEastAsia" w:hAnsiTheme="minorEastAsia" w:eastAsiaTheme="minorEastAsia" w:cstheme="minorEastAsia"/>
          <w:sz w:val="24"/>
          <w:szCs w:val="24"/>
        </w:rPr>
        <w:t>乙   方：</w:t>
      </w:r>
    </w:p>
    <w:p w14:paraId="21BD7DE9">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 （盖章）</w:t>
      </w:r>
    </w:p>
    <w:p w14:paraId="0280BBF7">
      <w:pPr>
        <w:spacing w:before="48" w:line="217" w:lineRule="auto"/>
        <w:ind w:firstLine="519"/>
        <w:rPr>
          <w:rFonts w:hint="eastAsia" w:asciiTheme="minorEastAsia" w:hAnsiTheme="minorEastAsia" w:eastAsiaTheme="minorEastAsia" w:cstheme="minorEastAsia"/>
          <w:sz w:val="24"/>
          <w:szCs w:val="24"/>
        </w:rPr>
      </w:pPr>
    </w:p>
    <w:p w14:paraId="28A4C544">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6B7203F4">
      <w:pPr>
        <w:spacing w:line="161" w:lineRule="exact"/>
        <w:rPr>
          <w:rFonts w:hint="eastAsia" w:asciiTheme="minorEastAsia" w:hAnsiTheme="minorEastAsia" w:eastAsiaTheme="minorEastAsia" w:cstheme="minorEastAsia"/>
          <w:sz w:val="24"/>
          <w:szCs w:val="24"/>
        </w:rPr>
      </w:pPr>
    </w:p>
    <w:p w14:paraId="3B2CA042">
      <w:pPr>
        <w:rPr>
          <w:rFonts w:hint="eastAsia" w:asciiTheme="minorEastAsia" w:hAnsiTheme="minorEastAsia" w:eastAsiaTheme="minorEastAsia" w:cstheme="minorEastAsia"/>
          <w:sz w:val="24"/>
          <w:szCs w:val="24"/>
        </w:rPr>
        <w:sectPr>
          <w:pgSz w:w="11905" w:h="16840"/>
          <w:pgMar w:top="1134" w:right="1134" w:bottom="1134" w:left="1417" w:header="0" w:footer="0" w:gutter="0"/>
          <w:pgNumType w:fmt="numberInDash"/>
          <w:cols w:space="720" w:num="1"/>
          <w:rtlGutter w:val="0"/>
        </w:sectPr>
      </w:pPr>
    </w:p>
    <w:p w14:paraId="7A26354D">
      <w:pPr>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equalWidth="0" w:num="2">
            <w:col w:w="4632" w:space="100"/>
            <w:col w:w="4621"/>
          </w:cols>
          <w:rtlGutter w:val="0"/>
        </w:sectPr>
      </w:pPr>
    </w:p>
    <w:p w14:paraId="3E2D3018">
      <w:pPr>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rPr>
          <w:rFonts w:hint="eastAsia" w:asciiTheme="minorEastAsia" w:hAnsiTheme="minorEastAsia" w:eastAsiaTheme="minorEastAsia" w:cstheme="minorEastAsia"/>
          <w:sz w:val="24"/>
          <w:szCs w:val="24"/>
        </w:rPr>
        <w:sectPr>
          <w:type w:val="continuous"/>
          <w:pgSz w:w="11905" w:h="16840"/>
          <w:pgMar w:top="1134" w:right="1134" w:bottom="1134" w:left="1417" w:header="0" w:footer="0" w:gutter="0"/>
          <w:pgNumType w:fmt="numberInDash"/>
          <w:cols w:space="720" w:num="1"/>
          <w:rtlGutter w:val="0"/>
        </w:sectPr>
      </w:pPr>
    </w:p>
    <w:p w14:paraId="25D0AB41">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spacing w:line="221" w:lineRule="auto"/>
        <w:ind w:firstLine="2997"/>
        <w:jc w:val="center"/>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 w14:paraId="2E8A4A47">
      <w:pPr>
        <w:spacing w:line="186" w:lineRule="exact"/>
      </w:pPr>
    </w:p>
    <w:tbl>
      <w:tblPr>
        <w:tblStyle w:val="48"/>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2822"/>
        <w:gridCol w:w="787"/>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47CE3D33">
            <w:pPr>
              <w:spacing w:line="402" w:lineRule="auto"/>
              <w:rPr>
                <w:rFonts w:hint="eastAsia" w:asciiTheme="minorEastAsia" w:hAnsiTheme="minorEastAsia" w:eastAsiaTheme="minorEastAsia" w:cstheme="minorEastAsia"/>
                <w:sz w:val="24"/>
                <w:szCs w:val="24"/>
              </w:rPr>
            </w:pPr>
          </w:p>
          <w:p w14:paraId="697A19B3">
            <w:pPr>
              <w:spacing w:before="103" w:line="185"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spacing w:line="403" w:lineRule="auto"/>
              <w:rPr>
                <w:rFonts w:hint="eastAsia" w:asciiTheme="minorEastAsia" w:hAnsiTheme="minorEastAsia" w:eastAsiaTheme="minorEastAsia" w:cstheme="minorEastAsia"/>
                <w:sz w:val="24"/>
                <w:szCs w:val="24"/>
              </w:rPr>
            </w:pPr>
          </w:p>
          <w:p w14:paraId="12E0B029">
            <w:pPr>
              <w:spacing w:before="103" w:line="184"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2822" w:type="dxa"/>
            <w:noWrap w:val="0"/>
            <w:vAlign w:val="top"/>
          </w:tcPr>
          <w:p w14:paraId="707AB4C0">
            <w:pPr>
              <w:spacing w:line="247" w:lineRule="auto"/>
              <w:rPr>
                <w:rFonts w:hint="eastAsia" w:asciiTheme="minorEastAsia" w:hAnsiTheme="minorEastAsia" w:eastAsiaTheme="minorEastAsia" w:cstheme="minorEastAsia"/>
                <w:sz w:val="24"/>
                <w:szCs w:val="24"/>
              </w:rPr>
            </w:pPr>
          </w:p>
          <w:p w14:paraId="5C02AEF6">
            <w:pPr>
              <w:spacing w:before="103" w:line="182"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787" w:type="dxa"/>
            <w:noWrap w:val="0"/>
            <w:textDirection w:val="tbRlV"/>
            <w:vAlign w:val="top"/>
          </w:tcPr>
          <w:p w14:paraId="5189D433">
            <w:pPr>
              <w:spacing w:before="151" w:line="179" w:lineRule="auto"/>
              <w:ind w:firstLine="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r>
              <w:rPr>
                <w:rFonts w:hint="eastAsia" w:asciiTheme="minorEastAsia" w:hAnsiTheme="minorEastAsia" w:eastAsiaTheme="minorEastAsia" w:cstheme="minorEastAsia"/>
                <w:spacing w:val="-4"/>
                <w:sz w:val="24"/>
                <w:szCs w:val="24"/>
              </w:rPr>
              <w:t>量 单</w:t>
            </w:r>
            <w:r>
              <w:rPr>
                <w:rFonts w:hint="eastAsia" w:asciiTheme="minorEastAsia" w:hAnsiTheme="minorEastAsia" w:eastAsiaTheme="minorEastAsia" w:cstheme="minorEastAsia"/>
                <w:sz w:val="24"/>
                <w:szCs w:val="24"/>
              </w:rPr>
              <w:t xml:space="preserve"> 位</w:t>
            </w:r>
          </w:p>
        </w:tc>
        <w:tc>
          <w:tcPr>
            <w:tcW w:w="548" w:type="dxa"/>
            <w:noWrap w:val="0"/>
            <w:textDirection w:val="tbRlV"/>
            <w:vAlign w:val="top"/>
          </w:tcPr>
          <w:p w14:paraId="44AD3730">
            <w:pPr>
              <w:spacing w:before="152" w:line="172" w:lineRule="auto"/>
              <w:ind w:firstLine="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 量</w:t>
            </w:r>
          </w:p>
        </w:tc>
        <w:tc>
          <w:tcPr>
            <w:tcW w:w="985" w:type="dxa"/>
            <w:noWrap w:val="0"/>
            <w:vAlign w:val="top"/>
          </w:tcPr>
          <w:p w14:paraId="097CD50C">
            <w:pPr>
              <w:spacing w:line="247" w:lineRule="auto"/>
              <w:rPr>
                <w:rFonts w:hint="eastAsia" w:asciiTheme="minorEastAsia" w:hAnsiTheme="minorEastAsia" w:eastAsiaTheme="minorEastAsia" w:cstheme="minorEastAsia"/>
                <w:sz w:val="24"/>
                <w:szCs w:val="24"/>
              </w:rPr>
            </w:pPr>
          </w:p>
          <w:p w14:paraId="60CFE625">
            <w:pPr>
              <w:spacing w:before="103" w:line="200" w:lineRule="auto"/>
              <w:ind w:left="0" w:leftChars="0" w:right="129"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4"/>
                <w:sz w:val="24"/>
                <w:szCs w:val="24"/>
              </w:rPr>
              <w:t>价</w:t>
            </w:r>
            <w:r>
              <w:rPr>
                <w:rFonts w:hint="eastAsia" w:asciiTheme="minorEastAsia" w:hAnsiTheme="minorEastAsia" w:eastAsiaTheme="minorEastAsia" w:cstheme="minorEastAsia"/>
                <w:sz w:val="24"/>
                <w:szCs w:val="24"/>
              </w:rPr>
              <w:t xml:space="preserve"> （元）</w:t>
            </w:r>
          </w:p>
        </w:tc>
        <w:tc>
          <w:tcPr>
            <w:tcW w:w="1043" w:type="dxa"/>
            <w:noWrap w:val="0"/>
            <w:vAlign w:val="top"/>
          </w:tcPr>
          <w:p w14:paraId="10873BC0">
            <w:pPr>
              <w:spacing w:line="247" w:lineRule="auto"/>
              <w:rPr>
                <w:rFonts w:hint="eastAsia" w:asciiTheme="minorEastAsia" w:hAnsiTheme="minorEastAsia" w:eastAsiaTheme="minorEastAsia" w:cstheme="minorEastAsia"/>
                <w:sz w:val="24"/>
                <w:szCs w:val="24"/>
              </w:rPr>
            </w:pPr>
          </w:p>
          <w:p w14:paraId="604BA90F">
            <w:pPr>
              <w:spacing w:before="103" w:line="200" w:lineRule="auto"/>
              <w:ind w:left="0" w:leftChars="0" w:right="158"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总</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z w:val="24"/>
                <w:szCs w:val="24"/>
              </w:rPr>
              <w:t xml:space="preserve"> （元）</w:t>
            </w:r>
          </w:p>
        </w:tc>
        <w:tc>
          <w:tcPr>
            <w:tcW w:w="1444" w:type="dxa"/>
            <w:noWrap w:val="0"/>
            <w:vAlign w:val="top"/>
          </w:tcPr>
          <w:p w14:paraId="2FFA83E1">
            <w:pPr>
              <w:spacing w:line="249" w:lineRule="auto"/>
              <w:rPr>
                <w:rFonts w:hint="eastAsia" w:asciiTheme="minorEastAsia" w:hAnsiTheme="minorEastAsia" w:eastAsiaTheme="minorEastAsia" w:cstheme="minorEastAsia"/>
                <w:sz w:val="24"/>
                <w:szCs w:val="24"/>
              </w:rPr>
            </w:pPr>
          </w:p>
          <w:p w14:paraId="08E5C5B4">
            <w:pPr>
              <w:spacing w:before="103" w:line="202" w:lineRule="auto"/>
              <w:ind w:left="0" w:leftChars="0" w:right="24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rPr>
                <w:rFonts w:hint="eastAsia" w:asciiTheme="minorEastAsia" w:hAnsiTheme="minorEastAsia" w:eastAsiaTheme="minorEastAsia" w:cstheme="minorEastAsia"/>
                <w:sz w:val="24"/>
                <w:szCs w:val="24"/>
              </w:rPr>
            </w:pPr>
          </w:p>
        </w:tc>
        <w:tc>
          <w:tcPr>
            <w:tcW w:w="1486" w:type="dxa"/>
            <w:noWrap w:val="0"/>
            <w:vAlign w:val="top"/>
          </w:tcPr>
          <w:p w14:paraId="0FF91F94">
            <w:pPr>
              <w:rPr>
                <w:rFonts w:hint="eastAsia" w:asciiTheme="minorEastAsia" w:hAnsiTheme="minorEastAsia" w:eastAsiaTheme="minorEastAsia" w:cstheme="minorEastAsia"/>
                <w:sz w:val="24"/>
                <w:szCs w:val="24"/>
              </w:rPr>
            </w:pPr>
          </w:p>
        </w:tc>
        <w:tc>
          <w:tcPr>
            <w:tcW w:w="2822" w:type="dxa"/>
            <w:noWrap w:val="0"/>
            <w:vAlign w:val="top"/>
          </w:tcPr>
          <w:p w14:paraId="50EA1D33">
            <w:pPr>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787" w:type="dxa"/>
            <w:noWrap w:val="0"/>
            <w:vAlign w:val="top"/>
          </w:tcPr>
          <w:p w14:paraId="3A4AFC12">
            <w:pPr>
              <w:rPr>
                <w:rFonts w:hint="eastAsia" w:asciiTheme="minorEastAsia" w:hAnsiTheme="minorEastAsia" w:eastAsiaTheme="minorEastAsia" w:cstheme="minorEastAsia"/>
                <w:sz w:val="24"/>
                <w:szCs w:val="24"/>
              </w:rPr>
            </w:pPr>
          </w:p>
        </w:tc>
        <w:tc>
          <w:tcPr>
            <w:tcW w:w="548" w:type="dxa"/>
            <w:noWrap w:val="0"/>
            <w:vAlign w:val="top"/>
          </w:tcPr>
          <w:p w14:paraId="0EE6C130">
            <w:pPr>
              <w:rPr>
                <w:rFonts w:hint="eastAsia" w:asciiTheme="minorEastAsia" w:hAnsiTheme="minorEastAsia" w:eastAsiaTheme="minorEastAsia" w:cstheme="minorEastAsia"/>
                <w:sz w:val="24"/>
                <w:szCs w:val="24"/>
              </w:rPr>
            </w:pPr>
          </w:p>
        </w:tc>
        <w:tc>
          <w:tcPr>
            <w:tcW w:w="985" w:type="dxa"/>
            <w:noWrap w:val="0"/>
            <w:vAlign w:val="top"/>
          </w:tcPr>
          <w:p w14:paraId="43A726BD">
            <w:pPr>
              <w:rPr>
                <w:rFonts w:hint="eastAsia" w:asciiTheme="minorEastAsia" w:hAnsiTheme="minorEastAsia" w:eastAsiaTheme="minorEastAsia" w:cstheme="minorEastAsia"/>
                <w:sz w:val="24"/>
                <w:szCs w:val="24"/>
              </w:rPr>
            </w:pPr>
          </w:p>
        </w:tc>
        <w:tc>
          <w:tcPr>
            <w:tcW w:w="1043" w:type="dxa"/>
            <w:noWrap w:val="0"/>
            <w:vAlign w:val="top"/>
          </w:tcPr>
          <w:p w14:paraId="7FC16E0C">
            <w:pPr>
              <w:rPr>
                <w:rFonts w:hint="eastAsia" w:asciiTheme="minorEastAsia" w:hAnsiTheme="minorEastAsia" w:eastAsiaTheme="minorEastAsia" w:cstheme="minorEastAsia"/>
                <w:sz w:val="24"/>
                <w:szCs w:val="24"/>
              </w:rPr>
            </w:pPr>
          </w:p>
        </w:tc>
        <w:tc>
          <w:tcPr>
            <w:tcW w:w="1444" w:type="dxa"/>
            <w:noWrap w:val="0"/>
            <w:vAlign w:val="top"/>
          </w:tcPr>
          <w:p w14:paraId="248D58A2">
            <w:pPr>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9FF8EAA">
            <w:pPr>
              <w:rPr>
                <w:rFonts w:hint="eastAsia" w:asciiTheme="minorEastAsia" w:hAnsiTheme="minorEastAsia" w:eastAsiaTheme="minorEastAsia" w:cstheme="minorEastAsia"/>
                <w:sz w:val="24"/>
                <w:szCs w:val="24"/>
              </w:rPr>
            </w:pPr>
          </w:p>
        </w:tc>
        <w:tc>
          <w:tcPr>
            <w:tcW w:w="1486" w:type="dxa"/>
            <w:noWrap w:val="0"/>
            <w:vAlign w:val="top"/>
          </w:tcPr>
          <w:p w14:paraId="0F673E83">
            <w:pPr>
              <w:rPr>
                <w:rFonts w:hint="eastAsia" w:asciiTheme="minorEastAsia" w:hAnsiTheme="minorEastAsia" w:eastAsiaTheme="minorEastAsia" w:cstheme="minorEastAsia"/>
                <w:sz w:val="24"/>
                <w:szCs w:val="24"/>
              </w:rPr>
            </w:pPr>
          </w:p>
        </w:tc>
        <w:tc>
          <w:tcPr>
            <w:tcW w:w="2822" w:type="dxa"/>
            <w:noWrap w:val="0"/>
            <w:vAlign w:val="top"/>
          </w:tcPr>
          <w:p w14:paraId="2D63B063">
            <w:pPr>
              <w:rPr>
                <w:rFonts w:hint="eastAsia" w:asciiTheme="minorEastAsia" w:hAnsiTheme="minorEastAsia" w:eastAsiaTheme="minorEastAsia" w:cstheme="minorEastAsia"/>
                <w:sz w:val="24"/>
                <w:szCs w:val="24"/>
              </w:rPr>
            </w:pPr>
          </w:p>
        </w:tc>
        <w:tc>
          <w:tcPr>
            <w:tcW w:w="787" w:type="dxa"/>
            <w:noWrap w:val="0"/>
            <w:vAlign w:val="top"/>
          </w:tcPr>
          <w:p w14:paraId="4D3460C3">
            <w:pPr>
              <w:rPr>
                <w:rFonts w:hint="eastAsia" w:asciiTheme="minorEastAsia" w:hAnsiTheme="minorEastAsia" w:eastAsiaTheme="minorEastAsia" w:cstheme="minorEastAsia"/>
                <w:sz w:val="24"/>
                <w:szCs w:val="24"/>
              </w:rPr>
            </w:pPr>
          </w:p>
        </w:tc>
        <w:tc>
          <w:tcPr>
            <w:tcW w:w="548" w:type="dxa"/>
            <w:noWrap w:val="0"/>
            <w:vAlign w:val="top"/>
          </w:tcPr>
          <w:p w14:paraId="4E204A4E">
            <w:pPr>
              <w:rPr>
                <w:rFonts w:hint="eastAsia" w:asciiTheme="minorEastAsia" w:hAnsiTheme="minorEastAsia" w:eastAsiaTheme="minorEastAsia" w:cstheme="minorEastAsia"/>
                <w:sz w:val="24"/>
                <w:szCs w:val="24"/>
              </w:rPr>
            </w:pPr>
          </w:p>
        </w:tc>
        <w:tc>
          <w:tcPr>
            <w:tcW w:w="985" w:type="dxa"/>
            <w:noWrap w:val="0"/>
            <w:vAlign w:val="top"/>
          </w:tcPr>
          <w:p w14:paraId="57EDF321">
            <w:pPr>
              <w:rPr>
                <w:rFonts w:hint="eastAsia" w:asciiTheme="minorEastAsia" w:hAnsiTheme="minorEastAsia" w:eastAsiaTheme="minorEastAsia" w:cstheme="minorEastAsia"/>
                <w:sz w:val="24"/>
                <w:szCs w:val="24"/>
              </w:rPr>
            </w:pPr>
          </w:p>
        </w:tc>
        <w:tc>
          <w:tcPr>
            <w:tcW w:w="1043" w:type="dxa"/>
            <w:noWrap w:val="0"/>
            <w:vAlign w:val="top"/>
          </w:tcPr>
          <w:p w14:paraId="34852632">
            <w:pPr>
              <w:rPr>
                <w:rFonts w:hint="eastAsia" w:asciiTheme="minorEastAsia" w:hAnsiTheme="minorEastAsia" w:eastAsiaTheme="minorEastAsia" w:cstheme="minorEastAsia"/>
                <w:sz w:val="24"/>
                <w:szCs w:val="24"/>
              </w:rPr>
            </w:pPr>
          </w:p>
        </w:tc>
        <w:tc>
          <w:tcPr>
            <w:tcW w:w="1444" w:type="dxa"/>
            <w:noWrap w:val="0"/>
            <w:vAlign w:val="top"/>
          </w:tcPr>
          <w:p w14:paraId="617000F4">
            <w:pPr>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rPr>
                <w:rFonts w:hint="eastAsia" w:asciiTheme="minorEastAsia" w:hAnsiTheme="minorEastAsia" w:eastAsiaTheme="minorEastAsia" w:cstheme="minorEastAsia"/>
                <w:sz w:val="24"/>
                <w:szCs w:val="24"/>
              </w:rPr>
            </w:pPr>
          </w:p>
        </w:tc>
        <w:tc>
          <w:tcPr>
            <w:tcW w:w="1486" w:type="dxa"/>
            <w:noWrap w:val="0"/>
            <w:vAlign w:val="top"/>
          </w:tcPr>
          <w:p w14:paraId="1C1D188C">
            <w:pPr>
              <w:rPr>
                <w:rFonts w:hint="eastAsia" w:asciiTheme="minorEastAsia" w:hAnsiTheme="minorEastAsia" w:eastAsiaTheme="minorEastAsia" w:cstheme="minorEastAsia"/>
                <w:sz w:val="24"/>
                <w:szCs w:val="24"/>
              </w:rPr>
            </w:pPr>
          </w:p>
        </w:tc>
        <w:tc>
          <w:tcPr>
            <w:tcW w:w="2822" w:type="dxa"/>
            <w:noWrap w:val="0"/>
            <w:vAlign w:val="top"/>
          </w:tcPr>
          <w:p w14:paraId="465BBB5D">
            <w:pPr>
              <w:rPr>
                <w:rFonts w:hint="eastAsia" w:asciiTheme="minorEastAsia" w:hAnsiTheme="minorEastAsia" w:eastAsiaTheme="minorEastAsia" w:cstheme="minorEastAsia"/>
                <w:sz w:val="24"/>
                <w:szCs w:val="24"/>
              </w:rPr>
            </w:pPr>
          </w:p>
        </w:tc>
        <w:tc>
          <w:tcPr>
            <w:tcW w:w="787" w:type="dxa"/>
            <w:noWrap w:val="0"/>
            <w:vAlign w:val="top"/>
          </w:tcPr>
          <w:p w14:paraId="11AE3CD4">
            <w:pPr>
              <w:rPr>
                <w:rFonts w:hint="eastAsia" w:asciiTheme="minorEastAsia" w:hAnsiTheme="minorEastAsia" w:eastAsiaTheme="minorEastAsia" w:cstheme="minorEastAsia"/>
                <w:sz w:val="24"/>
                <w:szCs w:val="24"/>
              </w:rPr>
            </w:pPr>
          </w:p>
        </w:tc>
        <w:tc>
          <w:tcPr>
            <w:tcW w:w="548" w:type="dxa"/>
            <w:noWrap w:val="0"/>
            <w:vAlign w:val="top"/>
          </w:tcPr>
          <w:p w14:paraId="78E0563F">
            <w:pPr>
              <w:rPr>
                <w:rFonts w:hint="eastAsia" w:asciiTheme="minorEastAsia" w:hAnsiTheme="minorEastAsia" w:eastAsiaTheme="minorEastAsia" w:cstheme="minorEastAsia"/>
                <w:sz w:val="24"/>
                <w:szCs w:val="24"/>
              </w:rPr>
            </w:pPr>
          </w:p>
        </w:tc>
        <w:tc>
          <w:tcPr>
            <w:tcW w:w="985" w:type="dxa"/>
            <w:noWrap w:val="0"/>
            <w:vAlign w:val="top"/>
          </w:tcPr>
          <w:p w14:paraId="45410336">
            <w:pPr>
              <w:rPr>
                <w:rFonts w:hint="eastAsia" w:asciiTheme="minorEastAsia" w:hAnsiTheme="minorEastAsia" w:eastAsiaTheme="minorEastAsia" w:cstheme="minorEastAsia"/>
                <w:sz w:val="24"/>
                <w:szCs w:val="24"/>
              </w:rPr>
            </w:pPr>
          </w:p>
        </w:tc>
        <w:tc>
          <w:tcPr>
            <w:tcW w:w="1043" w:type="dxa"/>
            <w:noWrap w:val="0"/>
            <w:vAlign w:val="top"/>
          </w:tcPr>
          <w:p w14:paraId="304848FA">
            <w:pPr>
              <w:rPr>
                <w:rFonts w:hint="eastAsia" w:asciiTheme="minorEastAsia" w:hAnsiTheme="minorEastAsia" w:eastAsiaTheme="minorEastAsia" w:cstheme="minorEastAsia"/>
                <w:sz w:val="24"/>
                <w:szCs w:val="24"/>
              </w:rPr>
            </w:pPr>
          </w:p>
        </w:tc>
        <w:tc>
          <w:tcPr>
            <w:tcW w:w="1444" w:type="dxa"/>
            <w:noWrap w:val="0"/>
            <w:vAlign w:val="top"/>
          </w:tcPr>
          <w:p w14:paraId="771D51AC">
            <w:pPr>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rPr>
                <w:rFonts w:hint="eastAsia" w:asciiTheme="minorEastAsia" w:hAnsiTheme="minorEastAsia" w:eastAsiaTheme="minorEastAsia" w:cstheme="minorEastAsia"/>
                <w:sz w:val="24"/>
                <w:szCs w:val="24"/>
              </w:rPr>
            </w:pPr>
          </w:p>
        </w:tc>
        <w:tc>
          <w:tcPr>
            <w:tcW w:w="1486" w:type="dxa"/>
            <w:noWrap w:val="0"/>
            <w:vAlign w:val="top"/>
          </w:tcPr>
          <w:p w14:paraId="6FB56780">
            <w:pPr>
              <w:rPr>
                <w:rFonts w:hint="eastAsia" w:asciiTheme="minorEastAsia" w:hAnsiTheme="minorEastAsia" w:eastAsiaTheme="minorEastAsia" w:cstheme="minorEastAsia"/>
                <w:sz w:val="24"/>
                <w:szCs w:val="24"/>
              </w:rPr>
            </w:pPr>
          </w:p>
        </w:tc>
        <w:tc>
          <w:tcPr>
            <w:tcW w:w="2822" w:type="dxa"/>
            <w:noWrap w:val="0"/>
            <w:vAlign w:val="top"/>
          </w:tcPr>
          <w:p w14:paraId="54F5B882">
            <w:pPr>
              <w:rPr>
                <w:rFonts w:hint="eastAsia" w:asciiTheme="minorEastAsia" w:hAnsiTheme="minorEastAsia" w:eastAsiaTheme="minorEastAsia" w:cstheme="minorEastAsia"/>
                <w:sz w:val="24"/>
                <w:szCs w:val="24"/>
              </w:rPr>
            </w:pPr>
          </w:p>
        </w:tc>
        <w:tc>
          <w:tcPr>
            <w:tcW w:w="787" w:type="dxa"/>
            <w:noWrap w:val="0"/>
            <w:vAlign w:val="top"/>
          </w:tcPr>
          <w:p w14:paraId="52300961">
            <w:pPr>
              <w:rPr>
                <w:rFonts w:hint="eastAsia" w:asciiTheme="minorEastAsia" w:hAnsiTheme="minorEastAsia" w:eastAsiaTheme="minorEastAsia" w:cstheme="minorEastAsia"/>
                <w:sz w:val="24"/>
                <w:szCs w:val="24"/>
              </w:rPr>
            </w:pPr>
          </w:p>
        </w:tc>
        <w:tc>
          <w:tcPr>
            <w:tcW w:w="548" w:type="dxa"/>
            <w:noWrap w:val="0"/>
            <w:vAlign w:val="top"/>
          </w:tcPr>
          <w:p w14:paraId="2A5C38DA">
            <w:pPr>
              <w:rPr>
                <w:rFonts w:hint="eastAsia" w:asciiTheme="minorEastAsia" w:hAnsiTheme="minorEastAsia" w:eastAsiaTheme="minorEastAsia" w:cstheme="minorEastAsia"/>
                <w:sz w:val="24"/>
                <w:szCs w:val="24"/>
              </w:rPr>
            </w:pPr>
          </w:p>
        </w:tc>
        <w:tc>
          <w:tcPr>
            <w:tcW w:w="985" w:type="dxa"/>
            <w:noWrap w:val="0"/>
            <w:vAlign w:val="top"/>
          </w:tcPr>
          <w:p w14:paraId="5EC022B1">
            <w:pPr>
              <w:rPr>
                <w:rFonts w:hint="eastAsia" w:asciiTheme="minorEastAsia" w:hAnsiTheme="minorEastAsia" w:eastAsiaTheme="minorEastAsia" w:cstheme="minorEastAsia"/>
                <w:sz w:val="24"/>
                <w:szCs w:val="24"/>
              </w:rPr>
            </w:pPr>
          </w:p>
        </w:tc>
        <w:tc>
          <w:tcPr>
            <w:tcW w:w="1043" w:type="dxa"/>
            <w:noWrap w:val="0"/>
            <w:vAlign w:val="top"/>
          </w:tcPr>
          <w:p w14:paraId="4A1B1D30">
            <w:pPr>
              <w:rPr>
                <w:rFonts w:hint="eastAsia" w:asciiTheme="minorEastAsia" w:hAnsiTheme="minorEastAsia" w:eastAsiaTheme="minorEastAsia" w:cstheme="minorEastAsia"/>
                <w:sz w:val="24"/>
                <w:szCs w:val="24"/>
              </w:rPr>
            </w:pPr>
          </w:p>
        </w:tc>
        <w:tc>
          <w:tcPr>
            <w:tcW w:w="1444" w:type="dxa"/>
            <w:noWrap w:val="0"/>
            <w:vAlign w:val="top"/>
          </w:tcPr>
          <w:p w14:paraId="0E841928">
            <w:pPr>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rPr>
                <w:rFonts w:hint="eastAsia" w:asciiTheme="minorEastAsia" w:hAnsiTheme="minorEastAsia" w:eastAsiaTheme="minorEastAsia" w:cstheme="minorEastAsia"/>
                <w:sz w:val="24"/>
                <w:szCs w:val="24"/>
              </w:rPr>
            </w:pPr>
          </w:p>
        </w:tc>
        <w:tc>
          <w:tcPr>
            <w:tcW w:w="1486" w:type="dxa"/>
            <w:noWrap w:val="0"/>
            <w:vAlign w:val="top"/>
          </w:tcPr>
          <w:p w14:paraId="5C7D5E1F">
            <w:pPr>
              <w:rPr>
                <w:rFonts w:hint="eastAsia" w:asciiTheme="minorEastAsia" w:hAnsiTheme="minorEastAsia" w:eastAsiaTheme="minorEastAsia" w:cstheme="minorEastAsia"/>
                <w:sz w:val="24"/>
                <w:szCs w:val="24"/>
              </w:rPr>
            </w:pPr>
          </w:p>
        </w:tc>
        <w:tc>
          <w:tcPr>
            <w:tcW w:w="2822" w:type="dxa"/>
            <w:noWrap w:val="0"/>
            <w:vAlign w:val="top"/>
          </w:tcPr>
          <w:p w14:paraId="24589B16">
            <w:pPr>
              <w:rPr>
                <w:rFonts w:hint="eastAsia" w:asciiTheme="minorEastAsia" w:hAnsiTheme="minorEastAsia" w:eastAsiaTheme="minorEastAsia" w:cstheme="minorEastAsia"/>
                <w:sz w:val="24"/>
                <w:szCs w:val="24"/>
              </w:rPr>
            </w:pPr>
          </w:p>
        </w:tc>
        <w:tc>
          <w:tcPr>
            <w:tcW w:w="787" w:type="dxa"/>
            <w:noWrap w:val="0"/>
            <w:vAlign w:val="top"/>
          </w:tcPr>
          <w:p w14:paraId="2AB8B886">
            <w:pPr>
              <w:rPr>
                <w:rFonts w:hint="eastAsia" w:asciiTheme="minorEastAsia" w:hAnsiTheme="minorEastAsia" w:eastAsiaTheme="minorEastAsia" w:cstheme="minorEastAsia"/>
                <w:sz w:val="24"/>
                <w:szCs w:val="24"/>
              </w:rPr>
            </w:pPr>
          </w:p>
        </w:tc>
        <w:tc>
          <w:tcPr>
            <w:tcW w:w="548" w:type="dxa"/>
            <w:noWrap w:val="0"/>
            <w:vAlign w:val="top"/>
          </w:tcPr>
          <w:p w14:paraId="40FFE3FB">
            <w:pPr>
              <w:rPr>
                <w:rFonts w:hint="eastAsia" w:asciiTheme="minorEastAsia" w:hAnsiTheme="minorEastAsia" w:eastAsiaTheme="minorEastAsia" w:cstheme="minorEastAsia"/>
                <w:sz w:val="24"/>
                <w:szCs w:val="24"/>
              </w:rPr>
            </w:pPr>
          </w:p>
        </w:tc>
        <w:tc>
          <w:tcPr>
            <w:tcW w:w="985" w:type="dxa"/>
            <w:noWrap w:val="0"/>
            <w:vAlign w:val="top"/>
          </w:tcPr>
          <w:p w14:paraId="40E1C55B">
            <w:pPr>
              <w:rPr>
                <w:rFonts w:hint="eastAsia" w:asciiTheme="minorEastAsia" w:hAnsiTheme="minorEastAsia" w:eastAsiaTheme="minorEastAsia" w:cstheme="minorEastAsia"/>
                <w:sz w:val="24"/>
                <w:szCs w:val="24"/>
              </w:rPr>
            </w:pPr>
          </w:p>
        </w:tc>
        <w:tc>
          <w:tcPr>
            <w:tcW w:w="1043" w:type="dxa"/>
            <w:noWrap w:val="0"/>
            <w:vAlign w:val="top"/>
          </w:tcPr>
          <w:p w14:paraId="0F8B19B8">
            <w:pPr>
              <w:rPr>
                <w:rFonts w:hint="eastAsia" w:asciiTheme="minorEastAsia" w:hAnsiTheme="minorEastAsia" w:eastAsiaTheme="minorEastAsia" w:cstheme="minorEastAsia"/>
                <w:sz w:val="24"/>
                <w:szCs w:val="24"/>
              </w:rPr>
            </w:pPr>
          </w:p>
        </w:tc>
        <w:tc>
          <w:tcPr>
            <w:tcW w:w="1444" w:type="dxa"/>
            <w:noWrap w:val="0"/>
            <w:vAlign w:val="top"/>
          </w:tcPr>
          <w:p w14:paraId="74FB8C64">
            <w:pPr>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rPr>
                <w:rFonts w:hint="eastAsia" w:asciiTheme="minorEastAsia" w:hAnsiTheme="minorEastAsia" w:eastAsiaTheme="minorEastAsia" w:cstheme="minorEastAsia"/>
                <w:sz w:val="24"/>
                <w:szCs w:val="24"/>
              </w:rPr>
            </w:pPr>
          </w:p>
        </w:tc>
        <w:tc>
          <w:tcPr>
            <w:tcW w:w="1486" w:type="dxa"/>
            <w:noWrap w:val="0"/>
            <w:vAlign w:val="top"/>
          </w:tcPr>
          <w:p w14:paraId="26AF2C2D">
            <w:pPr>
              <w:rPr>
                <w:rFonts w:hint="eastAsia" w:asciiTheme="minorEastAsia" w:hAnsiTheme="minorEastAsia" w:eastAsiaTheme="minorEastAsia" w:cstheme="minorEastAsia"/>
                <w:sz w:val="24"/>
                <w:szCs w:val="24"/>
              </w:rPr>
            </w:pPr>
          </w:p>
        </w:tc>
        <w:tc>
          <w:tcPr>
            <w:tcW w:w="2822" w:type="dxa"/>
            <w:noWrap w:val="0"/>
            <w:vAlign w:val="top"/>
          </w:tcPr>
          <w:p w14:paraId="155843A5">
            <w:pPr>
              <w:rPr>
                <w:rFonts w:hint="eastAsia" w:asciiTheme="minorEastAsia" w:hAnsiTheme="minorEastAsia" w:eastAsiaTheme="minorEastAsia" w:cstheme="minorEastAsia"/>
                <w:sz w:val="24"/>
                <w:szCs w:val="24"/>
              </w:rPr>
            </w:pPr>
          </w:p>
        </w:tc>
        <w:tc>
          <w:tcPr>
            <w:tcW w:w="787" w:type="dxa"/>
            <w:noWrap w:val="0"/>
            <w:vAlign w:val="top"/>
          </w:tcPr>
          <w:p w14:paraId="66E33FFD">
            <w:pPr>
              <w:rPr>
                <w:rFonts w:hint="eastAsia" w:asciiTheme="minorEastAsia" w:hAnsiTheme="minorEastAsia" w:eastAsiaTheme="minorEastAsia" w:cstheme="minorEastAsia"/>
                <w:sz w:val="24"/>
                <w:szCs w:val="24"/>
              </w:rPr>
            </w:pPr>
          </w:p>
        </w:tc>
        <w:tc>
          <w:tcPr>
            <w:tcW w:w="548" w:type="dxa"/>
            <w:noWrap w:val="0"/>
            <w:vAlign w:val="top"/>
          </w:tcPr>
          <w:p w14:paraId="4A93242E">
            <w:pPr>
              <w:rPr>
                <w:rFonts w:hint="eastAsia" w:asciiTheme="minorEastAsia" w:hAnsiTheme="minorEastAsia" w:eastAsiaTheme="minorEastAsia" w:cstheme="minorEastAsia"/>
                <w:sz w:val="24"/>
                <w:szCs w:val="24"/>
              </w:rPr>
            </w:pPr>
          </w:p>
        </w:tc>
        <w:tc>
          <w:tcPr>
            <w:tcW w:w="985" w:type="dxa"/>
            <w:noWrap w:val="0"/>
            <w:vAlign w:val="top"/>
          </w:tcPr>
          <w:p w14:paraId="7B2824A5">
            <w:pPr>
              <w:rPr>
                <w:rFonts w:hint="eastAsia" w:asciiTheme="minorEastAsia" w:hAnsiTheme="minorEastAsia" w:eastAsiaTheme="minorEastAsia" w:cstheme="minorEastAsia"/>
                <w:sz w:val="24"/>
                <w:szCs w:val="24"/>
              </w:rPr>
            </w:pPr>
          </w:p>
        </w:tc>
        <w:tc>
          <w:tcPr>
            <w:tcW w:w="1043" w:type="dxa"/>
            <w:noWrap w:val="0"/>
            <w:vAlign w:val="top"/>
          </w:tcPr>
          <w:p w14:paraId="042FEC57">
            <w:pPr>
              <w:rPr>
                <w:rFonts w:hint="eastAsia" w:asciiTheme="minorEastAsia" w:hAnsiTheme="minorEastAsia" w:eastAsiaTheme="minorEastAsia" w:cstheme="minorEastAsia"/>
                <w:sz w:val="24"/>
                <w:szCs w:val="24"/>
              </w:rPr>
            </w:pPr>
          </w:p>
        </w:tc>
        <w:tc>
          <w:tcPr>
            <w:tcW w:w="1444" w:type="dxa"/>
            <w:noWrap w:val="0"/>
            <w:vAlign w:val="top"/>
          </w:tcPr>
          <w:p w14:paraId="01C9AA9E">
            <w:pPr>
              <w:rPr>
                <w:rFonts w:hint="eastAsia" w:asciiTheme="minorEastAsia" w:hAnsiTheme="minorEastAsia" w:eastAsiaTheme="minorEastAsia" w:cstheme="minorEastAsia"/>
                <w:sz w:val="24"/>
                <w:szCs w:val="24"/>
              </w:rPr>
            </w:pPr>
          </w:p>
        </w:tc>
      </w:tr>
      <w:tr w14:paraId="0BD4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2C26F18">
            <w:pPr>
              <w:rPr>
                <w:rFonts w:hint="eastAsia" w:asciiTheme="minorEastAsia" w:hAnsiTheme="minorEastAsia" w:eastAsiaTheme="minorEastAsia" w:cstheme="minorEastAsia"/>
                <w:sz w:val="24"/>
                <w:szCs w:val="24"/>
              </w:rPr>
            </w:pPr>
          </w:p>
        </w:tc>
        <w:tc>
          <w:tcPr>
            <w:tcW w:w="1486" w:type="dxa"/>
            <w:noWrap w:val="0"/>
            <w:vAlign w:val="top"/>
          </w:tcPr>
          <w:p w14:paraId="194EAABC">
            <w:pPr>
              <w:rPr>
                <w:rFonts w:hint="eastAsia" w:asciiTheme="minorEastAsia" w:hAnsiTheme="minorEastAsia" w:eastAsiaTheme="minorEastAsia" w:cstheme="minorEastAsia"/>
                <w:sz w:val="24"/>
                <w:szCs w:val="24"/>
              </w:rPr>
            </w:pPr>
          </w:p>
        </w:tc>
        <w:tc>
          <w:tcPr>
            <w:tcW w:w="2822" w:type="dxa"/>
            <w:noWrap w:val="0"/>
            <w:vAlign w:val="top"/>
          </w:tcPr>
          <w:p w14:paraId="49782BB0">
            <w:pPr>
              <w:rPr>
                <w:rFonts w:hint="eastAsia" w:asciiTheme="minorEastAsia" w:hAnsiTheme="minorEastAsia" w:eastAsiaTheme="minorEastAsia" w:cstheme="minorEastAsia"/>
                <w:sz w:val="24"/>
                <w:szCs w:val="24"/>
              </w:rPr>
            </w:pPr>
          </w:p>
        </w:tc>
        <w:tc>
          <w:tcPr>
            <w:tcW w:w="787" w:type="dxa"/>
            <w:noWrap w:val="0"/>
            <w:vAlign w:val="top"/>
          </w:tcPr>
          <w:p w14:paraId="020E1E15">
            <w:pPr>
              <w:rPr>
                <w:rFonts w:hint="eastAsia" w:asciiTheme="minorEastAsia" w:hAnsiTheme="minorEastAsia" w:eastAsiaTheme="minorEastAsia" w:cstheme="minorEastAsia"/>
                <w:sz w:val="24"/>
                <w:szCs w:val="24"/>
              </w:rPr>
            </w:pPr>
          </w:p>
        </w:tc>
        <w:tc>
          <w:tcPr>
            <w:tcW w:w="548" w:type="dxa"/>
            <w:noWrap w:val="0"/>
            <w:vAlign w:val="top"/>
          </w:tcPr>
          <w:p w14:paraId="648AFD4F">
            <w:pPr>
              <w:rPr>
                <w:rFonts w:hint="eastAsia" w:asciiTheme="minorEastAsia" w:hAnsiTheme="minorEastAsia" w:eastAsiaTheme="minorEastAsia" w:cstheme="minorEastAsia"/>
                <w:sz w:val="24"/>
                <w:szCs w:val="24"/>
              </w:rPr>
            </w:pPr>
          </w:p>
        </w:tc>
        <w:tc>
          <w:tcPr>
            <w:tcW w:w="985" w:type="dxa"/>
            <w:noWrap w:val="0"/>
            <w:vAlign w:val="top"/>
          </w:tcPr>
          <w:p w14:paraId="1F98F3C8">
            <w:pPr>
              <w:rPr>
                <w:rFonts w:hint="eastAsia" w:asciiTheme="minorEastAsia" w:hAnsiTheme="minorEastAsia" w:eastAsiaTheme="minorEastAsia" w:cstheme="minorEastAsia"/>
                <w:sz w:val="24"/>
                <w:szCs w:val="24"/>
              </w:rPr>
            </w:pPr>
          </w:p>
        </w:tc>
        <w:tc>
          <w:tcPr>
            <w:tcW w:w="1043" w:type="dxa"/>
            <w:noWrap w:val="0"/>
            <w:vAlign w:val="top"/>
          </w:tcPr>
          <w:p w14:paraId="526D9403">
            <w:pPr>
              <w:rPr>
                <w:rFonts w:hint="eastAsia" w:asciiTheme="minorEastAsia" w:hAnsiTheme="minorEastAsia" w:eastAsiaTheme="minorEastAsia" w:cstheme="minorEastAsia"/>
                <w:sz w:val="24"/>
                <w:szCs w:val="24"/>
              </w:rPr>
            </w:pPr>
          </w:p>
        </w:tc>
        <w:tc>
          <w:tcPr>
            <w:tcW w:w="1444" w:type="dxa"/>
            <w:noWrap w:val="0"/>
            <w:vAlign w:val="top"/>
          </w:tcPr>
          <w:p w14:paraId="5703E7C7">
            <w:pPr>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rPr>
                <w:rFonts w:hint="eastAsia" w:asciiTheme="minorEastAsia" w:hAnsiTheme="minorEastAsia" w:eastAsiaTheme="minorEastAsia" w:cstheme="minorEastAsia"/>
                <w:sz w:val="24"/>
                <w:szCs w:val="24"/>
              </w:rPr>
            </w:pPr>
          </w:p>
        </w:tc>
        <w:tc>
          <w:tcPr>
            <w:tcW w:w="1486" w:type="dxa"/>
            <w:noWrap w:val="0"/>
            <w:vAlign w:val="top"/>
          </w:tcPr>
          <w:p w14:paraId="02432EF7">
            <w:pPr>
              <w:rPr>
                <w:rFonts w:hint="eastAsia" w:asciiTheme="minorEastAsia" w:hAnsiTheme="minorEastAsia" w:eastAsiaTheme="minorEastAsia" w:cstheme="minorEastAsia"/>
                <w:sz w:val="24"/>
                <w:szCs w:val="24"/>
              </w:rPr>
            </w:pPr>
          </w:p>
        </w:tc>
        <w:tc>
          <w:tcPr>
            <w:tcW w:w="2822" w:type="dxa"/>
            <w:noWrap w:val="0"/>
            <w:vAlign w:val="top"/>
          </w:tcPr>
          <w:p w14:paraId="5FC6C959">
            <w:pPr>
              <w:rPr>
                <w:rFonts w:hint="eastAsia" w:asciiTheme="minorEastAsia" w:hAnsiTheme="minorEastAsia" w:eastAsiaTheme="minorEastAsia" w:cstheme="minorEastAsia"/>
                <w:sz w:val="24"/>
                <w:szCs w:val="24"/>
              </w:rPr>
            </w:pPr>
          </w:p>
        </w:tc>
        <w:tc>
          <w:tcPr>
            <w:tcW w:w="787" w:type="dxa"/>
            <w:noWrap w:val="0"/>
            <w:vAlign w:val="top"/>
          </w:tcPr>
          <w:p w14:paraId="3C2572BE">
            <w:pPr>
              <w:rPr>
                <w:rFonts w:hint="eastAsia" w:asciiTheme="minorEastAsia" w:hAnsiTheme="minorEastAsia" w:eastAsiaTheme="minorEastAsia" w:cstheme="minorEastAsia"/>
                <w:sz w:val="24"/>
                <w:szCs w:val="24"/>
              </w:rPr>
            </w:pPr>
          </w:p>
        </w:tc>
        <w:tc>
          <w:tcPr>
            <w:tcW w:w="548" w:type="dxa"/>
            <w:noWrap w:val="0"/>
            <w:vAlign w:val="top"/>
          </w:tcPr>
          <w:p w14:paraId="4A72E9E2">
            <w:pPr>
              <w:rPr>
                <w:rFonts w:hint="eastAsia" w:asciiTheme="minorEastAsia" w:hAnsiTheme="minorEastAsia" w:eastAsiaTheme="minorEastAsia" w:cstheme="minorEastAsia"/>
                <w:sz w:val="24"/>
                <w:szCs w:val="24"/>
              </w:rPr>
            </w:pPr>
          </w:p>
        </w:tc>
        <w:tc>
          <w:tcPr>
            <w:tcW w:w="985" w:type="dxa"/>
            <w:noWrap w:val="0"/>
            <w:vAlign w:val="top"/>
          </w:tcPr>
          <w:p w14:paraId="44225779">
            <w:pPr>
              <w:rPr>
                <w:rFonts w:hint="eastAsia" w:asciiTheme="minorEastAsia" w:hAnsiTheme="minorEastAsia" w:eastAsiaTheme="minorEastAsia" w:cstheme="minorEastAsia"/>
                <w:sz w:val="24"/>
                <w:szCs w:val="24"/>
              </w:rPr>
            </w:pPr>
          </w:p>
        </w:tc>
        <w:tc>
          <w:tcPr>
            <w:tcW w:w="1043" w:type="dxa"/>
            <w:noWrap w:val="0"/>
            <w:vAlign w:val="top"/>
          </w:tcPr>
          <w:p w14:paraId="53690581">
            <w:pPr>
              <w:rPr>
                <w:rFonts w:hint="eastAsia" w:asciiTheme="minorEastAsia" w:hAnsiTheme="minorEastAsia" w:eastAsiaTheme="minorEastAsia" w:cstheme="minorEastAsia"/>
                <w:sz w:val="24"/>
                <w:szCs w:val="24"/>
              </w:rPr>
            </w:pPr>
          </w:p>
        </w:tc>
        <w:tc>
          <w:tcPr>
            <w:tcW w:w="1444" w:type="dxa"/>
            <w:noWrap w:val="0"/>
            <w:vAlign w:val="top"/>
          </w:tcPr>
          <w:p w14:paraId="4C15936A">
            <w:pPr>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A4034CC">
            <w:pPr>
              <w:rPr>
                <w:rFonts w:hint="eastAsia" w:asciiTheme="minorEastAsia" w:hAnsiTheme="minorEastAsia" w:eastAsiaTheme="minorEastAsia" w:cstheme="minorEastAsia"/>
                <w:sz w:val="24"/>
                <w:szCs w:val="24"/>
              </w:rPr>
            </w:pPr>
          </w:p>
        </w:tc>
        <w:tc>
          <w:tcPr>
            <w:tcW w:w="1486" w:type="dxa"/>
            <w:noWrap w:val="0"/>
            <w:vAlign w:val="top"/>
          </w:tcPr>
          <w:p w14:paraId="550CC9D1">
            <w:pPr>
              <w:rPr>
                <w:rFonts w:hint="eastAsia" w:asciiTheme="minorEastAsia" w:hAnsiTheme="minorEastAsia" w:eastAsiaTheme="minorEastAsia" w:cstheme="minorEastAsia"/>
                <w:sz w:val="24"/>
                <w:szCs w:val="24"/>
              </w:rPr>
            </w:pPr>
          </w:p>
        </w:tc>
        <w:tc>
          <w:tcPr>
            <w:tcW w:w="2822" w:type="dxa"/>
            <w:noWrap w:val="0"/>
            <w:vAlign w:val="top"/>
          </w:tcPr>
          <w:p w14:paraId="7FFB988F">
            <w:pPr>
              <w:rPr>
                <w:rFonts w:hint="eastAsia" w:asciiTheme="minorEastAsia" w:hAnsiTheme="minorEastAsia" w:eastAsiaTheme="minorEastAsia" w:cstheme="minorEastAsia"/>
                <w:sz w:val="24"/>
                <w:szCs w:val="24"/>
              </w:rPr>
            </w:pPr>
          </w:p>
        </w:tc>
        <w:tc>
          <w:tcPr>
            <w:tcW w:w="787" w:type="dxa"/>
            <w:noWrap w:val="0"/>
            <w:vAlign w:val="top"/>
          </w:tcPr>
          <w:p w14:paraId="1E5A70EA">
            <w:pPr>
              <w:rPr>
                <w:rFonts w:hint="eastAsia" w:asciiTheme="minorEastAsia" w:hAnsiTheme="minorEastAsia" w:eastAsiaTheme="minorEastAsia" w:cstheme="minorEastAsia"/>
                <w:sz w:val="24"/>
                <w:szCs w:val="24"/>
              </w:rPr>
            </w:pPr>
          </w:p>
        </w:tc>
        <w:tc>
          <w:tcPr>
            <w:tcW w:w="548" w:type="dxa"/>
            <w:noWrap w:val="0"/>
            <w:vAlign w:val="top"/>
          </w:tcPr>
          <w:p w14:paraId="002D54E6">
            <w:pPr>
              <w:rPr>
                <w:rFonts w:hint="eastAsia" w:asciiTheme="minorEastAsia" w:hAnsiTheme="minorEastAsia" w:eastAsiaTheme="minorEastAsia" w:cstheme="minorEastAsia"/>
                <w:sz w:val="24"/>
                <w:szCs w:val="24"/>
              </w:rPr>
            </w:pPr>
          </w:p>
        </w:tc>
        <w:tc>
          <w:tcPr>
            <w:tcW w:w="985" w:type="dxa"/>
            <w:noWrap w:val="0"/>
            <w:vAlign w:val="top"/>
          </w:tcPr>
          <w:p w14:paraId="2A3F621E">
            <w:pPr>
              <w:rPr>
                <w:rFonts w:hint="eastAsia" w:asciiTheme="minorEastAsia" w:hAnsiTheme="minorEastAsia" w:eastAsiaTheme="minorEastAsia" w:cstheme="minorEastAsia"/>
                <w:sz w:val="24"/>
                <w:szCs w:val="24"/>
              </w:rPr>
            </w:pPr>
          </w:p>
        </w:tc>
        <w:tc>
          <w:tcPr>
            <w:tcW w:w="1043" w:type="dxa"/>
            <w:noWrap w:val="0"/>
            <w:vAlign w:val="top"/>
          </w:tcPr>
          <w:p w14:paraId="04733E17">
            <w:pPr>
              <w:rPr>
                <w:rFonts w:hint="eastAsia" w:asciiTheme="minorEastAsia" w:hAnsiTheme="minorEastAsia" w:eastAsiaTheme="minorEastAsia" w:cstheme="minorEastAsia"/>
                <w:sz w:val="24"/>
                <w:szCs w:val="24"/>
              </w:rPr>
            </w:pPr>
          </w:p>
        </w:tc>
        <w:tc>
          <w:tcPr>
            <w:tcW w:w="1444" w:type="dxa"/>
            <w:noWrap w:val="0"/>
            <w:vAlign w:val="top"/>
          </w:tcPr>
          <w:p w14:paraId="49B29396">
            <w:pPr>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rPr>
                <w:rFonts w:hint="eastAsia" w:asciiTheme="minorEastAsia" w:hAnsiTheme="minorEastAsia" w:eastAsiaTheme="minorEastAsia" w:cstheme="minorEastAsia"/>
                <w:sz w:val="24"/>
                <w:szCs w:val="24"/>
              </w:rPr>
            </w:pPr>
          </w:p>
        </w:tc>
        <w:tc>
          <w:tcPr>
            <w:tcW w:w="1486" w:type="dxa"/>
            <w:noWrap w:val="0"/>
            <w:vAlign w:val="top"/>
          </w:tcPr>
          <w:p w14:paraId="4EBAAE21">
            <w:pPr>
              <w:rPr>
                <w:rFonts w:hint="eastAsia" w:asciiTheme="minorEastAsia" w:hAnsiTheme="minorEastAsia" w:eastAsiaTheme="minorEastAsia" w:cstheme="minorEastAsia"/>
                <w:sz w:val="24"/>
                <w:szCs w:val="24"/>
              </w:rPr>
            </w:pPr>
          </w:p>
        </w:tc>
        <w:tc>
          <w:tcPr>
            <w:tcW w:w="2822" w:type="dxa"/>
            <w:noWrap w:val="0"/>
            <w:vAlign w:val="top"/>
          </w:tcPr>
          <w:p w14:paraId="0167ECFC">
            <w:pPr>
              <w:rPr>
                <w:rFonts w:hint="eastAsia" w:asciiTheme="minorEastAsia" w:hAnsiTheme="minorEastAsia" w:eastAsiaTheme="minorEastAsia" w:cstheme="minorEastAsia"/>
                <w:sz w:val="24"/>
                <w:szCs w:val="24"/>
              </w:rPr>
            </w:pPr>
          </w:p>
        </w:tc>
        <w:tc>
          <w:tcPr>
            <w:tcW w:w="787" w:type="dxa"/>
            <w:noWrap w:val="0"/>
            <w:vAlign w:val="top"/>
          </w:tcPr>
          <w:p w14:paraId="4A26F425">
            <w:pPr>
              <w:rPr>
                <w:rFonts w:hint="eastAsia" w:asciiTheme="minorEastAsia" w:hAnsiTheme="minorEastAsia" w:eastAsiaTheme="minorEastAsia" w:cstheme="minorEastAsia"/>
                <w:sz w:val="24"/>
                <w:szCs w:val="24"/>
              </w:rPr>
            </w:pPr>
          </w:p>
        </w:tc>
        <w:tc>
          <w:tcPr>
            <w:tcW w:w="548" w:type="dxa"/>
            <w:noWrap w:val="0"/>
            <w:vAlign w:val="top"/>
          </w:tcPr>
          <w:p w14:paraId="214CF8A3">
            <w:pPr>
              <w:rPr>
                <w:rFonts w:hint="eastAsia" w:asciiTheme="minorEastAsia" w:hAnsiTheme="minorEastAsia" w:eastAsiaTheme="minorEastAsia" w:cstheme="minorEastAsia"/>
                <w:sz w:val="24"/>
                <w:szCs w:val="24"/>
              </w:rPr>
            </w:pPr>
          </w:p>
        </w:tc>
        <w:tc>
          <w:tcPr>
            <w:tcW w:w="985" w:type="dxa"/>
            <w:noWrap w:val="0"/>
            <w:vAlign w:val="top"/>
          </w:tcPr>
          <w:p w14:paraId="318F433E">
            <w:pPr>
              <w:rPr>
                <w:rFonts w:hint="eastAsia" w:asciiTheme="minorEastAsia" w:hAnsiTheme="minorEastAsia" w:eastAsiaTheme="minorEastAsia" w:cstheme="minorEastAsia"/>
                <w:sz w:val="24"/>
                <w:szCs w:val="24"/>
              </w:rPr>
            </w:pPr>
          </w:p>
        </w:tc>
        <w:tc>
          <w:tcPr>
            <w:tcW w:w="1043" w:type="dxa"/>
            <w:noWrap w:val="0"/>
            <w:vAlign w:val="top"/>
          </w:tcPr>
          <w:p w14:paraId="1360F4CE">
            <w:pPr>
              <w:rPr>
                <w:rFonts w:hint="eastAsia" w:asciiTheme="minorEastAsia" w:hAnsiTheme="minorEastAsia" w:eastAsiaTheme="minorEastAsia" w:cstheme="minorEastAsia"/>
                <w:sz w:val="24"/>
                <w:szCs w:val="24"/>
              </w:rPr>
            </w:pPr>
          </w:p>
        </w:tc>
        <w:tc>
          <w:tcPr>
            <w:tcW w:w="1444" w:type="dxa"/>
            <w:noWrap w:val="0"/>
            <w:vAlign w:val="top"/>
          </w:tcPr>
          <w:p w14:paraId="34760252">
            <w:pPr>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rPr>
                <w:rFonts w:hint="eastAsia" w:asciiTheme="minorEastAsia" w:hAnsiTheme="minorEastAsia" w:eastAsiaTheme="minorEastAsia" w:cstheme="minorEastAsia"/>
                <w:sz w:val="24"/>
                <w:szCs w:val="24"/>
              </w:rPr>
            </w:pPr>
          </w:p>
        </w:tc>
        <w:tc>
          <w:tcPr>
            <w:tcW w:w="1486" w:type="dxa"/>
            <w:noWrap w:val="0"/>
            <w:vAlign w:val="top"/>
          </w:tcPr>
          <w:p w14:paraId="1957A588">
            <w:pPr>
              <w:rPr>
                <w:rFonts w:hint="eastAsia" w:asciiTheme="minorEastAsia" w:hAnsiTheme="minorEastAsia" w:eastAsiaTheme="minorEastAsia" w:cstheme="minorEastAsia"/>
                <w:sz w:val="24"/>
                <w:szCs w:val="24"/>
              </w:rPr>
            </w:pPr>
          </w:p>
        </w:tc>
        <w:tc>
          <w:tcPr>
            <w:tcW w:w="5142" w:type="dxa"/>
            <w:gridSpan w:val="4"/>
            <w:noWrap w:val="0"/>
            <w:vAlign w:val="top"/>
          </w:tcPr>
          <w:p w14:paraId="00A3FF64">
            <w:pPr>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rPr>
                <w:rFonts w:hint="eastAsia" w:asciiTheme="minorEastAsia" w:hAnsiTheme="minorEastAsia" w:eastAsiaTheme="minorEastAsia" w:cstheme="minorEastAsia"/>
                <w:sz w:val="24"/>
                <w:szCs w:val="24"/>
              </w:rPr>
            </w:pPr>
          </w:p>
        </w:tc>
        <w:tc>
          <w:tcPr>
            <w:tcW w:w="1444" w:type="dxa"/>
            <w:noWrap w:val="0"/>
            <w:vAlign w:val="top"/>
          </w:tcPr>
          <w:p w14:paraId="71FE08EA">
            <w:pPr>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rPr>
                <w:rFonts w:hint="eastAsia" w:asciiTheme="minorEastAsia" w:hAnsiTheme="minorEastAsia" w:eastAsiaTheme="minorEastAsia" w:cstheme="minorEastAsia"/>
                <w:sz w:val="24"/>
                <w:szCs w:val="24"/>
              </w:rPr>
            </w:pPr>
          </w:p>
        </w:tc>
        <w:tc>
          <w:tcPr>
            <w:tcW w:w="1486" w:type="dxa"/>
            <w:noWrap w:val="0"/>
            <w:vAlign w:val="top"/>
          </w:tcPr>
          <w:p w14:paraId="3AA7FD4D">
            <w:pPr>
              <w:rPr>
                <w:rFonts w:hint="eastAsia" w:asciiTheme="minorEastAsia" w:hAnsiTheme="minorEastAsia" w:eastAsiaTheme="minorEastAsia" w:cstheme="minorEastAsia"/>
                <w:sz w:val="24"/>
                <w:szCs w:val="24"/>
              </w:rPr>
            </w:pPr>
          </w:p>
        </w:tc>
        <w:tc>
          <w:tcPr>
            <w:tcW w:w="5142" w:type="dxa"/>
            <w:gridSpan w:val="4"/>
            <w:noWrap w:val="0"/>
            <w:vAlign w:val="top"/>
          </w:tcPr>
          <w:p w14:paraId="27DD857B">
            <w:pPr>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rPr>
                <w:rFonts w:hint="eastAsia" w:asciiTheme="minorEastAsia" w:hAnsiTheme="minorEastAsia" w:eastAsiaTheme="minorEastAsia" w:cstheme="minorEastAsia"/>
                <w:sz w:val="24"/>
                <w:szCs w:val="24"/>
              </w:rPr>
            </w:pPr>
          </w:p>
        </w:tc>
        <w:tc>
          <w:tcPr>
            <w:tcW w:w="1444" w:type="dxa"/>
            <w:noWrap w:val="0"/>
            <w:vAlign w:val="top"/>
          </w:tcPr>
          <w:p w14:paraId="0561DF8F">
            <w:pPr>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C4D3DB1">
            <w:pPr>
              <w:rPr>
                <w:rFonts w:hint="eastAsia" w:asciiTheme="minorEastAsia" w:hAnsiTheme="minorEastAsia" w:eastAsiaTheme="minorEastAsia" w:cstheme="minorEastAsia"/>
                <w:sz w:val="24"/>
                <w:szCs w:val="24"/>
              </w:rPr>
            </w:pPr>
          </w:p>
        </w:tc>
        <w:tc>
          <w:tcPr>
            <w:tcW w:w="1486" w:type="dxa"/>
            <w:noWrap w:val="0"/>
            <w:vAlign w:val="top"/>
          </w:tcPr>
          <w:p w14:paraId="4836800A">
            <w:pPr>
              <w:rPr>
                <w:rFonts w:hint="eastAsia" w:asciiTheme="minorEastAsia" w:hAnsiTheme="minorEastAsia" w:eastAsiaTheme="minorEastAsia" w:cstheme="minorEastAsia"/>
                <w:sz w:val="24"/>
                <w:szCs w:val="24"/>
              </w:rPr>
            </w:pPr>
          </w:p>
        </w:tc>
        <w:tc>
          <w:tcPr>
            <w:tcW w:w="5142" w:type="dxa"/>
            <w:gridSpan w:val="4"/>
            <w:noWrap w:val="0"/>
            <w:vAlign w:val="top"/>
          </w:tcPr>
          <w:p w14:paraId="52081CDC">
            <w:pPr>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rPr>
                <w:rFonts w:hint="eastAsia" w:asciiTheme="minorEastAsia" w:hAnsiTheme="minorEastAsia" w:eastAsiaTheme="minorEastAsia" w:cstheme="minorEastAsia"/>
                <w:sz w:val="24"/>
                <w:szCs w:val="24"/>
              </w:rPr>
            </w:pPr>
          </w:p>
        </w:tc>
        <w:tc>
          <w:tcPr>
            <w:tcW w:w="1444" w:type="dxa"/>
            <w:noWrap w:val="0"/>
            <w:vAlign w:val="top"/>
          </w:tcPr>
          <w:p w14:paraId="4C35DB4F">
            <w:pPr>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rPr>
                <w:rFonts w:hint="eastAsia" w:asciiTheme="minorEastAsia" w:hAnsiTheme="minorEastAsia" w:eastAsiaTheme="minorEastAsia" w:cstheme="minorEastAsia"/>
                <w:sz w:val="24"/>
                <w:szCs w:val="24"/>
              </w:rPr>
            </w:pPr>
          </w:p>
        </w:tc>
        <w:tc>
          <w:tcPr>
            <w:tcW w:w="1486" w:type="dxa"/>
            <w:noWrap w:val="0"/>
            <w:vAlign w:val="top"/>
          </w:tcPr>
          <w:p w14:paraId="7890C54C">
            <w:pPr>
              <w:rPr>
                <w:rFonts w:hint="eastAsia" w:asciiTheme="minorEastAsia" w:hAnsiTheme="minorEastAsia" w:eastAsiaTheme="minorEastAsia" w:cstheme="minorEastAsia"/>
                <w:sz w:val="24"/>
                <w:szCs w:val="24"/>
              </w:rPr>
            </w:pPr>
          </w:p>
        </w:tc>
        <w:tc>
          <w:tcPr>
            <w:tcW w:w="5142" w:type="dxa"/>
            <w:gridSpan w:val="4"/>
            <w:noWrap w:val="0"/>
            <w:vAlign w:val="top"/>
          </w:tcPr>
          <w:p w14:paraId="0E5B4F49">
            <w:pPr>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rPr>
                <w:rFonts w:hint="eastAsia" w:asciiTheme="minorEastAsia" w:hAnsiTheme="minorEastAsia" w:eastAsiaTheme="minorEastAsia" w:cstheme="minorEastAsia"/>
                <w:sz w:val="24"/>
                <w:szCs w:val="24"/>
              </w:rPr>
            </w:pPr>
          </w:p>
        </w:tc>
        <w:tc>
          <w:tcPr>
            <w:tcW w:w="1444" w:type="dxa"/>
            <w:noWrap w:val="0"/>
            <w:vAlign w:val="top"/>
          </w:tcPr>
          <w:p w14:paraId="51CD9C7C">
            <w:pPr>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rPr>
                <w:rFonts w:hint="eastAsia" w:asciiTheme="minorEastAsia" w:hAnsiTheme="minorEastAsia" w:eastAsiaTheme="minorEastAsia" w:cstheme="minorEastAsia"/>
                <w:sz w:val="24"/>
                <w:szCs w:val="24"/>
              </w:rPr>
            </w:pPr>
          </w:p>
        </w:tc>
        <w:tc>
          <w:tcPr>
            <w:tcW w:w="1486" w:type="dxa"/>
            <w:noWrap w:val="0"/>
            <w:vAlign w:val="top"/>
          </w:tcPr>
          <w:p w14:paraId="63913D24">
            <w:pPr>
              <w:rPr>
                <w:rFonts w:hint="eastAsia" w:asciiTheme="minorEastAsia" w:hAnsiTheme="minorEastAsia" w:eastAsiaTheme="minorEastAsia" w:cstheme="minorEastAsia"/>
                <w:sz w:val="24"/>
                <w:szCs w:val="24"/>
              </w:rPr>
            </w:pPr>
          </w:p>
        </w:tc>
        <w:tc>
          <w:tcPr>
            <w:tcW w:w="5142" w:type="dxa"/>
            <w:gridSpan w:val="4"/>
            <w:noWrap w:val="0"/>
            <w:vAlign w:val="top"/>
          </w:tcPr>
          <w:p w14:paraId="1E7993FD">
            <w:pPr>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rPr>
                <w:rFonts w:hint="eastAsia" w:asciiTheme="minorEastAsia" w:hAnsiTheme="minorEastAsia" w:eastAsiaTheme="minorEastAsia" w:cstheme="minorEastAsia"/>
                <w:sz w:val="24"/>
                <w:szCs w:val="24"/>
              </w:rPr>
            </w:pPr>
          </w:p>
        </w:tc>
        <w:tc>
          <w:tcPr>
            <w:tcW w:w="1444" w:type="dxa"/>
            <w:noWrap w:val="0"/>
            <w:vAlign w:val="top"/>
          </w:tcPr>
          <w:p w14:paraId="32F5B64E">
            <w:pPr>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rPr>
                <w:rFonts w:hint="eastAsia" w:asciiTheme="minorEastAsia" w:hAnsiTheme="minorEastAsia" w:eastAsiaTheme="minorEastAsia" w:cstheme="minorEastAsia"/>
                <w:sz w:val="24"/>
                <w:szCs w:val="24"/>
              </w:rPr>
            </w:pPr>
          </w:p>
        </w:tc>
        <w:tc>
          <w:tcPr>
            <w:tcW w:w="1486" w:type="dxa"/>
            <w:noWrap w:val="0"/>
            <w:vAlign w:val="top"/>
          </w:tcPr>
          <w:p w14:paraId="6256679A">
            <w:pPr>
              <w:rPr>
                <w:rFonts w:hint="eastAsia" w:asciiTheme="minorEastAsia" w:hAnsiTheme="minorEastAsia" w:eastAsiaTheme="minorEastAsia" w:cstheme="minorEastAsia"/>
                <w:sz w:val="24"/>
                <w:szCs w:val="24"/>
              </w:rPr>
            </w:pPr>
          </w:p>
        </w:tc>
        <w:tc>
          <w:tcPr>
            <w:tcW w:w="5142" w:type="dxa"/>
            <w:gridSpan w:val="4"/>
            <w:noWrap w:val="0"/>
            <w:vAlign w:val="top"/>
          </w:tcPr>
          <w:p w14:paraId="430F8448">
            <w:pPr>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rPr>
                <w:rFonts w:hint="eastAsia" w:asciiTheme="minorEastAsia" w:hAnsiTheme="minorEastAsia" w:eastAsiaTheme="minorEastAsia" w:cstheme="minorEastAsia"/>
                <w:sz w:val="24"/>
                <w:szCs w:val="24"/>
              </w:rPr>
            </w:pPr>
          </w:p>
        </w:tc>
        <w:tc>
          <w:tcPr>
            <w:tcW w:w="1444" w:type="dxa"/>
            <w:noWrap w:val="0"/>
            <w:vAlign w:val="top"/>
          </w:tcPr>
          <w:p w14:paraId="12730B38">
            <w:pPr>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rPr>
                <w:rFonts w:hint="eastAsia" w:asciiTheme="minorEastAsia" w:hAnsiTheme="minorEastAsia" w:eastAsiaTheme="minorEastAsia" w:cstheme="minorEastAsia"/>
                <w:sz w:val="24"/>
                <w:szCs w:val="24"/>
              </w:rPr>
            </w:pPr>
          </w:p>
        </w:tc>
        <w:tc>
          <w:tcPr>
            <w:tcW w:w="1486" w:type="dxa"/>
            <w:noWrap w:val="0"/>
            <w:vAlign w:val="top"/>
          </w:tcPr>
          <w:p w14:paraId="28A27ED4">
            <w:pPr>
              <w:rPr>
                <w:rFonts w:hint="eastAsia" w:asciiTheme="minorEastAsia" w:hAnsiTheme="minorEastAsia" w:eastAsiaTheme="minorEastAsia" w:cstheme="minorEastAsia"/>
                <w:sz w:val="24"/>
                <w:szCs w:val="24"/>
              </w:rPr>
            </w:pPr>
          </w:p>
        </w:tc>
        <w:tc>
          <w:tcPr>
            <w:tcW w:w="5142" w:type="dxa"/>
            <w:gridSpan w:val="4"/>
            <w:noWrap w:val="0"/>
            <w:vAlign w:val="top"/>
          </w:tcPr>
          <w:p w14:paraId="22CFED33">
            <w:pPr>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rPr>
                <w:rFonts w:hint="eastAsia" w:asciiTheme="minorEastAsia" w:hAnsiTheme="minorEastAsia" w:eastAsiaTheme="minorEastAsia" w:cstheme="minorEastAsia"/>
                <w:sz w:val="24"/>
                <w:szCs w:val="24"/>
              </w:rPr>
            </w:pPr>
          </w:p>
        </w:tc>
        <w:tc>
          <w:tcPr>
            <w:tcW w:w="1444" w:type="dxa"/>
            <w:noWrap w:val="0"/>
            <w:vAlign w:val="top"/>
          </w:tcPr>
          <w:p w14:paraId="704C5503">
            <w:pPr>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1M72R7sBAABxAwAADgAAAAAAAAABACAAAAAkAQAAZHJzL2Uyb0RvYy54bWxQSwUG&#10;AAAAAAYABgBZAQAAUQUAAAAA&#10;">
                      <v:fill on="f" focussize="0,0"/>
                      <v:stroke on="f"/>
                      <v:imagedata o:title=""/>
                      <o:lock v:ext="edit" aspectratio="f"/>
                      <v:textbox inset="0mm,0mm,0mm,0mm">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sectPr>
          <w:pgSz w:w="11905" w:h="16840"/>
          <w:pgMar w:top="1134" w:right="1134" w:bottom="1134" w:left="1417" w:header="0" w:footer="0" w:gutter="0"/>
          <w:pgNumType w:fmt="numberInDash"/>
          <w:cols w:space="720" w:num="1"/>
          <w:rtlGutter w:val="0"/>
        </w:sectPr>
      </w:pPr>
    </w:p>
    <w:bookmarkEnd w:id="903"/>
    <w:p w14:paraId="1591C252">
      <w:pPr>
        <w:pStyle w:val="4"/>
        <w:tabs>
          <w:tab w:val="left" w:pos="1440"/>
        </w:tabs>
        <w:wordWrap w:val="0"/>
        <w:rPr>
          <w:rFonts w:hint="eastAsia" w:ascii="宋体" w:hAnsi="宋体" w:cs="宋体"/>
          <w:kern w:val="0"/>
          <w:sz w:val="24"/>
          <w:szCs w:val="24"/>
          <w:highlight w:val="none"/>
          <w:lang w:eastAsia="zh-CN"/>
        </w:rPr>
      </w:pPr>
      <w:bookmarkStart w:id="904" w:name="_Toc27917"/>
      <w:bookmarkStart w:id="905" w:name="_Toc2005"/>
      <w:bookmarkStart w:id="906" w:name="_Toc26470"/>
      <w:r>
        <w:rPr>
          <w:rFonts w:hint="eastAsia" w:ascii="宋体" w:hAnsi="宋体" w:cs="宋体"/>
          <w:highlight w:val="none"/>
        </w:rPr>
        <w:t>第五章 采购需求</w:t>
      </w:r>
      <w:bookmarkEnd w:id="904"/>
      <w:bookmarkEnd w:id="905"/>
      <w:bookmarkEnd w:id="906"/>
      <w:bookmarkStart w:id="907" w:name="_Toc9535"/>
      <w:bookmarkStart w:id="908" w:name="_Toc493506288"/>
    </w:p>
    <w:bookmarkEnd w:id="907"/>
    <w:bookmarkEnd w:id="908"/>
    <w:p w14:paraId="27D6CEC6">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09" w:name="_Toc24289"/>
    </w:p>
    <w:p w14:paraId="5394FBE7">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bookmarkStart w:id="910" w:name="_Toc1077"/>
      <w:bookmarkStart w:id="911" w:name="_Toc17467"/>
      <w:r>
        <w:rPr>
          <w:rFonts w:hint="eastAsia" w:ascii="宋体" w:hAnsi="宋体" w:eastAsia="宋体" w:cs="宋体"/>
          <w:b/>
          <w:bCs/>
          <w:color w:val="auto"/>
          <w:sz w:val="24"/>
          <w:szCs w:val="24"/>
          <w:highlight w:val="none"/>
          <w:lang w:val="en-US" w:eastAsia="zh-CN"/>
        </w:rPr>
        <w:t>采购需求：供应商需对采购需求做出承诺，否则视同不满足本项目采购要求，原则上否决其投标。</w:t>
      </w:r>
      <w:bookmarkEnd w:id="910"/>
      <w:bookmarkEnd w:id="911"/>
    </w:p>
    <w:p w14:paraId="5FC8B8DB">
      <w:pPr>
        <w:wordWrap w:val="0"/>
        <w:spacing w:line="240" w:lineRule="auto"/>
        <w:ind w:firstLine="482" w:firstLineChars="200"/>
        <w:rPr>
          <w:rFonts w:hint="eastAsia" w:asciiTheme="minorEastAsia" w:hAnsiTheme="minorEastAsia" w:eastAsiaTheme="minorEastAsia" w:cstheme="minorEastAsia"/>
          <w:b/>
          <w:bCs/>
          <w:sz w:val="24"/>
          <w:szCs w:val="24"/>
          <w:lang w:val="en-US" w:eastAsia="zh-CN"/>
        </w:rPr>
      </w:pPr>
    </w:p>
    <w:p w14:paraId="4A599CB5">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5.1采购需求</w:t>
      </w:r>
    </w:p>
    <w:p w14:paraId="5B775F69">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本次采购</w:t>
      </w:r>
      <w:r>
        <w:rPr>
          <w:rFonts w:hint="eastAsia" w:asciiTheme="minorEastAsia" w:hAnsiTheme="minorEastAsia" w:cstheme="minorEastAsia"/>
          <w:color w:val="auto"/>
          <w:sz w:val="24"/>
          <w:szCs w:val="24"/>
          <w:lang w:val="en-US" w:eastAsia="zh-CN"/>
        </w:rPr>
        <w:t>案件常染色体检测试剂盒、案件Y染色体检测试剂盒、建库常染色体检测试剂盒、建库Y染色体检测试剂盒、微量提取试剂盒及配套耗材等</w:t>
      </w:r>
      <w:r>
        <w:rPr>
          <w:rFonts w:hint="eastAsia" w:asciiTheme="minorEastAsia" w:hAnsiTheme="minorEastAsia" w:eastAsiaTheme="minorEastAsia" w:cstheme="minorEastAsia"/>
          <w:color w:val="auto"/>
          <w:sz w:val="24"/>
          <w:szCs w:val="24"/>
          <w:lang w:val="en-US" w:eastAsia="zh-CN"/>
        </w:rPr>
        <w:t>。</w:t>
      </w:r>
    </w:p>
    <w:p w14:paraId="0AF026C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5.2 质量要求</w:t>
      </w:r>
    </w:p>
    <w:p w14:paraId="38770840">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达到国家相关行业合格标准</w:t>
      </w:r>
    </w:p>
    <w:p w14:paraId="709B172E">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5.3 交货地点</w:t>
      </w:r>
    </w:p>
    <w:p w14:paraId="0A7D99ED">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采购人指定地点</w:t>
      </w:r>
    </w:p>
    <w:p w14:paraId="163678A4">
      <w:pPr>
        <w:keepNext w:val="0"/>
        <w:keepLines w:val="0"/>
        <w:pageBreakBefore w:val="0"/>
        <w:widowControl w:val="0"/>
        <w:kinsoku/>
        <w:wordWrap w:val="0"/>
        <w:overflowPunct/>
        <w:topLinePunct w:val="0"/>
        <w:autoSpaceDE/>
        <w:autoSpaceDN/>
        <w:bidi w:val="0"/>
        <w:adjustRightInd/>
        <w:snapToGrid/>
        <w:spacing w:line="500" w:lineRule="exact"/>
        <w:ind w:firstLine="482" w:firstLineChars="200"/>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5.4合同履行期限</w:t>
      </w:r>
    </w:p>
    <w:p w14:paraId="6E02A8E5">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接采购人通知后，15日历天内货到现场；</w:t>
      </w:r>
    </w:p>
    <w:p w14:paraId="184FCB39">
      <w:pPr>
        <w:spacing w:before="196" w:line="184" w:lineRule="auto"/>
        <w:ind w:left="4445"/>
        <w:rPr>
          <w:rFonts w:ascii="宋体" w:hAnsi="宋体" w:eastAsia="宋体" w:cs="宋体"/>
          <w:color w:val="auto"/>
          <w:sz w:val="42"/>
          <w:szCs w:val="42"/>
        </w:rPr>
      </w:pPr>
    </w:p>
    <w:p w14:paraId="67DB5FC5">
      <w:pPr>
        <w:spacing w:line="217"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pacing w:val="1"/>
          <w:sz w:val="28"/>
          <w:szCs w:val="28"/>
          <w:lang w:eastAsia="zh-CN"/>
        </w:rPr>
        <w:t>2026年固始县公安局DNA实验室购置试剂盒及耗材项目</w:t>
      </w:r>
    </w:p>
    <w:p w14:paraId="6396ED06">
      <w:pPr>
        <w:ind w:left="0" w:leftChars="0" w:firstLine="0" w:firstLineChars="0"/>
      </w:pPr>
    </w:p>
    <w:tbl>
      <w:tblPr>
        <w:tblStyle w:val="22"/>
        <w:tblpPr w:leftFromText="180" w:rightFromText="180" w:vertAnchor="text" w:horzAnchor="page" w:tblpX="775" w:tblpY="162"/>
        <w:tblOverlap w:val="never"/>
        <w:tblW w:w="10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893"/>
        <w:gridCol w:w="5324"/>
        <w:gridCol w:w="916"/>
        <w:gridCol w:w="687"/>
        <w:gridCol w:w="568"/>
        <w:gridCol w:w="785"/>
        <w:gridCol w:w="818"/>
      </w:tblGrid>
      <w:tr w14:paraId="4F9C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70" w:type="dxa"/>
            <w:noWrap w:val="0"/>
            <w:vAlign w:val="center"/>
          </w:tcPr>
          <w:p w14:paraId="1D1ED2E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序号</w:t>
            </w:r>
          </w:p>
        </w:tc>
        <w:tc>
          <w:tcPr>
            <w:tcW w:w="893" w:type="dxa"/>
            <w:noWrap w:val="0"/>
            <w:vAlign w:val="center"/>
          </w:tcPr>
          <w:p w14:paraId="20CC883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名称</w:t>
            </w:r>
          </w:p>
        </w:tc>
        <w:tc>
          <w:tcPr>
            <w:tcW w:w="5324" w:type="dxa"/>
            <w:noWrap w:val="0"/>
            <w:vAlign w:val="center"/>
          </w:tcPr>
          <w:p w14:paraId="617CFD7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技术参数</w:t>
            </w:r>
          </w:p>
        </w:tc>
        <w:tc>
          <w:tcPr>
            <w:tcW w:w="916" w:type="dxa"/>
            <w:noWrap w:val="0"/>
            <w:vAlign w:val="center"/>
          </w:tcPr>
          <w:p w14:paraId="62DF4ACD">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规格/型号</w:t>
            </w:r>
          </w:p>
        </w:tc>
        <w:tc>
          <w:tcPr>
            <w:tcW w:w="687" w:type="dxa"/>
            <w:noWrap w:val="0"/>
            <w:vAlign w:val="center"/>
          </w:tcPr>
          <w:p w14:paraId="3AA44E5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数量</w:t>
            </w:r>
          </w:p>
        </w:tc>
        <w:tc>
          <w:tcPr>
            <w:tcW w:w="568" w:type="dxa"/>
            <w:noWrap w:val="0"/>
            <w:vAlign w:val="center"/>
          </w:tcPr>
          <w:p w14:paraId="34209B2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单位</w:t>
            </w:r>
          </w:p>
        </w:tc>
        <w:tc>
          <w:tcPr>
            <w:tcW w:w="785" w:type="dxa"/>
            <w:noWrap w:val="0"/>
            <w:vAlign w:val="center"/>
          </w:tcPr>
          <w:p w14:paraId="2786733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单价（元）</w:t>
            </w:r>
          </w:p>
        </w:tc>
        <w:tc>
          <w:tcPr>
            <w:tcW w:w="818" w:type="dxa"/>
            <w:noWrap w:val="0"/>
            <w:vAlign w:val="center"/>
          </w:tcPr>
          <w:p w14:paraId="285FF7C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共计（元）</w:t>
            </w:r>
          </w:p>
        </w:tc>
      </w:tr>
      <w:tr w14:paraId="5F8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70" w:type="dxa"/>
            <w:noWrap w:val="0"/>
            <w:vAlign w:val="center"/>
          </w:tcPr>
          <w:p w14:paraId="43286F7D">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893" w:type="dxa"/>
            <w:noWrap w:val="0"/>
            <w:vAlign w:val="center"/>
          </w:tcPr>
          <w:p w14:paraId="4F65BB7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常染色体扩增试剂盒</w:t>
            </w:r>
          </w:p>
        </w:tc>
        <w:tc>
          <w:tcPr>
            <w:tcW w:w="5324" w:type="dxa"/>
            <w:noWrap w:val="0"/>
            <w:vAlign w:val="top"/>
          </w:tcPr>
          <w:p w14:paraId="6503669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1、规格：200人份/盒。</w:t>
            </w:r>
          </w:p>
          <w:p w14:paraId="57AF01A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2、采用6色荧光技术，使用具有专利技术的LIZ作为分子量內标，在维持护增产物大小不变的条件下，有效提高单个泳道分辨的片段数。多色荧光标记，便于更清晰的分辨基因座标记。</w:t>
            </w:r>
          </w:p>
          <w:p w14:paraId="76D9B84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3、单管同时扩增 24 个基因座，D3S1358、 vWA、D165539、CSF1PO、TPOX、Yindel、Amelogenin、D8S1179 、D21S11 、D18S51、 DYS391、D2S441、D19S433、 THO1、 FGA、D22S1045、D5S818、D13S317、D7S820 、SE33、 D10S1248 、D1S1656、D12S391、D251338。</w:t>
            </w:r>
          </w:p>
          <w:p w14:paraId="62C17E8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 个基因座中包含10个长度低于220bp 的mini-STR基因座，用于严重降解样品。</w:t>
            </w:r>
          </w:p>
        </w:tc>
        <w:tc>
          <w:tcPr>
            <w:tcW w:w="916" w:type="dxa"/>
            <w:noWrap w:val="0"/>
            <w:vAlign w:val="center"/>
          </w:tcPr>
          <w:p w14:paraId="55C18E96">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200人份/盒</w:t>
            </w:r>
          </w:p>
        </w:tc>
        <w:tc>
          <w:tcPr>
            <w:tcW w:w="687" w:type="dxa"/>
            <w:noWrap w:val="0"/>
            <w:vAlign w:val="center"/>
          </w:tcPr>
          <w:p w14:paraId="383C8F10">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p>
        </w:tc>
        <w:tc>
          <w:tcPr>
            <w:tcW w:w="568" w:type="dxa"/>
            <w:noWrap w:val="0"/>
            <w:vAlign w:val="center"/>
          </w:tcPr>
          <w:p w14:paraId="3CB0C547">
            <w:pPr>
              <w:keepNext w:val="0"/>
              <w:keepLines w:val="0"/>
              <w:widowControl/>
              <w:suppressLineNumbers w:val="0"/>
              <w:spacing w:line="240" w:lineRule="auto"/>
              <w:ind w:left="0" w:leftChars="0" w:firstLine="0" w:firstLineChars="0"/>
              <w:jc w:val="center"/>
              <w:textAlignment w:val="top"/>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4DB88D34">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506D538F">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5C42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0" w:type="dxa"/>
            <w:noWrap w:val="0"/>
            <w:vAlign w:val="center"/>
          </w:tcPr>
          <w:p w14:paraId="59F642EF">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893" w:type="dxa"/>
            <w:noWrap w:val="0"/>
            <w:vAlign w:val="center"/>
          </w:tcPr>
          <w:p w14:paraId="0E617D9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Y染色体扩增试剂盒</w:t>
            </w:r>
          </w:p>
        </w:tc>
        <w:tc>
          <w:tcPr>
            <w:tcW w:w="5324" w:type="dxa"/>
            <w:noWrap w:val="0"/>
            <w:vAlign w:val="top"/>
          </w:tcPr>
          <w:p w14:paraId="505BC85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1.所使用试剂盒标准反应体系25微升，100人份/盒。</w:t>
            </w:r>
          </w:p>
          <w:p w14:paraId="054C2AD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 采用六色荧光技术，使用具有专利技术的LIZ 作为分子量内标，在维持扩增产物大小不变的条件下，有效提高单个泳道分辨的片段数。</w:t>
            </w:r>
          </w:p>
          <w:p w14:paraId="2641447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3、单管同时扩增41个Y染色体基因座。包括DYS19，DYS385a，DYS385b，DYF387S1a，DYF387S1b，DYS389 I，DYS389II， DYS390， DYS391， DYS392， DYS393，DYS437，DYS438，DYS439，DYS444， DYS447，DYS448， DYS449， DYS456， DYS458， DYS460， DYS481， DYS518， DYS522， DYS527a，DYS527b, DYS533， DYS549， DYS557， DYS570， DYS576， DYS593， DYS596， DYS627， DYS635， DYS643， DYS645， and YGATA H4， and Y-indel rs199815934， rs759557978， rs771783753。</w:t>
            </w:r>
          </w:p>
          <w:p w14:paraId="4DC3A68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4、PCR 反应时间不超过110分钟。</w:t>
            </w:r>
          </w:p>
          <w:p w14:paraId="73F3CA6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5、同一款试剂盒有专门应对建库样品和案件检材的实验方法，全部流程经过验证。试剂盒的检测灵敏度达到100 pg DNA模板量 （按25 ul体系）。</w:t>
            </w:r>
          </w:p>
        </w:tc>
        <w:tc>
          <w:tcPr>
            <w:tcW w:w="916" w:type="dxa"/>
            <w:noWrap w:val="0"/>
            <w:vAlign w:val="center"/>
          </w:tcPr>
          <w:p w14:paraId="70A79E0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100人份/盒</w:t>
            </w:r>
          </w:p>
        </w:tc>
        <w:tc>
          <w:tcPr>
            <w:tcW w:w="687" w:type="dxa"/>
            <w:noWrap w:val="0"/>
            <w:vAlign w:val="center"/>
          </w:tcPr>
          <w:p w14:paraId="68FE8390">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p>
        </w:tc>
        <w:tc>
          <w:tcPr>
            <w:tcW w:w="568" w:type="dxa"/>
            <w:noWrap w:val="0"/>
            <w:vAlign w:val="center"/>
          </w:tcPr>
          <w:p w14:paraId="73C1B448">
            <w:pPr>
              <w:keepNext w:val="0"/>
              <w:keepLines w:val="0"/>
              <w:widowControl/>
              <w:suppressLineNumbers w:val="0"/>
              <w:spacing w:line="240" w:lineRule="auto"/>
              <w:ind w:left="0" w:leftChars="0" w:firstLine="0" w:firstLineChars="0"/>
              <w:jc w:val="center"/>
              <w:textAlignment w:val="top"/>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485191A8">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357BD359">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AD6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0" w:type="dxa"/>
            <w:noWrap w:val="0"/>
            <w:vAlign w:val="center"/>
          </w:tcPr>
          <w:p w14:paraId="31128B30">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893" w:type="dxa"/>
            <w:noWrap w:val="0"/>
            <w:vAlign w:val="center"/>
          </w:tcPr>
          <w:p w14:paraId="7AB572C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常规案件扩增试剂盒</w:t>
            </w:r>
          </w:p>
        </w:tc>
        <w:tc>
          <w:tcPr>
            <w:tcW w:w="5324" w:type="dxa"/>
            <w:noWrap w:val="0"/>
            <w:vAlign w:val="top"/>
          </w:tcPr>
          <w:p w14:paraId="722F857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1、规格：200人份/盒</w:t>
            </w:r>
          </w:p>
          <w:p w14:paraId="6060DF5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2、采用6色荧光技术，获得中国公共安全认证证书。</w:t>
            </w:r>
          </w:p>
          <w:p w14:paraId="3BB6083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包括24个STR位点和一个插入缺失位点Y-indel，两个内控质量参考（IQC）。D18S51、FGA、D21S11、D8S1179、VWA、D13S317、D16S539、D7S820、TH01、D3S1358、D5S818、CSF1PO、D2S1338、D19S433、D1S1656、D12S391、D2S441、D10S1248、TPOX、D22S1045、D6S1043、Penta E、Penta D、Amelogenin。</w:t>
            </w:r>
          </w:p>
          <w:p w14:paraId="5138B36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4、24 个基因座中包含10 个长度低于220bp 的mini-STR 基因座，用于严重降解样品。</w:t>
            </w:r>
          </w:p>
          <w:p w14:paraId="06D6772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5、包含11个扩增长度小于250bp的Mini位点。</w:t>
            </w:r>
          </w:p>
          <w:p w14:paraId="5284363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6、PCR扩增时间不超过90分钟。</w:t>
            </w:r>
          </w:p>
        </w:tc>
        <w:tc>
          <w:tcPr>
            <w:tcW w:w="916" w:type="dxa"/>
            <w:noWrap w:val="0"/>
            <w:vAlign w:val="center"/>
          </w:tcPr>
          <w:p w14:paraId="7FC0C3F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200人份/盒</w:t>
            </w:r>
          </w:p>
        </w:tc>
        <w:tc>
          <w:tcPr>
            <w:tcW w:w="687" w:type="dxa"/>
            <w:noWrap w:val="0"/>
            <w:vAlign w:val="center"/>
          </w:tcPr>
          <w:p w14:paraId="213BD215">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568" w:type="dxa"/>
            <w:noWrap w:val="0"/>
            <w:vAlign w:val="center"/>
          </w:tcPr>
          <w:p w14:paraId="1B954B2D">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6347262C">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336681DE">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7776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570" w:type="dxa"/>
            <w:noWrap w:val="0"/>
            <w:vAlign w:val="center"/>
          </w:tcPr>
          <w:p w14:paraId="2F1FCD2F">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893" w:type="dxa"/>
            <w:noWrap w:val="0"/>
            <w:vAlign w:val="center"/>
          </w:tcPr>
          <w:p w14:paraId="3D629FD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常染色体建库试剂盒</w:t>
            </w:r>
          </w:p>
        </w:tc>
        <w:tc>
          <w:tcPr>
            <w:tcW w:w="5324" w:type="dxa"/>
            <w:noWrap w:val="0"/>
            <w:vAlign w:val="top"/>
          </w:tcPr>
          <w:p w14:paraId="2E58F50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ascii="宋体" w:hAnsi="宋体" w:eastAsia="宋体" w:cs="Times New Roman"/>
                <w:color w:val="auto"/>
                <w:szCs w:val="21"/>
              </w:rPr>
              <w:t>★</w:t>
            </w:r>
            <w:r>
              <w:rPr>
                <w:rFonts w:hint="eastAsia" w:ascii="宋体" w:hAnsi="宋体" w:eastAsia="宋体" w:cs="宋体"/>
                <w:i w:val="0"/>
                <w:iCs w:val="0"/>
                <w:color w:val="auto"/>
                <w:kern w:val="0"/>
                <w:sz w:val="20"/>
                <w:szCs w:val="20"/>
                <w:u w:val="none"/>
                <w:lang w:val="en-US" w:eastAsia="zh-CN" w:bidi="ar"/>
              </w:rPr>
              <w:t>1、本次项目所采用试剂盒采用六色荧光技术，符合公安部常规数据库和DNA打拐数据库要求，可同时检测以下32个基因座：D3S1358，TH01，D21S11，D18S51，Penta E，Yindel，D19S253，D12S391，D6S1043，D2S1338，D15S659，D6S477，Amel，D5S818，D13S317，D7S820，D19S433，CSF1PO，Penta D，D2S441，vWA，D8S1179，TPOX，FGA，D4S2366,D3S3045，D16S539，D22S1045，D8S1132，D1S1656，D10S1248，D10S1435，。提供生产厂家盖章的经由Genemapper或者IDX软件分析出的STR分型彩色图谱；</w:t>
            </w:r>
          </w:p>
          <w:p w14:paraId="5338AA7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ascii="宋体" w:hAnsi="宋体" w:eastAsia="宋体" w:cs="Times New Roman"/>
                <w:color w:val="auto"/>
                <w:szCs w:val="21"/>
              </w:rPr>
              <w:t>★</w:t>
            </w:r>
            <w:r>
              <w:rPr>
                <w:rFonts w:hint="eastAsia" w:ascii="宋体" w:hAnsi="宋体" w:eastAsia="宋体" w:cs="宋体"/>
                <w:i w:val="0"/>
                <w:iCs w:val="0"/>
                <w:color w:val="auto"/>
                <w:kern w:val="0"/>
                <w:sz w:val="20"/>
                <w:szCs w:val="20"/>
                <w:u w:val="none"/>
                <w:lang w:val="en-US" w:eastAsia="zh-CN" w:bidi="ar"/>
              </w:rPr>
              <w:t>2、为了保证降解检材的扩增效率，常染色体STR检验试剂盒扩增最大片段长度不超过500bp。且包含至少10个常染色体mini-STR位点（扩增长度小于220bp）。（提供相关证明文件）</w:t>
            </w:r>
          </w:p>
          <w:p w14:paraId="7FDBECD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ascii="宋体" w:hAnsi="宋体" w:eastAsia="宋体" w:cs="Times New Roman"/>
                <w:color w:val="auto"/>
                <w:szCs w:val="21"/>
              </w:rPr>
              <w:t>★</w:t>
            </w:r>
            <w:r>
              <w:rPr>
                <w:rFonts w:hint="eastAsia" w:ascii="宋体" w:hAnsi="宋体" w:eastAsia="宋体" w:cs="宋体"/>
                <w:i w:val="0"/>
                <w:iCs w:val="0"/>
                <w:color w:val="auto"/>
                <w:kern w:val="0"/>
                <w:sz w:val="20"/>
                <w:szCs w:val="20"/>
                <w:u w:val="none"/>
                <w:lang w:val="en-US" w:eastAsia="zh-CN" w:bidi="ar"/>
              </w:rPr>
              <w:t>3、为保证试剂盒检测数据的准确性，本次项目所采用所采用的常染色体试剂盒实体bin数量不低于440个，实体bin和虚拟bin总数不低于550个。（提供相关证明文件）。</w:t>
            </w:r>
          </w:p>
          <w:p w14:paraId="56B756B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本次项目所采用试剂盒名称和基因座位点信息已经收录国家数据库，扩增产物的电泳结果，可通过IDX软件进行分型，导出的CODIS数据基因座分型可直接批量导入国家数据库。（需提供金盾二期全国公安机关DNA数据库中扩增试剂盒下拉菜单截图）</w:t>
            </w:r>
          </w:p>
          <w:p w14:paraId="5784724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default" w:ascii="宋体" w:hAnsi="宋体" w:eastAsia="宋体" w:cs="宋体"/>
                <w:i w:val="0"/>
                <w:iCs w:val="0"/>
                <w:color w:val="auto"/>
                <w:kern w:val="0"/>
                <w:sz w:val="20"/>
                <w:szCs w:val="20"/>
                <w:u w:val="none"/>
                <w:lang w:val="en-US" w:eastAsia="zh-CN" w:bidi="ar"/>
              </w:rPr>
            </w:pPr>
            <w:r>
              <w:rPr>
                <w:rFonts w:ascii="宋体" w:hAnsi="宋体" w:eastAsia="宋体" w:cs="Times New Roman"/>
                <w:color w:val="auto"/>
                <w:szCs w:val="21"/>
              </w:rPr>
              <w:t>★</w:t>
            </w:r>
            <w:r>
              <w:rPr>
                <w:rFonts w:hint="eastAsia" w:ascii="宋体" w:hAnsi="宋体" w:eastAsia="宋体" w:cs="宋体"/>
                <w:i w:val="0"/>
                <w:iCs w:val="0"/>
                <w:color w:val="auto"/>
                <w:kern w:val="0"/>
                <w:sz w:val="20"/>
                <w:szCs w:val="20"/>
                <w:u w:val="none"/>
                <w:lang w:val="en-US" w:eastAsia="zh-CN" w:bidi="ar"/>
              </w:rPr>
              <w:t>5、所用试剂盒在公安部的全国公安机关DNA鉴定关键试剂耗材质检合格产品及制造商名录中。（提供相关证明文件）</w:t>
            </w:r>
          </w:p>
        </w:tc>
        <w:tc>
          <w:tcPr>
            <w:tcW w:w="916" w:type="dxa"/>
            <w:noWrap w:val="0"/>
            <w:vAlign w:val="center"/>
          </w:tcPr>
          <w:p w14:paraId="20293C40">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200人份/盒</w:t>
            </w:r>
          </w:p>
        </w:tc>
        <w:tc>
          <w:tcPr>
            <w:tcW w:w="687" w:type="dxa"/>
            <w:noWrap w:val="0"/>
            <w:vAlign w:val="center"/>
          </w:tcPr>
          <w:p w14:paraId="45E27B0B">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68" w:type="dxa"/>
            <w:noWrap w:val="0"/>
            <w:vAlign w:val="center"/>
          </w:tcPr>
          <w:p w14:paraId="7024B99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68454C45">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663B938C">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4A05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70" w:type="dxa"/>
            <w:noWrap w:val="0"/>
            <w:vAlign w:val="center"/>
          </w:tcPr>
          <w:p w14:paraId="7E4AB79D">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893" w:type="dxa"/>
            <w:noWrap w:val="0"/>
            <w:vAlign w:val="center"/>
          </w:tcPr>
          <w:p w14:paraId="0900655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Y染色体建库试剂盒</w:t>
            </w:r>
          </w:p>
        </w:tc>
        <w:tc>
          <w:tcPr>
            <w:tcW w:w="5324" w:type="dxa"/>
            <w:noWrap w:val="0"/>
            <w:vAlign w:val="top"/>
          </w:tcPr>
          <w:p w14:paraId="1A29CCD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项目所采用试剂盒为六色荧光技术，可检测以下基因座：核心基因座20个：DYS19、DYS385a/b、DYS389I、DYS389II、DYS390、DYS391、DYS392、DYS393、DYS437、DYS438、DYS439、DYS456、DYS458、DYS448、DYS635、GATA-H4、DYS481、DYS533、DYS576。优选基因座15个： DYS643、DYS460、DYS549、DYS449、DYS518、DYF387S1a/b、DYS627、 DYS570、 DYS527a/b、DYS447、DYS444、DYS557、 DYS596。6个备选基因座：DYS522、DYS593、DYS388、DYS645、DYS404S1a/b、及3个Y-indel：rs771783753、rs759551978、rs199815934（提供相关证明文件）。</w:t>
            </w:r>
          </w:p>
          <w:p w14:paraId="261C405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2、试剂盒包含检测所需的扩增前试剂、扩增后试剂、内标等全部组份；</w:t>
            </w:r>
          </w:p>
          <w:p w14:paraId="68440FC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ascii="宋体" w:hAnsi="宋体" w:eastAsia="宋体" w:cs="Times New Roman"/>
                <w:color w:val="auto"/>
                <w:szCs w:val="21"/>
              </w:rPr>
              <w:t>★</w:t>
            </w:r>
            <w:r>
              <w:rPr>
                <w:rFonts w:hint="eastAsia" w:ascii="宋体" w:hAnsi="宋体" w:eastAsia="宋体" w:cs="宋体"/>
                <w:i w:val="0"/>
                <w:iCs w:val="0"/>
                <w:color w:val="auto"/>
                <w:kern w:val="0"/>
                <w:sz w:val="20"/>
                <w:szCs w:val="20"/>
                <w:u w:val="none"/>
                <w:lang w:val="en-US" w:eastAsia="zh-CN" w:bidi="ar"/>
              </w:rPr>
              <w:t>3、试剂盒每个基因座等位基因分型结果良好，Ladder清晰完整含有充足的标准等位基因，为了减少OL的产生，试剂盒panel/bin文件中的等位基因总数(真实Bin加虚拟Bin)超过670个，其中真实Bin不少于480个。（提供相关证明文件）</w:t>
            </w:r>
          </w:p>
          <w:p w14:paraId="74E3786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本次项目所采用试剂盒名称和基因座位点信息已经收录国家数据库，扩增产物的电泳结果，可通过IDX软件进行分型，导出的CODIS数据基因座分型可直接批量导入国家数据库。（需提供金盾二期全国公安机关DNA数据库中扩增试剂盒下拉菜单截图）</w:t>
            </w:r>
          </w:p>
          <w:p w14:paraId="065324E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5、试剂盒最大扩增片段不超过550bp。 </w:t>
            </w:r>
          </w:p>
          <w:p w14:paraId="1E63F24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6、试剂盒需在全国公安机关DNA鉴定关键试剂耗材质检合格产品及制造商名录中。</w:t>
            </w:r>
          </w:p>
        </w:tc>
        <w:tc>
          <w:tcPr>
            <w:tcW w:w="916" w:type="dxa"/>
            <w:noWrap w:val="0"/>
            <w:vAlign w:val="center"/>
          </w:tcPr>
          <w:p w14:paraId="276ED903">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100人份/盒</w:t>
            </w:r>
          </w:p>
        </w:tc>
        <w:tc>
          <w:tcPr>
            <w:tcW w:w="687" w:type="dxa"/>
            <w:noWrap w:val="0"/>
            <w:vAlign w:val="center"/>
          </w:tcPr>
          <w:p w14:paraId="12811790">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568" w:type="dxa"/>
            <w:noWrap w:val="0"/>
            <w:vAlign w:val="center"/>
          </w:tcPr>
          <w:p w14:paraId="54BE66B0">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3FF62AC0">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63FCDA30">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54DD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0" w:type="dxa"/>
            <w:noWrap w:val="0"/>
            <w:vAlign w:val="center"/>
          </w:tcPr>
          <w:p w14:paraId="5314F4F6">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w:t>
            </w:r>
          </w:p>
        </w:tc>
        <w:tc>
          <w:tcPr>
            <w:tcW w:w="893" w:type="dxa"/>
            <w:noWrap w:val="0"/>
            <w:vAlign w:val="center"/>
          </w:tcPr>
          <w:p w14:paraId="688F5796">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阴极缓冲液</w:t>
            </w:r>
          </w:p>
        </w:tc>
        <w:tc>
          <w:tcPr>
            <w:tcW w:w="5324" w:type="dxa"/>
            <w:noWrap w:val="0"/>
            <w:vAlign w:val="top"/>
          </w:tcPr>
          <w:p w14:paraId="195ACB1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CathodeBufferContainer(CBC),4盒/套，槽中预装1xl缓冲液，以维持离子源及电泳中正确的PH3500系统上最多进样120次，或3500xl系统上最多进样50次</w:t>
            </w:r>
          </w:p>
        </w:tc>
        <w:tc>
          <w:tcPr>
            <w:tcW w:w="916" w:type="dxa"/>
            <w:noWrap w:val="0"/>
            <w:vAlign w:val="center"/>
          </w:tcPr>
          <w:p w14:paraId="3992BCA2">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4盒/套</w:t>
            </w:r>
          </w:p>
        </w:tc>
        <w:tc>
          <w:tcPr>
            <w:tcW w:w="687" w:type="dxa"/>
            <w:noWrap w:val="0"/>
            <w:vAlign w:val="center"/>
          </w:tcPr>
          <w:p w14:paraId="7E4AC0C9">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568" w:type="dxa"/>
            <w:noWrap w:val="0"/>
            <w:vAlign w:val="center"/>
          </w:tcPr>
          <w:p w14:paraId="6D5D8107">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盒</w:t>
            </w:r>
          </w:p>
        </w:tc>
        <w:tc>
          <w:tcPr>
            <w:tcW w:w="785" w:type="dxa"/>
            <w:noWrap w:val="0"/>
            <w:vAlign w:val="center"/>
          </w:tcPr>
          <w:p w14:paraId="3E319B18">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p>
        </w:tc>
        <w:tc>
          <w:tcPr>
            <w:tcW w:w="818" w:type="dxa"/>
            <w:noWrap w:val="0"/>
            <w:vAlign w:val="center"/>
          </w:tcPr>
          <w:p w14:paraId="5DE1B59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p>
        </w:tc>
      </w:tr>
      <w:tr w14:paraId="3EF1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70" w:type="dxa"/>
            <w:noWrap w:val="0"/>
            <w:vAlign w:val="center"/>
          </w:tcPr>
          <w:p w14:paraId="3559B711">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7</w:t>
            </w:r>
          </w:p>
        </w:tc>
        <w:tc>
          <w:tcPr>
            <w:tcW w:w="893" w:type="dxa"/>
            <w:noWrap w:val="0"/>
            <w:vAlign w:val="center"/>
          </w:tcPr>
          <w:p w14:paraId="507DF0B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阳极缓冲液</w:t>
            </w:r>
          </w:p>
        </w:tc>
        <w:tc>
          <w:tcPr>
            <w:tcW w:w="5324" w:type="dxa"/>
            <w:noWrap w:val="0"/>
            <w:vAlign w:val="top"/>
          </w:tcPr>
          <w:p w14:paraId="5A2AB83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Anode Buffer Container(ABC),4盒/套，槽中预装1xl缓冲液，以维持离子源及电泳中正确的PH3500系统上最多进样120次，或3500xl系统上最多进样50次。</w:t>
            </w:r>
          </w:p>
        </w:tc>
        <w:tc>
          <w:tcPr>
            <w:tcW w:w="916" w:type="dxa"/>
            <w:noWrap w:val="0"/>
            <w:vAlign w:val="center"/>
          </w:tcPr>
          <w:p w14:paraId="0EC4C08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4盒/套</w:t>
            </w:r>
          </w:p>
        </w:tc>
        <w:tc>
          <w:tcPr>
            <w:tcW w:w="687" w:type="dxa"/>
            <w:noWrap w:val="0"/>
            <w:vAlign w:val="center"/>
          </w:tcPr>
          <w:p w14:paraId="6C884E13">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568" w:type="dxa"/>
            <w:noWrap w:val="0"/>
            <w:vAlign w:val="center"/>
          </w:tcPr>
          <w:p w14:paraId="519BE65B">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盒</w:t>
            </w:r>
          </w:p>
        </w:tc>
        <w:tc>
          <w:tcPr>
            <w:tcW w:w="785" w:type="dxa"/>
            <w:noWrap w:val="0"/>
            <w:vAlign w:val="center"/>
          </w:tcPr>
          <w:p w14:paraId="2780D515">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p>
        </w:tc>
        <w:tc>
          <w:tcPr>
            <w:tcW w:w="818" w:type="dxa"/>
            <w:noWrap w:val="0"/>
            <w:vAlign w:val="center"/>
          </w:tcPr>
          <w:p w14:paraId="1F9343E5">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p>
        </w:tc>
      </w:tr>
      <w:tr w14:paraId="041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70" w:type="dxa"/>
            <w:noWrap w:val="0"/>
            <w:vAlign w:val="center"/>
          </w:tcPr>
          <w:p w14:paraId="3D04C2CD">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93" w:type="dxa"/>
            <w:noWrap w:val="0"/>
            <w:vAlign w:val="center"/>
          </w:tcPr>
          <w:p w14:paraId="20A9872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POP4</w:t>
            </w:r>
          </w:p>
          <w:p w14:paraId="607EDAF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分离胶</w:t>
            </w:r>
          </w:p>
        </w:tc>
        <w:tc>
          <w:tcPr>
            <w:tcW w:w="5324" w:type="dxa"/>
            <w:noWrap w:val="0"/>
            <w:vAlign w:val="top"/>
          </w:tcPr>
          <w:p w14:paraId="7340C84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1、Pop4胶，适用于3500系列测序仪。</w:t>
            </w:r>
          </w:p>
          <w:p w14:paraId="6DD0FBE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2、即插即用型，进样即可运行。具有RFID标签，实时监控使用信息。</w:t>
            </w:r>
          </w:p>
          <w:p w14:paraId="2814B94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3、每盒可用384个样品的液体分离胶，用于法医STR分析。</w:t>
            </w:r>
          </w:p>
        </w:tc>
        <w:tc>
          <w:tcPr>
            <w:tcW w:w="916" w:type="dxa"/>
            <w:noWrap w:val="0"/>
            <w:vAlign w:val="center"/>
          </w:tcPr>
          <w:p w14:paraId="33B63BC8">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384次/盒</w:t>
            </w:r>
          </w:p>
        </w:tc>
        <w:tc>
          <w:tcPr>
            <w:tcW w:w="687" w:type="dxa"/>
            <w:noWrap w:val="0"/>
            <w:vAlign w:val="center"/>
          </w:tcPr>
          <w:p w14:paraId="2DE082E4">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68" w:type="dxa"/>
            <w:noWrap w:val="0"/>
            <w:vAlign w:val="center"/>
          </w:tcPr>
          <w:p w14:paraId="0B5145B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0DB7BAE7">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21F0EE74">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7B67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70" w:type="dxa"/>
            <w:noWrap w:val="0"/>
            <w:vAlign w:val="center"/>
          </w:tcPr>
          <w:p w14:paraId="1BB03176">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893" w:type="dxa"/>
            <w:noWrap w:val="0"/>
            <w:vAlign w:val="center"/>
          </w:tcPr>
          <w:p w14:paraId="5D5FAF5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微量硅珠提取试剂盒</w:t>
            </w:r>
          </w:p>
        </w:tc>
        <w:tc>
          <w:tcPr>
            <w:tcW w:w="5324" w:type="dxa"/>
            <w:noWrap w:val="0"/>
            <w:vAlign w:val="top"/>
          </w:tcPr>
          <w:p w14:paraId="06AFEE6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1、试剂盒由离心筛收集管、核酸吸附柱收集管、裂解液、结合液、漂洗液、洗脱液、Carrier DNA组成。</w:t>
            </w:r>
          </w:p>
          <w:p w14:paraId="16DD049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2、能够对微量脱落细胞进行核酸提取，适用于案件检材，单个样本处理时间45-50分钟；</w:t>
            </w:r>
          </w:p>
          <w:p w14:paraId="027147E6">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3、离心柱硅膜法，含carrier DNA;</w:t>
            </w:r>
          </w:p>
          <w:p w14:paraId="25AA154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4、提取DNA产物O D 260/280＞1.8；</w:t>
            </w:r>
          </w:p>
          <w:p w14:paraId="5AE7949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5、96人份/盒及以上。</w:t>
            </w:r>
          </w:p>
        </w:tc>
        <w:tc>
          <w:tcPr>
            <w:tcW w:w="916" w:type="dxa"/>
            <w:noWrap w:val="0"/>
            <w:vAlign w:val="center"/>
          </w:tcPr>
          <w:p w14:paraId="54E4C7B0">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100人份/盒</w:t>
            </w:r>
          </w:p>
        </w:tc>
        <w:tc>
          <w:tcPr>
            <w:tcW w:w="687" w:type="dxa"/>
            <w:noWrap w:val="0"/>
            <w:vAlign w:val="center"/>
          </w:tcPr>
          <w:p w14:paraId="5595E591">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006D19D8">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7A63128A">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3B7F37D7">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048F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70" w:type="dxa"/>
            <w:noWrap w:val="0"/>
            <w:vAlign w:val="center"/>
          </w:tcPr>
          <w:p w14:paraId="47955359">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93" w:type="dxa"/>
            <w:noWrap w:val="0"/>
            <w:vAlign w:val="center"/>
          </w:tcPr>
          <w:p w14:paraId="423B516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分子量标准品</w:t>
            </w:r>
          </w:p>
        </w:tc>
        <w:tc>
          <w:tcPr>
            <w:tcW w:w="5324" w:type="dxa"/>
            <w:noWrap w:val="0"/>
            <w:vAlign w:val="top"/>
          </w:tcPr>
          <w:p w14:paraId="3F2CAE0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1、属于第五种染料标记的测量标准品，可对可重复的片段分析数据进行标定。</w:t>
            </w:r>
          </w:p>
          <w:p w14:paraId="58B5A73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2、用于标定大小在35-500个核苷酸范围的片段，提供以下长度的16种单链标记片段：35、50、75、100、139、150、160、200、250、300、340、350、400、450、490和500个核苷酸。</w:t>
            </w:r>
          </w:p>
          <w:p w14:paraId="17FFF98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3、每个DNA片段都由 LIZ® 荧光团标记，因此在变性条件下可形成单峰。使用第五种染料 LIZ® ，标记基因可以使用 FAM™, VIC®, NED™ 或 PET®进行标记。</w:t>
            </w:r>
          </w:p>
          <w:p w14:paraId="7ECF502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4、与四种染料系统相比，由第五种染料标记的这种标准能够帮助用户在一个给定的范围内对更大数量的标记进行基因分类。  </w:t>
            </w:r>
          </w:p>
        </w:tc>
        <w:tc>
          <w:tcPr>
            <w:tcW w:w="916" w:type="dxa"/>
            <w:noWrap w:val="0"/>
            <w:vAlign w:val="center"/>
          </w:tcPr>
          <w:p w14:paraId="211833A3">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800次/盒</w:t>
            </w:r>
          </w:p>
        </w:tc>
        <w:tc>
          <w:tcPr>
            <w:tcW w:w="687" w:type="dxa"/>
            <w:noWrap w:val="0"/>
            <w:vAlign w:val="center"/>
          </w:tcPr>
          <w:p w14:paraId="137973D8">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568" w:type="dxa"/>
            <w:noWrap w:val="0"/>
            <w:vAlign w:val="center"/>
          </w:tcPr>
          <w:p w14:paraId="3A31ACEA">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2DE1F35A">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5B5BCDE4">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28B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0AFCD3C8">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893" w:type="dxa"/>
            <w:noWrap w:val="0"/>
            <w:vAlign w:val="center"/>
          </w:tcPr>
          <w:p w14:paraId="1D1613C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96孔板</w:t>
            </w:r>
          </w:p>
        </w:tc>
        <w:tc>
          <w:tcPr>
            <w:tcW w:w="5324" w:type="dxa"/>
            <w:noWrap w:val="0"/>
            <w:vAlign w:val="top"/>
          </w:tcPr>
          <w:p w14:paraId="66FEBFE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1、无PCR抑制剂</w:t>
            </w:r>
          </w:p>
          <w:p w14:paraId="49C9118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2、可高压灭菌（120℃,20min）</w:t>
            </w:r>
          </w:p>
          <w:p w14:paraId="6DEF442D">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3、板上可有号码,适合各种多孔板配用仪器和自动控制装置,材质:聚丙烯.10片/盒</w:t>
            </w:r>
          </w:p>
        </w:tc>
        <w:tc>
          <w:tcPr>
            <w:tcW w:w="916" w:type="dxa"/>
            <w:noWrap w:val="0"/>
            <w:vAlign w:val="center"/>
          </w:tcPr>
          <w:p w14:paraId="7FA462EC">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10片/盒</w:t>
            </w:r>
          </w:p>
        </w:tc>
        <w:tc>
          <w:tcPr>
            <w:tcW w:w="687" w:type="dxa"/>
            <w:noWrap w:val="0"/>
            <w:vAlign w:val="center"/>
          </w:tcPr>
          <w:p w14:paraId="4E537C3B">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568" w:type="dxa"/>
            <w:noWrap w:val="0"/>
            <w:vAlign w:val="center"/>
          </w:tcPr>
          <w:p w14:paraId="1B3F76F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盒</w:t>
            </w:r>
          </w:p>
        </w:tc>
        <w:tc>
          <w:tcPr>
            <w:tcW w:w="785" w:type="dxa"/>
            <w:noWrap w:val="0"/>
            <w:vAlign w:val="center"/>
          </w:tcPr>
          <w:p w14:paraId="54135F6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p>
        </w:tc>
        <w:tc>
          <w:tcPr>
            <w:tcW w:w="818" w:type="dxa"/>
            <w:noWrap w:val="0"/>
            <w:vAlign w:val="center"/>
          </w:tcPr>
          <w:p w14:paraId="68460C47">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p>
        </w:tc>
      </w:tr>
      <w:tr w14:paraId="564B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0125E9A6">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93" w:type="dxa"/>
            <w:noWrap w:val="0"/>
            <w:vAlign w:val="center"/>
          </w:tcPr>
          <w:p w14:paraId="17BE4AE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96孔板热封膜</w:t>
            </w:r>
          </w:p>
        </w:tc>
        <w:tc>
          <w:tcPr>
            <w:tcW w:w="5324" w:type="dxa"/>
            <w:noWrap w:val="0"/>
            <w:vAlign w:val="top"/>
          </w:tcPr>
          <w:p w14:paraId="3F1EC1F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向实验室提供均匀一致的密封效果,适用９６孔PCR板热封,可以保护样品,以免样品在进行PCR实验或者储存时蒸发和被污染,100张/盒</w:t>
            </w:r>
          </w:p>
        </w:tc>
        <w:tc>
          <w:tcPr>
            <w:tcW w:w="916" w:type="dxa"/>
            <w:noWrap w:val="0"/>
            <w:vAlign w:val="center"/>
          </w:tcPr>
          <w:p w14:paraId="48129F07">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100张/盒</w:t>
            </w:r>
          </w:p>
        </w:tc>
        <w:tc>
          <w:tcPr>
            <w:tcW w:w="687" w:type="dxa"/>
            <w:noWrap w:val="0"/>
            <w:vAlign w:val="center"/>
          </w:tcPr>
          <w:p w14:paraId="7CFDA9C4">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568" w:type="dxa"/>
            <w:noWrap w:val="0"/>
            <w:vAlign w:val="center"/>
          </w:tcPr>
          <w:p w14:paraId="1E8BF52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6CF9C5A3">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4C902BE1">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5639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38CDDB8C">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893" w:type="dxa"/>
            <w:noWrap w:val="0"/>
            <w:vAlign w:val="center"/>
          </w:tcPr>
          <w:p w14:paraId="60FE70B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1000ul</w:t>
            </w:r>
          </w:p>
          <w:p w14:paraId="503F3E1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枪头</w:t>
            </w:r>
          </w:p>
        </w:tc>
        <w:tc>
          <w:tcPr>
            <w:tcW w:w="5324" w:type="dxa"/>
            <w:noWrap w:val="0"/>
            <w:vAlign w:val="center"/>
          </w:tcPr>
          <w:p w14:paraId="4EC2B43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1000/包、实验室专用耗材。</w:t>
            </w:r>
          </w:p>
        </w:tc>
        <w:tc>
          <w:tcPr>
            <w:tcW w:w="916" w:type="dxa"/>
            <w:noWrap w:val="0"/>
            <w:vAlign w:val="center"/>
          </w:tcPr>
          <w:p w14:paraId="3FB9BF93">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1000个/包</w:t>
            </w:r>
          </w:p>
        </w:tc>
        <w:tc>
          <w:tcPr>
            <w:tcW w:w="687" w:type="dxa"/>
            <w:noWrap w:val="0"/>
            <w:vAlign w:val="center"/>
          </w:tcPr>
          <w:p w14:paraId="126141EB">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6E04F71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6766B597">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51F08B90">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3510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6EC0A30E">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893" w:type="dxa"/>
            <w:noWrap w:val="0"/>
            <w:vAlign w:val="center"/>
          </w:tcPr>
          <w:p w14:paraId="31042CE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200ul</w:t>
            </w:r>
          </w:p>
          <w:p w14:paraId="4562C79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枪头</w:t>
            </w:r>
          </w:p>
        </w:tc>
        <w:tc>
          <w:tcPr>
            <w:tcW w:w="5324" w:type="dxa"/>
            <w:noWrap w:val="0"/>
            <w:vAlign w:val="center"/>
          </w:tcPr>
          <w:p w14:paraId="43735D6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1000/包、实验室专用耗材。</w:t>
            </w:r>
          </w:p>
        </w:tc>
        <w:tc>
          <w:tcPr>
            <w:tcW w:w="916" w:type="dxa"/>
            <w:noWrap w:val="0"/>
            <w:vAlign w:val="center"/>
          </w:tcPr>
          <w:p w14:paraId="2C46F63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1000个/包</w:t>
            </w:r>
          </w:p>
        </w:tc>
        <w:tc>
          <w:tcPr>
            <w:tcW w:w="687" w:type="dxa"/>
            <w:noWrap w:val="0"/>
            <w:vAlign w:val="center"/>
          </w:tcPr>
          <w:p w14:paraId="6995A3F9">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15B61792">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237AD49B">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166B6FEF">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00E3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04BE5A2A">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893" w:type="dxa"/>
            <w:noWrap w:val="0"/>
            <w:vAlign w:val="center"/>
          </w:tcPr>
          <w:p w14:paraId="3CCF090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10ul</w:t>
            </w:r>
          </w:p>
          <w:p w14:paraId="797766B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枪头</w:t>
            </w:r>
          </w:p>
        </w:tc>
        <w:tc>
          <w:tcPr>
            <w:tcW w:w="5324" w:type="dxa"/>
            <w:noWrap w:val="0"/>
            <w:vAlign w:val="center"/>
          </w:tcPr>
          <w:p w14:paraId="3AF1A6B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1000/包、实验室专用耗材。</w:t>
            </w:r>
          </w:p>
        </w:tc>
        <w:tc>
          <w:tcPr>
            <w:tcW w:w="916" w:type="dxa"/>
            <w:noWrap w:val="0"/>
            <w:vAlign w:val="center"/>
          </w:tcPr>
          <w:p w14:paraId="5B32FC0D">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1000个/包</w:t>
            </w:r>
          </w:p>
        </w:tc>
        <w:tc>
          <w:tcPr>
            <w:tcW w:w="687" w:type="dxa"/>
            <w:noWrap w:val="0"/>
            <w:vAlign w:val="center"/>
          </w:tcPr>
          <w:p w14:paraId="10D66278">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61A0A8F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1D233EE6">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67656541">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42F1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4A0206F0">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893" w:type="dxa"/>
            <w:noWrap w:val="0"/>
            <w:vAlign w:val="center"/>
          </w:tcPr>
          <w:p w14:paraId="2E4B396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蛋白酶K</w:t>
            </w:r>
          </w:p>
        </w:tc>
        <w:tc>
          <w:tcPr>
            <w:tcW w:w="5324" w:type="dxa"/>
            <w:noWrap w:val="0"/>
            <w:vAlign w:val="center"/>
          </w:tcPr>
          <w:p w14:paraId="63B0E17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100mg/瓶，实验室专用耗材。</w:t>
            </w:r>
          </w:p>
        </w:tc>
        <w:tc>
          <w:tcPr>
            <w:tcW w:w="916" w:type="dxa"/>
            <w:noWrap w:val="0"/>
            <w:vAlign w:val="center"/>
          </w:tcPr>
          <w:p w14:paraId="56375D1F">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100mg/瓶</w:t>
            </w:r>
          </w:p>
        </w:tc>
        <w:tc>
          <w:tcPr>
            <w:tcW w:w="687" w:type="dxa"/>
            <w:noWrap w:val="0"/>
            <w:vAlign w:val="center"/>
          </w:tcPr>
          <w:p w14:paraId="44E92E32">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568" w:type="dxa"/>
            <w:noWrap w:val="0"/>
            <w:vAlign w:val="center"/>
          </w:tcPr>
          <w:p w14:paraId="43E2D328">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瓶</w:t>
            </w:r>
          </w:p>
        </w:tc>
        <w:tc>
          <w:tcPr>
            <w:tcW w:w="785" w:type="dxa"/>
            <w:noWrap w:val="0"/>
            <w:vAlign w:val="center"/>
          </w:tcPr>
          <w:p w14:paraId="47CB6EED">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4A8582D2">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1CE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0AF921DD">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893" w:type="dxa"/>
            <w:noWrap w:val="0"/>
            <w:vAlign w:val="center"/>
          </w:tcPr>
          <w:p w14:paraId="1216EB8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Chelex 100</w:t>
            </w:r>
          </w:p>
        </w:tc>
        <w:tc>
          <w:tcPr>
            <w:tcW w:w="5324" w:type="dxa"/>
            <w:noWrap w:val="0"/>
            <w:vAlign w:val="center"/>
          </w:tcPr>
          <w:p w14:paraId="7FD79A8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50g/瓶，DNA 提取材料,实验室专用耗材。</w:t>
            </w:r>
          </w:p>
        </w:tc>
        <w:tc>
          <w:tcPr>
            <w:tcW w:w="916" w:type="dxa"/>
            <w:noWrap w:val="0"/>
            <w:vAlign w:val="center"/>
          </w:tcPr>
          <w:p w14:paraId="564FD5A5">
            <w:pPr>
              <w:keepNext w:val="0"/>
              <w:keepLines w:val="0"/>
              <w:widowControl/>
              <w:suppressLineNumbers w:val="0"/>
              <w:spacing w:line="240" w:lineRule="auto"/>
              <w:ind w:left="0" w:leftChars="0" w:firstLine="0" w:firstLineChars="0"/>
              <w:jc w:val="both"/>
              <w:textAlignment w:val="top"/>
              <w:rPr>
                <w:rFonts w:hint="default"/>
                <w:color w:val="auto"/>
                <w:lang w:val="en-US" w:eastAsia="zh-CN"/>
              </w:rPr>
            </w:pPr>
            <w:r>
              <w:rPr>
                <w:rFonts w:hint="eastAsia" w:ascii="宋体" w:hAnsi="宋体" w:cs="宋体"/>
                <w:i w:val="0"/>
                <w:iCs w:val="0"/>
                <w:color w:val="auto"/>
                <w:kern w:val="0"/>
                <w:sz w:val="20"/>
                <w:szCs w:val="20"/>
                <w:u w:val="none"/>
                <w:lang w:val="en-US" w:eastAsia="zh-CN" w:bidi="ar"/>
              </w:rPr>
              <w:t>50g/瓶</w:t>
            </w:r>
          </w:p>
        </w:tc>
        <w:tc>
          <w:tcPr>
            <w:tcW w:w="687" w:type="dxa"/>
            <w:noWrap w:val="0"/>
            <w:vAlign w:val="center"/>
          </w:tcPr>
          <w:p w14:paraId="233A51F7">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1AAC5982">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瓶</w:t>
            </w:r>
          </w:p>
        </w:tc>
        <w:tc>
          <w:tcPr>
            <w:tcW w:w="785" w:type="dxa"/>
            <w:noWrap w:val="0"/>
            <w:vAlign w:val="center"/>
          </w:tcPr>
          <w:p w14:paraId="04E0C245">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14384DDE">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90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49DEA72C">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893" w:type="dxa"/>
            <w:noWrap w:val="0"/>
            <w:vAlign w:val="center"/>
          </w:tcPr>
          <w:p w14:paraId="348C4EC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1.5ml</w:t>
            </w:r>
          </w:p>
          <w:p w14:paraId="793772B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离心管</w:t>
            </w:r>
          </w:p>
        </w:tc>
        <w:tc>
          <w:tcPr>
            <w:tcW w:w="5324" w:type="dxa"/>
            <w:noWrap w:val="0"/>
            <w:vAlign w:val="center"/>
          </w:tcPr>
          <w:p w14:paraId="4DE127D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1000个/盒、实验室专用耗材。</w:t>
            </w:r>
          </w:p>
        </w:tc>
        <w:tc>
          <w:tcPr>
            <w:tcW w:w="916" w:type="dxa"/>
            <w:noWrap w:val="0"/>
            <w:vAlign w:val="center"/>
          </w:tcPr>
          <w:p w14:paraId="6103005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1000个/盒</w:t>
            </w:r>
          </w:p>
        </w:tc>
        <w:tc>
          <w:tcPr>
            <w:tcW w:w="687" w:type="dxa"/>
            <w:noWrap w:val="0"/>
            <w:vAlign w:val="center"/>
          </w:tcPr>
          <w:p w14:paraId="3F22D9E9">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13B674AC">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27112134">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5D95D3A9">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422E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7A62D60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893" w:type="dxa"/>
            <w:noWrap w:val="0"/>
            <w:vAlign w:val="center"/>
          </w:tcPr>
          <w:p w14:paraId="7E724F4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甲酰胺</w:t>
            </w:r>
          </w:p>
        </w:tc>
        <w:tc>
          <w:tcPr>
            <w:tcW w:w="5324" w:type="dxa"/>
            <w:noWrap w:val="0"/>
            <w:vAlign w:val="center"/>
          </w:tcPr>
          <w:p w14:paraId="2BB3BF7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zh-CN" w:eastAsia="zh-CN" w:bidi="ar"/>
              </w:rPr>
              <w:t>用于DNA链变性，为高纯度去离子试剂、25ml/瓶</w:t>
            </w:r>
          </w:p>
        </w:tc>
        <w:tc>
          <w:tcPr>
            <w:tcW w:w="916" w:type="dxa"/>
            <w:noWrap w:val="0"/>
            <w:vAlign w:val="center"/>
          </w:tcPr>
          <w:p w14:paraId="28561C5E">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25ml/瓶</w:t>
            </w:r>
          </w:p>
        </w:tc>
        <w:tc>
          <w:tcPr>
            <w:tcW w:w="687" w:type="dxa"/>
            <w:noWrap w:val="0"/>
            <w:vAlign w:val="center"/>
          </w:tcPr>
          <w:p w14:paraId="19C70350">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568" w:type="dxa"/>
            <w:noWrap w:val="0"/>
            <w:vAlign w:val="center"/>
          </w:tcPr>
          <w:p w14:paraId="0F132BAD">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瓶</w:t>
            </w:r>
          </w:p>
        </w:tc>
        <w:tc>
          <w:tcPr>
            <w:tcW w:w="785" w:type="dxa"/>
            <w:noWrap w:val="0"/>
            <w:vAlign w:val="center"/>
          </w:tcPr>
          <w:p w14:paraId="64795A9C">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13912842">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0544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70DC1490">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93" w:type="dxa"/>
            <w:noWrap w:val="0"/>
            <w:vAlign w:val="center"/>
          </w:tcPr>
          <w:p w14:paraId="2D1C4F96">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二糖硫苏（SDS）</w:t>
            </w:r>
          </w:p>
        </w:tc>
        <w:tc>
          <w:tcPr>
            <w:tcW w:w="5324" w:type="dxa"/>
            <w:noWrap w:val="0"/>
            <w:vAlign w:val="center"/>
          </w:tcPr>
          <w:p w14:paraId="01D0AE8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100g/瓶，分析纯 DNA 提取过程中使蛋白质变性后与 DNA 分开,实验室专用耗材。</w:t>
            </w:r>
          </w:p>
        </w:tc>
        <w:tc>
          <w:tcPr>
            <w:tcW w:w="916" w:type="dxa"/>
            <w:noWrap w:val="0"/>
            <w:vAlign w:val="center"/>
          </w:tcPr>
          <w:p w14:paraId="37F3C6CB">
            <w:pPr>
              <w:keepNext w:val="0"/>
              <w:keepLines w:val="0"/>
              <w:widowControl/>
              <w:suppressLineNumbers w:val="0"/>
              <w:spacing w:line="240" w:lineRule="auto"/>
              <w:ind w:left="0" w:leftChars="0" w:firstLine="0" w:firstLineChars="0"/>
              <w:jc w:val="both"/>
              <w:textAlignment w:val="top"/>
              <w:rPr>
                <w:rFonts w:hint="default"/>
                <w:color w:val="auto"/>
                <w:lang w:val="en-US" w:eastAsia="zh-CN"/>
              </w:rPr>
            </w:pPr>
            <w:r>
              <w:rPr>
                <w:rFonts w:hint="eastAsia" w:ascii="宋体" w:hAnsi="宋体" w:cs="宋体"/>
                <w:i w:val="0"/>
                <w:iCs w:val="0"/>
                <w:color w:val="auto"/>
                <w:kern w:val="0"/>
                <w:sz w:val="20"/>
                <w:szCs w:val="20"/>
                <w:u w:val="none"/>
                <w:lang w:val="en-US" w:eastAsia="zh-CN" w:bidi="ar"/>
              </w:rPr>
              <w:t>100g/瓶</w:t>
            </w:r>
          </w:p>
        </w:tc>
        <w:tc>
          <w:tcPr>
            <w:tcW w:w="687" w:type="dxa"/>
            <w:noWrap w:val="0"/>
            <w:vAlign w:val="center"/>
          </w:tcPr>
          <w:p w14:paraId="0A894B03">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18126FA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瓶</w:t>
            </w:r>
          </w:p>
        </w:tc>
        <w:tc>
          <w:tcPr>
            <w:tcW w:w="785" w:type="dxa"/>
            <w:noWrap w:val="0"/>
            <w:vAlign w:val="center"/>
          </w:tcPr>
          <w:p w14:paraId="53482B57">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79841A39">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r>
      <w:tr w14:paraId="6423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67A08363">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893" w:type="dxa"/>
            <w:noWrap w:val="0"/>
            <w:vAlign w:val="center"/>
          </w:tcPr>
          <w:p w14:paraId="2DF8E8F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DTT</w:t>
            </w:r>
          </w:p>
        </w:tc>
        <w:tc>
          <w:tcPr>
            <w:tcW w:w="5324" w:type="dxa"/>
            <w:noWrap w:val="0"/>
            <w:vAlign w:val="center"/>
          </w:tcPr>
          <w:p w14:paraId="40218AFC">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5g/瓶，分析纯，DNA 提取过程中使蛋白质变性后与 DNA 分开。</w:t>
            </w:r>
          </w:p>
        </w:tc>
        <w:tc>
          <w:tcPr>
            <w:tcW w:w="916" w:type="dxa"/>
            <w:noWrap w:val="0"/>
            <w:vAlign w:val="center"/>
          </w:tcPr>
          <w:p w14:paraId="45C46F0E">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5g/瓶</w:t>
            </w:r>
          </w:p>
        </w:tc>
        <w:tc>
          <w:tcPr>
            <w:tcW w:w="687" w:type="dxa"/>
            <w:noWrap w:val="0"/>
            <w:vAlign w:val="center"/>
          </w:tcPr>
          <w:p w14:paraId="3BDD7189">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420DFABD">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瓶</w:t>
            </w:r>
          </w:p>
        </w:tc>
        <w:tc>
          <w:tcPr>
            <w:tcW w:w="785" w:type="dxa"/>
            <w:noWrap w:val="0"/>
            <w:vAlign w:val="center"/>
          </w:tcPr>
          <w:p w14:paraId="0E52A5B7">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481F9782">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r>
      <w:tr w14:paraId="627A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1FA200AA">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893" w:type="dxa"/>
            <w:noWrap w:val="0"/>
            <w:vAlign w:val="center"/>
          </w:tcPr>
          <w:p w14:paraId="1CD7D20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丁晴手套</w:t>
            </w:r>
          </w:p>
        </w:tc>
        <w:tc>
          <w:tcPr>
            <w:tcW w:w="5324" w:type="dxa"/>
            <w:noWrap w:val="0"/>
            <w:vAlign w:val="center"/>
          </w:tcPr>
          <w:p w14:paraId="6C8A61B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用于添加试剂和日常操作，10包/箱</w:t>
            </w:r>
          </w:p>
        </w:tc>
        <w:tc>
          <w:tcPr>
            <w:tcW w:w="916" w:type="dxa"/>
            <w:noWrap w:val="0"/>
            <w:vAlign w:val="center"/>
          </w:tcPr>
          <w:p w14:paraId="45F3537C">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100只/包，10包/箱</w:t>
            </w:r>
          </w:p>
        </w:tc>
        <w:tc>
          <w:tcPr>
            <w:tcW w:w="687" w:type="dxa"/>
            <w:noWrap w:val="0"/>
            <w:vAlign w:val="center"/>
          </w:tcPr>
          <w:p w14:paraId="1AA03ADB">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568" w:type="dxa"/>
            <w:noWrap w:val="0"/>
            <w:vAlign w:val="center"/>
          </w:tcPr>
          <w:p w14:paraId="71A5B0C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箱</w:t>
            </w:r>
          </w:p>
        </w:tc>
        <w:tc>
          <w:tcPr>
            <w:tcW w:w="785" w:type="dxa"/>
            <w:noWrap w:val="0"/>
            <w:vAlign w:val="center"/>
          </w:tcPr>
          <w:p w14:paraId="5BBFCC22">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p>
        </w:tc>
        <w:tc>
          <w:tcPr>
            <w:tcW w:w="818" w:type="dxa"/>
            <w:noWrap w:val="0"/>
            <w:vAlign w:val="center"/>
          </w:tcPr>
          <w:p w14:paraId="7B6EEFB9">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highlight w:val="none"/>
                <w:u w:val="none"/>
                <w:lang w:val="en-US" w:eastAsia="zh-CN" w:bidi="ar"/>
              </w:rPr>
            </w:pPr>
          </w:p>
        </w:tc>
      </w:tr>
      <w:tr w14:paraId="034B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028F056B">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893" w:type="dxa"/>
            <w:noWrap w:val="0"/>
            <w:vAlign w:val="center"/>
          </w:tcPr>
          <w:p w14:paraId="3D41654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一次性CPE手套</w:t>
            </w:r>
          </w:p>
        </w:tc>
        <w:tc>
          <w:tcPr>
            <w:tcW w:w="5324" w:type="dxa"/>
            <w:noWrap w:val="0"/>
            <w:vAlign w:val="center"/>
          </w:tcPr>
          <w:p w14:paraId="030338B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用于添加试剂和日常操作。</w:t>
            </w:r>
            <w:r>
              <w:rPr>
                <w:rFonts w:hint="eastAsia" w:ascii="宋体" w:hAnsi="宋体" w:cs="宋体"/>
                <w:i w:val="0"/>
                <w:iCs w:val="0"/>
                <w:color w:val="auto"/>
                <w:kern w:val="0"/>
                <w:sz w:val="20"/>
                <w:szCs w:val="20"/>
                <w:u w:val="none"/>
                <w:lang w:val="en-US" w:eastAsia="zh-CN" w:bidi="ar"/>
              </w:rPr>
              <w:t>50只</w:t>
            </w:r>
            <w:r>
              <w:rPr>
                <w:rFonts w:hint="eastAsia" w:ascii="宋体" w:hAnsi="宋体" w:eastAsia="宋体" w:cs="宋体"/>
                <w:i w:val="0"/>
                <w:iCs w:val="0"/>
                <w:color w:val="auto"/>
                <w:kern w:val="0"/>
                <w:sz w:val="20"/>
                <w:szCs w:val="20"/>
                <w:u w:val="none"/>
                <w:lang w:val="en-US" w:eastAsia="zh-CN" w:bidi="ar"/>
              </w:rPr>
              <w:t>/包</w:t>
            </w:r>
          </w:p>
        </w:tc>
        <w:tc>
          <w:tcPr>
            <w:tcW w:w="916" w:type="dxa"/>
            <w:noWrap w:val="0"/>
            <w:vAlign w:val="center"/>
          </w:tcPr>
          <w:p w14:paraId="760A89C1">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50只/包,50包/箱</w:t>
            </w:r>
          </w:p>
        </w:tc>
        <w:tc>
          <w:tcPr>
            <w:tcW w:w="687" w:type="dxa"/>
            <w:noWrap w:val="0"/>
            <w:vAlign w:val="center"/>
          </w:tcPr>
          <w:p w14:paraId="06BF89A2">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568" w:type="dxa"/>
            <w:noWrap w:val="0"/>
            <w:vAlign w:val="center"/>
          </w:tcPr>
          <w:p w14:paraId="4A1162FA">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027E1FD4">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093A7889">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r>
      <w:tr w14:paraId="1DE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2E163E14">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893" w:type="dxa"/>
            <w:noWrap w:val="0"/>
            <w:vAlign w:val="center"/>
          </w:tcPr>
          <w:p w14:paraId="02A2552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一次性口罩</w:t>
            </w:r>
          </w:p>
        </w:tc>
        <w:tc>
          <w:tcPr>
            <w:tcW w:w="5324" w:type="dxa"/>
            <w:noWrap w:val="0"/>
            <w:vAlign w:val="center"/>
          </w:tcPr>
          <w:p w14:paraId="5348454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轻便，舒适，无味，呼吸阻力要小，</w:t>
            </w: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0 个/包。</w:t>
            </w:r>
          </w:p>
        </w:tc>
        <w:tc>
          <w:tcPr>
            <w:tcW w:w="916" w:type="dxa"/>
            <w:noWrap w:val="0"/>
            <w:vAlign w:val="center"/>
          </w:tcPr>
          <w:p w14:paraId="41755BE1">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10个/包</w:t>
            </w:r>
          </w:p>
        </w:tc>
        <w:tc>
          <w:tcPr>
            <w:tcW w:w="687" w:type="dxa"/>
            <w:noWrap w:val="0"/>
            <w:vAlign w:val="center"/>
          </w:tcPr>
          <w:p w14:paraId="4CF10CED">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w:t>
            </w:r>
          </w:p>
        </w:tc>
        <w:tc>
          <w:tcPr>
            <w:tcW w:w="568" w:type="dxa"/>
            <w:noWrap w:val="0"/>
            <w:vAlign w:val="center"/>
          </w:tcPr>
          <w:p w14:paraId="3FF56D0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008E714C">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367C1B4E">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78C5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70" w:type="dxa"/>
            <w:noWrap w:val="0"/>
            <w:vAlign w:val="center"/>
          </w:tcPr>
          <w:p w14:paraId="5AA51647">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893" w:type="dxa"/>
            <w:noWrap w:val="0"/>
            <w:vAlign w:val="center"/>
          </w:tcPr>
          <w:p w14:paraId="7D4A19B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脱落细胞粘取器</w:t>
            </w:r>
          </w:p>
        </w:tc>
        <w:tc>
          <w:tcPr>
            <w:tcW w:w="5324" w:type="dxa"/>
            <w:noWrap w:val="0"/>
            <w:vAlign w:val="center"/>
          </w:tcPr>
          <w:p w14:paraId="606236D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用于检材的粘取，100个/盒，实验室专用耗材</w:t>
            </w:r>
          </w:p>
        </w:tc>
        <w:tc>
          <w:tcPr>
            <w:tcW w:w="916" w:type="dxa"/>
            <w:noWrap w:val="0"/>
            <w:vAlign w:val="center"/>
          </w:tcPr>
          <w:p w14:paraId="77F0AE70">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100个/盒</w:t>
            </w:r>
          </w:p>
        </w:tc>
        <w:tc>
          <w:tcPr>
            <w:tcW w:w="687" w:type="dxa"/>
            <w:noWrap w:val="0"/>
            <w:vAlign w:val="center"/>
          </w:tcPr>
          <w:p w14:paraId="34187561">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568" w:type="dxa"/>
            <w:noWrap w:val="0"/>
            <w:vAlign w:val="center"/>
          </w:tcPr>
          <w:p w14:paraId="09EE9231">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6021C9A0">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37D6FA1C">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718E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70" w:type="dxa"/>
            <w:noWrap w:val="0"/>
            <w:vAlign w:val="center"/>
          </w:tcPr>
          <w:p w14:paraId="79CF28FD">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893" w:type="dxa"/>
            <w:noWrap w:val="0"/>
            <w:vAlign w:val="center"/>
          </w:tcPr>
          <w:p w14:paraId="765B976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擦拭棉签</w:t>
            </w:r>
          </w:p>
        </w:tc>
        <w:tc>
          <w:tcPr>
            <w:tcW w:w="5324" w:type="dxa"/>
            <w:noWrap w:val="0"/>
            <w:vAlign w:val="center"/>
          </w:tcPr>
          <w:p w14:paraId="2BFDA1C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1.根据解剖学和人体工程学原理设计，专门为犯罪现场采集口腔细胞、唾液、精液、血斑、皮屑等检材设计。</w:t>
            </w:r>
          </w:p>
          <w:p w14:paraId="3803271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2.采用专利技术的尼龙纤维植绒填充技术，可最大限度的提高DNA采集和洗脱效率</w:t>
            </w:r>
          </w:p>
          <w:p w14:paraId="41A231B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3.新颖的折点设计，让拭子轻松折断并进入管中，更加便于操作</w:t>
            </w:r>
          </w:p>
          <w:p w14:paraId="2AA2FFB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4.最大限度的样本洗脱及转移，对微量DNA样本采集尤为出色</w:t>
            </w:r>
          </w:p>
          <w:p w14:paraId="6DEC07B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 经过抗菌剂的特殊处理，防止微生物污染</w:t>
            </w:r>
          </w:p>
          <w:p w14:paraId="272B5CC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 GMP标准生产，封闭式包装，无菌、无酶、无抑制剂，保证结果可靠</w:t>
            </w:r>
          </w:p>
          <w:p w14:paraId="7B3C549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7.不再需要样品干燥，由于较强的抗菌作用，样本无需干燥，即可直接转移至管中，可承受更潮湿的条件</w:t>
            </w:r>
          </w:p>
          <w:p w14:paraId="2ADA1BC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8.50只/盒</w:t>
            </w:r>
          </w:p>
        </w:tc>
        <w:tc>
          <w:tcPr>
            <w:tcW w:w="916" w:type="dxa"/>
            <w:noWrap w:val="0"/>
            <w:vAlign w:val="center"/>
          </w:tcPr>
          <w:p w14:paraId="027D2808">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50只/盒</w:t>
            </w:r>
          </w:p>
        </w:tc>
        <w:tc>
          <w:tcPr>
            <w:tcW w:w="687" w:type="dxa"/>
            <w:noWrap w:val="0"/>
            <w:vAlign w:val="center"/>
          </w:tcPr>
          <w:p w14:paraId="29E8825C">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568" w:type="dxa"/>
            <w:noWrap w:val="0"/>
            <w:vAlign w:val="center"/>
          </w:tcPr>
          <w:p w14:paraId="2F22986A">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2CB1E83E">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44B7D5D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50F7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70" w:type="dxa"/>
            <w:noWrap w:val="0"/>
            <w:vAlign w:val="center"/>
          </w:tcPr>
          <w:p w14:paraId="54C80E15">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893" w:type="dxa"/>
            <w:noWrap w:val="0"/>
            <w:vAlign w:val="center"/>
          </w:tcPr>
          <w:p w14:paraId="61E02DA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八道</w:t>
            </w:r>
          </w:p>
          <w:p w14:paraId="23562C3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毛细管</w:t>
            </w:r>
          </w:p>
        </w:tc>
        <w:tc>
          <w:tcPr>
            <w:tcW w:w="5324" w:type="dxa"/>
            <w:noWrap w:val="0"/>
            <w:vAlign w:val="center"/>
          </w:tcPr>
          <w:p w14:paraId="633F507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8根36厘米毛细管，内壁无涂层，3500型DNA测序仪适用</w:t>
            </w:r>
          </w:p>
        </w:tc>
        <w:tc>
          <w:tcPr>
            <w:tcW w:w="916" w:type="dxa"/>
            <w:noWrap w:val="0"/>
            <w:vAlign w:val="center"/>
          </w:tcPr>
          <w:p w14:paraId="539B92F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36cm*8根</w:t>
            </w:r>
          </w:p>
        </w:tc>
        <w:tc>
          <w:tcPr>
            <w:tcW w:w="687" w:type="dxa"/>
            <w:noWrap w:val="0"/>
            <w:vAlign w:val="center"/>
          </w:tcPr>
          <w:p w14:paraId="5F130EDC">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3FCD4283">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套</w:t>
            </w:r>
          </w:p>
        </w:tc>
        <w:tc>
          <w:tcPr>
            <w:tcW w:w="785" w:type="dxa"/>
            <w:noWrap w:val="0"/>
            <w:vAlign w:val="center"/>
          </w:tcPr>
          <w:p w14:paraId="01DE755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1314A2F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EE9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1F6E4467">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893" w:type="dxa"/>
            <w:noWrap w:val="0"/>
            <w:vAlign w:val="center"/>
          </w:tcPr>
          <w:p w14:paraId="74A19B1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振荡混匀仪</w:t>
            </w:r>
          </w:p>
        </w:tc>
        <w:tc>
          <w:tcPr>
            <w:tcW w:w="5324" w:type="dxa"/>
            <w:noWrap w:val="0"/>
            <w:vAlign w:val="center"/>
          </w:tcPr>
          <w:p w14:paraId="01B9169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混匀频率 300-3,000rpm (以10rpm递增)</w:t>
            </w:r>
          </w:p>
          <w:p w14:paraId="28FC025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接触振荡混匀频率 3,500rpm</w:t>
            </w:r>
          </w:p>
          <w:p w14:paraId="69E9294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混匀时间 1s~ 99h59min</w:t>
            </w:r>
          </w:p>
          <w:p w14:paraId="0DBF459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振荡和混匀半径 1.5mm(3mm振幅)</w:t>
            </w:r>
          </w:p>
          <w:p w14:paraId="0C19EC8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噪声 &lt;50分贝</w:t>
            </w:r>
          </w:p>
        </w:tc>
        <w:tc>
          <w:tcPr>
            <w:tcW w:w="916" w:type="dxa"/>
            <w:noWrap w:val="0"/>
            <w:vAlign w:val="center"/>
          </w:tcPr>
          <w:p w14:paraId="062DF297">
            <w:pPr>
              <w:keepNext w:val="0"/>
              <w:keepLines w:val="0"/>
              <w:widowControl/>
              <w:suppressLineNumbers w:val="0"/>
              <w:spacing w:line="240" w:lineRule="auto"/>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687" w:type="dxa"/>
            <w:noWrap w:val="0"/>
            <w:vAlign w:val="center"/>
          </w:tcPr>
          <w:p w14:paraId="2D1567A5">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3E5CEBFE">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785" w:type="dxa"/>
            <w:noWrap w:val="0"/>
            <w:vAlign w:val="center"/>
          </w:tcPr>
          <w:p w14:paraId="1EC5977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2F403932">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36B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723D7E43">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893" w:type="dxa"/>
            <w:noWrap w:val="0"/>
            <w:vAlign w:val="center"/>
          </w:tcPr>
          <w:p w14:paraId="10B577C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移液器</w:t>
            </w:r>
          </w:p>
        </w:tc>
        <w:tc>
          <w:tcPr>
            <w:tcW w:w="5324" w:type="dxa"/>
            <w:noWrap w:val="0"/>
            <w:vAlign w:val="center"/>
          </w:tcPr>
          <w:p w14:paraId="5A650F6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采用PerfectPiston™系统的高科技材质，耐高温抗腐蚀；</w:t>
            </w:r>
          </w:p>
          <w:p w14:paraId="729BA9F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整支高温高压和紫外线灭菌；</w:t>
            </w:r>
          </w:p>
          <w:p w14:paraId="13166B2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四位数字体积显示；</w:t>
            </w:r>
          </w:p>
          <w:p w14:paraId="141F66B6">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具密度调节功能；</w:t>
            </w:r>
          </w:p>
          <w:p w14:paraId="7CA799A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通道数字标识，确保同一方向移液</w:t>
            </w:r>
          </w:p>
          <w:p w14:paraId="751A69C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5支/套(0.1–2.5 μl、0.5 - 10 μl、2–20 μl 、10–100 μl、100–1.000 μl)</w:t>
            </w:r>
          </w:p>
        </w:tc>
        <w:tc>
          <w:tcPr>
            <w:tcW w:w="916" w:type="dxa"/>
            <w:noWrap w:val="0"/>
            <w:vAlign w:val="center"/>
          </w:tcPr>
          <w:p w14:paraId="542842BD">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5支/套</w:t>
            </w:r>
          </w:p>
        </w:tc>
        <w:tc>
          <w:tcPr>
            <w:tcW w:w="687" w:type="dxa"/>
            <w:noWrap w:val="0"/>
            <w:vAlign w:val="center"/>
          </w:tcPr>
          <w:p w14:paraId="4683376E">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34ED893E">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套</w:t>
            </w:r>
          </w:p>
        </w:tc>
        <w:tc>
          <w:tcPr>
            <w:tcW w:w="785" w:type="dxa"/>
            <w:noWrap w:val="0"/>
            <w:vAlign w:val="center"/>
          </w:tcPr>
          <w:p w14:paraId="765DA436">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63CD2502">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r>
      <w:tr w14:paraId="7975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046CF07C">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93" w:type="dxa"/>
            <w:noWrap w:val="0"/>
            <w:vAlign w:val="center"/>
          </w:tcPr>
          <w:p w14:paraId="0151539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八道移液器</w:t>
            </w:r>
          </w:p>
        </w:tc>
        <w:tc>
          <w:tcPr>
            <w:tcW w:w="5324" w:type="dxa"/>
            <w:noWrap w:val="0"/>
            <w:vAlign w:val="center"/>
          </w:tcPr>
          <w:p w14:paraId="13593AA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采用PerfectPiston™系统的高科技材质，耐高温抗腐蚀；</w:t>
            </w:r>
          </w:p>
          <w:p w14:paraId="3BB580F5">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整支高温高压和s紫外线灭菌；</w:t>
            </w:r>
          </w:p>
          <w:p w14:paraId="35E6BF6A">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四位数字体积显示；</w:t>
            </w:r>
          </w:p>
          <w:p w14:paraId="736ACDC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具密度调节功能；</w:t>
            </w:r>
          </w:p>
          <w:p w14:paraId="544A7F6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通道数字标识，确保同一方向移液</w:t>
            </w:r>
          </w:p>
          <w:p w14:paraId="2235EC2F">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0.5-10µL</w:t>
            </w:r>
          </w:p>
        </w:tc>
        <w:tc>
          <w:tcPr>
            <w:tcW w:w="916" w:type="dxa"/>
            <w:noWrap w:val="0"/>
            <w:vAlign w:val="center"/>
          </w:tcPr>
          <w:p w14:paraId="2B9602D5">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w:t>
            </w:r>
          </w:p>
        </w:tc>
        <w:tc>
          <w:tcPr>
            <w:tcW w:w="687" w:type="dxa"/>
            <w:noWrap w:val="0"/>
            <w:vAlign w:val="center"/>
          </w:tcPr>
          <w:p w14:paraId="0AA9C285">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5FFC763F">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支</w:t>
            </w:r>
          </w:p>
        </w:tc>
        <w:tc>
          <w:tcPr>
            <w:tcW w:w="785" w:type="dxa"/>
            <w:noWrap w:val="0"/>
            <w:vAlign w:val="center"/>
          </w:tcPr>
          <w:p w14:paraId="5F9B16F1">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c>
          <w:tcPr>
            <w:tcW w:w="818" w:type="dxa"/>
            <w:noWrap w:val="0"/>
            <w:vAlign w:val="center"/>
          </w:tcPr>
          <w:p w14:paraId="610DDED4">
            <w:pPr>
              <w:keepNext w:val="0"/>
              <w:keepLines w:val="0"/>
              <w:widowControl/>
              <w:suppressLineNumbers w:val="0"/>
              <w:spacing w:line="240" w:lineRule="auto"/>
              <w:ind w:left="0" w:leftChars="0" w:firstLine="0" w:firstLineChars="0"/>
              <w:jc w:val="both"/>
              <w:textAlignment w:val="top"/>
              <w:rPr>
                <w:rFonts w:hint="eastAsia" w:ascii="宋体" w:hAnsi="宋体" w:eastAsia="宋体" w:cs="宋体"/>
                <w:i w:val="0"/>
                <w:iCs w:val="0"/>
                <w:color w:val="auto"/>
                <w:kern w:val="0"/>
                <w:sz w:val="20"/>
                <w:szCs w:val="20"/>
                <w:u w:val="none"/>
                <w:lang w:val="en-US" w:eastAsia="zh-CN" w:bidi="ar"/>
              </w:rPr>
            </w:pPr>
          </w:p>
        </w:tc>
      </w:tr>
      <w:tr w14:paraId="5C8D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404B2F69">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893" w:type="dxa"/>
            <w:noWrap w:val="0"/>
            <w:vAlign w:val="center"/>
          </w:tcPr>
          <w:p w14:paraId="7A8CD82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生物物证提取棉签</w:t>
            </w:r>
          </w:p>
        </w:tc>
        <w:tc>
          <w:tcPr>
            <w:tcW w:w="5324" w:type="dxa"/>
            <w:noWrap w:val="0"/>
            <w:vAlign w:val="center"/>
          </w:tcPr>
          <w:p w14:paraId="039C8396">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用于生物物证的提取和保存，适合现场血斑、唾液斑、精等各种生物物证的提取和DNA检验使用。本品所用棉签均在净化条件下生产，并经灭菌处理，棉签头部由纯棉制成，绝无外源DNA污染。每两枚棉签为一个独立密封包装，并配有含灭菌高纯水的滴瓶，即开即用，满足现场需求，50</w:t>
            </w:r>
            <w:r>
              <w:rPr>
                <w:rFonts w:hint="eastAsia" w:ascii="宋体" w:hAnsi="宋体" w:cs="宋体"/>
                <w:i w:val="0"/>
                <w:iCs w:val="0"/>
                <w:color w:val="auto"/>
                <w:kern w:val="0"/>
                <w:sz w:val="20"/>
                <w:szCs w:val="20"/>
                <w:u w:val="none"/>
                <w:lang w:val="en-US" w:eastAsia="zh-CN" w:bidi="ar"/>
              </w:rPr>
              <w:t>个</w:t>
            </w:r>
            <w:r>
              <w:rPr>
                <w:rFonts w:hint="eastAsia" w:ascii="宋体" w:hAnsi="宋体" w:eastAsia="宋体" w:cs="宋体"/>
                <w:i w:val="0"/>
                <w:iCs w:val="0"/>
                <w:color w:val="auto"/>
                <w:kern w:val="0"/>
                <w:sz w:val="20"/>
                <w:szCs w:val="20"/>
                <w:u w:val="none"/>
                <w:lang w:val="en-US" w:eastAsia="zh-CN" w:bidi="ar"/>
              </w:rPr>
              <w:t>/包。</w:t>
            </w:r>
          </w:p>
        </w:tc>
        <w:tc>
          <w:tcPr>
            <w:tcW w:w="916" w:type="dxa"/>
            <w:noWrap w:val="0"/>
            <w:vAlign w:val="center"/>
          </w:tcPr>
          <w:p w14:paraId="00D75C2A">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5个/包</w:t>
            </w:r>
          </w:p>
        </w:tc>
        <w:tc>
          <w:tcPr>
            <w:tcW w:w="687" w:type="dxa"/>
            <w:noWrap w:val="0"/>
            <w:vAlign w:val="center"/>
          </w:tcPr>
          <w:p w14:paraId="62233791">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568" w:type="dxa"/>
            <w:noWrap w:val="0"/>
            <w:vAlign w:val="center"/>
          </w:tcPr>
          <w:p w14:paraId="6D2E5386">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包</w:t>
            </w:r>
          </w:p>
        </w:tc>
        <w:tc>
          <w:tcPr>
            <w:tcW w:w="785" w:type="dxa"/>
            <w:noWrap w:val="0"/>
            <w:vAlign w:val="center"/>
          </w:tcPr>
          <w:p w14:paraId="028A284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588A713B">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6EB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36847A02">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893" w:type="dxa"/>
            <w:noWrap w:val="0"/>
            <w:vAlign w:val="center"/>
          </w:tcPr>
          <w:p w14:paraId="4216D31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抗人精检测试剂条</w:t>
            </w:r>
          </w:p>
        </w:tc>
        <w:tc>
          <w:tcPr>
            <w:tcW w:w="5324" w:type="dxa"/>
            <w:noWrap w:val="0"/>
            <w:vAlign w:val="center"/>
          </w:tcPr>
          <w:p w14:paraId="020602F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1.产品尺寸：3*7cm。</w:t>
            </w:r>
          </w:p>
          <w:p w14:paraId="2833E470">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2.包装规格：100</w:t>
            </w:r>
            <w:r>
              <w:rPr>
                <w:rFonts w:hint="eastAsia" w:ascii="宋体" w:hAnsi="宋体" w:cs="宋体"/>
                <w:i w:val="0"/>
                <w:iCs w:val="0"/>
                <w:color w:val="auto"/>
                <w:kern w:val="0"/>
                <w:sz w:val="20"/>
                <w:szCs w:val="20"/>
                <w:u w:val="none"/>
                <w:lang w:val="en-US" w:eastAsia="zh-CN" w:bidi="ar"/>
              </w:rPr>
              <w:t>条</w:t>
            </w:r>
            <w:r>
              <w:rPr>
                <w:rFonts w:hint="eastAsia" w:ascii="宋体" w:hAnsi="宋体" w:eastAsia="宋体" w:cs="宋体"/>
                <w:i w:val="0"/>
                <w:iCs w:val="0"/>
                <w:color w:val="auto"/>
                <w:kern w:val="0"/>
                <w:sz w:val="20"/>
                <w:szCs w:val="20"/>
                <w:u w:val="none"/>
                <w:lang w:val="en-US" w:eastAsia="zh-CN" w:bidi="ar"/>
              </w:rPr>
              <w:t>/盒。</w:t>
            </w:r>
          </w:p>
          <w:p w14:paraId="0100EF9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3.主要功能：该试剂条快速定性检测人精斑。</w:t>
            </w:r>
          </w:p>
          <w:p w14:paraId="6AC76AE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4.判定时间：5分钟内。</w:t>
            </w:r>
          </w:p>
          <w:p w14:paraId="68E7835B">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5.判定办法：观察区内色带。</w:t>
            </w:r>
          </w:p>
          <w:p w14:paraId="4FA2CA4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镉：≤100mg/k。</w:t>
            </w:r>
          </w:p>
          <w:p w14:paraId="38ED4B74">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铅：≤1000mg/k。</w:t>
            </w:r>
          </w:p>
          <w:p w14:paraId="464C2C8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汞：1000mg/k。</w:t>
            </w:r>
          </w:p>
          <w:p w14:paraId="33BC3DB8">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多溴联苯总量：≤1000mg/k。</w:t>
            </w:r>
          </w:p>
        </w:tc>
        <w:tc>
          <w:tcPr>
            <w:tcW w:w="916" w:type="dxa"/>
            <w:noWrap w:val="0"/>
            <w:vAlign w:val="center"/>
          </w:tcPr>
          <w:p w14:paraId="151D46A6">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100条/盒</w:t>
            </w:r>
          </w:p>
        </w:tc>
        <w:tc>
          <w:tcPr>
            <w:tcW w:w="687" w:type="dxa"/>
            <w:noWrap w:val="0"/>
            <w:vAlign w:val="center"/>
          </w:tcPr>
          <w:p w14:paraId="76DD6C42">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37FDE71D">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69AE14E3">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77A2A76D">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30A6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70" w:type="dxa"/>
            <w:noWrap w:val="0"/>
            <w:vAlign w:val="center"/>
          </w:tcPr>
          <w:p w14:paraId="21A42A5C">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893" w:type="dxa"/>
            <w:noWrap w:val="0"/>
            <w:vAlign w:val="center"/>
          </w:tcPr>
          <w:p w14:paraId="5C62622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抗人血红蛋白检测试剂条</w:t>
            </w:r>
          </w:p>
        </w:tc>
        <w:tc>
          <w:tcPr>
            <w:tcW w:w="5324" w:type="dxa"/>
            <w:noWrap w:val="0"/>
            <w:vAlign w:val="center"/>
          </w:tcPr>
          <w:p w14:paraId="4554B4F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1.产品尺寸：3*7cm。</w:t>
            </w:r>
          </w:p>
          <w:p w14:paraId="5CE2C85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2.规格：100条/盒。</w:t>
            </w:r>
          </w:p>
          <w:p w14:paraId="0FD81C5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3.主要功能：快速定性检测人类血液。</w:t>
            </w:r>
          </w:p>
          <w:p w14:paraId="74CCA8A9">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4.依据方法：能检测出样本中高于1ng/ml浓度的人类血红素。</w:t>
            </w:r>
          </w:p>
          <w:p w14:paraId="3D570602">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5.判定时间：5分钟内。</w:t>
            </w:r>
          </w:p>
          <w:p w14:paraId="220273B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6.判定办法：观察区内色带。</w:t>
            </w:r>
          </w:p>
          <w:p w14:paraId="0E5E46E7">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镉：≤100mg/k。</w:t>
            </w:r>
          </w:p>
          <w:p w14:paraId="27B4766E">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铅：≤1000mg/k。</w:t>
            </w:r>
          </w:p>
          <w:p w14:paraId="2472CD71">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汞：1000mg/k。</w:t>
            </w:r>
          </w:p>
          <w:p w14:paraId="498D7B83">
            <w:pPr>
              <w:pBdr>
                <w:top w:val="none" w:color="auto" w:sz="0" w:space="0"/>
                <w:left w:val="none" w:color="auto" w:sz="0" w:space="0"/>
                <w:bottom w:val="none" w:color="auto" w:sz="0" w:space="0"/>
                <w:right w:val="none" w:color="auto" w:sz="0" w:space="0"/>
                <w:between w:val="none" w:color="auto" w:sz="0" w:space="0"/>
              </w:pBdr>
              <w:shd w:val="clear" w:color="auto" w:fill="auto"/>
              <w:spacing w:line="240" w:lineRule="auto"/>
              <w:ind w:left="0" w:leftChars="0" w:right="0" w:rightChars="0" w:firstLine="0" w:firstLine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多溴联苯总量：≤1000mg/k。</w:t>
            </w:r>
          </w:p>
        </w:tc>
        <w:tc>
          <w:tcPr>
            <w:tcW w:w="916" w:type="dxa"/>
            <w:noWrap w:val="0"/>
            <w:vAlign w:val="center"/>
          </w:tcPr>
          <w:p w14:paraId="7D3FE568">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100条/盒</w:t>
            </w:r>
          </w:p>
        </w:tc>
        <w:tc>
          <w:tcPr>
            <w:tcW w:w="687" w:type="dxa"/>
            <w:noWrap w:val="0"/>
            <w:vAlign w:val="center"/>
          </w:tcPr>
          <w:p w14:paraId="726672C2">
            <w:pPr>
              <w:keepNext w:val="0"/>
              <w:keepLines w:val="0"/>
              <w:widowControl/>
              <w:suppressLineNumbers w:val="0"/>
              <w:spacing w:line="240" w:lineRule="auto"/>
              <w:ind w:left="0" w:leftChars="0" w:firstLine="0" w:firstLineChars="0"/>
              <w:jc w:val="center"/>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568" w:type="dxa"/>
            <w:noWrap w:val="0"/>
            <w:vAlign w:val="center"/>
          </w:tcPr>
          <w:p w14:paraId="2DE368EB">
            <w:pPr>
              <w:keepNext w:val="0"/>
              <w:keepLines w:val="0"/>
              <w:widowControl/>
              <w:suppressLineNumbers w:val="0"/>
              <w:spacing w:line="240" w:lineRule="auto"/>
              <w:ind w:left="0" w:leftChars="0" w:firstLine="0" w:firstLineChars="0"/>
              <w:jc w:val="center"/>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盒</w:t>
            </w:r>
          </w:p>
        </w:tc>
        <w:tc>
          <w:tcPr>
            <w:tcW w:w="785" w:type="dxa"/>
            <w:noWrap w:val="0"/>
            <w:vAlign w:val="center"/>
          </w:tcPr>
          <w:p w14:paraId="26B3D7D9">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c>
          <w:tcPr>
            <w:tcW w:w="818" w:type="dxa"/>
            <w:noWrap w:val="0"/>
            <w:vAlign w:val="center"/>
          </w:tcPr>
          <w:p w14:paraId="6A15CCC7">
            <w:pPr>
              <w:keepNext w:val="0"/>
              <w:keepLines w:val="0"/>
              <w:widowControl/>
              <w:suppressLineNumbers w:val="0"/>
              <w:spacing w:line="240" w:lineRule="auto"/>
              <w:ind w:left="0" w:leftChars="0" w:firstLine="0" w:firstLineChars="0"/>
              <w:jc w:val="both"/>
              <w:textAlignment w:val="top"/>
              <w:rPr>
                <w:rFonts w:hint="default" w:ascii="宋体" w:hAnsi="宋体" w:eastAsia="宋体" w:cs="宋体"/>
                <w:i w:val="0"/>
                <w:iCs w:val="0"/>
                <w:color w:val="auto"/>
                <w:kern w:val="0"/>
                <w:sz w:val="20"/>
                <w:szCs w:val="20"/>
                <w:u w:val="none"/>
                <w:lang w:val="en-US" w:eastAsia="zh-CN" w:bidi="ar"/>
              </w:rPr>
            </w:pPr>
          </w:p>
        </w:tc>
      </w:tr>
      <w:tr w14:paraId="0CFE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561" w:type="dxa"/>
            <w:gridSpan w:val="8"/>
            <w:noWrap w:val="0"/>
            <w:vAlign w:val="center"/>
          </w:tcPr>
          <w:p w14:paraId="17F8BF82">
            <w:pPr>
              <w:keepNext w:val="0"/>
              <w:keepLines w:val="0"/>
              <w:widowControl/>
              <w:suppressLineNumbers w:val="0"/>
              <w:spacing w:line="240" w:lineRule="auto"/>
              <w:jc w:val="both"/>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r>
    </w:tbl>
    <w:p w14:paraId="683B3415">
      <w:pPr>
        <w:keepNext w:val="0"/>
        <w:keepLines w:val="0"/>
        <w:pageBreakBefore w:val="0"/>
        <w:widowControl/>
        <w:suppressLineNumbers w:val="0"/>
        <w:kinsoku/>
        <w:wordWrap w:val="0"/>
        <w:overflowPunct/>
        <w:topLinePunct/>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14:paraId="1652A821">
      <w:pPr>
        <w:wordWrap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bookmarkEnd w:id="909"/>
    </w:p>
    <w:p w14:paraId="53F17B82">
      <w:pPr>
        <w:pStyle w:val="4"/>
        <w:tabs>
          <w:tab w:val="left" w:pos="1440"/>
        </w:tabs>
        <w:bidi w:val="0"/>
        <w:ind w:left="0" w:leftChars="0" w:firstLine="0" w:firstLineChars="0"/>
      </w:pPr>
      <w:bookmarkStart w:id="912" w:name="_Toc27205"/>
      <w:r>
        <w:rPr>
          <w:rFonts w:hint="eastAsia"/>
        </w:rPr>
        <w:t>第六章 响应文件格式</w:t>
      </w:r>
      <w:bookmarkEnd w:id="912"/>
    </w:p>
    <w:p w14:paraId="743DBB58">
      <w:pPr>
        <w:wordWrap w:val="0"/>
        <w:snapToGrid w:val="0"/>
        <w:spacing w:after="120" w:afterLines="50"/>
        <w:rPr>
          <w:rFonts w:ascii="宋体" w:hAnsi="宋体" w:cs="宋体"/>
        </w:rPr>
      </w:pPr>
    </w:p>
    <w:p w14:paraId="0BD22830">
      <w:pPr>
        <w:wordWrap w:val="0"/>
        <w:snapToGrid w:val="0"/>
        <w:spacing w:line="420" w:lineRule="exact"/>
        <w:ind w:firstLine="1446" w:firstLineChars="450"/>
        <w:rPr>
          <w:rFonts w:ascii="宋体" w:hAnsi="宋体" w:cs="宋体"/>
          <w:b/>
          <w:bCs/>
          <w:sz w:val="32"/>
          <w:szCs w:val="32"/>
          <w:u w:val="single"/>
        </w:rPr>
      </w:pPr>
      <w:bookmarkStart w:id="913" w:name="_A1_投标书"/>
      <w:bookmarkEnd w:id="913"/>
      <w:bookmarkStart w:id="914" w:name="_Toc176663528"/>
      <w:bookmarkStart w:id="915" w:name="_Toc192127127"/>
      <w:bookmarkStart w:id="916" w:name="_Toc128455956"/>
      <w:bookmarkStart w:id="917" w:name="_Toc23340"/>
      <w:bookmarkStart w:id="918" w:name="_Toc192127128"/>
      <w:bookmarkStart w:id="919" w:name="_Toc416103814"/>
      <w:bookmarkStart w:id="920" w:name="_Toc372807484"/>
      <w:bookmarkStart w:id="921" w:name="_Toc181038076"/>
      <w:bookmarkStart w:id="922" w:name="_Toc162669084"/>
      <w:bookmarkStart w:id="923" w:name="_Toc179091096"/>
      <w:bookmarkStart w:id="924" w:name="_Toc410631173"/>
      <w:bookmarkStart w:id="925" w:name="_Toc414445764"/>
    </w:p>
    <w:p w14:paraId="5EBD42AD">
      <w:pPr>
        <w:wordWrap w:val="0"/>
        <w:snapToGrid w:val="0"/>
        <w:spacing w:line="420" w:lineRule="exact"/>
        <w:ind w:firstLine="1446" w:firstLineChars="450"/>
        <w:rPr>
          <w:rFonts w:ascii="宋体" w:hAnsi="宋体" w:cs="宋体"/>
          <w:b/>
          <w:bCs/>
          <w:sz w:val="32"/>
          <w:szCs w:val="32"/>
          <w:u w:val="single"/>
        </w:rPr>
      </w:pPr>
    </w:p>
    <w:p w14:paraId="2A457552">
      <w:pPr>
        <w:wordWrap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6" w:name="_Toc22805_WPSOffice_Level1"/>
      <w:bookmarkStart w:id="927" w:name="_Toc4484"/>
      <w:bookmarkStart w:id="928" w:name="_Toc13474"/>
      <w:bookmarkStart w:id="929" w:name="_Toc6392"/>
      <w:bookmarkStart w:id="930" w:name="_Toc3967_WPSOffice_Level1"/>
      <w:bookmarkStart w:id="931" w:name="_Toc16795_WPSOffice_Level1"/>
      <w:bookmarkStart w:id="932" w:name="_Toc8245_WPSOffice_Level1"/>
      <w:bookmarkStart w:id="933" w:name="_Toc25632"/>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6"/>
      <w:bookmarkEnd w:id="927"/>
      <w:bookmarkEnd w:id="928"/>
      <w:bookmarkEnd w:id="929"/>
      <w:bookmarkEnd w:id="930"/>
      <w:bookmarkEnd w:id="931"/>
      <w:bookmarkEnd w:id="932"/>
      <w:bookmarkEnd w:id="933"/>
      <w:r>
        <w:rPr>
          <w:rFonts w:hint="eastAsia" w:ascii="宋体" w:hAnsi="宋体" w:cs="宋体"/>
          <w:b/>
          <w:bCs/>
          <w:sz w:val="32"/>
          <w:szCs w:val="32"/>
        </w:rPr>
        <w:t>竞争性磋商</w:t>
      </w:r>
    </w:p>
    <w:p w14:paraId="5A699A78">
      <w:pPr>
        <w:wordWrap w:val="0"/>
        <w:spacing w:line="1000" w:lineRule="exact"/>
        <w:jc w:val="center"/>
        <w:rPr>
          <w:rFonts w:ascii="宋体" w:hAnsi="宋体" w:cs="宋体"/>
          <w:b/>
          <w:bCs/>
          <w:sz w:val="84"/>
          <w:szCs w:val="84"/>
        </w:rPr>
      </w:pPr>
    </w:p>
    <w:p w14:paraId="5E11A0C3">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wordWrap w:val="0"/>
        <w:spacing w:before="240" w:beforeLines="100"/>
        <w:ind w:firstLine="3840" w:firstLineChars="1200"/>
        <w:rPr>
          <w:rFonts w:ascii="宋体" w:hAnsi="宋体" w:cs="宋体"/>
          <w:sz w:val="32"/>
          <w:szCs w:val="32"/>
        </w:rPr>
      </w:pPr>
    </w:p>
    <w:p w14:paraId="486D9A8A">
      <w:pPr>
        <w:wordWrap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wordWrap w:val="0"/>
        <w:jc w:val="center"/>
        <w:rPr>
          <w:rFonts w:ascii="宋体" w:hAnsi="宋体" w:cs="宋体"/>
          <w:sz w:val="32"/>
          <w:szCs w:val="32"/>
        </w:rPr>
      </w:pPr>
    </w:p>
    <w:p w14:paraId="6E0712BB">
      <w:pPr>
        <w:wordWrap w:val="0"/>
        <w:jc w:val="center"/>
        <w:rPr>
          <w:rFonts w:ascii="宋体" w:hAnsi="宋体" w:cs="宋体"/>
          <w:sz w:val="32"/>
          <w:szCs w:val="32"/>
        </w:rPr>
      </w:pPr>
    </w:p>
    <w:p w14:paraId="13FF2C1F">
      <w:pPr>
        <w:wordWrap w:val="0"/>
        <w:jc w:val="center"/>
        <w:rPr>
          <w:rFonts w:ascii="宋体" w:hAnsi="宋体" w:cs="宋体"/>
          <w:sz w:val="32"/>
          <w:szCs w:val="32"/>
        </w:rPr>
      </w:pPr>
    </w:p>
    <w:p w14:paraId="1BB69048">
      <w:pPr>
        <w:wordWrap w:val="0"/>
        <w:jc w:val="center"/>
        <w:rPr>
          <w:rFonts w:ascii="宋体" w:hAnsi="宋体" w:cs="宋体"/>
          <w:sz w:val="32"/>
          <w:szCs w:val="32"/>
        </w:rPr>
      </w:pPr>
    </w:p>
    <w:p w14:paraId="4B608173">
      <w:pPr>
        <w:wordWrap w:val="0"/>
        <w:jc w:val="center"/>
        <w:rPr>
          <w:rFonts w:ascii="宋体" w:hAnsi="宋体" w:cs="宋体"/>
          <w:sz w:val="32"/>
          <w:szCs w:val="32"/>
        </w:rPr>
      </w:pPr>
    </w:p>
    <w:p w14:paraId="40D6DEB2">
      <w:pPr>
        <w:wordWrap w:val="0"/>
        <w:jc w:val="center"/>
        <w:rPr>
          <w:rFonts w:ascii="宋体" w:hAnsi="宋体" w:cs="宋体"/>
          <w:sz w:val="32"/>
          <w:szCs w:val="32"/>
        </w:rPr>
      </w:pPr>
    </w:p>
    <w:p w14:paraId="27369BB1">
      <w:pPr>
        <w:wordWrap w:val="0"/>
        <w:jc w:val="center"/>
        <w:rPr>
          <w:rFonts w:ascii="宋体" w:hAnsi="宋体" w:cs="宋体"/>
          <w:sz w:val="32"/>
          <w:szCs w:val="32"/>
        </w:rPr>
      </w:pPr>
    </w:p>
    <w:p w14:paraId="7D1731B7">
      <w:pPr>
        <w:wordWrap w:val="0"/>
        <w:rPr>
          <w:rFonts w:ascii="宋体" w:hAnsi="宋体" w:cs="宋体"/>
          <w:sz w:val="32"/>
          <w:szCs w:val="32"/>
        </w:rPr>
      </w:pPr>
    </w:p>
    <w:p w14:paraId="1FEE286A">
      <w:pPr>
        <w:wordWrap w:val="0"/>
        <w:jc w:val="center"/>
        <w:rPr>
          <w:rFonts w:ascii="宋体" w:hAnsi="宋体" w:cs="宋体"/>
          <w:sz w:val="32"/>
          <w:szCs w:val="32"/>
        </w:rPr>
      </w:pPr>
    </w:p>
    <w:p w14:paraId="6C2ECF01">
      <w:pPr>
        <w:wordWrap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34" w:name="_Toc14463_WPSOffice_Level1"/>
      <w:bookmarkStart w:id="935" w:name="_Toc16044"/>
      <w:bookmarkStart w:id="936" w:name="_Toc18652_WPSOffice_Level1"/>
      <w:bookmarkStart w:id="937" w:name="_Toc7391"/>
      <w:bookmarkStart w:id="938" w:name="_Toc7378"/>
      <w:bookmarkStart w:id="939" w:name="_Toc22812_WPSOffice_Level1"/>
      <w:bookmarkStart w:id="940" w:name="_Toc14451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34"/>
      <w:bookmarkEnd w:id="935"/>
      <w:bookmarkEnd w:id="936"/>
      <w:bookmarkEnd w:id="937"/>
      <w:bookmarkEnd w:id="938"/>
      <w:bookmarkEnd w:id="939"/>
      <w:bookmarkEnd w:id="940"/>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134" w:right="1134" w:bottom="1134" w:left="1417" w:header="851" w:footer="850" w:gutter="0"/>
          <w:pgNumType w:fmt="numberInDash"/>
          <w:cols w:space="720" w:num="1"/>
          <w:rtlGutter w:val="0"/>
          <w:docGrid w:linePitch="312" w:charSpace="0"/>
        </w:sectPr>
      </w:pPr>
      <w:bookmarkStart w:id="941" w:name="_Toc31395"/>
      <w:bookmarkStart w:id="942" w:name="_Toc12941"/>
      <w:bookmarkStart w:id="943" w:name="_Toc16649"/>
      <w:bookmarkStart w:id="944" w:name="_Toc31848_WPSOffice_Level1"/>
      <w:bookmarkStart w:id="945" w:name="_Toc27351_WPSOffice_Level1"/>
      <w:bookmarkStart w:id="946" w:name="_Toc21015_WPSOffice_Level1"/>
      <w:bookmarkStart w:id="947" w:name="_Toc3607_WPSOffice_Level1"/>
      <w:bookmarkStart w:id="948" w:name="_Toc20450"/>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41"/>
      <w:bookmarkEnd w:id="942"/>
      <w:bookmarkEnd w:id="943"/>
      <w:bookmarkEnd w:id="944"/>
      <w:bookmarkEnd w:id="945"/>
      <w:bookmarkEnd w:id="946"/>
      <w:bookmarkEnd w:id="947"/>
      <w:bookmarkEnd w:id="948"/>
    </w:p>
    <w:p w14:paraId="0E27816B">
      <w:pPr>
        <w:wordWrap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wordWrap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bidi w:val="0"/>
      </w:pPr>
      <w:r>
        <w:rPr>
          <w:rFonts w:hint="eastAsia"/>
        </w:rPr>
        <w:br w:type="page"/>
      </w:r>
      <w:bookmarkEnd w:id="914"/>
      <w:bookmarkEnd w:id="915"/>
      <w:bookmarkEnd w:id="916"/>
      <w:bookmarkEnd w:id="917"/>
      <w:bookmarkEnd w:id="918"/>
      <w:bookmarkEnd w:id="919"/>
      <w:bookmarkEnd w:id="920"/>
      <w:bookmarkEnd w:id="921"/>
      <w:bookmarkEnd w:id="922"/>
      <w:bookmarkEnd w:id="923"/>
      <w:bookmarkEnd w:id="924"/>
      <w:bookmarkEnd w:id="925"/>
      <w:bookmarkStart w:id="949" w:name="_Toc19981"/>
      <w:bookmarkStart w:id="950" w:name="_Toc192127131"/>
      <w:bookmarkStart w:id="951" w:name="_Toc195922057"/>
    </w:p>
    <w:p w14:paraId="4D8A80F8">
      <w:pPr>
        <w:pStyle w:val="5"/>
        <w:bidi w:val="0"/>
        <w:jc w:val="center"/>
        <w:rPr>
          <w:rFonts w:hint="eastAsia" w:ascii="宋体" w:hAnsi="宋体" w:eastAsia="宋体" w:cs="宋体"/>
        </w:rPr>
      </w:pPr>
      <w:bookmarkStart w:id="952" w:name="_Toc24700"/>
      <w:r>
        <w:rPr>
          <w:rFonts w:hint="eastAsia" w:ascii="宋体" w:hAnsi="宋体" w:eastAsia="宋体" w:cs="宋体"/>
        </w:rPr>
        <w:t>一、响应函及响应函附录</w:t>
      </w:r>
    </w:p>
    <w:p w14:paraId="343C6835">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52"/>
    </w:p>
    <w:p w14:paraId="576DD01C">
      <w:pPr>
        <w:pStyle w:val="12"/>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12"/>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12"/>
        <w:wordWrap w:val="0"/>
        <w:spacing w:line="420" w:lineRule="exact"/>
        <w:ind w:left="0" w:leftChars="0" w:firstLine="0" w:firstLineChars="0"/>
        <w:rPr>
          <w:rFonts w:hint="eastAsia" w:ascii="宋体" w:hAnsi="宋体" w:eastAsia="宋体" w:cs="宋体"/>
          <w:sz w:val="24"/>
          <w:szCs w:val="24"/>
        </w:rPr>
      </w:pPr>
    </w:p>
    <w:p w14:paraId="5A44905C">
      <w:pPr>
        <w:pStyle w:val="12"/>
        <w:wordWrap w:val="0"/>
        <w:spacing w:line="420" w:lineRule="exact"/>
        <w:ind w:left="0" w:leftChars="0" w:firstLine="0" w:firstLineChars="0"/>
        <w:rPr>
          <w:rFonts w:hint="eastAsia" w:ascii="宋体" w:hAnsi="宋体" w:eastAsia="宋体" w:cs="宋体"/>
          <w:sz w:val="24"/>
          <w:szCs w:val="24"/>
        </w:rPr>
      </w:pPr>
    </w:p>
    <w:p w14:paraId="3C48C7AE">
      <w:pPr>
        <w:pStyle w:val="12"/>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12"/>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12"/>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0" w:type="default"/>
          <w:pgSz w:w="11906" w:h="16838"/>
          <w:pgMar w:top="1134" w:right="1134" w:bottom="1134" w:left="1417" w:header="851" w:footer="850" w:gutter="0"/>
          <w:pgNumType w:fmt="numberInDash"/>
          <w:cols w:space="720" w:num="1"/>
          <w:rtlGutter w:val="0"/>
          <w:docGrid w:linePitch="312" w:charSpace="0"/>
        </w:sectPr>
      </w:pPr>
    </w:p>
    <w:bookmarkEnd w:id="949"/>
    <w:p w14:paraId="2FAA87C8">
      <w:pPr>
        <w:wordWrap w:val="0"/>
        <w:spacing w:line="420" w:lineRule="exact"/>
        <w:jc w:val="center"/>
        <w:outlineLvl w:val="2"/>
        <w:rPr>
          <w:rFonts w:ascii="宋体" w:hAnsi="宋体" w:cs="宋体"/>
          <w:b/>
          <w:bCs/>
          <w:sz w:val="28"/>
          <w:szCs w:val="28"/>
        </w:rPr>
      </w:pPr>
      <w:bookmarkStart w:id="953" w:name="_Toc8862"/>
      <w:bookmarkStart w:id="954" w:name="_Toc11398"/>
      <w:bookmarkStart w:id="955" w:name="_Toc28667"/>
      <w:r>
        <w:rPr>
          <w:rFonts w:hint="eastAsia" w:ascii="宋体" w:hAnsi="宋体" w:cs="宋体"/>
          <w:b/>
          <w:bCs/>
          <w:sz w:val="28"/>
          <w:szCs w:val="28"/>
        </w:rPr>
        <w:t>（二）响应函附录</w:t>
      </w:r>
      <w:bookmarkEnd w:id="953"/>
      <w:bookmarkEnd w:id="954"/>
    </w:p>
    <w:tbl>
      <w:tblPr>
        <w:tblStyle w:val="22"/>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wordWrap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wordWrap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wordWrap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wordWrap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wordWrap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wordWrap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wordWrap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wordWrap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wordWrap w:val="0"/>
              <w:jc w:val="center"/>
              <w:rPr>
                <w:rFonts w:ascii="宋体" w:hAnsi="宋体" w:cs="宋体"/>
                <w:sz w:val="24"/>
                <w:szCs w:val="24"/>
                <w:lang w:val="ru-RU"/>
              </w:rPr>
            </w:pPr>
          </w:p>
        </w:tc>
      </w:tr>
    </w:tbl>
    <w:p w14:paraId="7B91246F">
      <w:pPr>
        <w:wordWrap w:val="0"/>
        <w:spacing w:line="420" w:lineRule="exact"/>
        <w:rPr>
          <w:rFonts w:ascii="宋体" w:hAnsi="宋体" w:cs="宋体"/>
          <w:sz w:val="24"/>
        </w:rPr>
      </w:pPr>
    </w:p>
    <w:p w14:paraId="26F35708">
      <w:pPr>
        <w:wordWrap w:val="0"/>
        <w:spacing w:line="420" w:lineRule="exact"/>
        <w:rPr>
          <w:rFonts w:ascii="宋体" w:hAnsi="宋体" w:cs="宋体"/>
          <w:sz w:val="24"/>
        </w:rPr>
      </w:pPr>
    </w:p>
    <w:p w14:paraId="3F407F44">
      <w:pPr>
        <w:wordWrap w:val="0"/>
        <w:spacing w:line="420" w:lineRule="exact"/>
        <w:rPr>
          <w:rFonts w:ascii="宋体" w:hAnsi="宋体" w:cs="宋体"/>
          <w:sz w:val="24"/>
          <w:szCs w:val="24"/>
        </w:rPr>
      </w:pPr>
    </w:p>
    <w:p w14:paraId="6A45953C">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wordWrap w:val="0"/>
        <w:ind w:firstLine="420"/>
        <w:rPr>
          <w:rFonts w:ascii="宋体" w:hAnsi="宋体" w:cs="宋体"/>
          <w:sz w:val="24"/>
          <w:szCs w:val="24"/>
        </w:rPr>
      </w:pPr>
      <w:r>
        <w:rPr>
          <w:rFonts w:hint="eastAsia" w:ascii="宋体" w:hAnsi="宋体" w:cs="宋体"/>
          <w:sz w:val="24"/>
          <w:szCs w:val="24"/>
        </w:rPr>
        <w:br w:type="page"/>
      </w:r>
    </w:p>
    <w:p w14:paraId="21DC4578">
      <w:pPr>
        <w:pStyle w:val="5"/>
        <w:bidi w:val="0"/>
        <w:jc w:val="center"/>
        <w:rPr>
          <w:rFonts w:hint="eastAsia" w:ascii="宋体" w:hAnsi="宋体" w:eastAsia="宋体" w:cs="宋体"/>
        </w:rPr>
      </w:pPr>
      <w:bookmarkStart w:id="956" w:name="_Toc466298161"/>
      <w:bookmarkStart w:id="957" w:name="_Toc2481"/>
      <w:bookmarkStart w:id="958" w:name="_Toc918"/>
      <w:bookmarkStart w:id="959" w:name="_Toc31033"/>
      <w:bookmarkStart w:id="960" w:name="_Toc8120"/>
      <w:r>
        <w:rPr>
          <w:rFonts w:hint="eastAsia" w:ascii="宋体" w:hAnsi="宋体" w:eastAsia="宋体" w:cs="宋体"/>
        </w:rPr>
        <w:t>二、分项报价表</w:t>
      </w:r>
    </w:p>
    <w:p w14:paraId="34E22DB6">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48"/>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ind w:left="0" w:leftChars="0" w:firstLine="0" w:firstLine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ind w:left="0" w:leftChars="0" w:firstLine="0" w:firstLineChars="0"/>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274C58F5">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rPr>
          <w:rFonts w:hint="eastAsia" w:ascii="宋体" w:hAnsi="宋体"/>
          <w:color w:val="000000"/>
          <w:sz w:val="24"/>
          <w:szCs w:val="24"/>
          <w:lang w:val="zh-CN"/>
        </w:rPr>
      </w:pPr>
    </w:p>
    <w:p w14:paraId="0192958C">
      <w:pPr>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70CB4433">
      <w:pPr>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5701B310">
      <w:pPr>
        <w:adjustRightInd w:val="0"/>
        <w:snapToGrid w:val="0"/>
        <w:spacing w:line="360" w:lineRule="auto"/>
        <w:jc w:val="right"/>
        <w:rPr>
          <w:rFonts w:hint="eastAsia" w:ascii="宋体" w:hAnsi="宋体"/>
          <w:sz w:val="24"/>
          <w:szCs w:val="24"/>
        </w:rPr>
      </w:pPr>
    </w:p>
    <w:p w14:paraId="45C0F24D">
      <w:pPr>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71F29DD9">
      <w:pPr>
        <w:ind w:right="360" w:firstLine="720" w:firstLineChars="300"/>
        <w:jc w:val="right"/>
        <w:rPr>
          <w:rFonts w:hint="eastAsia"/>
          <w:sz w:val="24"/>
          <w:szCs w:val="24"/>
        </w:rPr>
      </w:pPr>
      <w:r>
        <w:rPr>
          <w:rFonts w:hint="eastAsia"/>
          <w:sz w:val="24"/>
          <w:szCs w:val="24"/>
        </w:rPr>
        <w:t>年      月      日</w:t>
      </w:r>
    </w:p>
    <w:p w14:paraId="74C6B22A">
      <w:pPr>
        <w:rPr>
          <w:rFonts w:hint="eastAsia"/>
          <w:sz w:val="24"/>
          <w:szCs w:val="24"/>
        </w:rPr>
      </w:pPr>
    </w:p>
    <w:p w14:paraId="1EA325BB">
      <w:pPr>
        <w:bidi w:val="0"/>
        <w:rPr>
          <w:rFonts w:hint="eastAsia"/>
        </w:rPr>
      </w:pPr>
    </w:p>
    <w:p w14:paraId="33943593">
      <w:pPr>
        <w:pStyle w:val="5"/>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6"/>
      <w:bookmarkEnd w:id="957"/>
      <w:bookmarkEnd w:id="958"/>
      <w:bookmarkEnd w:id="959"/>
      <w:r>
        <w:rPr>
          <w:rFonts w:hint="eastAsia" w:ascii="宋体" w:hAnsi="宋体" w:eastAsia="宋体" w:cs="宋体"/>
        </w:rPr>
        <w:t>法定代表人（单位负责人）身份证明</w:t>
      </w:r>
      <w:bookmarkEnd w:id="960"/>
    </w:p>
    <w:p w14:paraId="76AC9607">
      <w:pPr>
        <w:wordWrap w:val="0"/>
        <w:spacing w:line="440" w:lineRule="exact"/>
        <w:ind w:firstLine="420"/>
        <w:jc w:val="center"/>
        <w:rPr>
          <w:rFonts w:ascii="宋体" w:hAnsi="宋体" w:cs="宋体"/>
          <w:szCs w:val="21"/>
        </w:rPr>
      </w:pPr>
    </w:p>
    <w:p w14:paraId="6B658BCA">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wordWrap w:val="0"/>
        <w:spacing w:line="420" w:lineRule="exact"/>
        <w:ind w:firstLine="480"/>
        <w:rPr>
          <w:rFonts w:ascii="宋体" w:hAnsi="宋体" w:cs="宋体"/>
          <w:sz w:val="24"/>
          <w:szCs w:val="24"/>
        </w:rPr>
      </w:pPr>
    </w:p>
    <w:p w14:paraId="15097074">
      <w:pPr>
        <w:wordWrap w:val="0"/>
        <w:spacing w:line="420" w:lineRule="exact"/>
        <w:ind w:firstLine="480"/>
        <w:rPr>
          <w:rFonts w:ascii="宋体" w:hAnsi="宋体" w:cs="宋体"/>
          <w:sz w:val="24"/>
          <w:szCs w:val="24"/>
        </w:rPr>
      </w:pPr>
    </w:p>
    <w:p w14:paraId="4AA3815E">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wordWrap w:val="0"/>
        <w:spacing w:line="440" w:lineRule="exact"/>
        <w:rPr>
          <w:rFonts w:ascii="宋体" w:hAnsi="宋体" w:cs="宋体"/>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1" w:hRule="atLeast"/>
          <w:jc w:val="center"/>
        </w:trPr>
        <w:tc>
          <w:tcPr>
            <w:tcW w:w="9638" w:type="dxa"/>
            <w:vAlign w:val="center"/>
          </w:tcPr>
          <w:p w14:paraId="6AEBB4D1">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wordWrap w:val="0"/>
              <w:spacing w:line="440" w:lineRule="exact"/>
              <w:jc w:val="center"/>
              <w:rPr>
                <w:rFonts w:ascii="宋体" w:hAnsi="宋体" w:cs="宋体"/>
                <w:sz w:val="24"/>
                <w:szCs w:val="24"/>
              </w:rPr>
            </w:pPr>
          </w:p>
        </w:tc>
      </w:tr>
    </w:tbl>
    <w:p w14:paraId="7364F360">
      <w:pPr>
        <w:wordWrap w:val="0"/>
        <w:ind w:firstLine="420"/>
        <w:rPr>
          <w:rFonts w:ascii="宋体" w:hAnsi="宋体" w:cs="宋体"/>
        </w:rPr>
      </w:pPr>
      <w:r>
        <w:rPr>
          <w:rFonts w:hint="eastAsia" w:ascii="宋体" w:hAnsi="宋体" w:cs="宋体"/>
        </w:rPr>
        <w:br w:type="page"/>
      </w:r>
    </w:p>
    <w:p w14:paraId="0BFC4453">
      <w:pPr>
        <w:bidi w:val="0"/>
        <w:jc w:val="center"/>
        <w:rPr>
          <w:rFonts w:hint="eastAsia"/>
          <w:sz w:val="36"/>
          <w:szCs w:val="44"/>
        </w:rPr>
      </w:pPr>
      <w:bookmarkStart w:id="961" w:name="_Toc10913"/>
      <w:r>
        <w:rPr>
          <w:rFonts w:hint="eastAsia"/>
          <w:sz w:val="36"/>
          <w:szCs w:val="44"/>
        </w:rPr>
        <w:t>授权委托书</w:t>
      </w:r>
      <w:bookmarkEnd w:id="961"/>
    </w:p>
    <w:p w14:paraId="61800195">
      <w:pPr>
        <w:bidi w:val="0"/>
        <w:jc w:val="center"/>
        <w:rPr>
          <w:rFonts w:hint="eastAsia"/>
          <w:sz w:val="36"/>
          <w:szCs w:val="44"/>
        </w:rPr>
      </w:pPr>
    </w:p>
    <w:p w14:paraId="70DA0E03">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wordWrap w:val="0"/>
        <w:spacing w:line="420" w:lineRule="exact"/>
        <w:ind w:firstLine="480"/>
        <w:rPr>
          <w:rFonts w:ascii="宋体" w:hAnsi="宋体" w:cs="宋体"/>
          <w:sz w:val="24"/>
          <w:szCs w:val="24"/>
        </w:rPr>
      </w:pPr>
    </w:p>
    <w:p w14:paraId="307C3AAC">
      <w:pPr>
        <w:wordWrap w:val="0"/>
        <w:spacing w:line="420" w:lineRule="exact"/>
        <w:rPr>
          <w:rFonts w:ascii="宋体" w:hAnsi="宋体" w:cs="宋体"/>
          <w:sz w:val="24"/>
          <w:szCs w:val="24"/>
        </w:rPr>
      </w:pPr>
    </w:p>
    <w:p w14:paraId="5FD66973">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3"/>
        <w:wordWrap w:val="0"/>
        <w:rPr>
          <w:rFonts w:ascii="宋体" w:hAnsi="宋体" w:cs="宋体"/>
          <w:sz w:val="24"/>
          <w:szCs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wordWrap w:val="0"/>
              <w:spacing w:line="440" w:lineRule="exact"/>
              <w:ind w:firstLine="480"/>
              <w:jc w:val="center"/>
              <w:rPr>
                <w:rFonts w:ascii="宋体" w:hAnsi="宋体" w:cs="宋体"/>
                <w:sz w:val="24"/>
                <w:szCs w:val="24"/>
              </w:rPr>
            </w:pPr>
          </w:p>
        </w:tc>
      </w:tr>
    </w:tbl>
    <w:p w14:paraId="75F38371">
      <w:pPr>
        <w:bidi w:val="0"/>
      </w:pPr>
    </w:p>
    <w:p w14:paraId="2B5D7E41">
      <w:pPr>
        <w:pStyle w:val="21"/>
        <w:tabs>
          <w:tab w:val="left" w:pos="945"/>
          <w:tab w:val="left" w:pos="1155"/>
        </w:tabs>
        <w:wordWrap w:val="0"/>
        <w:ind w:firstLine="480"/>
        <w:rPr>
          <w:rFonts w:hint="default" w:ascii="宋体" w:hAnsi="宋体" w:cs="宋体"/>
        </w:rPr>
      </w:pPr>
      <w:r>
        <w:rPr>
          <w:rFonts w:ascii="宋体" w:hAnsi="宋体" w:cs="宋体"/>
        </w:rPr>
        <w:br w:type="page"/>
      </w:r>
    </w:p>
    <w:bookmarkEnd w:id="950"/>
    <w:bookmarkEnd w:id="951"/>
    <w:bookmarkEnd w:id="955"/>
    <w:p w14:paraId="7E8B9B2D">
      <w:pPr>
        <w:pStyle w:val="5"/>
        <w:bidi w:val="0"/>
        <w:jc w:val="center"/>
        <w:rPr>
          <w:rFonts w:hint="eastAsia" w:ascii="宋体" w:hAnsi="宋体" w:eastAsia="宋体" w:cs="宋体"/>
          <w:lang w:val="en-US" w:eastAsia="zh-CN"/>
        </w:rPr>
      </w:pPr>
      <w:bookmarkStart w:id="962" w:name="_Toc14094"/>
      <w:bookmarkStart w:id="963" w:name="_Toc29310"/>
      <w:bookmarkStart w:id="964" w:name="_Toc417567991"/>
      <w:bookmarkStart w:id="965" w:name="_Toc398716804"/>
      <w:bookmarkStart w:id="966" w:name="_Toc414956975"/>
      <w:r>
        <w:rPr>
          <w:rFonts w:hint="eastAsia" w:ascii="宋体" w:hAnsi="宋体" w:eastAsia="宋体" w:cs="宋体"/>
          <w:lang w:val="en-US" w:eastAsia="zh-CN"/>
        </w:rPr>
        <w:t>四、商务条款偏离表</w:t>
      </w:r>
      <w:bookmarkEnd w:id="962"/>
      <w:bookmarkEnd w:id="96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spacing w:before="120"/>
              <w:ind w:left="0" w:leftChars="0" w:firstLine="0" w:firstLineChars="0"/>
              <w:jc w:val="center"/>
              <w:rPr>
                <w:rFonts w:ascii="宋体" w:hAnsi="宋体"/>
                <w:sz w:val="24"/>
                <w:szCs w:val="24"/>
              </w:rPr>
            </w:pPr>
            <w:r>
              <w:rPr>
                <w:rFonts w:hint="eastAsia" w:ascii="宋体" w:hAnsi="宋体"/>
                <w:sz w:val="24"/>
                <w:szCs w:val="24"/>
              </w:rPr>
              <w:t>序号</w:t>
            </w:r>
          </w:p>
        </w:tc>
        <w:tc>
          <w:tcPr>
            <w:tcW w:w="3220" w:type="dxa"/>
            <w:noWrap w:val="0"/>
            <w:vAlign w:val="center"/>
          </w:tcPr>
          <w:p w14:paraId="6C88AA8B">
            <w:pPr>
              <w:spacing w:before="120"/>
              <w:ind w:left="0" w:leftChars="0" w:firstLine="0" w:firstLineChars="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spacing w:before="120"/>
              <w:ind w:left="0" w:leftChars="0" w:firstLine="0" w:firstLineChars="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spacing w:before="120"/>
              <w:ind w:left="0" w:leftChars="0" w:firstLine="0" w:firstLineChars="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spacing w:before="120"/>
              <w:rPr>
                <w:rFonts w:ascii="宋体" w:hAnsi="宋体"/>
                <w:sz w:val="24"/>
                <w:szCs w:val="24"/>
              </w:rPr>
            </w:pPr>
          </w:p>
        </w:tc>
        <w:tc>
          <w:tcPr>
            <w:tcW w:w="3220" w:type="dxa"/>
            <w:noWrap w:val="0"/>
            <w:vAlign w:val="center"/>
          </w:tcPr>
          <w:p w14:paraId="62E99995">
            <w:pPr>
              <w:spacing w:before="120"/>
              <w:rPr>
                <w:rFonts w:ascii="宋体" w:hAnsi="宋体"/>
                <w:sz w:val="24"/>
                <w:szCs w:val="24"/>
              </w:rPr>
            </w:pPr>
          </w:p>
        </w:tc>
        <w:tc>
          <w:tcPr>
            <w:tcW w:w="3220" w:type="dxa"/>
            <w:noWrap w:val="0"/>
            <w:vAlign w:val="center"/>
          </w:tcPr>
          <w:p w14:paraId="6F48AEAD">
            <w:pPr>
              <w:spacing w:before="120"/>
              <w:rPr>
                <w:rFonts w:ascii="宋体" w:hAnsi="宋体"/>
                <w:sz w:val="24"/>
                <w:szCs w:val="24"/>
              </w:rPr>
            </w:pPr>
          </w:p>
        </w:tc>
        <w:tc>
          <w:tcPr>
            <w:tcW w:w="1768" w:type="dxa"/>
            <w:noWrap w:val="0"/>
            <w:vAlign w:val="center"/>
          </w:tcPr>
          <w:p w14:paraId="3EFD9006">
            <w:pPr>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spacing w:before="120"/>
              <w:rPr>
                <w:rFonts w:ascii="宋体" w:hAnsi="宋体"/>
                <w:sz w:val="24"/>
                <w:szCs w:val="24"/>
              </w:rPr>
            </w:pPr>
          </w:p>
        </w:tc>
        <w:tc>
          <w:tcPr>
            <w:tcW w:w="3220" w:type="dxa"/>
            <w:noWrap w:val="0"/>
            <w:vAlign w:val="center"/>
          </w:tcPr>
          <w:p w14:paraId="78799D20">
            <w:pPr>
              <w:spacing w:before="120"/>
              <w:rPr>
                <w:rFonts w:ascii="宋体" w:hAnsi="宋体"/>
                <w:sz w:val="24"/>
                <w:szCs w:val="24"/>
              </w:rPr>
            </w:pPr>
          </w:p>
        </w:tc>
        <w:tc>
          <w:tcPr>
            <w:tcW w:w="3220" w:type="dxa"/>
            <w:noWrap w:val="0"/>
            <w:vAlign w:val="center"/>
          </w:tcPr>
          <w:p w14:paraId="5EFE3F87">
            <w:pPr>
              <w:spacing w:before="120"/>
              <w:rPr>
                <w:rFonts w:ascii="宋体" w:hAnsi="宋体"/>
                <w:sz w:val="24"/>
                <w:szCs w:val="24"/>
              </w:rPr>
            </w:pPr>
          </w:p>
        </w:tc>
        <w:tc>
          <w:tcPr>
            <w:tcW w:w="1768" w:type="dxa"/>
            <w:noWrap w:val="0"/>
            <w:vAlign w:val="center"/>
          </w:tcPr>
          <w:p w14:paraId="6F0B6791">
            <w:pPr>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spacing w:before="120"/>
              <w:rPr>
                <w:rFonts w:ascii="宋体" w:hAnsi="宋体"/>
                <w:sz w:val="24"/>
                <w:szCs w:val="24"/>
              </w:rPr>
            </w:pPr>
          </w:p>
        </w:tc>
        <w:tc>
          <w:tcPr>
            <w:tcW w:w="3220" w:type="dxa"/>
            <w:noWrap w:val="0"/>
            <w:vAlign w:val="center"/>
          </w:tcPr>
          <w:p w14:paraId="64977B33">
            <w:pPr>
              <w:spacing w:before="120"/>
              <w:rPr>
                <w:rFonts w:ascii="宋体" w:hAnsi="宋体"/>
                <w:sz w:val="24"/>
                <w:szCs w:val="24"/>
              </w:rPr>
            </w:pPr>
          </w:p>
        </w:tc>
        <w:tc>
          <w:tcPr>
            <w:tcW w:w="3220" w:type="dxa"/>
            <w:noWrap w:val="0"/>
            <w:vAlign w:val="center"/>
          </w:tcPr>
          <w:p w14:paraId="0AFEB194">
            <w:pPr>
              <w:spacing w:before="120"/>
              <w:rPr>
                <w:rFonts w:ascii="宋体" w:hAnsi="宋体"/>
                <w:sz w:val="24"/>
                <w:szCs w:val="24"/>
              </w:rPr>
            </w:pPr>
          </w:p>
        </w:tc>
        <w:tc>
          <w:tcPr>
            <w:tcW w:w="1768" w:type="dxa"/>
            <w:noWrap w:val="0"/>
            <w:vAlign w:val="center"/>
          </w:tcPr>
          <w:p w14:paraId="59EF1312">
            <w:pPr>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spacing w:before="120"/>
              <w:rPr>
                <w:rFonts w:ascii="宋体" w:hAnsi="宋体"/>
                <w:sz w:val="24"/>
                <w:szCs w:val="24"/>
              </w:rPr>
            </w:pPr>
          </w:p>
        </w:tc>
        <w:tc>
          <w:tcPr>
            <w:tcW w:w="3220" w:type="dxa"/>
            <w:noWrap w:val="0"/>
            <w:vAlign w:val="center"/>
          </w:tcPr>
          <w:p w14:paraId="1611F451">
            <w:pPr>
              <w:spacing w:before="120"/>
              <w:rPr>
                <w:rFonts w:ascii="宋体" w:hAnsi="宋体"/>
                <w:sz w:val="24"/>
                <w:szCs w:val="24"/>
              </w:rPr>
            </w:pPr>
          </w:p>
        </w:tc>
        <w:tc>
          <w:tcPr>
            <w:tcW w:w="3220" w:type="dxa"/>
            <w:noWrap w:val="0"/>
            <w:vAlign w:val="center"/>
          </w:tcPr>
          <w:p w14:paraId="4B158DE8">
            <w:pPr>
              <w:spacing w:before="120"/>
              <w:rPr>
                <w:rFonts w:ascii="宋体" w:hAnsi="宋体"/>
                <w:sz w:val="24"/>
                <w:szCs w:val="24"/>
              </w:rPr>
            </w:pPr>
          </w:p>
        </w:tc>
        <w:tc>
          <w:tcPr>
            <w:tcW w:w="1768" w:type="dxa"/>
            <w:noWrap w:val="0"/>
            <w:vAlign w:val="center"/>
          </w:tcPr>
          <w:p w14:paraId="0C3DE5B7">
            <w:pPr>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spacing w:before="120"/>
              <w:rPr>
                <w:rFonts w:ascii="宋体" w:hAnsi="宋体"/>
                <w:sz w:val="24"/>
                <w:szCs w:val="24"/>
              </w:rPr>
            </w:pPr>
          </w:p>
        </w:tc>
        <w:tc>
          <w:tcPr>
            <w:tcW w:w="3220" w:type="dxa"/>
            <w:noWrap w:val="0"/>
            <w:vAlign w:val="center"/>
          </w:tcPr>
          <w:p w14:paraId="32F28596">
            <w:pPr>
              <w:spacing w:before="120"/>
              <w:rPr>
                <w:rFonts w:ascii="宋体" w:hAnsi="宋体"/>
                <w:sz w:val="24"/>
                <w:szCs w:val="24"/>
              </w:rPr>
            </w:pPr>
          </w:p>
        </w:tc>
        <w:tc>
          <w:tcPr>
            <w:tcW w:w="3220" w:type="dxa"/>
            <w:noWrap w:val="0"/>
            <w:vAlign w:val="center"/>
          </w:tcPr>
          <w:p w14:paraId="2E51AE9B">
            <w:pPr>
              <w:spacing w:before="120"/>
              <w:rPr>
                <w:rFonts w:ascii="宋体" w:hAnsi="宋体"/>
                <w:sz w:val="24"/>
                <w:szCs w:val="24"/>
              </w:rPr>
            </w:pPr>
          </w:p>
        </w:tc>
        <w:tc>
          <w:tcPr>
            <w:tcW w:w="1768" w:type="dxa"/>
            <w:noWrap w:val="0"/>
            <w:vAlign w:val="center"/>
          </w:tcPr>
          <w:p w14:paraId="0E23ED3E">
            <w:pPr>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spacing w:before="120"/>
              <w:rPr>
                <w:rFonts w:ascii="宋体" w:hAnsi="宋体"/>
                <w:sz w:val="24"/>
                <w:szCs w:val="24"/>
              </w:rPr>
            </w:pPr>
          </w:p>
        </w:tc>
        <w:tc>
          <w:tcPr>
            <w:tcW w:w="3220" w:type="dxa"/>
            <w:noWrap w:val="0"/>
            <w:vAlign w:val="center"/>
          </w:tcPr>
          <w:p w14:paraId="39A13798">
            <w:pPr>
              <w:spacing w:before="120"/>
              <w:rPr>
                <w:rFonts w:ascii="宋体" w:hAnsi="宋体"/>
                <w:sz w:val="24"/>
                <w:szCs w:val="24"/>
              </w:rPr>
            </w:pPr>
          </w:p>
        </w:tc>
        <w:tc>
          <w:tcPr>
            <w:tcW w:w="3220" w:type="dxa"/>
            <w:noWrap w:val="0"/>
            <w:vAlign w:val="center"/>
          </w:tcPr>
          <w:p w14:paraId="220ABA96">
            <w:pPr>
              <w:spacing w:before="120"/>
              <w:rPr>
                <w:rFonts w:ascii="宋体" w:hAnsi="宋体"/>
                <w:sz w:val="24"/>
                <w:szCs w:val="24"/>
              </w:rPr>
            </w:pPr>
          </w:p>
        </w:tc>
        <w:tc>
          <w:tcPr>
            <w:tcW w:w="1768" w:type="dxa"/>
            <w:noWrap w:val="0"/>
            <w:vAlign w:val="center"/>
          </w:tcPr>
          <w:p w14:paraId="037B382F">
            <w:pPr>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spacing w:before="120"/>
              <w:rPr>
                <w:rFonts w:ascii="宋体" w:hAnsi="宋体"/>
                <w:sz w:val="24"/>
                <w:szCs w:val="24"/>
              </w:rPr>
            </w:pPr>
          </w:p>
        </w:tc>
        <w:tc>
          <w:tcPr>
            <w:tcW w:w="3220" w:type="dxa"/>
            <w:noWrap w:val="0"/>
            <w:vAlign w:val="center"/>
          </w:tcPr>
          <w:p w14:paraId="63D01DB0">
            <w:pPr>
              <w:spacing w:before="120"/>
              <w:rPr>
                <w:rFonts w:ascii="宋体" w:hAnsi="宋体"/>
                <w:sz w:val="24"/>
                <w:szCs w:val="24"/>
              </w:rPr>
            </w:pPr>
          </w:p>
        </w:tc>
        <w:tc>
          <w:tcPr>
            <w:tcW w:w="3220" w:type="dxa"/>
            <w:noWrap w:val="0"/>
            <w:vAlign w:val="center"/>
          </w:tcPr>
          <w:p w14:paraId="3D2E5E86">
            <w:pPr>
              <w:spacing w:before="120"/>
              <w:rPr>
                <w:rFonts w:ascii="宋体" w:hAnsi="宋体"/>
                <w:sz w:val="24"/>
                <w:szCs w:val="24"/>
              </w:rPr>
            </w:pPr>
          </w:p>
        </w:tc>
        <w:tc>
          <w:tcPr>
            <w:tcW w:w="1768" w:type="dxa"/>
            <w:noWrap w:val="0"/>
            <w:vAlign w:val="center"/>
          </w:tcPr>
          <w:p w14:paraId="6F4F46EE">
            <w:pPr>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spacing w:before="120"/>
              <w:rPr>
                <w:rFonts w:ascii="宋体" w:hAnsi="宋体"/>
                <w:sz w:val="24"/>
                <w:szCs w:val="24"/>
              </w:rPr>
            </w:pPr>
          </w:p>
        </w:tc>
        <w:tc>
          <w:tcPr>
            <w:tcW w:w="3220" w:type="dxa"/>
            <w:noWrap w:val="0"/>
            <w:vAlign w:val="center"/>
          </w:tcPr>
          <w:p w14:paraId="1417A4CF">
            <w:pPr>
              <w:spacing w:before="120"/>
              <w:rPr>
                <w:rFonts w:ascii="宋体" w:hAnsi="宋体"/>
                <w:sz w:val="24"/>
                <w:szCs w:val="24"/>
              </w:rPr>
            </w:pPr>
          </w:p>
        </w:tc>
        <w:tc>
          <w:tcPr>
            <w:tcW w:w="3220" w:type="dxa"/>
            <w:noWrap w:val="0"/>
            <w:vAlign w:val="center"/>
          </w:tcPr>
          <w:p w14:paraId="33B449A3">
            <w:pPr>
              <w:spacing w:before="120"/>
              <w:rPr>
                <w:rFonts w:ascii="宋体" w:hAnsi="宋体"/>
                <w:sz w:val="24"/>
                <w:szCs w:val="24"/>
              </w:rPr>
            </w:pPr>
          </w:p>
        </w:tc>
        <w:tc>
          <w:tcPr>
            <w:tcW w:w="1768" w:type="dxa"/>
            <w:noWrap w:val="0"/>
            <w:vAlign w:val="center"/>
          </w:tcPr>
          <w:p w14:paraId="771912D6">
            <w:pPr>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spacing w:before="120"/>
              <w:rPr>
                <w:rFonts w:ascii="宋体" w:hAnsi="宋体"/>
                <w:sz w:val="24"/>
                <w:szCs w:val="24"/>
              </w:rPr>
            </w:pPr>
          </w:p>
        </w:tc>
        <w:tc>
          <w:tcPr>
            <w:tcW w:w="3220" w:type="dxa"/>
            <w:noWrap w:val="0"/>
            <w:vAlign w:val="center"/>
          </w:tcPr>
          <w:p w14:paraId="3FD12F82">
            <w:pPr>
              <w:spacing w:before="120"/>
              <w:rPr>
                <w:rFonts w:ascii="宋体" w:hAnsi="宋体"/>
                <w:sz w:val="24"/>
                <w:szCs w:val="24"/>
              </w:rPr>
            </w:pPr>
          </w:p>
        </w:tc>
        <w:tc>
          <w:tcPr>
            <w:tcW w:w="3220" w:type="dxa"/>
            <w:noWrap w:val="0"/>
            <w:vAlign w:val="center"/>
          </w:tcPr>
          <w:p w14:paraId="0DD425A9">
            <w:pPr>
              <w:spacing w:before="120"/>
              <w:rPr>
                <w:rFonts w:ascii="宋体" w:hAnsi="宋体"/>
                <w:sz w:val="24"/>
                <w:szCs w:val="24"/>
              </w:rPr>
            </w:pPr>
          </w:p>
        </w:tc>
        <w:tc>
          <w:tcPr>
            <w:tcW w:w="1768" w:type="dxa"/>
            <w:noWrap w:val="0"/>
            <w:vAlign w:val="center"/>
          </w:tcPr>
          <w:p w14:paraId="2DA989DD">
            <w:pPr>
              <w:spacing w:before="120"/>
              <w:rPr>
                <w:rFonts w:ascii="宋体" w:hAnsi="宋体"/>
                <w:sz w:val="24"/>
                <w:szCs w:val="24"/>
              </w:rPr>
            </w:pPr>
          </w:p>
        </w:tc>
      </w:tr>
    </w:tbl>
    <w:p w14:paraId="097C9657">
      <w:pPr>
        <w:pStyle w:val="29"/>
        <w:jc w:val="both"/>
        <w:rPr>
          <w:rFonts w:hAnsi="宋体"/>
        </w:rPr>
      </w:pPr>
    </w:p>
    <w:p w14:paraId="5B881989">
      <w:pPr>
        <w:pStyle w:val="3"/>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3"/>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3"/>
        <w:rPr>
          <w:rFonts w:hint="eastAsia" w:ascii="宋体" w:hAnsi="宋体"/>
          <w:sz w:val="24"/>
          <w:szCs w:val="24"/>
        </w:rPr>
      </w:pPr>
    </w:p>
    <w:p w14:paraId="0652D845">
      <w:pPr>
        <w:pStyle w:val="3"/>
        <w:rPr>
          <w:rFonts w:hint="eastAsia"/>
          <w:sz w:val="24"/>
          <w:szCs w:val="24"/>
        </w:rPr>
      </w:pPr>
      <w:r>
        <w:rPr>
          <w:rFonts w:hint="eastAsia" w:ascii="宋体" w:hAnsi="宋体"/>
          <w:sz w:val="24"/>
          <w:szCs w:val="24"/>
        </w:rPr>
        <w:t xml:space="preserve">                                          年      月     日</w:t>
      </w:r>
    </w:p>
    <w:p w14:paraId="44C51356">
      <w:pPr>
        <w:pStyle w:val="2"/>
        <w:ind w:firstLine="240"/>
        <w:rPr>
          <w:rFonts w:hint="eastAsia"/>
          <w:sz w:val="24"/>
          <w:szCs w:val="24"/>
        </w:rPr>
      </w:pPr>
    </w:p>
    <w:p w14:paraId="12263B91">
      <w:pPr>
        <w:pStyle w:val="5"/>
        <w:bidi w:val="0"/>
        <w:ind w:left="0" w:leftChars="0" w:firstLine="0" w:firstLineChars="0"/>
        <w:jc w:val="center"/>
        <w:rPr>
          <w:rFonts w:ascii="宋体" w:hAnsi="宋体"/>
          <w:sz w:val="24"/>
          <w:szCs w:val="24"/>
        </w:rPr>
      </w:pPr>
      <w:bookmarkStart w:id="967" w:name="_Toc26192"/>
      <w:bookmarkStart w:id="968" w:name="_Toc8507"/>
      <w:r>
        <w:rPr>
          <w:rFonts w:hint="eastAsia" w:ascii="宋体" w:hAnsi="宋体" w:eastAsia="宋体" w:cs="宋体"/>
          <w:lang w:val="en-US" w:eastAsia="zh-CN"/>
        </w:rPr>
        <w:t>五、技术条款偏离表</w:t>
      </w:r>
      <w:bookmarkEnd w:id="964"/>
      <w:bookmarkEnd w:id="965"/>
      <w:bookmarkEnd w:id="966"/>
      <w:bookmarkEnd w:id="967"/>
      <w:bookmarkEnd w:id="96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spacing w:line="300" w:lineRule="auto"/>
              <w:ind w:left="0" w:leftChars="0" w:firstLine="0" w:firstLineChars="0"/>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spacing w:line="300" w:lineRule="auto"/>
              <w:ind w:left="0" w:leftChars="0" w:firstLine="0" w:firstLineChars="0"/>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spacing w:line="300" w:lineRule="auto"/>
              <w:ind w:left="0" w:leftChars="0" w:firstLine="0" w:firstLineChars="0"/>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spacing w:line="300" w:lineRule="auto"/>
              <w:ind w:left="0" w:leftChars="0" w:firstLine="0" w:firstLineChars="0"/>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spacing w:line="300" w:lineRule="auto"/>
              <w:jc w:val="center"/>
              <w:rPr>
                <w:rFonts w:ascii="宋体" w:hAnsi="宋体"/>
                <w:sz w:val="24"/>
                <w:szCs w:val="24"/>
              </w:rPr>
            </w:pPr>
          </w:p>
        </w:tc>
        <w:tc>
          <w:tcPr>
            <w:tcW w:w="2662" w:type="dxa"/>
            <w:noWrap w:val="0"/>
            <w:vAlign w:val="center"/>
          </w:tcPr>
          <w:p w14:paraId="2AFA926E">
            <w:pPr>
              <w:spacing w:line="300" w:lineRule="auto"/>
              <w:jc w:val="center"/>
              <w:rPr>
                <w:rFonts w:ascii="宋体" w:hAnsi="宋体"/>
                <w:sz w:val="24"/>
                <w:szCs w:val="24"/>
              </w:rPr>
            </w:pPr>
          </w:p>
        </w:tc>
        <w:tc>
          <w:tcPr>
            <w:tcW w:w="2738" w:type="dxa"/>
            <w:noWrap w:val="0"/>
            <w:vAlign w:val="center"/>
          </w:tcPr>
          <w:p w14:paraId="65084532">
            <w:pPr>
              <w:spacing w:line="300" w:lineRule="auto"/>
              <w:jc w:val="center"/>
              <w:rPr>
                <w:rFonts w:ascii="宋体" w:hAnsi="宋体"/>
                <w:sz w:val="24"/>
                <w:szCs w:val="24"/>
              </w:rPr>
            </w:pPr>
          </w:p>
        </w:tc>
        <w:tc>
          <w:tcPr>
            <w:tcW w:w="1916" w:type="dxa"/>
            <w:noWrap w:val="0"/>
            <w:vAlign w:val="center"/>
          </w:tcPr>
          <w:p w14:paraId="7EAA54FB">
            <w:pPr>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spacing w:line="300" w:lineRule="auto"/>
              <w:jc w:val="center"/>
              <w:rPr>
                <w:rFonts w:ascii="宋体" w:hAnsi="宋体"/>
                <w:sz w:val="24"/>
                <w:szCs w:val="24"/>
              </w:rPr>
            </w:pPr>
          </w:p>
        </w:tc>
        <w:tc>
          <w:tcPr>
            <w:tcW w:w="2662" w:type="dxa"/>
            <w:noWrap w:val="0"/>
            <w:vAlign w:val="center"/>
          </w:tcPr>
          <w:p w14:paraId="4FCB6D0C">
            <w:pPr>
              <w:spacing w:line="300" w:lineRule="auto"/>
              <w:jc w:val="center"/>
              <w:rPr>
                <w:rFonts w:ascii="宋体" w:hAnsi="宋体"/>
                <w:sz w:val="24"/>
                <w:szCs w:val="24"/>
              </w:rPr>
            </w:pPr>
          </w:p>
        </w:tc>
        <w:tc>
          <w:tcPr>
            <w:tcW w:w="2738" w:type="dxa"/>
            <w:noWrap w:val="0"/>
            <w:vAlign w:val="center"/>
          </w:tcPr>
          <w:p w14:paraId="070F1209">
            <w:pPr>
              <w:spacing w:line="300" w:lineRule="auto"/>
              <w:jc w:val="center"/>
              <w:rPr>
                <w:rFonts w:ascii="宋体" w:hAnsi="宋体"/>
                <w:sz w:val="24"/>
                <w:szCs w:val="24"/>
              </w:rPr>
            </w:pPr>
          </w:p>
        </w:tc>
        <w:tc>
          <w:tcPr>
            <w:tcW w:w="1916" w:type="dxa"/>
            <w:noWrap w:val="0"/>
            <w:vAlign w:val="center"/>
          </w:tcPr>
          <w:p w14:paraId="0E5B8A3B">
            <w:pPr>
              <w:spacing w:line="300" w:lineRule="auto"/>
              <w:jc w:val="center"/>
              <w:rPr>
                <w:rFonts w:ascii="宋体" w:hAnsi="宋体"/>
                <w:sz w:val="24"/>
                <w:szCs w:val="24"/>
              </w:rPr>
            </w:pPr>
          </w:p>
        </w:tc>
      </w:tr>
      <w:tr w14:paraId="088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5204974">
            <w:pPr>
              <w:spacing w:line="300" w:lineRule="auto"/>
              <w:jc w:val="center"/>
              <w:rPr>
                <w:rFonts w:ascii="宋体" w:hAnsi="宋体"/>
                <w:sz w:val="24"/>
                <w:szCs w:val="24"/>
              </w:rPr>
            </w:pPr>
          </w:p>
        </w:tc>
        <w:tc>
          <w:tcPr>
            <w:tcW w:w="2662" w:type="dxa"/>
            <w:noWrap w:val="0"/>
            <w:vAlign w:val="center"/>
          </w:tcPr>
          <w:p w14:paraId="2FC481A3">
            <w:pPr>
              <w:spacing w:line="300" w:lineRule="auto"/>
              <w:jc w:val="center"/>
              <w:rPr>
                <w:rFonts w:ascii="宋体" w:hAnsi="宋体"/>
                <w:sz w:val="24"/>
                <w:szCs w:val="24"/>
              </w:rPr>
            </w:pPr>
          </w:p>
        </w:tc>
        <w:tc>
          <w:tcPr>
            <w:tcW w:w="2738" w:type="dxa"/>
            <w:noWrap w:val="0"/>
            <w:vAlign w:val="center"/>
          </w:tcPr>
          <w:p w14:paraId="2B4941AA">
            <w:pPr>
              <w:spacing w:line="300" w:lineRule="auto"/>
              <w:jc w:val="center"/>
              <w:rPr>
                <w:rFonts w:ascii="宋体" w:hAnsi="宋体"/>
                <w:sz w:val="24"/>
                <w:szCs w:val="24"/>
              </w:rPr>
            </w:pPr>
          </w:p>
        </w:tc>
        <w:tc>
          <w:tcPr>
            <w:tcW w:w="1916" w:type="dxa"/>
            <w:noWrap w:val="0"/>
            <w:vAlign w:val="center"/>
          </w:tcPr>
          <w:p w14:paraId="6D199A33">
            <w:pPr>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spacing w:line="300" w:lineRule="auto"/>
              <w:jc w:val="center"/>
              <w:rPr>
                <w:rFonts w:ascii="宋体" w:hAnsi="宋体"/>
                <w:sz w:val="24"/>
                <w:szCs w:val="24"/>
              </w:rPr>
            </w:pPr>
          </w:p>
        </w:tc>
        <w:tc>
          <w:tcPr>
            <w:tcW w:w="2662" w:type="dxa"/>
            <w:noWrap w:val="0"/>
            <w:vAlign w:val="center"/>
          </w:tcPr>
          <w:p w14:paraId="57F9B0B1">
            <w:pPr>
              <w:spacing w:line="300" w:lineRule="auto"/>
              <w:jc w:val="center"/>
              <w:rPr>
                <w:rFonts w:ascii="宋体" w:hAnsi="宋体"/>
                <w:sz w:val="24"/>
                <w:szCs w:val="24"/>
              </w:rPr>
            </w:pPr>
          </w:p>
        </w:tc>
        <w:tc>
          <w:tcPr>
            <w:tcW w:w="2738" w:type="dxa"/>
            <w:noWrap w:val="0"/>
            <w:vAlign w:val="center"/>
          </w:tcPr>
          <w:p w14:paraId="369664C6">
            <w:pPr>
              <w:spacing w:line="300" w:lineRule="auto"/>
              <w:jc w:val="center"/>
              <w:rPr>
                <w:rFonts w:ascii="宋体" w:hAnsi="宋体"/>
                <w:sz w:val="24"/>
                <w:szCs w:val="24"/>
              </w:rPr>
            </w:pPr>
          </w:p>
        </w:tc>
        <w:tc>
          <w:tcPr>
            <w:tcW w:w="1916" w:type="dxa"/>
            <w:noWrap w:val="0"/>
            <w:vAlign w:val="center"/>
          </w:tcPr>
          <w:p w14:paraId="51294678">
            <w:pPr>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spacing w:line="300" w:lineRule="auto"/>
              <w:jc w:val="center"/>
              <w:rPr>
                <w:rFonts w:ascii="宋体" w:hAnsi="宋体"/>
                <w:sz w:val="24"/>
                <w:szCs w:val="24"/>
              </w:rPr>
            </w:pPr>
          </w:p>
        </w:tc>
        <w:tc>
          <w:tcPr>
            <w:tcW w:w="2662" w:type="dxa"/>
            <w:noWrap w:val="0"/>
            <w:vAlign w:val="center"/>
          </w:tcPr>
          <w:p w14:paraId="12340ECE">
            <w:pPr>
              <w:spacing w:line="300" w:lineRule="auto"/>
              <w:jc w:val="center"/>
              <w:rPr>
                <w:rFonts w:ascii="宋体" w:hAnsi="宋体"/>
                <w:sz w:val="24"/>
                <w:szCs w:val="24"/>
              </w:rPr>
            </w:pPr>
          </w:p>
        </w:tc>
        <w:tc>
          <w:tcPr>
            <w:tcW w:w="2738" w:type="dxa"/>
            <w:noWrap w:val="0"/>
            <w:vAlign w:val="center"/>
          </w:tcPr>
          <w:p w14:paraId="521773D2">
            <w:pPr>
              <w:spacing w:line="300" w:lineRule="auto"/>
              <w:jc w:val="center"/>
              <w:rPr>
                <w:rFonts w:ascii="宋体" w:hAnsi="宋体"/>
                <w:sz w:val="24"/>
                <w:szCs w:val="24"/>
              </w:rPr>
            </w:pPr>
          </w:p>
        </w:tc>
        <w:tc>
          <w:tcPr>
            <w:tcW w:w="1916" w:type="dxa"/>
            <w:noWrap w:val="0"/>
            <w:vAlign w:val="center"/>
          </w:tcPr>
          <w:p w14:paraId="181A4360">
            <w:pPr>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spacing w:line="300" w:lineRule="auto"/>
              <w:jc w:val="center"/>
              <w:rPr>
                <w:rFonts w:ascii="宋体" w:hAnsi="宋体"/>
                <w:sz w:val="24"/>
                <w:szCs w:val="24"/>
              </w:rPr>
            </w:pPr>
          </w:p>
        </w:tc>
        <w:tc>
          <w:tcPr>
            <w:tcW w:w="2662" w:type="dxa"/>
            <w:noWrap w:val="0"/>
            <w:vAlign w:val="center"/>
          </w:tcPr>
          <w:p w14:paraId="222681AF">
            <w:pPr>
              <w:spacing w:line="300" w:lineRule="auto"/>
              <w:jc w:val="center"/>
              <w:rPr>
                <w:rFonts w:ascii="宋体" w:hAnsi="宋体"/>
                <w:sz w:val="24"/>
                <w:szCs w:val="24"/>
              </w:rPr>
            </w:pPr>
          </w:p>
        </w:tc>
        <w:tc>
          <w:tcPr>
            <w:tcW w:w="2738" w:type="dxa"/>
            <w:noWrap w:val="0"/>
            <w:vAlign w:val="center"/>
          </w:tcPr>
          <w:p w14:paraId="40C445FE">
            <w:pPr>
              <w:spacing w:line="300" w:lineRule="auto"/>
              <w:jc w:val="center"/>
              <w:rPr>
                <w:rFonts w:ascii="宋体" w:hAnsi="宋体"/>
                <w:sz w:val="24"/>
                <w:szCs w:val="24"/>
              </w:rPr>
            </w:pPr>
          </w:p>
        </w:tc>
        <w:tc>
          <w:tcPr>
            <w:tcW w:w="1916" w:type="dxa"/>
            <w:noWrap w:val="0"/>
            <w:vAlign w:val="center"/>
          </w:tcPr>
          <w:p w14:paraId="15D71A76">
            <w:pPr>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spacing w:line="300" w:lineRule="auto"/>
              <w:jc w:val="center"/>
              <w:rPr>
                <w:rFonts w:ascii="宋体" w:hAnsi="宋体"/>
                <w:sz w:val="24"/>
                <w:szCs w:val="24"/>
              </w:rPr>
            </w:pPr>
          </w:p>
        </w:tc>
        <w:tc>
          <w:tcPr>
            <w:tcW w:w="2662" w:type="dxa"/>
            <w:noWrap w:val="0"/>
            <w:vAlign w:val="center"/>
          </w:tcPr>
          <w:p w14:paraId="44FA7774">
            <w:pPr>
              <w:spacing w:line="300" w:lineRule="auto"/>
              <w:jc w:val="center"/>
              <w:rPr>
                <w:rFonts w:ascii="宋体" w:hAnsi="宋体"/>
                <w:sz w:val="24"/>
                <w:szCs w:val="24"/>
              </w:rPr>
            </w:pPr>
          </w:p>
        </w:tc>
        <w:tc>
          <w:tcPr>
            <w:tcW w:w="2738" w:type="dxa"/>
            <w:noWrap w:val="0"/>
            <w:vAlign w:val="center"/>
          </w:tcPr>
          <w:p w14:paraId="04A00BE3">
            <w:pPr>
              <w:spacing w:line="300" w:lineRule="auto"/>
              <w:jc w:val="center"/>
              <w:rPr>
                <w:rFonts w:ascii="宋体" w:hAnsi="宋体"/>
                <w:sz w:val="24"/>
                <w:szCs w:val="24"/>
              </w:rPr>
            </w:pPr>
          </w:p>
        </w:tc>
        <w:tc>
          <w:tcPr>
            <w:tcW w:w="1916" w:type="dxa"/>
            <w:noWrap w:val="0"/>
            <w:vAlign w:val="center"/>
          </w:tcPr>
          <w:p w14:paraId="2F533496">
            <w:pPr>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spacing w:line="300" w:lineRule="auto"/>
              <w:jc w:val="center"/>
              <w:rPr>
                <w:rFonts w:ascii="宋体" w:hAnsi="宋体"/>
                <w:sz w:val="24"/>
                <w:szCs w:val="24"/>
              </w:rPr>
            </w:pPr>
          </w:p>
        </w:tc>
        <w:tc>
          <w:tcPr>
            <w:tcW w:w="2662" w:type="dxa"/>
            <w:noWrap w:val="0"/>
            <w:vAlign w:val="center"/>
          </w:tcPr>
          <w:p w14:paraId="1A9896F0">
            <w:pPr>
              <w:spacing w:line="300" w:lineRule="auto"/>
              <w:jc w:val="center"/>
              <w:rPr>
                <w:rFonts w:ascii="宋体" w:hAnsi="宋体"/>
                <w:sz w:val="24"/>
                <w:szCs w:val="24"/>
              </w:rPr>
            </w:pPr>
          </w:p>
        </w:tc>
        <w:tc>
          <w:tcPr>
            <w:tcW w:w="2738" w:type="dxa"/>
            <w:noWrap w:val="0"/>
            <w:vAlign w:val="center"/>
          </w:tcPr>
          <w:p w14:paraId="4080FC0E">
            <w:pPr>
              <w:spacing w:line="300" w:lineRule="auto"/>
              <w:jc w:val="center"/>
              <w:rPr>
                <w:rFonts w:ascii="宋体" w:hAnsi="宋体"/>
                <w:sz w:val="24"/>
                <w:szCs w:val="24"/>
              </w:rPr>
            </w:pPr>
          </w:p>
        </w:tc>
        <w:tc>
          <w:tcPr>
            <w:tcW w:w="1916" w:type="dxa"/>
            <w:noWrap w:val="0"/>
            <w:vAlign w:val="center"/>
          </w:tcPr>
          <w:p w14:paraId="5A7BEBA7">
            <w:pPr>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spacing w:line="300" w:lineRule="auto"/>
              <w:jc w:val="center"/>
              <w:rPr>
                <w:rFonts w:ascii="宋体" w:hAnsi="宋体"/>
                <w:sz w:val="24"/>
                <w:szCs w:val="24"/>
              </w:rPr>
            </w:pPr>
          </w:p>
        </w:tc>
        <w:tc>
          <w:tcPr>
            <w:tcW w:w="2662" w:type="dxa"/>
            <w:noWrap w:val="0"/>
            <w:vAlign w:val="center"/>
          </w:tcPr>
          <w:p w14:paraId="2A2369C7">
            <w:pPr>
              <w:spacing w:line="300" w:lineRule="auto"/>
              <w:jc w:val="center"/>
              <w:rPr>
                <w:rFonts w:ascii="宋体" w:hAnsi="宋体"/>
                <w:sz w:val="24"/>
                <w:szCs w:val="24"/>
              </w:rPr>
            </w:pPr>
          </w:p>
        </w:tc>
        <w:tc>
          <w:tcPr>
            <w:tcW w:w="2738" w:type="dxa"/>
            <w:noWrap w:val="0"/>
            <w:vAlign w:val="center"/>
          </w:tcPr>
          <w:p w14:paraId="69A4E0F5">
            <w:pPr>
              <w:spacing w:line="300" w:lineRule="auto"/>
              <w:jc w:val="center"/>
              <w:rPr>
                <w:rFonts w:ascii="宋体" w:hAnsi="宋体"/>
                <w:sz w:val="24"/>
                <w:szCs w:val="24"/>
              </w:rPr>
            </w:pPr>
          </w:p>
        </w:tc>
        <w:tc>
          <w:tcPr>
            <w:tcW w:w="1916" w:type="dxa"/>
            <w:noWrap w:val="0"/>
            <w:vAlign w:val="center"/>
          </w:tcPr>
          <w:p w14:paraId="0B7E1355">
            <w:pPr>
              <w:spacing w:line="300" w:lineRule="auto"/>
              <w:jc w:val="center"/>
              <w:rPr>
                <w:rFonts w:ascii="宋体" w:hAnsi="宋体"/>
                <w:sz w:val="24"/>
                <w:szCs w:val="24"/>
              </w:rPr>
            </w:pPr>
          </w:p>
        </w:tc>
      </w:tr>
    </w:tbl>
    <w:p w14:paraId="020253F7">
      <w:pPr>
        <w:pStyle w:val="3"/>
        <w:spacing w:line="360" w:lineRule="auto"/>
        <w:rPr>
          <w:rFonts w:hint="eastAsia" w:ascii="宋体" w:hAnsi="宋体"/>
        </w:rPr>
      </w:pPr>
    </w:p>
    <w:p w14:paraId="58B21311">
      <w:pPr>
        <w:pStyle w:val="3"/>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adjustRightInd w:val="0"/>
        <w:snapToGrid w:val="0"/>
        <w:spacing w:line="360" w:lineRule="auto"/>
        <w:rPr>
          <w:rFonts w:hint="eastAsia" w:ascii="宋体" w:hAnsi="宋体"/>
          <w:snapToGrid w:val="0"/>
          <w:kern w:val="0"/>
          <w:sz w:val="24"/>
          <w:szCs w:val="24"/>
        </w:rPr>
      </w:pPr>
    </w:p>
    <w:p w14:paraId="713BA1F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wordWrap w:val="0"/>
        <w:spacing w:line="420" w:lineRule="exact"/>
        <w:ind w:left="0" w:leftChars="0" w:firstLine="0" w:firstLineChars="0"/>
        <w:jc w:val="center"/>
        <w:outlineLvl w:val="1"/>
        <w:rPr>
          <w:rFonts w:ascii="宋体" w:hAnsi="宋体" w:cs="宋体"/>
          <w:b/>
          <w:sz w:val="32"/>
          <w:szCs w:val="32"/>
        </w:rPr>
      </w:pPr>
      <w:r>
        <w:rPr>
          <w:rFonts w:hint="eastAsia" w:ascii="宋体" w:hAnsi="宋体" w:cs="宋体"/>
        </w:rPr>
        <w:br w:type="page"/>
      </w:r>
      <w:bookmarkStart w:id="969" w:name="_Toc2557"/>
      <w:bookmarkStart w:id="970" w:name="_Toc11835"/>
      <w:bookmarkStart w:id="971" w:name="_Toc20896"/>
      <w:bookmarkStart w:id="972" w:name="_Toc414445769"/>
      <w:bookmarkStart w:id="973" w:name="_Toc410631178"/>
      <w:bookmarkStart w:id="974" w:name="_Toc416103819"/>
      <w:bookmarkStart w:id="975" w:name="_Toc143577473"/>
      <w:bookmarkStart w:id="976" w:name="_Toc468781351"/>
      <w:r>
        <w:rPr>
          <w:rFonts w:hint="eastAsia" w:ascii="宋体" w:hAnsi="宋体" w:eastAsia="宋体" w:cs="宋体"/>
          <w:b/>
          <w:bCs/>
          <w:kern w:val="2"/>
          <w:sz w:val="32"/>
          <w:szCs w:val="32"/>
          <w:lang w:val="en-US" w:eastAsia="zh-CN" w:bidi="ar-SA"/>
        </w:rPr>
        <w:t>六、资格证明材料</w:t>
      </w:r>
      <w:bookmarkEnd w:id="969"/>
      <w:bookmarkEnd w:id="970"/>
      <w:bookmarkEnd w:id="971"/>
    </w:p>
    <w:p w14:paraId="2B3018EA">
      <w:pPr>
        <w:wordWrap w:val="0"/>
        <w:spacing w:line="420" w:lineRule="exact"/>
        <w:ind w:left="0" w:leftChars="0" w:firstLine="0" w:firstLineChars="0"/>
        <w:jc w:val="center"/>
        <w:rPr>
          <w:rFonts w:ascii="宋体" w:hAnsi="宋体" w:cs="宋体"/>
          <w:b/>
          <w:bCs/>
          <w:sz w:val="28"/>
          <w:szCs w:val="28"/>
        </w:rPr>
      </w:pPr>
      <w:bookmarkStart w:id="977" w:name="_Toc9513"/>
      <w:bookmarkStart w:id="978" w:name="_Toc456185719"/>
      <w:r>
        <w:rPr>
          <w:rFonts w:hint="eastAsia" w:ascii="宋体" w:hAnsi="宋体" w:cs="宋体"/>
          <w:b/>
          <w:bCs/>
          <w:sz w:val="28"/>
          <w:szCs w:val="28"/>
        </w:rPr>
        <w:t>供应商基本情况表</w:t>
      </w:r>
      <w:bookmarkEnd w:id="977"/>
      <w:bookmarkEnd w:id="978"/>
    </w:p>
    <w:tbl>
      <w:tblPr>
        <w:tblStyle w:val="2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6088CB2B">
            <w:pPr>
              <w:wordWrap w:val="0"/>
              <w:ind w:left="0" w:leftChars="0" w:firstLine="0" w:firstLineChars="0"/>
              <w:jc w:val="both"/>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wordWrap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wordWrap w:val="0"/>
              <w:ind w:left="0" w:leftChars="0" w:firstLine="0" w:firstLineChars="0"/>
              <w:jc w:val="both"/>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wordWrap w:val="0"/>
              <w:jc w:val="center"/>
              <w:rPr>
                <w:rFonts w:ascii="宋体" w:hAnsi="宋体" w:cs="宋体"/>
                <w:sz w:val="24"/>
                <w:szCs w:val="24"/>
              </w:rPr>
            </w:pPr>
          </w:p>
        </w:tc>
        <w:tc>
          <w:tcPr>
            <w:tcW w:w="1393" w:type="dxa"/>
            <w:gridSpan w:val="2"/>
            <w:vAlign w:val="center"/>
          </w:tcPr>
          <w:p w14:paraId="4FED8CFA">
            <w:pPr>
              <w:wordWrap w:val="0"/>
              <w:ind w:left="0" w:leftChars="0" w:firstLine="0" w:firstLineChars="0"/>
              <w:jc w:val="both"/>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wordWrap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wordWrap w:val="0"/>
              <w:ind w:left="0" w:leftChars="0" w:firstLine="0" w:firstLineChars="0"/>
              <w:jc w:val="both"/>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wordWrap w:val="0"/>
              <w:ind w:left="0" w:leftChars="0" w:firstLine="0" w:firstLineChars="0"/>
              <w:jc w:val="both"/>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wordWrap w:val="0"/>
              <w:jc w:val="center"/>
              <w:rPr>
                <w:rFonts w:ascii="宋体" w:hAnsi="宋体" w:cs="宋体"/>
                <w:sz w:val="24"/>
                <w:szCs w:val="24"/>
              </w:rPr>
            </w:pPr>
          </w:p>
        </w:tc>
        <w:tc>
          <w:tcPr>
            <w:tcW w:w="1393" w:type="dxa"/>
            <w:gridSpan w:val="2"/>
            <w:vAlign w:val="center"/>
          </w:tcPr>
          <w:p w14:paraId="1C6C8307">
            <w:pPr>
              <w:wordWrap w:val="0"/>
              <w:ind w:left="0" w:leftChars="0" w:firstLine="0" w:firstLineChars="0"/>
              <w:jc w:val="both"/>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wordWrap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wordWrap w:val="0"/>
              <w:ind w:firstLine="480"/>
              <w:jc w:val="center"/>
              <w:rPr>
                <w:rFonts w:ascii="宋体" w:hAnsi="宋体" w:cs="宋体"/>
                <w:sz w:val="24"/>
                <w:szCs w:val="24"/>
              </w:rPr>
            </w:pPr>
          </w:p>
        </w:tc>
        <w:tc>
          <w:tcPr>
            <w:tcW w:w="1001" w:type="dxa"/>
            <w:vAlign w:val="center"/>
          </w:tcPr>
          <w:p w14:paraId="407BC8BC">
            <w:pPr>
              <w:wordWrap w:val="0"/>
              <w:ind w:left="0" w:leftChars="0" w:firstLine="0" w:firstLineChars="0"/>
              <w:jc w:val="both"/>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wordWrap w:val="0"/>
              <w:jc w:val="center"/>
              <w:rPr>
                <w:rFonts w:ascii="宋体" w:hAnsi="宋体" w:cs="宋体"/>
                <w:sz w:val="24"/>
                <w:szCs w:val="24"/>
              </w:rPr>
            </w:pPr>
          </w:p>
        </w:tc>
        <w:tc>
          <w:tcPr>
            <w:tcW w:w="1393" w:type="dxa"/>
            <w:gridSpan w:val="2"/>
            <w:vAlign w:val="center"/>
          </w:tcPr>
          <w:p w14:paraId="1E5F5145">
            <w:pPr>
              <w:wordWrap w:val="0"/>
              <w:ind w:left="0" w:leftChars="0" w:firstLine="0" w:firstLineChars="0"/>
              <w:jc w:val="both"/>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wordWrap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wordWrap w:val="0"/>
              <w:ind w:left="0" w:leftChars="0" w:firstLine="0" w:firstLineChars="0"/>
              <w:jc w:val="both"/>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wordWrap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wordWrap w:val="0"/>
              <w:ind w:left="0" w:leftChars="0" w:firstLine="0" w:firstLineChars="0"/>
              <w:jc w:val="both"/>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wordWrap w:val="0"/>
              <w:jc w:val="center"/>
              <w:rPr>
                <w:rFonts w:ascii="宋体" w:hAnsi="宋体" w:cs="宋体"/>
                <w:sz w:val="24"/>
                <w:szCs w:val="24"/>
              </w:rPr>
            </w:pPr>
          </w:p>
        </w:tc>
        <w:tc>
          <w:tcPr>
            <w:tcW w:w="1537" w:type="dxa"/>
            <w:gridSpan w:val="2"/>
            <w:vAlign w:val="center"/>
          </w:tcPr>
          <w:p w14:paraId="18792F4D">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wordWrap w:val="0"/>
              <w:jc w:val="center"/>
              <w:rPr>
                <w:rFonts w:ascii="宋体" w:hAnsi="宋体" w:cs="宋体"/>
                <w:sz w:val="24"/>
                <w:szCs w:val="24"/>
              </w:rPr>
            </w:pPr>
          </w:p>
        </w:tc>
        <w:tc>
          <w:tcPr>
            <w:tcW w:w="792" w:type="dxa"/>
            <w:vAlign w:val="center"/>
          </w:tcPr>
          <w:p w14:paraId="0EAB53AE">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wordWrap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wordWrap w:val="0"/>
              <w:ind w:left="0" w:leftChars="0" w:firstLine="0" w:firstLineChars="0"/>
              <w:jc w:val="both"/>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wordWrap w:val="0"/>
              <w:ind w:left="0" w:leftChars="0" w:firstLine="0" w:firstLineChars="0"/>
              <w:jc w:val="both"/>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wordWrap w:val="0"/>
              <w:jc w:val="center"/>
              <w:rPr>
                <w:rFonts w:ascii="宋体" w:hAnsi="宋体" w:cs="宋体"/>
                <w:sz w:val="24"/>
                <w:szCs w:val="24"/>
              </w:rPr>
            </w:pPr>
          </w:p>
        </w:tc>
        <w:tc>
          <w:tcPr>
            <w:tcW w:w="1537" w:type="dxa"/>
            <w:gridSpan w:val="2"/>
            <w:vAlign w:val="center"/>
          </w:tcPr>
          <w:p w14:paraId="7A750E3F">
            <w:pPr>
              <w:wordWrap w:val="0"/>
              <w:ind w:left="0" w:leftChars="0" w:firstLine="0" w:firstLineChars="0"/>
              <w:jc w:val="both"/>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wordWrap w:val="0"/>
              <w:jc w:val="center"/>
              <w:rPr>
                <w:rFonts w:ascii="宋体" w:hAnsi="宋体" w:cs="宋体"/>
                <w:sz w:val="24"/>
                <w:szCs w:val="24"/>
              </w:rPr>
            </w:pPr>
          </w:p>
        </w:tc>
        <w:tc>
          <w:tcPr>
            <w:tcW w:w="792" w:type="dxa"/>
            <w:vAlign w:val="center"/>
          </w:tcPr>
          <w:p w14:paraId="24E42D49">
            <w:pPr>
              <w:wordWrap w:val="0"/>
              <w:ind w:left="0" w:leftChars="0" w:firstLine="0" w:firstLineChars="0"/>
              <w:jc w:val="both"/>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wordWrap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wordWrap w:val="0"/>
              <w:ind w:left="0" w:leftChars="0" w:firstLine="0" w:firstLineChars="0"/>
              <w:jc w:val="both"/>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wordWrap w:val="0"/>
              <w:jc w:val="center"/>
              <w:rPr>
                <w:rFonts w:ascii="宋体" w:hAnsi="宋体" w:cs="宋体"/>
                <w:sz w:val="24"/>
                <w:szCs w:val="24"/>
              </w:rPr>
            </w:pPr>
          </w:p>
        </w:tc>
        <w:tc>
          <w:tcPr>
            <w:tcW w:w="5377" w:type="dxa"/>
            <w:gridSpan w:val="6"/>
            <w:vAlign w:val="center"/>
          </w:tcPr>
          <w:p w14:paraId="10BFAC68">
            <w:pPr>
              <w:wordWrap w:val="0"/>
              <w:ind w:left="0" w:leftChars="0" w:firstLine="0" w:firstLineChars="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wordWrap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wordWrap w:val="0"/>
              <w:spacing w:line="420" w:lineRule="exact"/>
              <w:ind w:left="0" w:leftChars="0" w:firstLine="0" w:firstLineChars="0"/>
              <w:jc w:val="both"/>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wordWrap w:val="0"/>
              <w:spacing w:line="420" w:lineRule="exact"/>
              <w:jc w:val="center"/>
              <w:rPr>
                <w:rFonts w:ascii="宋体" w:hAnsi="宋体" w:cs="宋体"/>
                <w:sz w:val="24"/>
                <w:szCs w:val="24"/>
              </w:rPr>
            </w:pPr>
          </w:p>
        </w:tc>
      </w:tr>
    </w:tbl>
    <w:p w14:paraId="2B8E48A5">
      <w:pPr>
        <w:wordWrap w:val="0"/>
        <w:spacing w:line="420" w:lineRule="exact"/>
        <w:rPr>
          <w:rFonts w:ascii="宋体" w:hAnsi="宋体" w:cs="宋体"/>
          <w:szCs w:val="21"/>
        </w:rPr>
      </w:pPr>
    </w:p>
    <w:p w14:paraId="54C3BBD0">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72"/>
    <w:bookmarkEnd w:id="973"/>
    <w:bookmarkEnd w:id="974"/>
    <w:p w14:paraId="1EC98D71">
      <w:pPr>
        <w:rPr>
          <w:rFonts w:hint="eastAsia" w:ascii="宋体" w:hAnsi="宋体" w:cs="宋体"/>
          <w:szCs w:val="21"/>
        </w:rPr>
      </w:pPr>
      <w:bookmarkStart w:id="979" w:name="_Toc18442"/>
      <w:bookmarkStart w:id="980" w:name="_Toc24549"/>
      <w:bookmarkStart w:id="981" w:name="_Toc15604"/>
      <w:r>
        <w:rPr>
          <w:rFonts w:hint="eastAsia" w:ascii="宋体" w:hAnsi="宋体" w:cs="宋体"/>
          <w:szCs w:val="21"/>
        </w:rPr>
        <w:br w:type="page"/>
      </w:r>
    </w:p>
    <w:p w14:paraId="190A7542">
      <w:pPr>
        <w:pStyle w:val="6"/>
        <w:pageBreakBefore w:val="0"/>
        <w:kinsoku/>
        <w:wordWrap/>
        <w:overflowPunct/>
        <w:topLinePunct w:val="0"/>
        <w:autoSpaceDE/>
        <w:autoSpaceDN/>
        <w:bidi w:val="0"/>
        <w:adjustRightInd/>
        <w:snapToGrid/>
        <w:spacing w:before="0" w:after="0" w:line="360" w:lineRule="auto"/>
        <w:jc w:val="left"/>
        <w:textAlignment w:val="auto"/>
        <w:rPr>
          <w:rFonts w:hint="eastAsia"/>
        </w:rPr>
      </w:pPr>
      <w:bookmarkStart w:id="982" w:name="_Toc15767"/>
      <w:bookmarkStart w:id="983" w:name="_Toc22845"/>
      <w:r>
        <w:rPr>
          <w:rFonts w:hint="eastAsia"/>
        </w:rPr>
        <w:t>附件：</w:t>
      </w:r>
      <w:bookmarkEnd w:id="982"/>
      <w:bookmarkEnd w:id="983"/>
    </w:p>
    <w:p w14:paraId="5E575D07">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5785ACB5">
      <w:pPr>
        <w:widowControl/>
        <w:spacing w:line="400" w:lineRule="exact"/>
        <w:ind w:firstLine="420" w:firstLineChars="0"/>
        <w:jc w:val="left"/>
        <w:rPr>
          <w:rFonts w:hint="eastAsia" w:ascii="宋体" w:hAnsi="宋体" w:cs="宋体"/>
          <w:color w:val="auto"/>
          <w:kern w:val="0"/>
          <w:szCs w:val="21"/>
          <w:lang w:bidi="ar"/>
        </w:rPr>
      </w:pPr>
    </w:p>
    <w:p w14:paraId="49982E1C">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17B02B8C">
      <w:pPr>
        <w:widowControl/>
        <w:spacing w:line="400" w:lineRule="exact"/>
        <w:ind w:firstLine="420" w:firstLineChars="0"/>
        <w:jc w:val="left"/>
        <w:rPr>
          <w:rFonts w:hint="eastAsia" w:ascii="宋体" w:hAnsi="宋体" w:cs="宋体"/>
          <w:color w:val="auto"/>
          <w:kern w:val="0"/>
          <w:szCs w:val="21"/>
          <w:lang w:bidi="ar"/>
        </w:rPr>
      </w:pPr>
    </w:p>
    <w:p w14:paraId="399F1C3B">
      <w:pPr>
        <w:widowControl/>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widowControl/>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widowControl/>
        <w:spacing w:line="400" w:lineRule="exact"/>
        <w:ind w:firstLine="420" w:firstLineChars="0"/>
        <w:jc w:val="left"/>
        <w:rPr>
          <w:rFonts w:hint="eastAsia" w:ascii="宋体" w:hAnsi="宋体" w:cs="宋体"/>
          <w:color w:val="auto"/>
          <w:kern w:val="0"/>
          <w:szCs w:val="21"/>
          <w:lang w:bidi="ar"/>
        </w:rPr>
      </w:pPr>
    </w:p>
    <w:p w14:paraId="426D6AC7">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widowControl/>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widowControl/>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widowControl/>
        <w:spacing w:line="400" w:lineRule="exact"/>
        <w:ind w:firstLine="735" w:firstLineChars="350"/>
        <w:jc w:val="left"/>
        <w:rPr>
          <w:rFonts w:ascii="宋体" w:hAnsi="宋体"/>
          <w:color w:val="auto"/>
        </w:rPr>
        <w:sectPr>
          <w:headerReference r:id="rId11" w:type="default"/>
          <w:footerReference r:id="rId12" w:type="default"/>
          <w:pgSz w:w="11905" w:h="16838"/>
          <w:pgMar w:top="1134" w:right="1134" w:bottom="1134" w:left="1417" w:header="850" w:footer="850" w:gutter="0"/>
          <w:pgNumType w:fmt="numberInDash"/>
          <w:cols w:space="720" w:num="1"/>
          <w:rtlGutter w:val="0"/>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30"/>
      </w:pPr>
    </w:p>
    <w:bookmarkEnd w:id="975"/>
    <w:bookmarkEnd w:id="976"/>
    <w:bookmarkEnd w:id="979"/>
    <w:bookmarkEnd w:id="980"/>
    <w:bookmarkEnd w:id="981"/>
    <w:p w14:paraId="6F5990C0">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4" w:name="_Toc21211"/>
      <w:bookmarkStart w:id="985" w:name="_Toc20467"/>
      <w:r>
        <w:rPr>
          <w:rFonts w:hint="eastAsia" w:ascii="宋体" w:hAnsi="宋体" w:eastAsia="宋体" w:cs="宋体"/>
          <w:b/>
          <w:bCs/>
          <w:kern w:val="2"/>
          <w:sz w:val="32"/>
          <w:szCs w:val="32"/>
          <w:lang w:val="en-US" w:eastAsia="zh-CN" w:bidi="ar-SA"/>
        </w:rPr>
        <w:t>七、</w:t>
      </w:r>
      <w:bookmarkEnd w:id="984"/>
      <w:bookmarkEnd w:id="985"/>
      <w:r>
        <w:rPr>
          <w:rFonts w:hint="eastAsia" w:ascii="宋体" w:hAnsi="宋体" w:eastAsia="宋体" w:cs="宋体"/>
          <w:b/>
          <w:bCs/>
          <w:kern w:val="2"/>
          <w:sz w:val="32"/>
          <w:szCs w:val="32"/>
          <w:lang w:val="en-US" w:eastAsia="zh-CN" w:bidi="ar-SA"/>
        </w:rPr>
        <w:t>技术部分</w:t>
      </w:r>
    </w:p>
    <w:p w14:paraId="37C02735">
      <w:pPr>
        <w:jc w:val="center"/>
        <w:rPr>
          <w:rFonts w:hint="eastAsia"/>
          <w:sz w:val="24"/>
          <w:szCs w:val="24"/>
          <w:lang w:val="en-US" w:eastAsia="zh-CN"/>
        </w:rPr>
      </w:pPr>
    </w:p>
    <w:p w14:paraId="3E060A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3"/>
        <w:rPr>
          <w:rFonts w:hint="eastAsia"/>
          <w:sz w:val="24"/>
          <w:szCs w:val="24"/>
        </w:rPr>
      </w:pPr>
    </w:p>
    <w:p w14:paraId="4EA49127">
      <w:pPr>
        <w:rPr>
          <w:rFonts w:hint="eastAsia"/>
          <w:sz w:val="24"/>
          <w:szCs w:val="24"/>
        </w:rPr>
      </w:pPr>
    </w:p>
    <w:p w14:paraId="69571A3B">
      <w:pPr>
        <w:pStyle w:val="3"/>
        <w:rPr>
          <w:rFonts w:hint="eastAsia"/>
          <w:sz w:val="24"/>
          <w:szCs w:val="24"/>
        </w:rPr>
      </w:pPr>
    </w:p>
    <w:p w14:paraId="0F9BD18A">
      <w:pPr>
        <w:rPr>
          <w:rFonts w:hint="eastAsia"/>
        </w:rPr>
      </w:pPr>
    </w:p>
    <w:p w14:paraId="2B82A723">
      <w:pPr>
        <w:pStyle w:val="3"/>
        <w:rPr>
          <w:rFonts w:hint="eastAsia"/>
          <w:lang w:val="en-US" w:eastAsia="zh-CN"/>
        </w:rPr>
      </w:pPr>
    </w:p>
    <w:p w14:paraId="1DD4203F">
      <w:pPr>
        <w:jc w:val="center"/>
        <w:rPr>
          <w:rFonts w:hint="eastAsia" w:ascii="宋体" w:hAnsi="宋体" w:cs="宋体"/>
          <w:b/>
          <w:sz w:val="30"/>
          <w:szCs w:val="30"/>
          <w:lang w:val="en-US" w:eastAsia="zh-CN"/>
        </w:rPr>
      </w:pPr>
    </w:p>
    <w:p w14:paraId="652904C8">
      <w:pPr>
        <w:pStyle w:val="3"/>
        <w:jc w:val="center"/>
        <w:rPr>
          <w:rFonts w:hint="eastAsia" w:ascii="宋体" w:hAnsi="宋体" w:cs="宋体"/>
          <w:b/>
          <w:sz w:val="30"/>
          <w:szCs w:val="30"/>
          <w:lang w:val="en-US" w:eastAsia="zh-CN"/>
        </w:rPr>
      </w:pPr>
    </w:p>
    <w:p w14:paraId="077C1278">
      <w:pPr>
        <w:rPr>
          <w:rFonts w:hint="eastAsia" w:ascii="宋体" w:hAnsi="宋体" w:cs="宋体"/>
          <w:b/>
          <w:sz w:val="30"/>
          <w:szCs w:val="30"/>
          <w:lang w:val="en-US" w:eastAsia="zh-CN"/>
        </w:rPr>
      </w:pPr>
    </w:p>
    <w:p w14:paraId="3DEB7926">
      <w:pPr>
        <w:rPr>
          <w:rFonts w:hint="eastAsia" w:ascii="宋体" w:hAnsi="宋体" w:cs="宋体"/>
          <w:b/>
          <w:sz w:val="30"/>
          <w:szCs w:val="30"/>
          <w:lang w:val="en-US" w:eastAsia="zh-CN"/>
        </w:rPr>
      </w:pPr>
    </w:p>
    <w:p w14:paraId="5A8851D2">
      <w:pPr>
        <w:rPr>
          <w:rFonts w:hint="eastAsia" w:ascii="宋体" w:hAnsi="宋体" w:cs="宋体"/>
          <w:b/>
          <w:sz w:val="30"/>
          <w:szCs w:val="30"/>
          <w:lang w:val="en-US" w:eastAsia="zh-CN"/>
        </w:rPr>
      </w:pPr>
    </w:p>
    <w:p w14:paraId="56D19D95">
      <w:pPr>
        <w:rPr>
          <w:rFonts w:hint="eastAsia" w:ascii="宋体" w:hAnsi="宋体" w:cs="宋体"/>
          <w:b/>
          <w:sz w:val="30"/>
          <w:szCs w:val="30"/>
          <w:lang w:val="en-US" w:eastAsia="zh-CN"/>
        </w:rPr>
      </w:pPr>
    </w:p>
    <w:p w14:paraId="3ED5377B">
      <w:pPr>
        <w:rPr>
          <w:rFonts w:hint="eastAsia" w:ascii="宋体" w:hAnsi="宋体" w:cs="宋体"/>
          <w:b/>
          <w:sz w:val="30"/>
          <w:szCs w:val="30"/>
          <w:lang w:val="en-US" w:eastAsia="zh-CN"/>
        </w:rPr>
      </w:pPr>
    </w:p>
    <w:p w14:paraId="120FC4C8">
      <w:pPr>
        <w:rPr>
          <w:rFonts w:hint="eastAsia" w:ascii="宋体" w:hAnsi="宋体" w:cs="宋体"/>
          <w:b/>
          <w:sz w:val="30"/>
          <w:szCs w:val="30"/>
          <w:lang w:val="en-US" w:eastAsia="zh-CN"/>
        </w:rPr>
      </w:pPr>
    </w:p>
    <w:p w14:paraId="5A28FA02">
      <w:pPr>
        <w:rPr>
          <w:rFonts w:hint="eastAsia" w:ascii="宋体" w:hAnsi="宋体" w:cs="宋体"/>
          <w:b/>
          <w:sz w:val="30"/>
          <w:szCs w:val="30"/>
          <w:lang w:val="en-US" w:eastAsia="zh-CN"/>
        </w:rPr>
      </w:pPr>
    </w:p>
    <w:p w14:paraId="61E95694">
      <w:pPr>
        <w:rPr>
          <w:rFonts w:hint="eastAsia" w:ascii="宋体" w:hAnsi="宋体" w:cs="宋体"/>
          <w:b/>
          <w:sz w:val="30"/>
          <w:szCs w:val="30"/>
          <w:lang w:val="en-US" w:eastAsia="zh-CN"/>
        </w:rPr>
      </w:pPr>
    </w:p>
    <w:p w14:paraId="421D1848">
      <w:pPr>
        <w:rPr>
          <w:rFonts w:hint="eastAsia" w:ascii="宋体" w:hAnsi="宋体" w:cs="宋体"/>
          <w:b/>
          <w:sz w:val="30"/>
          <w:szCs w:val="30"/>
          <w:lang w:val="en-US" w:eastAsia="zh-CN"/>
        </w:rPr>
      </w:pPr>
    </w:p>
    <w:p w14:paraId="75A73DBA">
      <w:pPr>
        <w:rPr>
          <w:rFonts w:hint="eastAsia" w:ascii="宋体" w:hAnsi="宋体" w:cs="宋体"/>
          <w:b/>
          <w:sz w:val="30"/>
          <w:szCs w:val="30"/>
          <w:lang w:val="en-US" w:eastAsia="zh-CN"/>
        </w:rPr>
      </w:pPr>
    </w:p>
    <w:p w14:paraId="0E8CFD07">
      <w:pPr>
        <w:wordWrap w:val="0"/>
        <w:spacing w:line="420" w:lineRule="exact"/>
        <w:jc w:val="center"/>
        <w:outlineLvl w:val="1"/>
        <w:rPr>
          <w:rFonts w:hint="eastAsia" w:ascii="宋体" w:hAnsi="宋体" w:cs="宋体"/>
          <w:b/>
          <w:bCs/>
          <w:kern w:val="2"/>
          <w:sz w:val="32"/>
          <w:szCs w:val="32"/>
          <w:lang w:val="en-US" w:eastAsia="zh-CN" w:bidi="ar-SA"/>
        </w:rPr>
      </w:pPr>
      <w:bookmarkStart w:id="986" w:name="_Toc12738"/>
    </w:p>
    <w:p w14:paraId="1C8C33EE">
      <w:pPr>
        <w:wordWrap w:val="0"/>
        <w:spacing w:line="420" w:lineRule="exact"/>
        <w:jc w:val="center"/>
        <w:outlineLvl w:val="1"/>
        <w:rPr>
          <w:rFonts w:hint="eastAsia" w:ascii="宋体" w:hAnsi="宋体" w:eastAsia="宋体" w:cs="宋体"/>
          <w:b/>
          <w:bCs/>
          <w:kern w:val="2"/>
          <w:sz w:val="32"/>
          <w:szCs w:val="32"/>
          <w:lang w:val="en-US" w:eastAsia="zh-CN" w:bidi="ar-SA"/>
        </w:rPr>
      </w:pPr>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03E3DA68">
      <w:pPr>
        <w:jc w:val="center"/>
        <w:rPr>
          <w:rFonts w:hint="eastAsia" w:ascii="Times New Roman" w:hAnsi="Times New Roman" w:eastAsia="宋体" w:cs="Times New Roman"/>
          <w:sz w:val="24"/>
          <w:szCs w:val="24"/>
        </w:rPr>
      </w:pPr>
      <w:r>
        <w:rPr>
          <w:rFonts w:hint="eastAsia"/>
          <w:sz w:val="24"/>
          <w:szCs w:val="24"/>
        </w:rPr>
        <w:t>1、</w:t>
      </w:r>
      <w:bookmarkEnd w:id="986"/>
      <w:r>
        <w:rPr>
          <w:rFonts w:hint="eastAsia" w:ascii="Times New Roman" w:hAnsi="Times New Roman" w:eastAsia="宋体" w:cs="Times New Roman"/>
          <w:sz w:val="24"/>
          <w:szCs w:val="24"/>
          <w:lang w:val="en-US" w:eastAsia="zh-CN"/>
        </w:rPr>
        <w:t>反商业贿赂承诺书</w:t>
      </w:r>
    </w:p>
    <w:p w14:paraId="2CB4253F">
      <w:pPr>
        <w:pStyle w:val="3"/>
        <w:spacing w:before="7"/>
        <w:rPr>
          <w:rFonts w:ascii="宋体" w:hAnsi="宋体" w:cs="宋体"/>
          <w:b/>
          <w:sz w:val="22"/>
          <w:szCs w:val="22"/>
        </w:rPr>
      </w:pPr>
    </w:p>
    <w:p w14:paraId="71A96CF9">
      <w:pPr>
        <w:rPr>
          <w:rFonts w:hint="eastAsia"/>
          <w:sz w:val="24"/>
          <w:szCs w:val="24"/>
        </w:rPr>
      </w:pPr>
    </w:p>
    <w:p w14:paraId="6FDFD6D4">
      <w:pPr>
        <w:spacing w:line="360" w:lineRule="auto"/>
        <w:rPr>
          <w:rFonts w:hint="eastAsia"/>
          <w:sz w:val="24"/>
          <w:szCs w:val="24"/>
        </w:rPr>
      </w:pPr>
      <w:r>
        <w:rPr>
          <w:rFonts w:hint="eastAsia"/>
          <w:sz w:val="24"/>
          <w:szCs w:val="24"/>
        </w:rPr>
        <w:t>我公司承诺：</w:t>
      </w:r>
    </w:p>
    <w:p w14:paraId="23EBC0A5">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spacing w:line="360" w:lineRule="auto"/>
        <w:ind w:firstLine="480" w:firstLineChars="200"/>
        <w:rPr>
          <w:rFonts w:hint="eastAsia"/>
          <w:sz w:val="24"/>
          <w:szCs w:val="24"/>
        </w:rPr>
      </w:pPr>
      <w:r>
        <w:rPr>
          <w:rFonts w:hint="eastAsia"/>
          <w:sz w:val="24"/>
          <w:szCs w:val="24"/>
        </w:rPr>
        <w:t>一、公平竞争参加本次采购活动。</w:t>
      </w:r>
    </w:p>
    <w:p w14:paraId="03294FD6">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rPr>
          <w:rFonts w:hint="eastAsia"/>
          <w:sz w:val="24"/>
          <w:szCs w:val="24"/>
        </w:rPr>
      </w:pPr>
    </w:p>
    <w:p w14:paraId="44A4F309">
      <w:pPr>
        <w:spacing w:line="360" w:lineRule="auto"/>
        <w:jc w:val="center"/>
        <w:rPr>
          <w:rFonts w:hint="eastAsia"/>
          <w:sz w:val="24"/>
          <w:szCs w:val="24"/>
        </w:rPr>
      </w:pPr>
      <w:r>
        <w:rPr>
          <w:rFonts w:hint="eastAsia"/>
          <w:sz w:val="24"/>
          <w:szCs w:val="24"/>
        </w:rPr>
        <w:t xml:space="preserve">      供应商（盖单位公章） ：</w:t>
      </w:r>
    </w:p>
    <w:p w14:paraId="65DFCA2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spacing w:line="400" w:lineRule="exact"/>
        <w:jc w:val="center"/>
        <w:rPr>
          <w:rFonts w:hint="eastAsia" w:hAnsi="宋体"/>
          <w:b/>
          <w:sz w:val="24"/>
          <w:szCs w:val="24"/>
        </w:rPr>
      </w:pPr>
    </w:p>
    <w:p w14:paraId="518FF324">
      <w:pPr>
        <w:spacing w:line="400" w:lineRule="exact"/>
        <w:rPr>
          <w:rFonts w:hint="eastAsia" w:hAnsi="宋体"/>
          <w:b/>
          <w:sz w:val="21"/>
          <w:szCs w:val="21"/>
        </w:rPr>
      </w:pPr>
      <w:r>
        <w:rPr>
          <w:rFonts w:hint="eastAsia" w:hAnsi="宋体"/>
          <w:b/>
          <w:sz w:val="21"/>
          <w:szCs w:val="21"/>
        </w:rPr>
        <w:br w:type="page"/>
      </w:r>
    </w:p>
    <w:p w14:paraId="270576B8">
      <w:pPr>
        <w:pStyle w:val="6"/>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bidi w:val="0"/>
        <w:rPr>
          <w:rFonts w:ascii="宋体" w:hAnsi="宋体" w:cs="宋体"/>
        </w:rPr>
      </w:pPr>
    </w:p>
    <w:p w14:paraId="47DD863A">
      <w:pPr>
        <w:pStyle w:val="3"/>
        <w:rPr>
          <w:rFonts w:ascii="宋体" w:hAnsi="宋体" w:cs="宋体"/>
        </w:rPr>
      </w:pPr>
    </w:p>
    <w:p w14:paraId="5DC3CC9F">
      <w:pPr>
        <w:pStyle w:val="32"/>
        <w:rPr>
          <w:rFonts w:ascii="宋体" w:hAnsi="宋体" w:cs="宋体"/>
        </w:rPr>
      </w:pPr>
    </w:p>
    <w:p w14:paraId="53CED5A1">
      <w:pPr>
        <w:pStyle w:val="34"/>
        <w:rPr>
          <w:rFonts w:ascii="宋体" w:hAnsi="宋体" w:cs="宋体"/>
        </w:rPr>
      </w:pPr>
    </w:p>
    <w:p w14:paraId="6EB080B3">
      <w:pPr>
        <w:rPr>
          <w:rFonts w:ascii="宋体" w:hAnsi="宋体" w:cs="宋体"/>
        </w:rPr>
      </w:pPr>
    </w:p>
    <w:p w14:paraId="0D7661F6">
      <w:pPr>
        <w:pStyle w:val="3"/>
        <w:rPr>
          <w:rFonts w:ascii="宋体" w:hAnsi="宋体" w:cs="宋体"/>
        </w:rPr>
      </w:pPr>
    </w:p>
    <w:p w14:paraId="4A693D1C">
      <w:pPr>
        <w:pStyle w:val="32"/>
        <w:rPr>
          <w:rFonts w:ascii="宋体" w:hAnsi="宋体" w:cs="宋体"/>
        </w:rPr>
      </w:pPr>
    </w:p>
    <w:p w14:paraId="3FEB473C">
      <w:pPr>
        <w:pStyle w:val="34"/>
        <w:rPr>
          <w:rFonts w:ascii="宋体" w:hAnsi="宋体" w:cs="宋体"/>
        </w:rPr>
      </w:pPr>
    </w:p>
    <w:p w14:paraId="3EA32C90">
      <w:pPr>
        <w:rPr>
          <w:rFonts w:ascii="宋体" w:hAnsi="宋体" w:cs="宋体"/>
        </w:rPr>
      </w:pPr>
    </w:p>
    <w:p w14:paraId="7A0DAFF6">
      <w:pPr>
        <w:pStyle w:val="3"/>
      </w:pPr>
    </w:p>
    <w:p w14:paraId="14BB14AF">
      <w:pPr>
        <w:wordWrap w:val="0"/>
        <w:rPr>
          <w:rFonts w:ascii="宋体" w:hAnsi="宋体" w:cs="宋体"/>
        </w:rPr>
      </w:pPr>
    </w:p>
    <w:p w14:paraId="7185B43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wordWrap w:val="0"/>
        <w:spacing w:line="420" w:lineRule="exact"/>
        <w:rPr>
          <w:rFonts w:ascii="宋体" w:hAnsi="宋体" w:cs="宋体"/>
          <w:b/>
          <w:bCs/>
          <w:szCs w:val="21"/>
        </w:rPr>
      </w:pPr>
    </w:p>
    <w:p w14:paraId="7E132C70">
      <w:pPr>
        <w:spacing w:line="420" w:lineRule="exact"/>
        <w:ind w:firstLine="551" w:firstLineChars="196"/>
        <w:rPr>
          <w:rFonts w:hint="eastAsia"/>
          <w:sz w:val="24"/>
          <w:szCs w:val="24"/>
        </w:rPr>
      </w:pPr>
      <w:bookmarkStart w:id="987" w:name="_Toc19333"/>
      <w:bookmarkStart w:id="988" w:name="_Toc19083"/>
      <w:r>
        <w:rPr>
          <w:rFonts w:hint="eastAsia" w:ascii="宋体" w:hAnsi="宋体" w:cs="宋体"/>
          <w:b/>
          <w:bCs/>
          <w:sz w:val="28"/>
          <w:szCs w:val="28"/>
        </w:rPr>
        <w:br w:type="page"/>
      </w:r>
      <w:bookmarkEnd w:id="987"/>
      <w:bookmarkEnd w:id="988"/>
    </w:p>
    <w:p w14:paraId="30A13BC4">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2"/>
        <w:ind w:firstLine="240"/>
        <w:rPr>
          <w:rFonts w:hint="eastAsia" w:asciiTheme="minorEastAsia" w:hAnsiTheme="minorEastAsia" w:eastAsiaTheme="minorEastAsia" w:cstheme="minorEastAsia"/>
          <w:sz w:val="24"/>
          <w:szCs w:val="24"/>
        </w:rPr>
      </w:pPr>
    </w:p>
    <w:p w14:paraId="0A20E57A">
      <w:pPr>
        <w:wordWrap w:val="0"/>
        <w:jc w:val="center"/>
        <w:outlineLvl w:val="1"/>
        <w:rPr>
          <w:rFonts w:hint="eastAsia" w:asciiTheme="minorEastAsia" w:hAnsiTheme="minorEastAsia" w:eastAsiaTheme="minorEastAsia" w:cstheme="minorEastAsia"/>
          <w:b/>
          <w:bCs/>
          <w:sz w:val="24"/>
          <w:szCs w:val="24"/>
          <w:lang w:val="en-US" w:eastAsia="zh-CN"/>
        </w:rPr>
      </w:pPr>
      <w:bookmarkStart w:id="989" w:name="_Toc3557455"/>
      <w:bookmarkStart w:id="990" w:name="_Toc32628"/>
      <w:bookmarkStart w:id="991" w:name="_Toc30711"/>
      <w:bookmarkStart w:id="992" w:name="_Toc23143"/>
      <w:bookmarkStart w:id="993" w:name="_Toc16158"/>
      <w:bookmarkStart w:id="994" w:name="_Toc9246"/>
      <w:bookmarkStart w:id="995" w:name="_Toc5320"/>
      <w:bookmarkStart w:id="996" w:name="_Toc22789"/>
      <w:bookmarkStart w:id="997" w:name="_Toc746"/>
      <w:r>
        <w:rPr>
          <w:rFonts w:hint="eastAsia" w:asciiTheme="minorEastAsia" w:hAnsiTheme="minorEastAsia" w:eastAsiaTheme="minorEastAsia" w:cstheme="minorEastAsia"/>
          <w:b/>
          <w:bCs/>
          <w:sz w:val="24"/>
          <w:szCs w:val="24"/>
          <w:lang w:val="en-US" w:eastAsia="zh-CN"/>
        </w:rPr>
        <w:t>（一）关于中小企业及产品</w:t>
      </w:r>
      <w:bookmarkEnd w:id="989"/>
      <w:bookmarkEnd w:id="990"/>
      <w:bookmarkEnd w:id="991"/>
      <w:bookmarkEnd w:id="992"/>
      <w:bookmarkEnd w:id="993"/>
      <w:bookmarkEnd w:id="994"/>
      <w:bookmarkEnd w:id="995"/>
      <w:bookmarkEnd w:id="996"/>
      <w:bookmarkEnd w:id="997"/>
    </w:p>
    <w:p w14:paraId="5EE3E65B">
      <w:pPr>
        <w:pStyle w:val="2"/>
        <w:ind w:firstLine="240"/>
        <w:rPr>
          <w:rFonts w:hint="eastAsia" w:asciiTheme="minorEastAsia" w:hAnsiTheme="minorEastAsia" w:eastAsiaTheme="minorEastAsia" w:cstheme="minorEastAsia"/>
          <w:sz w:val="24"/>
          <w:szCs w:val="24"/>
        </w:rPr>
      </w:pPr>
    </w:p>
    <w:p w14:paraId="50D50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19EFB2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9DD10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rPr>
          <w:rFonts w:hint="eastAsia" w:ascii="宋体" w:hAnsi="宋体" w:cs="宋体"/>
          <w:sz w:val="24"/>
          <w:szCs w:val="24"/>
        </w:rPr>
      </w:pPr>
      <w:r>
        <w:rPr>
          <w:rFonts w:hint="eastAsia" w:ascii="宋体" w:hAnsi="宋体" w:cs="宋体"/>
          <w:sz w:val="24"/>
          <w:szCs w:val="24"/>
        </w:rPr>
        <w:br w:type="page"/>
      </w:r>
    </w:p>
    <w:p w14:paraId="6F0B6D64">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widowControl/>
        <w:spacing w:line="330" w:lineRule="atLeast"/>
        <w:jc w:val="center"/>
        <w:rPr>
          <w:rFonts w:hint="eastAsia" w:ascii="宋体" w:hAnsi="宋体" w:cs="宋体"/>
          <w:color w:val="000000"/>
          <w:kern w:val="0"/>
          <w:sz w:val="22"/>
          <w:szCs w:val="22"/>
        </w:rPr>
      </w:pPr>
      <w:r>
        <w:rPr>
          <w:rFonts w:hint="eastAsia" w:ascii="宋体" w:hAnsi="宋体" w:cs="宋体"/>
          <w:color w:val="000000"/>
          <w:kern w:val="0"/>
          <w:sz w:val="22"/>
          <w:szCs w:val="22"/>
        </w:rPr>
        <w:t>国家统计局《统计上大中小微型企业划分标准》</w:t>
      </w:r>
    </w:p>
    <w:p w14:paraId="33EEAC4F">
      <w:pPr>
        <w:pStyle w:val="2"/>
      </w:pPr>
    </w:p>
    <w:tbl>
      <w:tblPr>
        <w:tblStyle w:val="2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widowControl/>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widowControl/>
              <w:suppressLineNumbers w:val="0"/>
              <w:spacing w:before="0" w:beforeAutospacing="0" w:after="0" w:afterAutospacing="0" w:line="240" w:lineRule="auto"/>
              <w:ind w:left="0" w:leftChars="0" w:right="0" w:firstLine="0" w:firstLineChars="0"/>
              <w:jc w:val="both"/>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auto"/>
                <w:kern w:val="0"/>
                <w:sz w:val="22"/>
                <w:szCs w:val="22"/>
                <w:highlight w:val="yellow"/>
              </w:rPr>
            </w:pPr>
            <w:r>
              <w:rPr>
                <w:rFonts w:hint="eastAsia" w:ascii="宋体" w:hAnsi="宋体" w:cs="宋体"/>
                <w:color w:val="auto"/>
                <w:kern w:val="0"/>
                <w:sz w:val="22"/>
                <w:szCs w:val="22"/>
                <w:highlight w:val="yellow"/>
              </w:rPr>
              <w:t>工业</w:t>
            </w:r>
            <w:r>
              <w:rPr>
                <w:rFonts w:hint="default" w:ascii="宋体" w:hAnsi="宋体" w:cs="宋体"/>
                <w:color w:val="auto"/>
                <w:kern w:val="0"/>
                <w:sz w:val="22"/>
                <w:szCs w:val="22"/>
                <w:highlight w:val="yellow"/>
              </w:rPr>
              <w:t xml:space="preserve"> *</w:t>
            </w:r>
          </w:p>
        </w:tc>
        <w:tc>
          <w:tcPr>
            <w:tcW w:w="1524" w:type="dxa"/>
            <w:noWrap w:val="0"/>
            <w:vAlign w:val="center"/>
          </w:tcPr>
          <w:p w14:paraId="73ABB4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eastAsia" w:ascii="宋体" w:hAnsi="宋体" w:cs="宋体"/>
                <w:color w:val="auto"/>
                <w:kern w:val="0"/>
                <w:sz w:val="22"/>
                <w:szCs w:val="22"/>
                <w:highlight w:val="yellow"/>
              </w:rPr>
              <w:t>从业人员</w:t>
            </w:r>
            <w:r>
              <w:rPr>
                <w:rFonts w:hint="default" w:ascii="宋体" w:hAnsi="宋体" w:cs="宋体"/>
                <w:color w:val="auto"/>
                <w:kern w:val="0"/>
                <w:sz w:val="22"/>
                <w:szCs w:val="22"/>
                <w:highlight w:val="yellow"/>
              </w:rPr>
              <w:t>(X)</w:t>
            </w:r>
          </w:p>
        </w:tc>
        <w:tc>
          <w:tcPr>
            <w:tcW w:w="709" w:type="dxa"/>
            <w:noWrap w:val="0"/>
            <w:vAlign w:val="center"/>
          </w:tcPr>
          <w:p w14:paraId="6C80A0E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eastAsia" w:ascii="宋体" w:hAnsi="宋体" w:cs="宋体"/>
                <w:color w:val="auto"/>
                <w:kern w:val="0"/>
                <w:sz w:val="22"/>
                <w:szCs w:val="22"/>
                <w:highlight w:val="yellow"/>
              </w:rPr>
              <w:t>人</w:t>
            </w:r>
          </w:p>
        </w:tc>
        <w:tc>
          <w:tcPr>
            <w:tcW w:w="1125" w:type="dxa"/>
            <w:noWrap w:val="0"/>
            <w:vAlign w:val="center"/>
          </w:tcPr>
          <w:p w14:paraId="34B8BB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X</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1000</w:t>
            </w:r>
          </w:p>
        </w:tc>
        <w:tc>
          <w:tcPr>
            <w:tcW w:w="1862" w:type="dxa"/>
            <w:noWrap w:val="0"/>
            <w:vAlign w:val="center"/>
          </w:tcPr>
          <w:p w14:paraId="5F3C5AF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300</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X</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1000</w:t>
            </w:r>
          </w:p>
        </w:tc>
        <w:tc>
          <w:tcPr>
            <w:tcW w:w="1752" w:type="dxa"/>
            <w:noWrap w:val="0"/>
            <w:vAlign w:val="center"/>
          </w:tcPr>
          <w:p w14:paraId="5D8BCE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 xml:space="preserve"> 20</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X</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300</w:t>
            </w:r>
          </w:p>
        </w:tc>
        <w:tc>
          <w:tcPr>
            <w:tcW w:w="1008" w:type="dxa"/>
            <w:noWrap w:val="0"/>
            <w:vAlign w:val="center"/>
          </w:tcPr>
          <w:p w14:paraId="6892AD3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X</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auto"/>
                <w:kern w:val="0"/>
                <w:sz w:val="22"/>
                <w:szCs w:val="22"/>
                <w:highlight w:val="yellow"/>
              </w:rPr>
            </w:pPr>
          </w:p>
        </w:tc>
        <w:tc>
          <w:tcPr>
            <w:tcW w:w="1524" w:type="dxa"/>
            <w:noWrap w:val="0"/>
            <w:vAlign w:val="center"/>
          </w:tcPr>
          <w:p w14:paraId="1B61114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eastAsia" w:ascii="宋体" w:hAnsi="宋体" w:cs="宋体"/>
                <w:color w:val="auto"/>
                <w:kern w:val="0"/>
                <w:sz w:val="22"/>
                <w:szCs w:val="22"/>
                <w:highlight w:val="yellow"/>
              </w:rPr>
              <w:t>营业收入</w:t>
            </w:r>
            <w:r>
              <w:rPr>
                <w:rFonts w:hint="default" w:ascii="宋体" w:hAnsi="宋体" w:cs="宋体"/>
                <w:color w:val="auto"/>
                <w:kern w:val="0"/>
                <w:sz w:val="22"/>
                <w:szCs w:val="22"/>
                <w:highlight w:val="yellow"/>
              </w:rPr>
              <w:t>(Y)</w:t>
            </w:r>
          </w:p>
        </w:tc>
        <w:tc>
          <w:tcPr>
            <w:tcW w:w="709" w:type="dxa"/>
            <w:noWrap w:val="0"/>
            <w:vAlign w:val="center"/>
          </w:tcPr>
          <w:p w14:paraId="57921D4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eastAsia" w:ascii="宋体" w:hAnsi="宋体" w:cs="宋体"/>
                <w:color w:val="auto"/>
                <w:kern w:val="0"/>
                <w:sz w:val="22"/>
                <w:szCs w:val="22"/>
                <w:highlight w:val="yellow"/>
              </w:rPr>
              <w:t>万元</w:t>
            </w:r>
          </w:p>
        </w:tc>
        <w:tc>
          <w:tcPr>
            <w:tcW w:w="1125" w:type="dxa"/>
            <w:noWrap w:val="0"/>
            <w:vAlign w:val="center"/>
          </w:tcPr>
          <w:p w14:paraId="400AA3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Y</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40000</w:t>
            </w:r>
          </w:p>
        </w:tc>
        <w:tc>
          <w:tcPr>
            <w:tcW w:w="1862" w:type="dxa"/>
            <w:noWrap w:val="0"/>
            <w:vAlign w:val="center"/>
          </w:tcPr>
          <w:p w14:paraId="1E9C63A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2000</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Y</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40000</w:t>
            </w:r>
          </w:p>
        </w:tc>
        <w:tc>
          <w:tcPr>
            <w:tcW w:w="1752" w:type="dxa"/>
            <w:noWrap w:val="0"/>
            <w:vAlign w:val="center"/>
          </w:tcPr>
          <w:p w14:paraId="1DBA36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 xml:space="preserve"> 300</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Y</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2000</w:t>
            </w:r>
          </w:p>
        </w:tc>
        <w:tc>
          <w:tcPr>
            <w:tcW w:w="1008" w:type="dxa"/>
            <w:noWrap w:val="0"/>
            <w:vAlign w:val="center"/>
          </w:tcPr>
          <w:p w14:paraId="6ABCF8C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auto"/>
                <w:kern w:val="0"/>
                <w:sz w:val="22"/>
                <w:szCs w:val="22"/>
                <w:highlight w:val="yellow"/>
              </w:rPr>
            </w:pPr>
            <w:r>
              <w:rPr>
                <w:rFonts w:hint="default" w:ascii="宋体" w:hAnsi="宋体" w:cs="宋体"/>
                <w:color w:val="auto"/>
                <w:kern w:val="0"/>
                <w:sz w:val="22"/>
                <w:szCs w:val="22"/>
                <w:highlight w:val="yellow"/>
              </w:rPr>
              <w:t>Y</w:t>
            </w:r>
            <w:r>
              <w:rPr>
                <w:rFonts w:hint="eastAsia" w:ascii="宋体" w:hAnsi="宋体" w:cs="宋体"/>
                <w:color w:val="auto"/>
                <w:kern w:val="0"/>
                <w:sz w:val="22"/>
                <w:szCs w:val="22"/>
                <w:highlight w:val="yellow"/>
              </w:rPr>
              <w:t>＜</w:t>
            </w:r>
            <w:r>
              <w:rPr>
                <w:rFonts w:hint="default" w:ascii="宋体" w:hAnsi="宋体" w:cs="宋体"/>
                <w:color w:val="auto"/>
                <w:kern w:val="0"/>
                <w:sz w:val="22"/>
                <w:szCs w:val="22"/>
                <w:highlight w:val="yellow"/>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B7096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29B5B2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3F9EAB6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7D46EB6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80BA4C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4E23E6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493D551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15168DD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2FD8BB1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0D02C54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63063DC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58" w:type="dxa"/>
            <w:vMerge w:val="continue"/>
            <w:noWrap w:val="0"/>
            <w:vAlign w:val="center"/>
          </w:tcPr>
          <w:p w14:paraId="3FB82D00">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p>
        </w:tc>
        <w:tc>
          <w:tcPr>
            <w:tcW w:w="1524" w:type="dxa"/>
            <w:noWrap w:val="0"/>
            <w:vAlign w:val="center"/>
          </w:tcPr>
          <w:p w14:paraId="573167B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widowControl/>
              <w:suppressLineNumbers w:val="0"/>
              <w:spacing w:before="0" w:beforeAutospacing="0" w:after="0" w:afterAutospacing="0" w:line="240" w:lineRule="auto"/>
              <w:ind w:left="0" w:leftChars="0" w:right="0" w:firstLine="0" w:firstLineChars="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widowControl/>
              <w:suppressLineNumbers w:val="0"/>
              <w:spacing w:before="0" w:beforeAutospacing="0" w:after="0" w:afterAutospacing="0" w:line="240" w:lineRule="auto"/>
              <w:ind w:left="0" w:leftChars="0" w:right="0" w:firstLine="0" w:firstLineChars="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42C00149">
      <w:pPr>
        <w:widowControl/>
        <w:spacing w:line="240" w:lineRule="auto"/>
        <w:ind w:left="0" w:leftChars="0" w:firstLine="0" w:firstLineChars="0"/>
        <w:rPr>
          <w:rFonts w:hint="eastAsia" w:ascii="宋体" w:hAnsi="宋体" w:cs="宋体"/>
          <w:color w:val="000000"/>
          <w:spacing w:val="8"/>
          <w:kern w:val="0"/>
          <w:sz w:val="24"/>
          <w:szCs w:val="24"/>
        </w:rPr>
      </w:pPr>
    </w:p>
    <w:p w14:paraId="15D5BBB6">
      <w:pPr>
        <w:widowControl/>
        <w:spacing w:line="240" w:lineRule="auto"/>
        <w:ind w:left="0" w:leftChars="0" w:firstLine="0" w:firstLineChars="0"/>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spacing w:line="540" w:lineRule="exact"/>
        <w:rPr>
          <w:rFonts w:ascii="宋体" w:hAnsi="宋体" w:cs="宋体"/>
          <w:color w:val="000000"/>
          <w:spacing w:val="8"/>
          <w:kern w:val="0"/>
          <w:sz w:val="24"/>
          <w:szCs w:val="24"/>
        </w:rPr>
      </w:pP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wordWrap w:val="0"/>
        <w:jc w:val="both"/>
        <w:rPr>
          <w:rFonts w:ascii="宋体" w:hAnsi="宋体" w:cs="宋体"/>
          <w:b/>
          <w:bCs/>
          <w:sz w:val="28"/>
          <w:szCs w:val="28"/>
        </w:rPr>
      </w:pPr>
      <w:r>
        <w:rPr>
          <w:rFonts w:hint="eastAsia" w:ascii="宋体" w:hAnsi="宋体" w:cs="宋体"/>
          <w:b/>
          <w:bCs/>
          <w:sz w:val="28"/>
          <w:szCs w:val="28"/>
        </w:rPr>
        <w:br w:type="page"/>
      </w:r>
    </w:p>
    <w:p w14:paraId="7D136E8A">
      <w:pPr>
        <w:wordWrap w:val="0"/>
        <w:jc w:val="center"/>
        <w:outlineLvl w:val="1"/>
        <w:rPr>
          <w:rFonts w:ascii="宋体" w:hAnsi="宋体" w:cs="宋体"/>
        </w:rPr>
      </w:pPr>
      <w:bookmarkStart w:id="998" w:name="_Toc19860"/>
      <w:bookmarkStart w:id="999" w:name="_Toc9073"/>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8"/>
      <w:bookmarkEnd w:id="999"/>
    </w:p>
    <w:p w14:paraId="23DA0888">
      <w:pPr>
        <w:pStyle w:val="2"/>
        <w:wordWrap w:val="0"/>
        <w:spacing w:line="420" w:lineRule="exact"/>
        <w:ind w:firstLine="0" w:firstLineChars="0"/>
        <w:rPr>
          <w:rFonts w:ascii="宋体" w:hAnsi="宋体" w:cs="宋体"/>
          <w:sz w:val="24"/>
        </w:rPr>
      </w:pPr>
    </w:p>
    <w:p w14:paraId="18FBBD16">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wordWrap w:val="0"/>
        <w:spacing w:line="420" w:lineRule="exact"/>
        <w:ind w:firstLine="480"/>
        <w:rPr>
          <w:rFonts w:ascii="宋体" w:hAnsi="宋体" w:cs="宋体"/>
          <w:sz w:val="24"/>
          <w:szCs w:val="24"/>
        </w:rPr>
      </w:pPr>
    </w:p>
    <w:p w14:paraId="0E0ADC3B">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widowControl/>
        <w:wordWrap w:val="0"/>
        <w:spacing w:line="420" w:lineRule="exact"/>
        <w:ind w:firstLine="480"/>
        <w:rPr>
          <w:rFonts w:ascii="宋体" w:hAnsi="宋体" w:cs="宋体"/>
          <w:sz w:val="24"/>
          <w:szCs w:val="24"/>
        </w:rPr>
      </w:pPr>
    </w:p>
    <w:p w14:paraId="5C254BD5">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wordWrap w:val="0"/>
        <w:spacing w:line="420" w:lineRule="exact"/>
        <w:ind w:firstLine="420"/>
        <w:jc w:val="center"/>
        <w:rPr>
          <w:rFonts w:hint="eastAsia" w:ascii="宋体" w:hAnsi="宋体" w:cs="宋体"/>
        </w:rPr>
      </w:pPr>
    </w:p>
    <w:p w14:paraId="53850145">
      <w:pPr>
        <w:wordWrap w:val="0"/>
        <w:jc w:val="center"/>
        <w:outlineLvl w:val="1"/>
        <w:rPr>
          <w:rFonts w:hint="eastAsia" w:ascii="宋体" w:hAnsi="宋体" w:eastAsia="宋体" w:cs="宋体"/>
          <w:b/>
          <w:bCs/>
          <w:sz w:val="28"/>
          <w:szCs w:val="28"/>
          <w:lang w:val="en-US" w:eastAsia="zh-CN"/>
        </w:rPr>
      </w:pPr>
    </w:p>
    <w:p w14:paraId="755FAA21">
      <w:pPr>
        <w:wordWrap w:val="0"/>
        <w:jc w:val="center"/>
        <w:outlineLvl w:val="1"/>
        <w:rPr>
          <w:rFonts w:hint="eastAsia" w:ascii="宋体" w:hAnsi="宋体" w:eastAsia="宋体" w:cs="宋体"/>
          <w:b/>
          <w:bCs/>
          <w:sz w:val="28"/>
          <w:szCs w:val="28"/>
          <w:lang w:val="en-US" w:eastAsia="zh-CN"/>
        </w:rPr>
      </w:pPr>
    </w:p>
    <w:p w14:paraId="1EB81DAE">
      <w:pPr>
        <w:wordWrap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wordWrap w:val="0"/>
        <w:spacing w:line="420" w:lineRule="exact"/>
        <w:ind w:firstLine="480"/>
        <w:rPr>
          <w:rFonts w:hint="eastAsia" w:ascii="宋体" w:hAnsi="宋体" w:cs="宋体"/>
          <w:szCs w:val="21"/>
        </w:rPr>
      </w:pPr>
    </w:p>
    <w:p w14:paraId="196761FF">
      <w:pPr>
        <w:pStyle w:val="3"/>
        <w:rPr>
          <w:rFonts w:hint="eastAsia"/>
        </w:rPr>
      </w:pPr>
    </w:p>
    <w:p w14:paraId="020305D0">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wordWrap w:val="0"/>
        <w:spacing w:line="420" w:lineRule="exact"/>
        <w:rPr>
          <w:rFonts w:ascii="宋体" w:hAnsi="宋体" w:cs="宋体"/>
          <w:sz w:val="24"/>
          <w:szCs w:val="24"/>
        </w:rPr>
      </w:pPr>
    </w:p>
    <w:p w14:paraId="3C723DD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2"/>
        <w:ind w:firstLine="240"/>
        <w:jc w:val="center"/>
        <w:rPr>
          <w:rFonts w:hint="eastAsia" w:ascii="宋体" w:hAnsi="宋体" w:cs="宋体"/>
        </w:rPr>
      </w:pPr>
    </w:p>
    <w:p w14:paraId="0FCD212C">
      <w:pPr>
        <w:pStyle w:val="2"/>
        <w:ind w:firstLine="240"/>
        <w:jc w:val="center"/>
        <w:rPr>
          <w:rFonts w:hint="eastAsia" w:ascii="宋体" w:hAnsi="宋体" w:cs="宋体"/>
        </w:rPr>
      </w:pPr>
    </w:p>
    <w:p w14:paraId="0667F2A2">
      <w:pPr>
        <w:pStyle w:val="2"/>
        <w:ind w:firstLine="240"/>
        <w:jc w:val="center"/>
        <w:rPr>
          <w:rFonts w:hint="eastAsia" w:ascii="宋体" w:hAnsi="宋体" w:cs="宋体"/>
        </w:rPr>
      </w:pPr>
    </w:p>
    <w:p w14:paraId="505C9BC6">
      <w:pPr>
        <w:pStyle w:val="2"/>
        <w:ind w:firstLine="240"/>
        <w:jc w:val="center"/>
        <w:rPr>
          <w:rFonts w:hint="eastAsia" w:ascii="宋体" w:hAnsi="宋体" w:cs="宋体"/>
        </w:rPr>
      </w:pPr>
    </w:p>
    <w:p w14:paraId="21FFA1D4">
      <w:pPr>
        <w:pStyle w:val="2"/>
        <w:ind w:firstLine="240"/>
        <w:jc w:val="center"/>
        <w:rPr>
          <w:rFonts w:hint="eastAsia" w:ascii="宋体" w:hAnsi="宋体" w:cs="宋体"/>
        </w:rPr>
      </w:pPr>
    </w:p>
    <w:p w14:paraId="0BB8007E">
      <w:pPr>
        <w:pStyle w:val="2"/>
        <w:ind w:firstLine="240"/>
        <w:jc w:val="center"/>
        <w:rPr>
          <w:rFonts w:hint="eastAsia" w:ascii="宋体" w:hAnsi="宋体" w:cs="宋体"/>
        </w:rPr>
      </w:pPr>
    </w:p>
    <w:p w14:paraId="3CD65A32">
      <w:pPr>
        <w:pStyle w:val="2"/>
        <w:ind w:firstLine="240"/>
        <w:jc w:val="center"/>
        <w:rPr>
          <w:rFonts w:hint="eastAsia" w:ascii="宋体" w:hAnsi="宋体" w:cs="宋体"/>
        </w:rPr>
      </w:pPr>
    </w:p>
    <w:p w14:paraId="6AB65272">
      <w:pPr>
        <w:pStyle w:val="2"/>
        <w:ind w:firstLine="240"/>
        <w:jc w:val="center"/>
        <w:rPr>
          <w:rFonts w:hint="eastAsia" w:ascii="宋体" w:hAnsi="宋体" w:cs="宋体"/>
        </w:rPr>
      </w:pPr>
    </w:p>
    <w:p w14:paraId="08EE04DB">
      <w:pPr>
        <w:pStyle w:val="2"/>
        <w:ind w:firstLine="240"/>
        <w:jc w:val="center"/>
        <w:rPr>
          <w:rFonts w:hint="eastAsia" w:ascii="宋体" w:hAnsi="宋体" w:cs="宋体"/>
        </w:rPr>
      </w:pPr>
    </w:p>
    <w:p w14:paraId="060D8CF8">
      <w:pPr>
        <w:pStyle w:val="2"/>
        <w:ind w:firstLine="240"/>
        <w:jc w:val="center"/>
        <w:rPr>
          <w:rFonts w:hint="eastAsia" w:ascii="宋体" w:hAnsi="宋体" w:cs="宋体"/>
        </w:rPr>
      </w:pPr>
    </w:p>
    <w:p w14:paraId="4CA2675B">
      <w:pPr>
        <w:pStyle w:val="2"/>
        <w:ind w:firstLine="240"/>
        <w:jc w:val="center"/>
        <w:rPr>
          <w:rFonts w:hint="eastAsia" w:ascii="宋体" w:hAnsi="宋体" w:cs="宋体"/>
        </w:rPr>
      </w:pPr>
    </w:p>
    <w:p w14:paraId="5883C5A3">
      <w:pPr>
        <w:pStyle w:val="2"/>
        <w:ind w:firstLine="240"/>
        <w:jc w:val="center"/>
        <w:rPr>
          <w:rFonts w:hint="eastAsia" w:ascii="宋体" w:hAnsi="宋体" w:cs="宋体"/>
        </w:rPr>
      </w:pPr>
    </w:p>
    <w:p w14:paraId="15E7D584">
      <w:pPr>
        <w:pStyle w:val="2"/>
        <w:ind w:firstLine="240"/>
        <w:jc w:val="center"/>
        <w:rPr>
          <w:rFonts w:hint="eastAsia" w:ascii="宋体" w:hAnsi="宋体" w:cs="宋体"/>
        </w:rPr>
      </w:pPr>
    </w:p>
    <w:p w14:paraId="366003CF">
      <w:pPr>
        <w:pStyle w:val="2"/>
        <w:ind w:firstLine="240"/>
        <w:jc w:val="center"/>
        <w:rPr>
          <w:rFonts w:hint="eastAsia" w:ascii="宋体" w:hAnsi="宋体" w:cs="宋体"/>
        </w:rPr>
      </w:pPr>
    </w:p>
    <w:p w14:paraId="1FBC768F">
      <w:pPr>
        <w:wordWrap w:val="0"/>
        <w:spacing w:line="420" w:lineRule="exact"/>
        <w:jc w:val="center"/>
        <w:rPr>
          <w:rFonts w:hint="eastAsia" w:ascii="宋体" w:hAnsi="宋体" w:eastAsia="宋体" w:cs="宋体"/>
          <w:b/>
          <w:bCs/>
          <w:sz w:val="28"/>
          <w:szCs w:val="28"/>
          <w:lang w:val="en-US" w:eastAsia="zh-CN"/>
        </w:rPr>
      </w:pPr>
    </w:p>
    <w:p w14:paraId="560EEB19">
      <w:pPr>
        <w:wordWrap w:val="0"/>
        <w:spacing w:line="420" w:lineRule="exact"/>
        <w:jc w:val="center"/>
        <w:rPr>
          <w:rFonts w:hint="eastAsia" w:ascii="宋体" w:hAnsi="宋体" w:eastAsia="宋体" w:cs="宋体"/>
          <w:b/>
          <w:bCs/>
          <w:sz w:val="28"/>
          <w:szCs w:val="28"/>
          <w:lang w:val="en-US" w:eastAsia="zh-CN"/>
        </w:rPr>
      </w:pPr>
    </w:p>
    <w:p w14:paraId="6E27FA8F">
      <w:pPr>
        <w:wordWrap w:val="0"/>
        <w:spacing w:line="420" w:lineRule="exact"/>
        <w:jc w:val="center"/>
        <w:rPr>
          <w:rFonts w:hint="eastAsia" w:ascii="宋体" w:hAnsi="宋体" w:eastAsia="宋体" w:cs="宋体"/>
          <w:b/>
          <w:bCs/>
          <w:sz w:val="28"/>
          <w:szCs w:val="28"/>
          <w:lang w:val="en-US" w:eastAsia="zh-CN"/>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产品名称1</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26"/>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厂名</w:t>
      </w:r>
      <w:r>
        <w:rPr>
          <w:rStyle w:val="26"/>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生产厂址</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产品名称1</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规定比例</w:t>
      </w:r>
      <w:r>
        <w:rPr>
          <w:rStyle w:val="26"/>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产品名称1</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关键组件）</w:t>
      </w:r>
      <w:r>
        <w:rPr>
          <w:rStyle w:val="26"/>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6"/>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26"/>
          <w:rFonts w:hint="eastAsia" w:ascii="宋体" w:hAnsi="宋体" w:eastAsia="宋体" w:cs="宋体"/>
          <w:i w:val="0"/>
          <w:iCs w:val="0"/>
          <w:caps w:val="0"/>
          <w:color w:val="383838"/>
          <w:spacing w:val="0"/>
          <w:sz w:val="24"/>
          <w:szCs w:val="24"/>
          <w:u w:val="single"/>
          <w:shd w:val="clear" w:fill="FFFFFF"/>
          <w:vertAlign w:val="baseline"/>
        </w:rPr>
        <w:t>（关键工序）</w:t>
      </w:r>
      <w:r>
        <w:rPr>
          <w:rStyle w:val="26"/>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产品名称2</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厂名</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生产厂址</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产品名称2</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规定比例</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产品名称2</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产品名称</w:t>
      </w:r>
      <w:r>
        <w:rPr>
          <w:rStyle w:val="26"/>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26"/>
          <w:rFonts w:hint="eastAsia" w:ascii="宋体" w:hAnsi="宋体" w:eastAsia="宋体" w:cs="宋体"/>
          <w:i w:val="0"/>
          <w:iCs w:val="0"/>
          <w:caps w:val="0"/>
          <w:color w:val="383838"/>
          <w:spacing w:val="0"/>
          <w:sz w:val="24"/>
          <w:szCs w:val="24"/>
          <w:shd w:val="clear" w:fill="FFFFFF"/>
          <w:vertAlign w:val="baseline"/>
        </w:rPr>
        <w:t>（</w:t>
      </w:r>
      <w:r>
        <w:rPr>
          <w:rStyle w:val="26"/>
          <w:rFonts w:hint="eastAsia" w:ascii="宋体" w:hAnsi="宋体" w:eastAsia="宋体" w:cs="宋体"/>
          <w:i w:val="0"/>
          <w:iCs w:val="0"/>
          <w:caps w:val="0"/>
          <w:color w:val="383838"/>
          <w:spacing w:val="0"/>
          <w:sz w:val="24"/>
          <w:szCs w:val="24"/>
          <w:u w:val="single"/>
          <w:shd w:val="clear" w:fill="FFFFFF"/>
          <w:vertAlign w:val="baseline"/>
        </w:rPr>
        <w:t>关键工序</w:t>
      </w:r>
      <w:r>
        <w:rPr>
          <w:rStyle w:val="26"/>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16F7F34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 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3CB4FFBC">
      <w:pPr>
        <w:pStyle w:val="2"/>
        <w:ind w:firstLine="240"/>
        <w:jc w:val="center"/>
        <w:rPr>
          <w:rFonts w:hint="eastAsia" w:ascii="宋体" w:hAnsi="宋体" w:eastAsia="宋体" w:cs="宋体"/>
          <w:b/>
          <w:bCs/>
          <w:sz w:val="36"/>
          <w:szCs w:val="36"/>
        </w:rPr>
      </w:pPr>
    </w:p>
    <w:p w14:paraId="219C8919">
      <w:pPr>
        <w:pStyle w:val="2"/>
        <w:ind w:firstLine="240"/>
        <w:jc w:val="center"/>
        <w:rPr>
          <w:rFonts w:hint="eastAsia" w:ascii="宋体" w:hAnsi="宋体" w:eastAsia="宋体" w:cs="宋体"/>
          <w:b/>
          <w:bCs/>
          <w:sz w:val="36"/>
          <w:szCs w:val="36"/>
        </w:rPr>
      </w:pPr>
    </w:p>
    <w:p w14:paraId="31F5C0B0">
      <w:pPr>
        <w:pStyle w:val="2"/>
        <w:ind w:firstLine="240"/>
        <w:jc w:val="center"/>
        <w:rPr>
          <w:rFonts w:hint="eastAsia" w:ascii="宋体" w:hAnsi="宋体" w:eastAsia="宋体" w:cs="宋体"/>
          <w:b/>
          <w:bCs/>
          <w:sz w:val="36"/>
          <w:szCs w:val="36"/>
        </w:rPr>
      </w:pPr>
    </w:p>
    <w:p w14:paraId="545F919B">
      <w:pPr>
        <w:pStyle w:val="2"/>
        <w:ind w:firstLine="240"/>
        <w:jc w:val="center"/>
        <w:rPr>
          <w:rFonts w:hint="eastAsia" w:ascii="宋体" w:hAnsi="宋体" w:eastAsia="宋体" w:cs="宋体"/>
          <w:b/>
          <w:bCs/>
          <w:sz w:val="36"/>
          <w:szCs w:val="36"/>
        </w:rPr>
      </w:pPr>
      <w:r>
        <w:rPr>
          <w:rFonts w:hint="eastAsia" w:ascii="宋体" w:hAnsi="宋体" w:eastAsia="宋体" w:cs="宋体"/>
          <w:b/>
          <w:bCs/>
          <w:sz w:val="36"/>
          <w:szCs w:val="36"/>
        </w:rPr>
        <w:t>河南省政府采购合同融资政策告知函</w:t>
      </w:r>
    </w:p>
    <w:p w14:paraId="092614BD">
      <w:pPr>
        <w:pStyle w:val="2"/>
        <w:ind w:firstLine="240"/>
        <w:rPr>
          <w:rFonts w:hint="eastAsia"/>
          <w:sz w:val="24"/>
          <w:szCs w:val="24"/>
        </w:rPr>
      </w:pPr>
    </w:p>
    <w:p w14:paraId="624DA057">
      <w:pPr>
        <w:pStyle w:val="2"/>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2"/>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2"/>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2"/>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53"/>
        <w:wordWrap w:val="0"/>
        <w:spacing w:after="580" w:line="607" w:lineRule="exact"/>
        <w:ind w:firstLine="620"/>
        <w:jc w:val="left"/>
      </w:pPr>
    </w:p>
    <w:p w14:paraId="6553C104">
      <w:pPr>
        <w:ind w:left="0" w:leftChars="0" w:firstLine="0" w:firstLineChars="0"/>
        <w:jc w:val="both"/>
        <w:rPr>
          <w:rFonts w:ascii="宋体" w:hAnsi="宋体" w:eastAsia="宋体" w:cs="宋体"/>
          <w:b/>
          <w:sz w:val="52"/>
          <w:szCs w:val="52"/>
        </w:rPr>
      </w:pPr>
    </w:p>
    <w:sectPr>
      <w:headerReference r:id="rId13" w:type="default"/>
      <w:footerReference r:id="rId14" w:type="default"/>
      <w:pgSz w:w="11906" w:h="16838"/>
      <w:pgMar w:top="1134" w:right="1134" w:bottom="1134" w:left="1417" w:header="851" w:footer="992" w:gutter="0"/>
      <w:pgNumType w:fmt="numberInDash"/>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
    <w:altName w:val="Microsoft Sans Serif"/>
    <w:panose1 w:val="020B0604020202020204"/>
    <w:charset w:val="00"/>
    <w:family w:val="swiss"/>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BEF88">
    <w:pPr>
      <w:pStyle w:val="14"/>
      <w:pBdr>
        <w:top w:val="none" w:color="auto" w:sz="0" w:space="1"/>
      </w:pBdr>
      <w:tabs>
        <w:tab w:val="center" w:pos="4845"/>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8981">
    <w:pPr>
      <w:pStyle w:val="14"/>
      <w:pBdr>
        <w:top w:val="none" w:color="auto" w:sz="0" w:space="1"/>
      </w:pBdr>
      <w:tabs>
        <w:tab w:val="center" w:pos="4845"/>
        <w:tab w:val="clear" w:pos="4153"/>
      </w:tabs>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0EB9">
                          <w:pPr>
                            <w:pStyle w:val="1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4EE0EB9">
                    <w:pPr>
                      <w:pStyle w:val="1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14"/>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thXM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28pcdziwM9Pj+cfv84/v5Nl&#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othXMEBAACNAwAADgAAAAAAAAABACAAAAAeAQAAZHJzL2Uyb0RvYy54bWxQSwUG&#10;AAAAAAYABgBZAQAAUQUAAAAA&#10;">
              <v:fill on="f" focussize="0,0"/>
              <v:stroke on="f"/>
              <v:imagedata o:title=""/>
              <o:lock v:ext="edit" aspectratio="f"/>
              <v:textbox inset="0mm,0mm,0mm,0mm" style="mso-fit-shape-to-text:t;">
                <w:txbxContent>
                  <w:p w14:paraId="01F12DE9">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14"/>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14"/>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7EAC">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57E50">
                          <w:pPr>
                            <w:pStyle w:val="14"/>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6757E50">
                    <w:pPr>
                      <w:pStyle w:val="14"/>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0A53C">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51F68">
    <w:pPr>
      <w:pStyle w:val="15"/>
      <w:pBdr>
        <w:bottom w:val="none" w:color="auto" w:sz="0" w:space="1"/>
      </w:pBdr>
      <w:ind w:firstLine="360"/>
      <w:jc w:val="right"/>
      <w:rPr>
        <w:rFonts w:ascii="宋体" w:hAnsi="宋体" w:eastAsia="宋体"/>
        <w:sz w:val="15"/>
        <w:szCs w:val="15"/>
      </w:rPr>
    </w:pPr>
    <w:r>
      <w:rPr>
        <w:rFonts w:hint="eastAsia" w:ascii="宋体" w:hAnsi="宋体" w:eastAsia="宋体" w:cs="宋体"/>
        <w:i/>
        <w:iCs/>
        <w:color w:val="0000FF"/>
      </w:rPr>
      <w:t xml:space="preserve"> </w:t>
    </w:r>
  </w:p>
  <w:p w14:paraId="47FD8F06">
    <w:pPr>
      <w:pStyle w:val="15"/>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TAxMWExNjdkYjEwNjU3ZTI0ZmJkYTA5YzVhNWUifQ=="/>
  </w:docVars>
  <w:rsids>
    <w:rsidRoot w:val="50D66C2C"/>
    <w:rsid w:val="008F0DF6"/>
    <w:rsid w:val="00900791"/>
    <w:rsid w:val="00DF7E4C"/>
    <w:rsid w:val="00EE49E4"/>
    <w:rsid w:val="017619EC"/>
    <w:rsid w:val="01DF087E"/>
    <w:rsid w:val="025D1E1F"/>
    <w:rsid w:val="02AB5C2A"/>
    <w:rsid w:val="02E7358A"/>
    <w:rsid w:val="0319342B"/>
    <w:rsid w:val="03DE3CAC"/>
    <w:rsid w:val="03F14C93"/>
    <w:rsid w:val="04187F83"/>
    <w:rsid w:val="054B5371"/>
    <w:rsid w:val="065A11BE"/>
    <w:rsid w:val="07571D11"/>
    <w:rsid w:val="075F3E4C"/>
    <w:rsid w:val="07792F24"/>
    <w:rsid w:val="07AD3B8F"/>
    <w:rsid w:val="091A6E51"/>
    <w:rsid w:val="0CEF15E1"/>
    <w:rsid w:val="0E526B38"/>
    <w:rsid w:val="0E947D89"/>
    <w:rsid w:val="0F2C6214"/>
    <w:rsid w:val="0F3A448D"/>
    <w:rsid w:val="0FAD03B9"/>
    <w:rsid w:val="10EF7E1B"/>
    <w:rsid w:val="111D43F7"/>
    <w:rsid w:val="11282F77"/>
    <w:rsid w:val="11B26453"/>
    <w:rsid w:val="12650A6D"/>
    <w:rsid w:val="14F1556F"/>
    <w:rsid w:val="14FF0F80"/>
    <w:rsid w:val="15CA2A88"/>
    <w:rsid w:val="165C00E9"/>
    <w:rsid w:val="16BF796D"/>
    <w:rsid w:val="178A7955"/>
    <w:rsid w:val="183F00F3"/>
    <w:rsid w:val="18B828C6"/>
    <w:rsid w:val="1A305456"/>
    <w:rsid w:val="1C2A55C0"/>
    <w:rsid w:val="2004691F"/>
    <w:rsid w:val="20FE17E0"/>
    <w:rsid w:val="210646C7"/>
    <w:rsid w:val="225D609A"/>
    <w:rsid w:val="229F3574"/>
    <w:rsid w:val="22AF4D3A"/>
    <w:rsid w:val="22FD5FBB"/>
    <w:rsid w:val="23321EDF"/>
    <w:rsid w:val="23B05D8F"/>
    <w:rsid w:val="23C67966"/>
    <w:rsid w:val="25C04367"/>
    <w:rsid w:val="27BD0741"/>
    <w:rsid w:val="2C2F5C6E"/>
    <w:rsid w:val="325A081E"/>
    <w:rsid w:val="33205BA7"/>
    <w:rsid w:val="33B225FC"/>
    <w:rsid w:val="356F5FF0"/>
    <w:rsid w:val="35AF70D3"/>
    <w:rsid w:val="35E828C7"/>
    <w:rsid w:val="363E6BBB"/>
    <w:rsid w:val="364D41F6"/>
    <w:rsid w:val="37221959"/>
    <w:rsid w:val="37C03442"/>
    <w:rsid w:val="37F21986"/>
    <w:rsid w:val="38CF22E0"/>
    <w:rsid w:val="39255FA8"/>
    <w:rsid w:val="39BB5B25"/>
    <w:rsid w:val="3A501F38"/>
    <w:rsid w:val="3CF03696"/>
    <w:rsid w:val="3D175F35"/>
    <w:rsid w:val="3D37175C"/>
    <w:rsid w:val="40926433"/>
    <w:rsid w:val="40E907ED"/>
    <w:rsid w:val="41B74D2A"/>
    <w:rsid w:val="42BE0686"/>
    <w:rsid w:val="433409E5"/>
    <w:rsid w:val="43435BE8"/>
    <w:rsid w:val="4360210D"/>
    <w:rsid w:val="4491064D"/>
    <w:rsid w:val="44B82B7B"/>
    <w:rsid w:val="4511790F"/>
    <w:rsid w:val="451A6D87"/>
    <w:rsid w:val="4597409E"/>
    <w:rsid w:val="45F45C74"/>
    <w:rsid w:val="461F57EC"/>
    <w:rsid w:val="46731A57"/>
    <w:rsid w:val="46F74436"/>
    <w:rsid w:val="47D71C0C"/>
    <w:rsid w:val="488928CC"/>
    <w:rsid w:val="492B486B"/>
    <w:rsid w:val="49D90544"/>
    <w:rsid w:val="4BA32DDE"/>
    <w:rsid w:val="4D36558C"/>
    <w:rsid w:val="4E092CA1"/>
    <w:rsid w:val="4E597784"/>
    <w:rsid w:val="4EAC69A6"/>
    <w:rsid w:val="50041972"/>
    <w:rsid w:val="50D66C2C"/>
    <w:rsid w:val="51414027"/>
    <w:rsid w:val="52132340"/>
    <w:rsid w:val="52B06989"/>
    <w:rsid w:val="5334157A"/>
    <w:rsid w:val="543D7A93"/>
    <w:rsid w:val="55EF5854"/>
    <w:rsid w:val="57B7145F"/>
    <w:rsid w:val="58BE1930"/>
    <w:rsid w:val="596B551F"/>
    <w:rsid w:val="5A970938"/>
    <w:rsid w:val="5ABC0C5C"/>
    <w:rsid w:val="5CDA1DD8"/>
    <w:rsid w:val="5D3B13ED"/>
    <w:rsid w:val="5E3B2A02"/>
    <w:rsid w:val="5EC64EAF"/>
    <w:rsid w:val="618F3346"/>
    <w:rsid w:val="61FA14B5"/>
    <w:rsid w:val="63FD391C"/>
    <w:rsid w:val="65D83457"/>
    <w:rsid w:val="66011168"/>
    <w:rsid w:val="68543221"/>
    <w:rsid w:val="691B5344"/>
    <w:rsid w:val="6A613FA0"/>
    <w:rsid w:val="6AA45889"/>
    <w:rsid w:val="6CC02421"/>
    <w:rsid w:val="6D0E07FE"/>
    <w:rsid w:val="6D6078E9"/>
    <w:rsid w:val="6FAD0600"/>
    <w:rsid w:val="6FC942EF"/>
    <w:rsid w:val="6FE60753"/>
    <w:rsid w:val="701B139D"/>
    <w:rsid w:val="70F27DEC"/>
    <w:rsid w:val="715840F0"/>
    <w:rsid w:val="716F06EF"/>
    <w:rsid w:val="717D40AB"/>
    <w:rsid w:val="73DB6824"/>
    <w:rsid w:val="74661CD3"/>
    <w:rsid w:val="749B4563"/>
    <w:rsid w:val="74B63922"/>
    <w:rsid w:val="760D42A6"/>
    <w:rsid w:val="76610E9C"/>
    <w:rsid w:val="76DA4B17"/>
    <w:rsid w:val="79552AE1"/>
    <w:rsid w:val="796D267E"/>
    <w:rsid w:val="7A5F3595"/>
    <w:rsid w:val="7A855F8E"/>
    <w:rsid w:val="7B326DD5"/>
    <w:rsid w:val="7B33248E"/>
    <w:rsid w:val="7C850F2F"/>
    <w:rsid w:val="7CAB1522"/>
    <w:rsid w:val="7E4C7373"/>
    <w:rsid w:val="7F1E7D70"/>
    <w:rsid w:val="7FC46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9"/>
    <w:qFormat/>
    <w:uiPriority w:val="0"/>
    <w:pPr>
      <w:keepNext/>
      <w:jc w:val="center"/>
      <w:outlineLvl w:val="0"/>
    </w:pPr>
    <w:rPr>
      <w:b/>
      <w:bCs/>
      <w:color w:val="000000"/>
      <w:sz w:val="32"/>
    </w:rPr>
  </w:style>
  <w:style w:type="paragraph" w:styleId="5">
    <w:name w:val="heading 2"/>
    <w:basedOn w:val="1"/>
    <w:next w:val="1"/>
    <w:link w:val="50"/>
    <w:qFormat/>
    <w:uiPriority w:val="0"/>
    <w:pPr>
      <w:keepNext/>
      <w:keepLines/>
      <w:spacing w:line="460" w:lineRule="exact"/>
      <w:outlineLvl w:val="1"/>
    </w:pPr>
    <w:rPr>
      <w:rFonts w:ascii="宋体" w:hAnsi="宋体"/>
      <w:b/>
      <w:sz w:val="30"/>
      <w:szCs w:val="30"/>
    </w:rPr>
  </w:style>
  <w:style w:type="paragraph" w:styleId="6">
    <w:name w:val="heading 3"/>
    <w:basedOn w:val="1"/>
    <w:next w:val="1"/>
    <w:qFormat/>
    <w:uiPriority w:val="0"/>
    <w:pPr>
      <w:keepNext/>
      <w:keepLines/>
      <w:spacing w:line="460" w:lineRule="exact"/>
      <w:jc w:val="left"/>
      <w:outlineLvl w:val="2"/>
    </w:pPr>
    <w:rPr>
      <w:b/>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7">
    <w:name w:val="Normal Indent"/>
    <w:basedOn w:val="1"/>
    <w:qFormat/>
    <w:uiPriority w:val="0"/>
    <w:pPr>
      <w:ind w:firstLine="420"/>
    </w:p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Indent"/>
    <w:basedOn w:val="1"/>
    <w:next w:val="11"/>
    <w:qFormat/>
    <w:uiPriority w:val="0"/>
    <w:pPr>
      <w:spacing w:line="312" w:lineRule="auto"/>
      <w:ind w:firstLine="735" w:firstLineChars="245"/>
    </w:pPr>
  </w:style>
  <w:style w:type="paragraph" w:styleId="11">
    <w:name w:val="envelope return"/>
    <w:basedOn w:val="1"/>
    <w:unhideWhenUsed/>
    <w:qFormat/>
    <w:uiPriority w:val="99"/>
    <w:pPr>
      <w:snapToGrid w:val="0"/>
    </w:pPr>
    <w:rPr>
      <w:rFonts w:ascii="Arial" w:hAnsi="Arial"/>
    </w:rPr>
  </w:style>
  <w:style w:type="paragraph" w:styleId="12">
    <w:name w:val="List 2"/>
    <w:basedOn w:val="1"/>
    <w:qFormat/>
    <w:uiPriority w:val="0"/>
    <w:pPr>
      <w:ind w:left="100" w:leftChars="200" w:hanging="200" w:hangingChars="200"/>
    </w:pPr>
    <w:rPr>
      <w:szCs w:val="24"/>
    </w:rPr>
  </w:style>
  <w:style w:type="paragraph" w:styleId="13">
    <w:name w:val="Plain Text"/>
    <w:basedOn w:val="1"/>
    <w:qFormat/>
    <w:uiPriority w:val="0"/>
    <w:rPr>
      <w:rFonts w:ascii="宋体" w:hAnsi="Courier New"/>
      <w:szCs w:val="20"/>
    </w:rPr>
  </w:style>
  <w:style w:type="paragraph" w:styleId="1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Body Text 2"/>
    <w:basedOn w:val="1"/>
    <w:next w:val="3"/>
    <w:qFormat/>
    <w:uiPriority w:val="0"/>
    <w:pPr>
      <w:spacing w:line="480" w:lineRule="auto"/>
    </w:pPr>
  </w:style>
  <w:style w:type="paragraph" w:styleId="20">
    <w:name w:val="Normal (Web)"/>
    <w:basedOn w:val="1"/>
    <w:qFormat/>
    <w:uiPriority w:val="0"/>
    <w:pPr>
      <w:widowControl/>
      <w:spacing w:beforeAutospacing="1" w:afterAutospacing="1"/>
      <w:jc w:val="left"/>
    </w:pPr>
    <w:rPr>
      <w:rFonts w:ascii="宋体" w:hAnsi="宋体" w:cs="宋体"/>
      <w:kern w:val="0"/>
      <w:sz w:val="24"/>
      <w:szCs w:val="24"/>
    </w:rPr>
  </w:style>
  <w:style w:type="paragraph" w:styleId="21">
    <w:name w:val="Body Text First Indent 2"/>
    <w:basedOn w:val="10"/>
    <w:next w:val="1"/>
    <w:qFormat/>
    <w:uiPriority w:val="0"/>
    <w:pPr>
      <w:spacing w:line="240" w:lineRule="auto"/>
      <w:ind w:left="420" w:leftChars="200"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paragraph" w:customStyle="1" w:styleId="27">
    <w:name w:val="BodyText1I"/>
    <w:basedOn w:val="28"/>
    <w:qFormat/>
    <w:uiPriority w:val="99"/>
    <w:pPr>
      <w:ind w:firstLine="420" w:firstLineChars="100"/>
    </w:pPr>
  </w:style>
  <w:style w:type="paragraph" w:customStyle="1" w:styleId="28">
    <w:name w:val="BodyText"/>
    <w:basedOn w:val="1"/>
    <w:qFormat/>
    <w:uiPriority w:val="99"/>
    <w:pPr>
      <w:spacing w:after="120"/>
    </w:pPr>
  </w:style>
  <w:style w:type="paragraph" w:customStyle="1" w:styleId="29">
    <w:name w:val="Default"/>
    <w:basedOn w:val="1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无间隔1"/>
    <w:basedOn w:val="1"/>
    <w:qFormat/>
    <w:uiPriority w:val="1"/>
    <w:pPr>
      <w:spacing w:line="400" w:lineRule="exact"/>
    </w:p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style4"/>
    <w:basedOn w:val="33"/>
    <w:next w:val="34"/>
    <w:qFormat/>
    <w:uiPriority w:val="0"/>
    <w:pPr>
      <w:widowControl/>
      <w:spacing w:beforeAutospacing="1" w:afterAutospacing="1"/>
      <w:jc w:val="left"/>
    </w:pPr>
    <w:rPr>
      <w:rFonts w:ascii="宋体" w:hAnsi="宋体" w:cs="宋体"/>
      <w:kern w:val="0"/>
      <w:sz w:val="18"/>
      <w:szCs w:val="18"/>
    </w:rPr>
  </w:style>
  <w:style w:type="paragraph" w:customStyle="1" w:styleId="33">
    <w:name w:val="正文1"/>
    <w:next w:val="2"/>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4">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35">
    <w:name w:val="BodyText1I2"/>
    <w:basedOn w:val="36"/>
    <w:next w:val="37"/>
    <w:qFormat/>
    <w:uiPriority w:val="0"/>
    <w:pPr>
      <w:ind w:firstLine="420"/>
    </w:pPr>
    <w:rPr>
      <w:rFonts w:ascii="Calibri" w:hAnsi="Calibri" w:eastAsia="楷体_GB2312"/>
      <w:kern w:val="44"/>
      <w:sz w:val="44"/>
    </w:rPr>
  </w:style>
  <w:style w:type="paragraph" w:customStyle="1" w:styleId="36">
    <w:name w:val="BodyTextIndent"/>
    <w:basedOn w:val="1"/>
    <w:qFormat/>
    <w:uiPriority w:val="0"/>
    <w:pPr>
      <w:spacing w:after="120"/>
      <w:ind w:left="420" w:leftChars="200"/>
    </w:pPr>
    <w:rPr>
      <w:rFonts w:ascii="Times New Roman" w:hAnsi="Times New Roman"/>
      <w:kern w:val="0"/>
      <w:sz w:val="20"/>
    </w:rPr>
  </w:style>
  <w:style w:type="paragraph" w:customStyle="1" w:styleId="37">
    <w:name w:val="UserStyle_136"/>
    <w:basedOn w:val="1"/>
    <w:next w:val="1"/>
    <w:qFormat/>
    <w:uiPriority w:val="0"/>
    <w:pPr>
      <w:spacing w:after="120" w:line="320" w:lineRule="atLeast"/>
    </w:pPr>
    <w:rPr>
      <w:rFonts w:ascii="Arial" w:hAnsi="Arial"/>
      <w:kern w:val="0"/>
    </w:rPr>
  </w:style>
  <w:style w:type="paragraph" w:customStyle="1" w:styleId="38">
    <w:name w:val="样式 标题 2 + Times New Roman 四号 非加粗 段前: 5 磅 段后: 0 磅 行距: 固定值 20..."/>
    <w:basedOn w:val="5"/>
    <w:qFormat/>
    <w:uiPriority w:val="0"/>
    <w:pPr>
      <w:spacing w:line="400" w:lineRule="exact"/>
    </w:pPr>
    <w:rPr>
      <w:rFonts w:ascii="Times New Roman" w:hAnsi="Times New Roman" w:cs="宋体"/>
      <w:b w:val="0"/>
      <w:sz w:val="28"/>
      <w:szCs w:val="20"/>
    </w:rPr>
  </w:style>
  <w:style w:type="paragraph" w:styleId="39">
    <w:name w:val="List Paragraph"/>
    <w:basedOn w:val="1"/>
    <w:qFormat/>
    <w:uiPriority w:val="0"/>
    <w:pPr>
      <w:ind w:firstLine="420"/>
    </w:pPr>
    <w:rPr>
      <w:szCs w:val="24"/>
    </w:rPr>
  </w:style>
  <w:style w:type="paragraph" w:customStyle="1" w:styleId="40">
    <w:name w:val="样式 标题 3 + (中文) 黑体 小四 非加粗 段前: 7.8 磅 段后: 0 磅 行距: 固定值 20 磅"/>
    <w:basedOn w:val="6"/>
    <w:qFormat/>
    <w:uiPriority w:val="0"/>
    <w:pPr>
      <w:spacing w:line="400" w:lineRule="exact"/>
    </w:pPr>
    <w:rPr>
      <w:rFonts w:eastAsia="黑体" w:cs="宋体"/>
      <w:b w:val="0"/>
      <w:szCs w:val="20"/>
    </w:rPr>
  </w:style>
  <w:style w:type="paragraph" w:customStyle="1" w:styleId="41">
    <w:name w:val="正文_0"/>
    <w:next w:val="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
    <w:basedOn w:val="1"/>
    <w:next w:val="1"/>
    <w:qFormat/>
    <w:uiPriority w:val="0"/>
    <w:pPr>
      <w:widowControl/>
      <w:ind w:firstLine="482"/>
    </w:pPr>
    <w:rPr>
      <w:rFonts w:ascii="微软雅黑" w:hAnsi="微软雅黑" w:eastAsia="微软雅黑"/>
      <w:szCs w:val="32"/>
    </w:rPr>
  </w:style>
  <w:style w:type="character" w:customStyle="1" w:styleId="47">
    <w:name w:val="标题 1 字符"/>
    <w:link w:val="4"/>
    <w:qFormat/>
    <w:uiPriority w:val="0"/>
    <w:rPr>
      <w:b/>
      <w:bCs/>
      <w:color w:val="000000"/>
      <w:sz w:val="32"/>
    </w:rPr>
  </w:style>
  <w:style w:type="table" w:customStyle="1" w:styleId="48">
    <w:name w:val="Table Normal"/>
    <w:unhideWhenUsed/>
    <w:qFormat/>
    <w:uiPriority w:val="0"/>
    <w:tblPr>
      <w:tblCellMar>
        <w:top w:w="0" w:type="dxa"/>
        <w:left w:w="0" w:type="dxa"/>
        <w:bottom w:w="0" w:type="dxa"/>
        <w:right w:w="0" w:type="dxa"/>
      </w:tblCellMar>
    </w:tblPr>
  </w:style>
  <w:style w:type="character" w:customStyle="1" w:styleId="49">
    <w:name w:val="标题 1 Char"/>
    <w:link w:val="4"/>
    <w:qFormat/>
    <w:uiPriority w:val="0"/>
    <w:rPr>
      <w:rFonts w:ascii="Ari" w:hAnsi="Ari" w:eastAsia="宋体"/>
      <w:b/>
      <w:kern w:val="44"/>
      <w:sz w:val="32"/>
    </w:rPr>
  </w:style>
  <w:style w:type="character" w:customStyle="1" w:styleId="50">
    <w:name w:val="标题 2 Char"/>
    <w:link w:val="5"/>
    <w:qFormat/>
    <w:uiPriority w:val="0"/>
    <w:rPr>
      <w:rFonts w:ascii="宋体" w:hAnsi="宋体"/>
      <w:b/>
      <w:sz w:val="30"/>
      <w:szCs w:val="30"/>
    </w:rPr>
  </w:style>
  <w:style w:type="character" w:customStyle="1" w:styleId="51">
    <w:name w:val="font61"/>
    <w:basedOn w:val="24"/>
    <w:qFormat/>
    <w:uiPriority w:val="0"/>
    <w:rPr>
      <w:rFonts w:ascii="宋体" w:hAnsi="宋体" w:eastAsia="宋体" w:cs="宋体"/>
      <w:color w:val="FF0000"/>
      <w:sz w:val="18"/>
      <w:szCs w:val="18"/>
      <w:u w:val="none"/>
    </w:rPr>
  </w:style>
  <w:style w:type="paragraph" w:customStyle="1" w:styleId="52">
    <w:name w:val="样式 正文首行缩进 2 + Arial"/>
    <w:basedOn w:val="1"/>
    <w:next w:val="1"/>
    <w:autoRedefine/>
    <w:qFormat/>
    <w:uiPriority w:val="0"/>
    <w:pPr>
      <w:spacing w:after="120" w:line="320" w:lineRule="atLeast"/>
    </w:pPr>
    <w:rPr>
      <w:rFonts w:ascii="Arial" w:hAnsi="Arial"/>
      <w:kern w:val="0"/>
    </w:rPr>
  </w:style>
  <w:style w:type="paragraph" w:customStyle="1" w:styleId="53">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5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3183</Words>
  <Characters>3474</Characters>
  <Lines>229</Lines>
  <Paragraphs>64</Paragraphs>
  <TotalTime>30</TotalTime>
  <ScaleCrop>false</ScaleCrop>
  <LinksUpToDate>false</LinksUpToDate>
  <CharactersWithSpaces>3530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2023-05-16T04:00:00Z</dcterms:created>
  <dc:creator></dc:creator>
  <cp:lastModifiedBy>blackcat626</cp:lastModifiedBy>
  <cp:lastPrinted>2023-05-18T07:41:00Z</cp:lastPrinted>
  <dcterms:modified xsi:type="dcterms:W3CDTF">2026-06-10T08:32:52Z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567BB874DC4A4AD5A709B3D4A9D55BD2_13</vt:lpwstr>
  </property>
  <property fmtid="{D5CDD505-2E9C-101B-9397-08002B2CF9AE}" pid="4" name="KSOTemplateDocerSaveRecord">
    <vt:lpwstr>eyJoZGlkIjoiMTk5OGUzMjVmNzJlNGMzNmE0OTA2OWYxZTIxNjYxZjciLCJ1c2VySWQiOiI1MzkzMjI4MTAifQ==</vt:lpwstr>
  </property>
</Properties>
</file>