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3FED2">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outlineLvl w:val="9"/>
        <w:rPr>
          <w:rFonts w:hint="eastAsia"/>
          <w:b/>
          <w:bCs/>
          <w:sz w:val="72"/>
          <w:szCs w:val="72"/>
          <w:lang w:val="en-US" w:eastAsia="zh-CN"/>
        </w:rPr>
      </w:pPr>
      <w:bookmarkStart w:id="0" w:name="_Toc152042286"/>
      <w:bookmarkStart w:id="1" w:name="_Toc144974478"/>
    </w:p>
    <w:p w14:paraId="2B494402">
      <w:pPr>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center"/>
        <w:textAlignment w:val="auto"/>
        <w:outlineLvl w:val="9"/>
        <w:rPr>
          <w:rFonts w:hint="eastAsia" w:ascii="宋体" w:hAnsi="宋体" w:eastAsia="宋体" w:cs="宋体"/>
          <w:b/>
          <w:sz w:val="60"/>
          <w:szCs w:val="192"/>
          <w:lang w:val="en-US" w:eastAsia="zh-CN"/>
        </w:rPr>
      </w:pPr>
      <w:r>
        <w:rPr>
          <w:rFonts w:hint="eastAsia" w:ascii="宋体" w:hAnsi="宋体" w:eastAsia="宋体" w:cs="宋体"/>
          <w:b/>
          <w:sz w:val="60"/>
          <w:szCs w:val="192"/>
          <w:lang w:val="en-US" w:eastAsia="zh-CN"/>
        </w:rPr>
        <w:t>固始县公安局采购一台通信指挥车项目竞争性</w:t>
      </w:r>
      <w:r>
        <w:rPr>
          <w:rFonts w:hint="eastAsia" w:ascii="宋体" w:hAnsi="宋体" w:eastAsia="宋体" w:cs="宋体"/>
          <w:b/>
          <w:sz w:val="60"/>
          <w:szCs w:val="192"/>
          <w:lang w:eastAsia="zh-CN"/>
        </w:rPr>
        <w:t>磋商</w:t>
      </w:r>
      <w:r>
        <w:rPr>
          <w:rFonts w:hint="eastAsia" w:ascii="宋体" w:hAnsi="宋体" w:eastAsia="宋体" w:cs="宋体"/>
          <w:b/>
          <w:sz w:val="60"/>
          <w:szCs w:val="192"/>
          <w:lang w:val="en-US" w:eastAsia="zh-CN"/>
        </w:rPr>
        <w:t>文件</w:t>
      </w:r>
    </w:p>
    <w:p w14:paraId="3C0DCEFB">
      <w:pPr>
        <w:ind w:left="0" w:leftChars="0" w:firstLine="0" w:firstLineChars="0"/>
        <w:jc w:val="center"/>
        <w:rPr>
          <w:rFonts w:hint="default" w:ascii="楷体" w:hAnsi="楷体" w:eastAsia="楷体" w:cs="楷体"/>
          <w:sz w:val="24"/>
          <w:szCs w:val="28"/>
          <w:lang w:val="en-US" w:eastAsia="zh-CN"/>
        </w:rPr>
      </w:pPr>
      <w:r>
        <w:rPr>
          <w:rFonts w:hint="eastAsia" w:ascii="楷体" w:hAnsi="楷体" w:eastAsia="楷体" w:cs="楷体"/>
          <w:b w:val="0"/>
          <w:bCs/>
          <w:color w:val="000000"/>
          <w:sz w:val="28"/>
          <w:szCs w:val="28"/>
        </w:rPr>
        <w:t>采购编号：固财磋商采购-202</w:t>
      </w:r>
      <w:r>
        <w:rPr>
          <w:rFonts w:hint="eastAsia" w:ascii="楷体" w:hAnsi="楷体" w:eastAsia="楷体" w:cs="楷体"/>
          <w:b w:val="0"/>
          <w:bCs/>
          <w:color w:val="000000"/>
          <w:sz w:val="28"/>
          <w:szCs w:val="28"/>
          <w:lang w:val="en-US" w:eastAsia="zh-CN"/>
        </w:rPr>
        <w:t>6</w:t>
      </w:r>
      <w:r>
        <w:rPr>
          <w:rFonts w:hint="eastAsia" w:ascii="楷体" w:hAnsi="楷体" w:eastAsia="楷体" w:cs="楷体"/>
          <w:b w:val="0"/>
          <w:bCs/>
          <w:color w:val="000000"/>
          <w:sz w:val="28"/>
          <w:szCs w:val="28"/>
        </w:rPr>
        <w:t>-</w:t>
      </w:r>
      <w:r>
        <w:rPr>
          <w:rFonts w:hint="eastAsia" w:ascii="楷体" w:hAnsi="楷体" w:eastAsia="楷体" w:cs="楷体"/>
          <w:b w:val="0"/>
          <w:bCs/>
          <w:color w:val="000000"/>
          <w:sz w:val="28"/>
          <w:szCs w:val="28"/>
          <w:lang w:val="en-US" w:eastAsia="zh-CN"/>
        </w:rPr>
        <w:t>41</w:t>
      </w:r>
    </w:p>
    <w:p w14:paraId="41A80744">
      <w:pPr>
        <w:pStyle w:val="8"/>
        <w:rPr>
          <w:rFonts w:ascii="宋体" w:hAnsi="宋体"/>
        </w:rPr>
      </w:pPr>
    </w:p>
    <w:p w14:paraId="3357F03A">
      <w:pPr>
        <w:pStyle w:val="21"/>
        <w:ind w:firstLine="210"/>
        <w:rPr>
          <w:rFonts w:ascii="宋体" w:hAnsi="宋体"/>
        </w:rPr>
      </w:pPr>
    </w:p>
    <w:p w14:paraId="23563E01">
      <w:pPr>
        <w:pStyle w:val="21"/>
        <w:spacing w:line="240" w:lineRule="auto"/>
        <w:ind w:left="0" w:leftChars="0" w:firstLine="0" w:firstLineChars="0"/>
        <w:jc w:val="center"/>
        <w:rPr>
          <w:rFonts w:hint="eastAsia" w:eastAsiaTheme="minorEastAsia"/>
          <w:lang w:eastAsia="zh-CN"/>
        </w:rPr>
      </w:pPr>
      <w:r>
        <w:rPr>
          <w:rFonts w:hint="eastAsia" w:eastAsiaTheme="minorEastAsia"/>
          <w:lang w:eastAsia="zh-CN"/>
        </w:rPr>
        <w:drawing>
          <wp:inline distT="0" distB="0" distL="114300" distR="114300">
            <wp:extent cx="2335530" cy="2335530"/>
            <wp:effectExtent l="0" t="0" r="0" b="0"/>
            <wp:docPr id="4" name="图片 4" descr="采购中心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采购中心标识"/>
                    <pic:cNvPicPr>
                      <a:picLocks noChangeAspect="1"/>
                    </pic:cNvPicPr>
                  </pic:nvPicPr>
                  <pic:blipFill>
                    <a:blip r:embed="rId16"/>
                    <a:stretch>
                      <a:fillRect/>
                    </a:stretch>
                  </pic:blipFill>
                  <pic:spPr>
                    <a:xfrm>
                      <a:off x="0" y="0"/>
                      <a:ext cx="2335530" cy="2335530"/>
                    </a:xfrm>
                    <a:prstGeom prst="rect">
                      <a:avLst/>
                    </a:prstGeom>
                  </pic:spPr>
                </pic:pic>
              </a:graphicData>
            </a:graphic>
          </wp:inline>
        </w:drawing>
      </w:r>
    </w:p>
    <w:p w14:paraId="0F2C08F3">
      <w:pPr>
        <w:pStyle w:val="22"/>
        <w:tabs>
          <w:tab w:val="left" w:pos="945"/>
          <w:tab w:val="left" w:pos="1155"/>
        </w:tabs>
        <w:ind w:firstLine="560"/>
      </w:pPr>
    </w:p>
    <w:p w14:paraId="5B362C1B"/>
    <w:p w14:paraId="351F75A2">
      <w:pPr>
        <w:pStyle w:val="8"/>
      </w:pPr>
    </w:p>
    <w:p w14:paraId="17417DAF">
      <w:pPr>
        <w:keepNext w:val="0"/>
        <w:keepLines w:val="0"/>
        <w:pageBreakBefore w:val="0"/>
        <w:widowControl/>
        <w:tabs>
          <w:tab w:val="right" w:pos="6904"/>
        </w:tabs>
        <w:kinsoku/>
        <w:wordWrap/>
        <w:overflowPunct/>
        <w:topLinePunct w:val="0"/>
        <w:autoSpaceDE/>
        <w:autoSpaceDN/>
        <w:bidi w:val="0"/>
        <w:adjustRightInd/>
        <w:snapToGrid/>
        <w:spacing w:line="480" w:lineRule="auto"/>
        <w:ind w:firstLine="2249" w:firstLineChars="700"/>
        <w:textAlignment w:val="auto"/>
        <w:rPr>
          <w:rFonts w:hint="eastAsia" w:ascii="宋体" w:hAnsi="宋体" w:eastAsia="宋体" w:cs="宋体"/>
          <w:b/>
          <w:bCs/>
          <w:kern w:val="0"/>
          <w:sz w:val="32"/>
          <w:szCs w:val="32"/>
          <w:lang w:eastAsia="zh-CN"/>
        </w:rPr>
      </w:pPr>
      <w:r>
        <w:rPr>
          <w:rFonts w:hint="eastAsia" w:ascii="宋体" w:hAnsi="宋体" w:cs="宋体"/>
          <w:b/>
          <w:bCs/>
          <w:kern w:val="0"/>
          <w:sz w:val="32"/>
          <w:szCs w:val="32"/>
        </w:rPr>
        <w:t>采   购   人：</w:t>
      </w:r>
      <w:r>
        <w:rPr>
          <w:rFonts w:hint="eastAsia" w:ascii="宋体" w:hAnsi="宋体" w:cs="宋体"/>
          <w:b/>
          <w:bCs/>
          <w:kern w:val="0"/>
          <w:sz w:val="32"/>
          <w:szCs w:val="32"/>
          <w:lang w:val="en-US" w:eastAsia="zh-CN"/>
        </w:rPr>
        <w:t>固始县公安局</w:t>
      </w:r>
      <w:r>
        <w:rPr>
          <w:rFonts w:hint="eastAsia" w:ascii="宋体" w:hAnsi="宋体" w:cs="宋体"/>
          <w:b/>
          <w:bCs/>
          <w:kern w:val="0"/>
          <w:sz w:val="32"/>
          <w:szCs w:val="32"/>
          <w:lang w:eastAsia="zh-CN"/>
        </w:rPr>
        <w:tab/>
      </w:r>
    </w:p>
    <w:p w14:paraId="04994BEA">
      <w:pPr>
        <w:keepNext w:val="0"/>
        <w:keepLines w:val="0"/>
        <w:pageBreakBefore w:val="0"/>
        <w:widowControl/>
        <w:kinsoku/>
        <w:wordWrap/>
        <w:overflowPunct/>
        <w:topLinePunct w:val="0"/>
        <w:autoSpaceDE/>
        <w:autoSpaceDN/>
        <w:bidi w:val="0"/>
        <w:adjustRightInd/>
        <w:snapToGrid/>
        <w:spacing w:line="480" w:lineRule="auto"/>
        <w:ind w:firstLine="2249" w:firstLineChars="700"/>
        <w:textAlignment w:val="auto"/>
        <w:rPr>
          <w:rFonts w:hint="default" w:ascii="宋体" w:hAnsi="宋体" w:eastAsia="宋体" w:cs="宋体"/>
          <w:b/>
          <w:bCs/>
          <w:kern w:val="0"/>
          <w:sz w:val="32"/>
          <w:szCs w:val="32"/>
          <w:lang w:val="en-US" w:eastAsia="zh-CN"/>
        </w:rPr>
      </w:pPr>
      <w:r>
        <w:rPr>
          <w:rFonts w:hint="eastAsia" w:ascii="宋体" w:hAnsi="宋体" w:cs="宋体"/>
          <w:b/>
          <w:bCs/>
          <w:kern w:val="0"/>
          <w:sz w:val="32"/>
          <w:szCs w:val="32"/>
        </w:rPr>
        <w:t>采购代理机构：</w:t>
      </w:r>
      <w:r>
        <w:rPr>
          <w:rFonts w:hint="eastAsia" w:ascii="宋体" w:hAnsi="宋体" w:cs="宋体"/>
          <w:b/>
          <w:bCs/>
          <w:color w:val="000000"/>
          <w:kern w:val="0"/>
          <w:sz w:val="32"/>
          <w:szCs w:val="32"/>
          <w:lang w:val="en-US" w:eastAsia="zh-CN"/>
        </w:rPr>
        <w:t>固始县采购中心</w:t>
      </w:r>
    </w:p>
    <w:p w14:paraId="59AE5C0F">
      <w:pPr>
        <w:keepNext w:val="0"/>
        <w:keepLines w:val="0"/>
        <w:pageBreakBefore w:val="0"/>
        <w:widowControl/>
        <w:kinsoku/>
        <w:wordWrap/>
        <w:overflowPunct/>
        <w:topLinePunct w:val="0"/>
        <w:autoSpaceDE/>
        <w:autoSpaceDN/>
        <w:bidi w:val="0"/>
        <w:adjustRightInd/>
        <w:snapToGrid/>
        <w:spacing w:line="480" w:lineRule="auto"/>
        <w:ind w:firstLine="2249" w:firstLineChars="700"/>
        <w:textAlignment w:val="auto"/>
        <w:rPr>
          <w:rFonts w:hint="eastAsia" w:ascii="宋体" w:hAnsi="宋体" w:cs="宋体"/>
          <w:b/>
          <w:sz w:val="28"/>
          <w:szCs w:val="28"/>
        </w:rPr>
      </w:pPr>
      <w:r>
        <w:rPr>
          <w:rFonts w:hint="eastAsia" w:ascii="宋体" w:hAnsi="宋体" w:cs="宋体"/>
          <w:b/>
          <w:bCs/>
          <w:kern w:val="0"/>
          <w:sz w:val="32"/>
          <w:szCs w:val="32"/>
        </w:rPr>
        <w:t>日        期：二</w:t>
      </w:r>
      <w:r>
        <w:rPr>
          <w:rFonts w:hint="eastAsia" w:ascii="宋体" w:hAnsi="宋体" w:cs="宋体"/>
          <w:b/>
          <w:bCs/>
          <w:kern w:val="0"/>
          <w:sz w:val="32"/>
          <w:szCs w:val="32"/>
          <w:lang w:val="en-US" w:eastAsia="zh-CN"/>
        </w:rPr>
        <w:t>零</w:t>
      </w:r>
      <w:r>
        <w:rPr>
          <w:rFonts w:hint="eastAsia" w:ascii="宋体" w:hAnsi="宋体" w:cs="宋体"/>
          <w:b/>
          <w:bCs/>
          <w:kern w:val="0"/>
          <w:sz w:val="32"/>
          <w:szCs w:val="32"/>
        </w:rPr>
        <w:t>二</w:t>
      </w:r>
      <w:r>
        <w:rPr>
          <w:rFonts w:hint="eastAsia" w:ascii="宋体" w:hAnsi="宋体" w:cs="宋体"/>
          <w:b/>
          <w:bCs/>
          <w:kern w:val="0"/>
          <w:sz w:val="32"/>
          <w:szCs w:val="32"/>
          <w:lang w:val="en-US" w:eastAsia="zh-CN"/>
        </w:rPr>
        <w:t>六</w:t>
      </w:r>
      <w:r>
        <w:rPr>
          <w:rFonts w:hint="eastAsia" w:ascii="宋体" w:hAnsi="宋体" w:cs="宋体"/>
          <w:b/>
          <w:bCs/>
          <w:kern w:val="0"/>
          <w:sz w:val="32"/>
          <w:szCs w:val="32"/>
        </w:rPr>
        <w:t>年</w:t>
      </w:r>
      <w:r>
        <w:rPr>
          <w:rFonts w:hint="eastAsia" w:ascii="宋体" w:hAnsi="宋体" w:cs="宋体"/>
          <w:b/>
          <w:bCs/>
          <w:kern w:val="0"/>
          <w:sz w:val="32"/>
          <w:szCs w:val="32"/>
          <w:lang w:val="en-US" w:eastAsia="zh-CN"/>
        </w:rPr>
        <w:t>六</w:t>
      </w:r>
      <w:r>
        <w:rPr>
          <w:rFonts w:hint="eastAsia" w:ascii="宋体" w:hAnsi="宋体" w:cs="宋体"/>
          <w:b/>
          <w:bCs/>
          <w:kern w:val="0"/>
          <w:sz w:val="32"/>
          <w:szCs w:val="32"/>
        </w:rPr>
        <w:t>月</w:t>
      </w:r>
    </w:p>
    <w:p w14:paraId="5E2CF2F4">
      <w:pPr>
        <w:pStyle w:val="6"/>
        <w:ind w:firstLine="0" w:firstLineChars="0"/>
        <w:jc w:val="center"/>
        <w:rPr>
          <w:rFonts w:hint="eastAsia" w:ascii="宋体" w:hAnsi="宋体" w:cs="宋体"/>
          <w:b/>
          <w:sz w:val="36"/>
          <w:szCs w:val="24"/>
        </w:rPr>
        <w:sectPr>
          <w:headerReference r:id="rId5" w:type="default"/>
          <w:footerReference r:id="rId6" w:type="default"/>
          <w:pgSz w:w="11850" w:h="16783"/>
          <w:pgMar w:top="1134" w:right="1134" w:bottom="1134" w:left="1417" w:header="850" w:footer="669" w:gutter="0"/>
          <w:pgNumType w:fmt="numberInDash" w:start="1"/>
          <w:cols w:space="720" w:num="1"/>
          <w:rtlGutter w:val="0"/>
          <w:docGrid w:type="lines" w:linePitch="380" w:charSpace="0"/>
        </w:sectPr>
      </w:pPr>
    </w:p>
    <w:p w14:paraId="3AB827FC">
      <w:pPr>
        <w:pStyle w:val="6"/>
        <w:ind w:firstLine="0" w:firstLineChars="0"/>
        <w:jc w:val="center"/>
        <w:rPr>
          <w:rFonts w:ascii="宋体" w:hAnsi="宋体" w:cs="宋体"/>
          <w:b/>
          <w:sz w:val="52"/>
          <w:szCs w:val="40"/>
        </w:rPr>
      </w:pPr>
      <w:r>
        <w:rPr>
          <w:rFonts w:hint="eastAsia" w:ascii="宋体" w:hAnsi="宋体" w:cs="宋体"/>
          <w:b/>
          <w:sz w:val="36"/>
          <w:szCs w:val="24"/>
        </w:rPr>
        <w:t>目    录</w:t>
      </w:r>
      <w:bookmarkEnd w:id="0"/>
      <w:bookmarkEnd w:id="1"/>
      <w:bookmarkStart w:id="2" w:name="_Toc152042287"/>
      <w:bookmarkStart w:id="3" w:name="_Toc490667779"/>
      <w:bookmarkStart w:id="4" w:name="_Toc144974479"/>
      <w:bookmarkStart w:id="5" w:name="_Toc152045511"/>
    </w:p>
    <w:p w14:paraId="67280EE9">
      <w:pPr>
        <w:pStyle w:val="16"/>
        <w:tabs>
          <w:tab w:val="right" w:leader="dot" w:pos="9040"/>
        </w:tabs>
        <w:spacing w:line="600" w:lineRule="auto"/>
        <w:ind w:firstLine="0" w:firstLineChars="0"/>
        <w:rPr>
          <w:rFonts w:ascii="宋体" w:hAnsi="宋体" w:eastAsia="宋体" w:cs="宋体"/>
          <w:sz w:val="24"/>
          <w:szCs w:val="24"/>
        </w:rPr>
      </w:pPr>
    </w:p>
    <w:p w14:paraId="1ABB6D34">
      <w:pPr>
        <w:pStyle w:val="16"/>
        <w:tabs>
          <w:tab w:val="right" w:leader="dot" w:pos="9040"/>
        </w:tabs>
        <w:spacing w:line="600" w:lineRule="auto"/>
        <w:ind w:firstLine="0" w:firstLineChars="0"/>
        <w:rPr>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"_Toc19546" </w:instrText>
      </w:r>
      <w:r>
        <w:fldChar w:fldCharType="separate"/>
      </w:r>
      <w:r>
        <w:rPr>
          <w:rFonts w:hint="eastAsia" w:ascii="宋体" w:hAnsi="宋体" w:cs="宋体"/>
          <w:bCs/>
          <w:sz w:val="24"/>
          <w:szCs w:val="40"/>
        </w:rPr>
        <w:t>第一章 竞争性磋商公告</w:t>
      </w:r>
      <w:r>
        <w:rPr>
          <w:sz w:val="24"/>
          <w:szCs w:val="28"/>
        </w:rPr>
        <w:tab/>
      </w:r>
      <w:r>
        <w:rPr>
          <w:sz w:val="24"/>
          <w:szCs w:val="28"/>
        </w:rPr>
        <w:fldChar w:fldCharType="begin"/>
      </w:r>
      <w:r>
        <w:rPr>
          <w:sz w:val="24"/>
          <w:szCs w:val="28"/>
        </w:rPr>
        <w:instrText xml:space="preserve"> PAGEREF _Toc19546 \h </w:instrText>
      </w:r>
      <w:r>
        <w:rPr>
          <w:sz w:val="24"/>
          <w:szCs w:val="28"/>
        </w:rPr>
        <w:fldChar w:fldCharType="separate"/>
      </w:r>
      <w:r>
        <w:rPr>
          <w:sz w:val="24"/>
          <w:szCs w:val="28"/>
        </w:rPr>
        <w:t>5</w:t>
      </w:r>
      <w:r>
        <w:rPr>
          <w:sz w:val="24"/>
          <w:szCs w:val="28"/>
        </w:rPr>
        <w:fldChar w:fldCharType="end"/>
      </w:r>
      <w:r>
        <w:rPr>
          <w:sz w:val="24"/>
          <w:szCs w:val="28"/>
        </w:rPr>
        <w:fldChar w:fldCharType="end"/>
      </w:r>
    </w:p>
    <w:p w14:paraId="01A05033">
      <w:pPr>
        <w:pStyle w:val="16"/>
        <w:tabs>
          <w:tab w:val="right" w:leader="dot" w:pos="9040"/>
        </w:tabs>
        <w:spacing w:line="600" w:lineRule="auto"/>
        <w:ind w:firstLine="0" w:firstLineChars="0"/>
        <w:rPr>
          <w:sz w:val="24"/>
          <w:szCs w:val="28"/>
        </w:rPr>
      </w:pPr>
      <w:r>
        <w:fldChar w:fldCharType="begin"/>
      </w:r>
      <w:r>
        <w:instrText xml:space="preserve"> HYPERLINK \l "_Toc9894" </w:instrText>
      </w:r>
      <w:r>
        <w:fldChar w:fldCharType="separate"/>
      </w:r>
      <w:r>
        <w:rPr>
          <w:rFonts w:hint="eastAsia" w:ascii="宋体" w:hAnsi="宋体" w:cs="宋体"/>
          <w:bCs/>
          <w:sz w:val="24"/>
          <w:szCs w:val="40"/>
        </w:rPr>
        <w:t>第二章 供应商须知</w:t>
      </w:r>
      <w:r>
        <w:rPr>
          <w:sz w:val="24"/>
          <w:szCs w:val="28"/>
        </w:rPr>
        <w:tab/>
      </w:r>
      <w:r>
        <w:rPr>
          <w:rFonts w:hint="eastAsia"/>
          <w:sz w:val="24"/>
          <w:szCs w:val="28"/>
        </w:rPr>
        <w:t>1</w:t>
      </w:r>
      <w:r>
        <w:rPr>
          <w:rFonts w:hint="eastAsia"/>
          <w:sz w:val="24"/>
          <w:szCs w:val="28"/>
        </w:rPr>
        <w:fldChar w:fldCharType="end"/>
      </w:r>
      <w:r>
        <w:rPr>
          <w:rFonts w:hint="eastAsia"/>
          <w:sz w:val="24"/>
          <w:szCs w:val="28"/>
        </w:rPr>
        <w:t>1</w:t>
      </w:r>
    </w:p>
    <w:p w14:paraId="55CEE10D">
      <w:pPr>
        <w:pStyle w:val="16"/>
        <w:tabs>
          <w:tab w:val="right" w:leader="dot" w:pos="9040"/>
        </w:tabs>
        <w:spacing w:line="600" w:lineRule="auto"/>
        <w:ind w:firstLine="0" w:firstLineChars="0"/>
        <w:rPr>
          <w:rFonts w:ascii="宋体" w:hAnsi="宋体" w:cs="宋体"/>
          <w:b/>
          <w:bCs/>
          <w:sz w:val="24"/>
          <w:szCs w:val="24"/>
        </w:rPr>
      </w:pPr>
      <w:r>
        <w:fldChar w:fldCharType="begin"/>
      </w:r>
      <w:r>
        <w:instrText xml:space="preserve"> HYPERLINK \l "_Toc4131" </w:instrText>
      </w:r>
      <w:r>
        <w:fldChar w:fldCharType="separate"/>
      </w:r>
      <w:r>
        <w:rPr>
          <w:rFonts w:hint="eastAsia" w:ascii="宋体" w:hAnsi="宋体" w:cs="宋体"/>
          <w:kern w:val="44"/>
          <w:sz w:val="24"/>
          <w:szCs w:val="40"/>
        </w:rPr>
        <w:t>第三章 评审办法（综合评分法）</w:t>
      </w:r>
      <w:r>
        <w:rPr>
          <w:sz w:val="24"/>
          <w:szCs w:val="28"/>
        </w:rPr>
        <w:tab/>
      </w:r>
      <w:r>
        <w:rPr>
          <w:sz w:val="24"/>
          <w:szCs w:val="28"/>
        </w:rPr>
        <w:fldChar w:fldCharType="begin"/>
      </w:r>
      <w:r>
        <w:rPr>
          <w:sz w:val="24"/>
          <w:szCs w:val="28"/>
        </w:rPr>
        <w:instrText xml:space="preserve"> PAGEREF _Toc4131 \h </w:instrText>
      </w:r>
      <w:r>
        <w:rPr>
          <w:sz w:val="24"/>
          <w:szCs w:val="28"/>
        </w:rPr>
        <w:fldChar w:fldCharType="separate"/>
      </w:r>
      <w:r>
        <w:rPr>
          <w:sz w:val="24"/>
          <w:szCs w:val="28"/>
        </w:rPr>
        <w:t>24</w:t>
      </w:r>
      <w:r>
        <w:rPr>
          <w:sz w:val="24"/>
          <w:szCs w:val="28"/>
        </w:rPr>
        <w:fldChar w:fldCharType="end"/>
      </w:r>
      <w:r>
        <w:rPr>
          <w:sz w:val="24"/>
          <w:szCs w:val="28"/>
        </w:rPr>
        <w:fldChar w:fldCharType="end"/>
      </w:r>
    </w:p>
    <w:p w14:paraId="59B195A3">
      <w:pPr>
        <w:pStyle w:val="16"/>
        <w:tabs>
          <w:tab w:val="right" w:leader="dot" w:pos="9040"/>
        </w:tabs>
        <w:spacing w:line="600" w:lineRule="auto"/>
        <w:ind w:firstLine="0" w:firstLineChars="0"/>
        <w:rPr>
          <w:sz w:val="24"/>
          <w:szCs w:val="28"/>
        </w:rPr>
      </w:pPr>
      <w:r>
        <w:fldChar w:fldCharType="begin"/>
      </w:r>
      <w:r>
        <w:instrText xml:space="preserve"> HYPERLINK \l "_Toc27582" </w:instrText>
      </w:r>
      <w:r>
        <w:fldChar w:fldCharType="separate"/>
      </w:r>
      <w:r>
        <w:rPr>
          <w:rFonts w:hint="eastAsia" w:ascii="宋体" w:hAnsi="宋体" w:cs="宋体"/>
          <w:kern w:val="44"/>
          <w:sz w:val="24"/>
          <w:szCs w:val="40"/>
        </w:rPr>
        <w:t>第四章 河南省政府采购合同（参考文本）</w:t>
      </w:r>
      <w:r>
        <w:rPr>
          <w:sz w:val="24"/>
          <w:szCs w:val="28"/>
        </w:rPr>
        <w:tab/>
      </w:r>
      <w:r>
        <w:rPr>
          <w:rFonts w:hint="eastAsia"/>
          <w:sz w:val="24"/>
          <w:szCs w:val="28"/>
        </w:rPr>
        <w:t>3</w:t>
      </w:r>
      <w:r>
        <w:rPr>
          <w:rFonts w:hint="eastAsia"/>
          <w:sz w:val="24"/>
          <w:szCs w:val="28"/>
        </w:rPr>
        <w:fldChar w:fldCharType="end"/>
      </w:r>
      <w:r>
        <w:rPr>
          <w:rFonts w:hint="eastAsia"/>
          <w:sz w:val="24"/>
          <w:szCs w:val="28"/>
        </w:rPr>
        <w:t>4</w:t>
      </w:r>
    </w:p>
    <w:p w14:paraId="59E44A7A">
      <w:pPr>
        <w:pStyle w:val="16"/>
        <w:tabs>
          <w:tab w:val="right" w:leader="dot" w:pos="9040"/>
        </w:tabs>
        <w:spacing w:line="600" w:lineRule="auto"/>
        <w:ind w:firstLine="0" w:firstLineChars="0"/>
        <w:rPr>
          <w:sz w:val="24"/>
          <w:szCs w:val="28"/>
        </w:rPr>
      </w:pPr>
      <w:r>
        <w:fldChar w:fldCharType="begin"/>
      </w:r>
      <w:r>
        <w:instrText xml:space="preserve"> HYPERLINK \l "_Toc16235" </w:instrText>
      </w:r>
      <w:r>
        <w:fldChar w:fldCharType="separate"/>
      </w:r>
      <w:r>
        <w:rPr>
          <w:rFonts w:hint="eastAsia" w:ascii="宋体" w:hAnsi="宋体" w:cs="宋体"/>
          <w:sz w:val="24"/>
          <w:szCs w:val="36"/>
        </w:rPr>
        <w:t>第五章 采购项目技术参数、规格与要求</w:t>
      </w:r>
      <w:r>
        <w:rPr>
          <w:sz w:val="24"/>
          <w:szCs w:val="28"/>
        </w:rPr>
        <w:tab/>
      </w:r>
      <w:r>
        <w:rPr>
          <w:rFonts w:hint="eastAsia"/>
          <w:sz w:val="24"/>
          <w:szCs w:val="28"/>
        </w:rPr>
        <w:t>3</w:t>
      </w:r>
      <w:r>
        <w:rPr>
          <w:rFonts w:hint="eastAsia"/>
          <w:sz w:val="24"/>
          <w:szCs w:val="28"/>
        </w:rPr>
        <w:fldChar w:fldCharType="end"/>
      </w:r>
      <w:r>
        <w:rPr>
          <w:rFonts w:hint="eastAsia"/>
          <w:sz w:val="24"/>
          <w:szCs w:val="28"/>
        </w:rPr>
        <w:t>6</w:t>
      </w:r>
    </w:p>
    <w:p w14:paraId="415861F5">
      <w:pPr>
        <w:pStyle w:val="16"/>
        <w:tabs>
          <w:tab w:val="right" w:leader="dot" w:pos="9040"/>
        </w:tabs>
        <w:spacing w:line="600" w:lineRule="auto"/>
        <w:ind w:firstLine="0" w:firstLineChars="0"/>
        <w:rPr>
          <w:sz w:val="24"/>
          <w:szCs w:val="28"/>
        </w:rPr>
      </w:pPr>
      <w:r>
        <w:fldChar w:fldCharType="begin"/>
      </w:r>
      <w:r>
        <w:instrText xml:space="preserve"> HYPERLINK \l "_Toc14701" </w:instrText>
      </w:r>
      <w:r>
        <w:fldChar w:fldCharType="separate"/>
      </w:r>
      <w:r>
        <w:rPr>
          <w:rFonts w:hint="eastAsia" w:ascii="宋体" w:hAnsi="宋体" w:cs="宋体"/>
          <w:sz w:val="24"/>
          <w:szCs w:val="36"/>
        </w:rPr>
        <w:t>第六章 竞争性磋商响应文件格式</w:t>
      </w:r>
      <w:r>
        <w:rPr>
          <w:sz w:val="24"/>
          <w:szCs w:val="28"/>
        </w:rPr>
        <w:tab/>
      </w:r>
      <w:r>
        <w:rPr>
          <w:rFonts w:hint="eastAsia"/>
          <w:sz w:val="24"/>
          <w:szCs w:val="28"/>
        </w:rPr>
        <w:t>3</w:t>
      </w:r>
      <w:r>
        <w:rPr>
          <w:rFonts w:hint="eastAsia"/>
          <w:sz w:val="24"/>
          <w:szCs w:val="28"/>
        </w:rPr>
        <w:fldChar w:fldCharType="end"/>
      </w:r>
      <w:r>
        <w:rPr>
          <w:rFonts w:hint="eastAsia"/>
          <w:sz w:val="24"/>
          <w:szCs w:val="28"/>
        </w:rPr>
        <w:t>8</w:t>
      </w:r>
    </w:p>
    <w:p w14:paraId="3FA9EF91">
      <w:pPr>
        <w:spacing w:line="440" w:lineRule="exact"/>
        <w:ind w:firstLine="0" w:firstLineChars="0"/>
        <w:rPr>
          <w:rFonts w:ascii="宋体" w:hAnsi="宋体" w:eastAsia="宋体" w:cs="宋体"/>
          <w:szCs w:val="24"/>
        </w:rPr>
      </w:pPr>
    </w:p>
    <w:p w14:paraId="492731DE">
      <w:pPr>
        <w:spacing w:line="440" w:lineRule="exact"/>
        <w:ind w:firstLine="0" w:firstLineChars="0"/>
        <w:rPr>
          <w:rFonts w:ascii="宋体" w:hAnsi="宋体" w:eastAsia="宋体" w:cs="宋体"/>
          <w:szCs w:val="24"/>
        </w:rPr>
      </w:pPr>
      <w:r>
        <w:rPr>
          <w:rFonts w:hint="eastAsia" w:ascii="宋体" w:hAnsi="宋体" w:eastAsia="宋体" w:cs="宋体"/>
          <w:szCs w:val="24"/>
        </w:rPr>
        <w:fldChar w:fldCharType="end"/>
      </w:r>
    </w:p>
    <w:p w14:paraId="4E2FDAEE">
      <w:pPr>
        <w:pStyle w:val="21"/>
        <w:ind w:firstLine="210"/>
        <w:rPr>
          <w:rFonts w:ascii="宋体" w:hAnsi="宋体" w:eastAsia="宋体" w:cs="宋体"/>
          <w:szCs w:val="24"/>
        </w:rPr>
      </w:pPr>
    </w:p>
    <w:p w14:paraId="1324C84D">
      <w:pPr>
        <w:pStyle w:val="22"/>
        <w:rPr>
          <w:rFonts w:ascii="宋体" w:hAnsi="宋体" w:eastAsia="宋体" w:cs="宋体"/>
          <w:szCs w:val="24"/>
        </w:rPr>
      </w:pPr>
    </w:p>
    <w:p w14:paraId="49BE4F3D">
      <w:pPr>
        <w:ind w:firstLine="420"/>
        <w:rPr>
          <w:rFonts w:ascii="宋体" w:hAnsi="宋体" w:eastAsia="宋体" w:cs="宋体"/>
          <w:szCs w:val="24"/>
        </w:rPr>
      </w:pPr>
    </w:p>
    <w:p w14:paraId="212EA0A6">
      <w:pPr>
        <w:pStyle w:val="21"/>
        <w:ind w:firstLine="210"/>
        <w:rPr>
          <w:rFonts w:ascii="宋体" w:hAnsi="宋体" w:eastAsia="宋体" w:cs="宋体"/>
          <w:szCs w:val="24"/>
        </w:rPr>
      </w:pPr>
    </w:p>
    <w:p w14:paraId="7C8AB39D">
      <w:pPr>
        <w:ind w:firstLine="0" w:firstLineChars="0"/>
      </w:pPr>
    </w:p>
    <w:p w14:paraId="35B84459">
      <w:pPr>
        <w:ind w:firstLine="420"/>
        <w:rPr>
          <w:rFonts w:ascii="宋体" w:hAnsi="宋体" w:eastAsia="宋体" w:cs="宋体"/>
          <w:szCs w:val="24"/>
        </w:rPr>
      </w:pPr>
    </w:p>
    <w:p w14:paraId="095BC71A">
      <w:pPr>
        <w:pStyle w:val="22"/>
        <w:ind w:left="0" w:leftChars="0" w:firstLine="0" w:firstLineChars="0"/>
        <w:rPr>
          <w:rFonts w:ascii="宋体" w:hAnsi="宋体" w:eastAsia="宋体" w:cs="宋体"/>
          <w:szCs w:val="24"/>
        </w:rPr>
      </w:pPr>
    </w:p>
    <w:p w14:paraId="5B678BEC">
      <w:pPr>
        <w:ind w:firstLine="420"/>
        <w:rPr>
          <w:rFonts w:ascii="宋体" w:hAnsi="宋体" w:eastAsia="宋体" w:cs="宋体"/>
          <w:szCs w:val="24"/>
        </w:rPr>
      </w:pPr>
    </w:p>
    <w:p w14:paraId="236C0064">
      <w:pPr>
        <w:pStyle w:val="21"/>
        <w:ind w:firstLine="0" w:firstLineChars="0"/>
      </w:pPr>
    </w:p>
    <w:p w14:paraId="3EAC0E6D">
      <w:pPr>
        <w:spacing w:line="240" w:lineRule="auto"/>
        <w:ind w:firstLine="0" w:firstLineChars="0"/>
        <w:jc w:val="center"/>
        <w:rPr>
          <w:rFonts w:ascii="宋体" w:hAnsi="宋体" w:eastAsia="宋体" w:cs="宋体"/>
          <w:b/>
          <w:spacing w:val="14"/>
          <w:sz w:val="44"/>
          <w:szCs w:val="44"/>
        </w:rPr>
        <w:sectPr>
          <w:footerReference r:id="rId7" w:type="default"/>
          <w:pgSz w:w="11850" w:h="16783"/>
          <w:pgMar w:top="1134" w:right="1134" w:bottom="1134" w:left="1417" w:header="850" w:footer="669" w:gutter="0"/>
          <w:pgNumType w:fmt="numberInDash" w:start="1"/>
          <w:cols w:space="720" w:num="1"/>
          <w:rtlGutter w:val="0"/>
          <w:docGrid w:type="lines" w:linePitch="380" w:charSpace="0"/>
        </w:sectPr>
      </w:pPr>
    </w:p>
    <w:p w14:paraId="0C848A9D">
      <w:pPr>
        <w:spacing w:line="240" w:lineRule="auto"/>
        <w:ind w:firstLine="0" w:firstLineChars="0"/>
        <w:jc w:val="center"/>
        <w:rPr>
          <w:rFonts w:ascii="宋体" w:hAnsi="宋体" w:eastAsia="宋体" w:cs="宋体"/>
          <w:b/>
          <w:spacing w:val="14"/>
          <w:sz w:val="44"/>
          <w:szCs w:val="44"/>
        </w:rPr>
      </w:pPr>
      <w:r>
        <w:rPr>
          <w:rFonts w:hint="eastAsia" w:ascii="宋体" w:hAnsi="宋体" w:eastAsia="宋体" w:cs="宋体"/>
          <w:b/>
          <w:spacing w:val="14"/>
          <w:sz w:val="36"/>
          <w:szCs w:val="36"/>
        </w:rPr>
        <w:t>特别提示</w:t>
      </w:r>
    </w:p>
    <w:p w14:paraId="76426DB9">
      <w:pPr>
        <w:spacing w:line="400" w:lineRule="exact"/>
        <w:ind w:firstLine="482"/>
        <w:rPr>
          <w:rFonts w:ascii="宋体" w:hAnsi="宋体" w:cs="宋体"/>
          <w:b/>
          <w:bCs/>
          <w:sz w:val="24"/>
        </w:rPr>
      </w:pPr>
    </w:p>
    <w:p w14:paraId="04A07AD1">
      <w:pPr>
        <w:wordWrap w:val="0"/>
        <w:spacing w:line="360" w:lineRule="auto"/>
        <w:ind w:left="-199" w:leftChars="-95" w:firstLine="440" w:firstLineChars="200"/>
        <w:jc w:val="left"/>
        <w:rPr>
          <w:rFonts w:hint="eastAsia" w:ascii="宋体" w:hAnsi="宋体" w:cs="宋体"/>
          <w:sz w:val="22"/>
          <w:szCs w:val="22"/>
        </w:rPr>
      </w:pPr>
      <w:bookmarkStart w:id="6" w:name="_Toc19546"/>
      <w:bookmarkStart w:id="7" w:name="_Toc30363"/>
      <w:r>
        <w:rPr>
          <w:rFonts w:hint="eastAsia" w:ascii="宋体" w:hAnsi="宋体" w:cs="宋体"/>
          <w:sz w:val="22"/>
          <w:szCs w:val="22"/>
        </w:rPr>
        <w:t>一、投标人（供应商）注册</w:t>
      </w:r>
    </w:p>
    <w:p w14:paraId="0187117A">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凡有意参加本项目的投标人（供应商），请登录“固始县公共资源交易网（http://ggzyjy.xinyang.gov.cn/gushi/）”网站进行交易主体自主注册，按网站公告通知有关要求填报企业信息并上传有关原件扫描件至诚信库，不需携带原件到固始县公共资源交易中心进行审核。投标人（供应商）应对所上传材料的真实性、合法性、有效性负责，其上传的信息将全部对外公示，接受社会监督。</w:t>
      </w:r>
    </w:p>
    <w:p w14:paraId="12BC8FA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二、办理CA数字证书</w:t>
      </w:r>
    </w:p>
    <w:p w14:paraId="1DFF143B">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完成企业诚信库注册后，必须办理CA数字证书方可在网上办理招投标相关业务。投标人（供应商）根据《固始县公共资源交易网》左侧下载中心有关办理CA数字证书的要求，准备好CA办理所需资料，到固始县公共资源交易中心五楼CA窗口现场办理CA数字证书。</w:t>
      </w:r>
    </w:p>
    <w:p w14:paraId="631FD8B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三、招标（采购）文件获取方式</w:t>
      </w:r>
    </w:p>
    <w:p w14:paraId="74CEC96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人（供应商）凭CA数字证书登录会员系统后，即可按网上提示免费下载招标（采购）文件及资料（操作程序详见固始县公共资源交易中心网站下载中心栏目里投标人操作手册）。招标文件(*.XYZF格式)下载后需使用“投标文件制作工具软件”打开（该工具软件可在“固始县公共资源交易网（http://ggzyjy.xinyang.gov.cn/gushi/）”网站下载中心栏目内下载或在招标文件领取页面下载）。</w:t>
      </w:r>
    </w:p>
    <w:p w14:paraId="2224903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四、投标（响应）文件制作</w:t>
      </w:r>
    </w:p>
    <w:p w14:paraId="3896564D">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投标（响应）文件应使用固始县公共资源交易系统投标文件制作专用工具软件编制，投标（响应）文件格式为“*.XYTF”。</w:t>
      </w:r>
    </w:p>
    <w:p w14:paraId="6D6D0159">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投标人（供应商）须在投标（响应）文件递交截止时间前制作并提交。</w:t>
      </w:r>
    </w:p>
    <w:p w14:paraId="4BF06E4B">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五、投标（响应）文件的签字和盖章要求</w:t>
      </w:r>
    </w:p>
    <w:p w14:paraId="2F306A1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1、投标文件（响应）格式中所有要求投标人（供应商）加盖公章的地方都须加盖投标人（供应商）的 CA 印章。</w:t>
      </w:r>
    </w:p>
    <w:p w14:paraId="37E098A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2、投标文件（响应）格式中所有要求法定代表人或其委托代理人签字或盖章的地方须加盖法定代表人或其委托代理人的电子签名或个人印章。</w:t>
      </w:r>
    </w:p>
    <w:p w14:paraId="29AB7D5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六、投标文件份数</w:t>
      </w:r>
    </w:p>
    <w:p w14:paraId="50D627A3">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加密的电子投标（响应）文件壹份（*.XYTF 格式，在会员系统指定位置上传）。</w:t>
      </w:r>
    </w:p>
    <w:p w14:paraId="6A36497A">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七、投标（响应）文件的递交</w:t>
      </w:r>
    </w:p>
    <w:p w14:paraId="6E131E57">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1、电子投标（响应）文件的递交</w:t>
      </w:r>
    </w:p>
    <w:p w14:paraId="5B467253">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2FD1C22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2、除电子投标（响应）文件外，不再接受任何纸质文件、资料原件等。</w:t>
      </w:r>
    </w:p>
    <w:p w14:paraId="4C04C008">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八、澄清与变更</w:t>
      </w:r>
    </w:p>
    <w:p w14:paraId="554AAFE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如有疑问，以书面形式（包括信函、电报、传真等可以有形表现所载内容的形式），要求招标人（采购人）对招标（采购）文件予以澄清。澄清或修改的内容在固始县公共资源交易系统“变更公告”或“答疑文件”菜单进行发布，投标人（供应商）应在投标（响应）文件递交截止时间前及时查看澄清或修改内容，因投标人（采购人）未及时查看而造成的后果自负。</w:t>
      </w:r>
    </w:p>
    <w:p w14:paraId="4AE2497E">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 xml:space="preserve">九、其他注意事项 </w:t>
      </w:r>
    </w:p>
    <w:p w14:paraId="3AF2452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 xml:space="preserve">1、供应商编制投标文件时，涉及的营业执照、资质、获奖、社保、纳税等固定内容可在交易中心主体信用信息中录入。 </w:t>
      </w:r>
    </w:p>
    <w:p w14:paraId="1A7C3EEE">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供应商编制投标文件时，涉及营业执照、资质、业绩、获奖、人员、财务、社保、纳税、各类证书等内容，须扫描编制在投标文件内。评委评审只需依法对投标文件进行评审，并以投标文件的响应为唯一评审依据，不再比对主体信用信息。</w:t>
      </w:r>
    </w:p>
    <w:p w14:paraId="4A76C852">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w:t>
      </w:r>
    </w:p>
    <w:p w14:paraId="3BFD5872">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4539EE3C">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十、特别提醒</w:t>
      </w:r>
    </w:p>
    <w:p w14:paraId="734E97C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1、投标文件中的扫描件，在确保清晰的前提下，每张最好控制在 500kb 内，生成的加密电子投标文件最好不要超过50MB。</w:t>
      </w:r>
    </w:p>
    <w:p w14:paraId="1C4E88E9">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2、各投标单位请务必在开标结束后对开标记录表签章后再离席。</w:t>
      </w:r>
    </w:p>
    <w:p w14:paraId="2B63BB0C">
      <w:pPr>
        <w:pStyle w:val="18"/>
        <w:tabs>
          <w:tab w:val="right" w:leader="underscore" w:pos="8296"/>
        </w:tabs>
        <w:spacing w:line="360" w:lineRule="auto"/>
        <w:ind w:left="0" w:firstLine="0" w:firstLineChars="0"/>
        <w:jc w:val="center"/>
        <w:outlineLvl w:val="0"/>
        <w:rPr>
          <w:rFonts w:hint="eastAsia" w:ascii="宋体" w:hAnsi="宋体" w:cs="宋体"/>
          <w:b/>
          <w:bCs/>
          <w:sz w:val="32"/>
          <w:szCs w:val="32"/>
        </w:rPr>
      </w:pPr>
    </w:p>
    <w:p w14:paraId="6BF09684">
      <w:pPr>
        <w:pStyle w:val="18"/>
        <w:tabs>
          <w:tab w:val="right" w:leader="underscore" w:pos="8296"/>
        </w:tabs>
        <w:spacing w:line="360" w:lineRule="auto"/>
        <w:ind w:left="0" w:firstLine="0" w:firstLineChars="0"/>
        <w:jc w:val="center"/>
        <w:outlineLvl w:val="0"/>
        <w:rPr>
          <w:rFonts w:hint="eastAsia" w:ascii="宋体" w:hAnsi="宋体" w:cs="宋体"/>
          <w:b/>
          <w:bCs/>
          <w:sz w:val="32"/>
          <w:szCs w:val="32"/>
        </w:rPr>
      </w:pPr>
    </w:p>
    <w:p w14:paraId="0EEDE35E">
      <w:pPr>
        <w:pStyle w:val="18"/>
        <w:tabs>
          <w:tab w:val="right" w:leader="underscore" w:pos="8296"/>
        </w:tabs>
        <w:spacing w:line="360" w:lineRule="auto"/>
        <w:ind w:left="0" w:firstLine="0" w:firstLineChars="0"/>
        <w:jc w:val="center"/>
        <w:outlineLvl w:val="0"/>
        <w:rPr>
          <w:rFonts w:hint="eastAsia" w:ascii="宋体" w:hAnsi="宋体" w:cs="宋体"/>
          <w:b/>
          <w:bCs/>
          <w:sz w:val="32"/>
          <w:szCs w:val="32"/>
        </w:rPr>
      </w:pPr>
    </w:p>
    <w:p w14:paraId="2E03BBD7">
      <w:pPr>
        <w:pStyle w:val="18"/>
        <w:tabs>
          <w:tab w:val="right" w:leader="underscore" w:pos="8296"/>
        </w:tabs>
        <w:spacing w:line="360" w:lineRule="auto"/>
        <w:ind w:left="0" w:firstLine="0" w:firstLineChars="0"/>
        <w:jc w:val="center"/>
        <w:outlineLvl w:val="0"/>
        <w:rPr>
          <w:rFonts w:hint="eastAsia" w:ascii="宋体" w:hAnsi="宋体" w:cs="宋体"/>
          <w:b/>
          <w:bCs/>
          <w:sz w:val="32"/>
          <w:szCs w:val="32"/>
        </w:rPr>
      </w:pPr>
    </w:p>
    <w:bookmarkEnd w:id="2"/>
    <w:bookmarkEnd w:id="3"/>
    <w:bookmarkEnd w:id="4"/>
    <w:bookmarkEnd w:id="5"/>
    <w:bookmarkEnd w:id="6"/>
    <w:bookmarkEnd w:id="7"/>
    <w:p w14:paraId="1A749AA2">
      <w:pPr>
        <w:pStyle w:val="2"/>
        <w:tabs>
          <w:tab w:val="left" w:pos="1440"/>
        </w:tabs>
        <w:wordWrap w:val="0"/>
        <w:rPr>
          <w:rFonts w:ascii="宋体" w:hAnsi="宋体" w:cs="宋体"/>
          <w:sz w:val="36"/>
          <w:szCs w:val="24"/>
        </w:rPr>
      </w:pPr>
      <w:bookmarkStart w:id="8" w:name="_Toc22722"/>
      <w:bookmarkStart w:id="9" w:name="_Toc2362"/>
      <w:r>
        <w:rPr>
          <w:rFonts w:hint="eastAsia" w:ascii="宋体" w:hAnsi="宋体" w:cs="宋体"/>
          <w:sz w:val="36"/>
          <w:szCs w:val="24"/>
        </w:rPr>
        <w:t>第一章 竞争性磋商公告</w:t>
      </w:r>
      <w:bookmarkEnd w:id="8"/>
      <w:bookmarkEnd w:id="9"/>
    </w:p>
    <w:p w14:paraId="6E9DF5BB">
      <w:pPr>
        <w:tabs>
          <w:tab w:val="left" w:pos="709"/>
        </w:tabs>
        <w:wordWrap w:val="0"/>
        <w:autoSpaceDE w:val="0"/>
        <w:autoSpaceDN w:val="0"/>
        <w:adjustRightInd w:val="0"/>
        <w:snapToGrid w:val="0"/>
        <w:spacing w:line="360" w:lineRule="auto"/>
        <w:jc w:val="center"/>
        <w:rPr>
          <w:rFonts w:hint="eastAsia" w:ascii="宋体" w:hAnsi="宋体" w:cs="宋体"/>
          <w:b/>
          <w:sz w:val="28"/>
          <w:szCs w:val="28"/>
          <w:lang w:eastAsia="zh-CN"/>
        </w:rPr>
      </w:pPr>
      <w:bookmarkStart w:id="10" w:name="_Toc20435"/>
    </w:p>
    <w:p w14:paraId="00F52898">
      <w:pPr>
        <w:tabs>
          <w:tab w:val="left" w:pos="709"/>
        </w:tabs>
        <w:wordWrap w:val="0"/>
        <w:autoSpaceDE w:val="0"/>
        <w:autoSpaceDN w:val="0"/>
        <w:adjustRightInd w:val="0"/>
        <w:snapToGrid w:val="0"/>
        <w:spacing w:line="360" w:lineRule="auto"/>
        <w:jc w:val="center"/>
        <w:rPr>
          <w:rFonts w:ascii="宋体" w:hAnsi="宋体" w:cs="宋体"/>
          <w:b/>
          <w:sz w:val="28"/>
          <w:szCs w:val="28"/>
        </w:rPr>
      </w:pPr>
      <w:r>
        <w:rPr>
          <w:rFonts w:hint="eastAsia" w:ascii="宋体" w:hAnsi="宋体" w:cs="宋体"/>
          <w:b/>
          <w:sz w:val="28"/>
          <w:szCs w:val="28"/>
          <w:lang w:eastAsia="zh-CN"/>
        </w:rPr>
        <w:t>固始县公安局采购一台通信指挥车项目</w:t>
      </w:r>
      <w:r>
        <w:rPr>
          <w:rFonts w:hint="eastAsia" w:ascii="宋体" w:hAnsi="宋体" w:cs="宋体"/>
          <w:b/>
          <w:sz w:val="28"/>
          <w:szCs w:val="28"/>
        </w:rPr>
        <w:t>竞争性磋商公告</w:t>
      </w:r>
    </w:p>
    <w:p w14:paraId="207E8848">
      <w:pPr>
        <w:pBdr>
          <w:top w:val="single" w:color="auto" w:sz="4" w:space="1"/>
          <w:left w:val="single" w:color="auto" w:sz="4" w:space="4"/>
          <w:bottom w:val="single" w:color="auto" w:sz="4" w:space="1"/>
          <w:right w:val="single" w:color="auto" w:sz="4" w:space="4"/>
        </w:pBdr>
        <w:wordWrap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19AF754D">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sz w:val="24"/>
          <w:szCs w:val="24"/>
          <w:u w:val="single"/>
          <w:shd w:val="clear" w:color="auto" w:fill="FFFFFF"/>
          <w:lang w:eastAsia="zh-CN"/>
        </w:rPr>
        <w:t>固始县公安局采购一台通信指挥车项目</w:t>
      </w:r>
      <w:r>
        <w:rPr>
          <w:rFonts w:hint="eastAsia" w:asciiTheme="minorEastAsia" w:hAnsiTheme="minorEastAsia" w:eastAsiaTheme="minorEastAsia" w:cstheme="minorEastAsia"/>
          <w:sz w:val="24"/>
          <w:szCs w:val="24"/>
          <w:highlight w:val="none"/>
          <w:shd w:val="clear" w:color="auto" w:fill="FFFFFF"/>
        </w:rPr>
        <w:t>招标项目的潜在投标人应在“</w:t>
      </w:r>
      <w:r>
        <w:rPr>
          <w:rFonts w:hint="eastAsia" w:asciiTheme="minorEastAsia" w:hAnsiTheme="minorEastAsia" w:eastAsiaTheme="minorEastAsia" w:cstheme="minorEastAsia"/>
          <w:sz w:val="24"/>
          <w:szCs w:val="24"/>
          <w:highlight w:val="none"/>
          <w:shd w:val="clear" w:color="auto" w:fill="FFFFFF"/>
          <w:lang w:eastAsia="zh-CN"/>
        </w:rPr>
        <w:t>《固始县公共资源交易网》</w:t>
      </w:r>
      <w:r>
        <w:rPr>
          <w:rFonts w:hint="eastAsia" w:asciiTheme="minorEastAsia" w:hAnsiTheme="minorEastAsia" w:eastAsiaTheme="minorEastAsia" w:cstheme="minorEastAsia"/>
          <w:sz w:val="24"/>
          <w:szCs w:val="24"/>
          <w:highlight w:val="none"/>
          <w:shd w:val="clear" w:color="auto" w:fill="FFFFFF"/>
        </w:rPr>
        <w:t>（</w:t>
      </w:r>
      <w:r>
        <w:rPr>
          <w:rFonts w:hint="eastAsia" w:asciiTheme="minorEastAsia" w:hAnsiTheme="minorEastAsia" w:eastAsiaTheme="minorEastAsia" w:cstheme="minorEastAsia"/>
          <w:sz w:val="24"/>
          <w:szCs w:val="24"/>
          <w:highlight w:val="none"/>
          <w:shd w:val="clear" w:color="auto" w:fill="FFFFFF"/>
          <w:lang w:eastAsia="zh-CN"/>
        </w:rPr>
        <w:t>https://ggzyjy.xinyang.gov.cn/gushi/</w:t>
      </w:r>
      <w:r>
        <w:rPr>
          <w:rFonts w:hint="eastAsia" w:asciiTheme="minorEastAsia" w:hAnsiTheme="minorEastAsia" w:eastAsiaTheme="minorEastAsia" w:cstheme="minorEastAsia"/>
          <w:sz w:val="24"/>
          <w:szCs w:val="24"/>
          <w:highlight w:val="none"/>
          <w:shd w:val="clear" w:color="auto" w:fill="FFFFFF"/>
        </w:rPr>
        <w:t>）”获取磋商文件，并于</w:t>
      </w:r>
      <w:r>
        <w:rPr>
          <w:rFonts w:hint="eastAsia" w:asciiTheme="minorEastAsia" w:hAnsiTheme="minorEastAsia" w:eastAsiaTheme="minorEastAsia" w:cstheme="minorEastAsia"/>
          <w:b/>
          <w:bCs w:val="0"/>
          <w:color w:val="auto"/>
          <w:sz w:val="24"/>
          <w:szCs w:val="24"/>
          <w:highlight w:val="none"/>
          <w:u w:val="single"/>
          <w:shd w:val="clear" w:color="auto" w:fill="FFFFFF"/>
          <w:lang w:eastAsia="zh-CN"/>
        </w:rPr>
        <w:t>202</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6</w:t>
      </w:r>
      <w:r>
        <w:rPr>
          <w:rFonts w:hint="eastAsia" w:asciiTheme="minorEastAsia" w:hAnsiTheme="minorEastAsia" w:eastAsiaTheme="minorEastAsia" w:cstheme="minorEastAsia"/>
          <w:b/>
          <w:bCs w:val="0"/>
          <w:color w:val="auto"/>
          <w:sz w:val="24"/>
          <w:szCs w:val="24"/>
          <w:highlight w:val="none"/>
          <w:u w:val="none"/>
          <w:shd w:val="clear" w:color="auto" w:fill="FFFFFF"/>
          <w:lang w:eastAsia="zh-CN"/>
        </w:rPr>
        <w:t>年</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cstheme="minorEastAsia"/>
          <w:b/>
          <w:bCs w:val="0"/>
          <w:color w:val="auto"/>
          <w:sz w:val="24"/>
          <w:szCs w:val="24"/>
          <w:highlight w:val="none"/>
          <w:u w:val="single"/>
          <w:shd w:val="clear" w:color="auto" w:fill="FFFFFF"/>
          <w:lang w:val="en-US" w:eastAsia="zh-CN"/>
        </w:rPr>
        <w:t>6</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lang w:eastAsia="zh-CN"/>
        </w:rPr>
        <w:t>月</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cstheme="minorEastAsia"/>
          <w:b/>
          <w:bCs w:val="0"/>
          <w:color w:val="auto"/>
          <w:sz w:val="24"/>
          <w:szCs w:val="24"/>
          <w:highlight w:val="none"/>
          <w:u w:val="single"/>
          <w:shd w:val="clear" w:color="auto" w:fill="FFFFFF"/>
          <w:lang w:val="en-US" w:eastAsia="zh-CN"/>
        </w:rPr>
        <w:t>26</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lang w:eastAsia="zh-CN"/>
        </w:rPr>
        <w:t>日</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single"/>
          <w:shd w:val="clear" w:color="auto" w:fill="FFFFFF"/>
        </w:rPr>
        <w:t>08</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rPr>
        <w:t>时</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single"/>
          <w:shd w:val="clear" w:color="auto" w:fill="FFFFFF"/>
        </w:rPr>
        <w:t>30</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rPr>
        <w:t>分</w:t>
      </w:r>
      <w:r>
        <w:rPr>
          <w:rFonts w:hint="eastAsia" w:asciiTheme="minorEastAsia" w:hAnsiTheme="minorEastAsia" w:eastAsiaTheme="minorEastAsia" w:cstheme="minorEastAsia"/>
          <w:color w:val="auto"/>
          <w:sz w:val="24"/>
          <w:szCs w:val="24"/>
          <w:highlight w:val="none"/>
          <w:shd w:val="clear" w:color="auto" w:fill="FFFFFF"/>
        </w:rPr>
        <w:t>（北京时间）前递交响应文件。</w:t>
      </w:r>
    </w:p>
    <w:p w14:paraId="72DCADB1">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一、项目基本情况</w:t>
      </w:r>
    </w:p>
    <w:p w14:paraId="3D00E4A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1、采购编号：固财磋商采购-2026-41</w:t>
      </w:r>
    </w:p>
    <w:p w14:paraId="438DF53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2、项目名称：固始县公安局采购一台通信指挥车项目</w:t>
      </w:r>
    </w:p>
    <w:p w14:paraId="68D4ED4D">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3、采购方式：竞争性磋商</w:t>
      </w:r>
    </w:p>
    <w:p w14:paraId="5D4A19B0">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4、预算金额：858360元</w:t>
      </w:r>
    </w:p>
    <w:p w14:paraId="349AE33B">
      <w:pPr>
        <w:keepNext w:val="0"/>
        <w:keepLines w:val="0"/>
        <w:pageBreakBefore w:val="0"/>
        <w:kinsoku/>
        <w:wordWrap/>
        <w:overflowPunct/>
        <w:topLinePunct w:val="0"/>
        <w:autoSpaceDE w:val="0"/>
        <w:autoSpaceDN w:val="0"/>
        <w:bidi w:val="0"/>
        <w:adjustRightInd w:val="0"/>
        <w:snapToGrid/>
        <w:spacing w:line="440" w:lineRule="exact"/>
        <w:ind w:left="0" w:right="0" w:firstLine="960" w:firstLineChars="4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最高限价：858360元 </w:t>
      </w:r>
    </w:p>
    <w:tbl>
      <w:tblPr>
        <w:tblStyle w:val="23"/>
        <w:tblpPr w:leftFromText="180" w:rightFromText="180" w:vertAnchor="text" w:horzAnchor="page" w:tblpXSpec="center" w:tblpY="25"/>
        <w:tblW w:w="92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2655"/>
        <w:gridCol w:w="2611"/>
        <w:gridCol w:w="1706"/>
        <w:gridCol w:w="1672"/>
      </w:tblGrid>
      <w:tr w14:paraId="14229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14:paraId="4DD413F6">
            <w:pPr>
              <w:wordWrap w:val="0"/>
              <w:spacing w:line="240" w:lineRule="auto"/>
              <w:ind w:left="0" w:leftChars="0"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序号</w:t>
            </w:r>
          </w:p>
        </w:tc>
        <w:tc>
          <w:tcPr>
            <w:tcW w:w="2655" w:type="dxa"/>
            <w:tcBorders>
              <w:top w:val="single" w:color="000000" w:sz="4" w:space="0"/>
              <w:left w:val="single" w:color="000000" w:sz="4" w:space="0"/>
              <w:bottom w:val="single" w:color="000000" w:sz="4" w:space="0"/>
              <w:right w:val="single" w:color="000000" w:sz="4" w:space="0"/>
            </w:tcBorders>
            <w:vAlign w:val="center"/>
          </w:tcPr>
          <w:p w14:paraId="6E83EC9E">
            <w:pPr>
              <w:wordWrap w:val="0"/>
              <w:spacing w:line="240" w:lineRule="auto"/>
              <w:ind w:left="0" w:leftChars="0"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包号</w:t>
            </w:r>
          </w:p>
        </w:tc>
        <w:tc>
          <w:tcPr>
            <w:tcW w:w="2611" w:type="dxa"/>
            <w:tcBorders>
              <w:top w:val="single" w:color="000000" w:sz="4" w:space="0"/>
              <w:left w:val="single" w:color="000000" w:sz="4" w:space="0"/>
              <w:bottom w:val="single" w:color="000000" w:sz="4" w:space="0"/>
              <w:right w:val="single" w:color="auto" w:sz="4" w:space="0"/>
            </w:tcBorders>
            <w:vAlign w:val="center"/>
          </w:tcPr>
          <w:p w14:paraId="368B7F05">
            <w:pPr>
              <w:wordWrap w:val="0"/>
              <w:spacing w:line="240" w:lineRule="auto"/>
              <w:ind w:left="0" w:leftChars="0"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项目名称</w:t>
            </w:r>
          </w:p>
        </w:tc>
        <w:tc>
          <w:tcPr>
            <w:tcW w:w="1706" w:type="dxa"/>
            <w:tcBorders>
              <w:top w:val="single" w:color="000000" w:sz="4" w:space="0"/>
              <w:left w:val="single" w:color="000000" w:sz="4" w:space="0"/>
              <w:bottom w:val="single" w:color="000000" w:sz="4" w:space="0"/>
              <w:right w:val="single" w:color="auto" w:sz="4" w:space="0"/>
            </w:tcBorders>
            <w:vAlign w:val="center"/>
          </w:tcPr>
          <w:p w14:paraId="6E0C7F13">
            <w:pPr>
              <w:wordWrap w:val="0"/>
              <w:spacing w:line="240" w:lineRule="auto"/>
              <w:ind w:left="0" w:leftChars="0"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预算金额（元）</w:t>
            </w:r>
          </w:p>
        </w:tc>
        <w:tc>
          <w:tcPr>
            <w:tcW w:w="1672" w:type="dxa"/>
            <w:tcBorders>
              <w:top w:val="single" w:color="000000" w:sz="4" w:space="0"/>
              <w:left w:val="single" w:color="auto" w:sz="4" w:space="0"/>
              <w:bottom w:val="single" w:color="000000" w:sz="4" w:space="0"/>
              <w:right w:val="single" w:color="auto" w:sz="4" w:space="0"/>
            </w:tcBorders>
            <w:vAlign w:val="center"/>
          </w:tcPr>
          <w:p w14:paraId="6D1362C0">
            <w:pPr>
              <w:wordWrap w:val="0"/>
              <w:spacing w:line="240" w:lineRule="auto"/>
              <w:ind w:left="0" w:leftChars="0"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最高限价（元）</w:t>
            </w:r>
          </w:p>
        </w:tc>
      </w:tr>
      <w:tr w14:paraId="6942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jc w:val="center"/>
        </w:trPr>
        <w:tc>
          <w:tcPr>
            <w:tcW w:w="559" w:type="dxa"/>
            <w:tcBorders>
              <w:top w:val="single" w:color="000000" w:sz="4" w:space="0"/>
              <w:left w:val="single" w:color="000000" w:sz="4" w:space="0"/>
              <w:right w:val="single" w:color="000000" w:sz="4" w:space="0"/>
            </w:tcBorders>
            <w:vAlign w:val="center"/>
          </w:tcPr>
          <w:p w14:paraId="02F2739A">
            <w:pPr>
              <w:wordWrap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rPr>
            </w:pPr>
            <w:r>
              <w:rPr>
                <w:rFonts w:hint="eastAsia" w:asciiTheme="minorEastAsia" w:hAnsiTheme="minorEastAsia" w:eastAsiaTheme="minorEastAsia" w:cstheme="minorEastAsia"/>
                <w:sz w:val="22"/>
                <w:szCs w:val="22"/>
                <w:highlight w:val="none"/>
                <w:shd w:val="clear" w:color="auto" w:fill="FFFFFF"/>
              </w:rPr>
              <w:t>1</w:t>
            </w:r>
          </w:p>
        </w:tc>
        <w:tc>
          <w:tcPr>
            <w:tcW w:w="2655" w:type="dxa"/>
            <w:tcBorders>
              <w:top w:val="single" w:color="000000" w:sz="4" w:space="0"/>
              <w:left w:val="single" w:color="000000" w:sz="4" w:space="0"/>
              <w:bottom w:val="single" w:color="000000" w:sz="4" w:space="0"/>
              <w:right w:val="single" w:color="000000" w:sz="4" w:space="0"/>
            </w:tcBorders>
            <w:vAlign w:val="center"/>
          </w:tcPr>
          <w:p w14:paraId="7EB68826">
            <w:pPr>
              <w:wordWrap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rPr>
            </w:pPr>
            <w:r>
              <w:rPr>
                <w:rFonts w:hint="eastAsia" w:asciiTheme="minorEastAsia" w:hAnsiTheme="minorEastAsia" w:eastAsiaTheme="minorEastAsia" w:cstheme="minorEastAsia"/>
                <w:sz w:val="22"/>
                <w:szCs w:val="22"/>
                <w:highlight w:val="none"/>
                <w:shd w:val="clear" w:color="auto" w:fill="FFFFFF"/>
                <w:lang w:eastAsia="zh-CN"/>
              </w:rPr>
              <w:t>固财磋商采购-202</w:t>
            </w:r>
            <w:r>
              <w:rPr>
                <w:rFonts w:hint="eastAsia" w:asciiTheme="minorEastAsia" w:hAnsiTheme="minorEastAsia" w:eastAsiaTheme="minorEastAsia" w:cstheme="minorEastAsia"/>
                <w:sz w:val="22"/>
                <w:szCs w:val="22"/>
                <w:highlight w:val="none"/>
                <w:shd w:val="clear" w:color="auto" w:fill="FFFFFF"/>
                <w:lang w:val="en-US" w:eastAsia="zh-CN"/>
              </w:rPr>
              <w:t>6</w:t>
            </w:r>
            <w:r>
              <w:rPr>
                <w:rFonts w:hint="eastAsia" w:asciiTheme="minorEastAsia" w:hAnsiTheme="minorEastAsia" w:eastAsiaTheme="minorEastAsia" w:cstheme="minorEastAsia"/>
                <w:sz w:val="22"/>
                <w:szCs w:val="22"/>
                <w:highlight w:val="none"/>
                <w:shd w:val="clear" w:color="auto" w:fill="FFFFFF"/>
                <w:lang w:eastAsia="zh-CN"/>
              </w:rPr>
              <w:t>-</w:t>
            </w:r>
            <w:r>
              <w:rPr>
                <w:rFonts w:hint="eastAsia" w:asciiTheme="minorEastAsia" w:hAnsiTheme="minorEastAsia" w:cstheme="minorEastAsia"/>
                <w:sz w:val="22"/>
                <w:szCs w:val="22"/>
                <w:highlight w:val="none"/>
                <w:shd w:val="clear" w:color="auto" w:fill="FFFFFF"/>
                <w:lang w:val="en-US" w:eastAsia="zh-CN"/>
              </w:rPr>
              <w:t>41</w:t>
            </w:r>
            <w:r>
              <w:rPr>
                <w:rFonts w:hint="eastAsia" w:asciiTheme="minorEastAsia" w:hAnsiTheme="minorEastAsia" w:eastAsiaTheme="minorEastAsia" w:cstheme="minorEastAsia"/>
                <w:sz w:val="22"/>
                <w:szCs w:val="22"/>
                <w:highlight w:val="none"/>
                <w:shd w:val="clear" w:color="auto" w:fill="FFFFFF"/>
              </w:rPr>
              <w:t>-1</w:t>
            </w:r>
          </w:p>
        </w:tc>
        <w:tc>
          <w:tcPr>
            <w:tcW w:w="2611" w:type="dxa"/>
            <w:tcBorders>
              <w:top w:val="single" w:color="000000" w:sz="4" w:space="0"/>
              <w:left w:val="single" w:color="000000" w:sz="4" w:space="0"/>
              <w:bottom w:val="single" w:color="000000" w:sz="4" w:space="0"/>
              <w:right w:val="single" w:color="auto" w:sz="4" w:space="0"/>
            </w:tcBorders>
            <w:vAlign w:val="center"/>
          </w:tcPr>
          <w:p w14:paraId="48DEE75F">
            <w:pPr>
              <w:wordWrap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宋体" w:hAnsi="宋体" w:cs="宋体"/>
                <w:kern w:val="0"/>
                <w:sz w:val="22"/>
                <w:szCs w:val="22"/>
                <w:highlight w:val="none"/>
                <w:lang w:eastAsia="zh-CN"/>
              </w:rPr>
              <w:t>固始县公安局采购一台通信指挥车项目</w:t>
            </w:r>
          </w:p>
        </w:tc>
        <w:tc>
          <w:tcPr>
            <w:tcW w:w="1706" w:type="dxa"/>
            <w:tcBorders>
              <w:top w:val="single" w:color="000000" w:sz="4" w:space="0"/>
              <w:left w:val="single" w:color="000000" w:sz="4" w:space="0"/>
              <w:bottom w:val="single" w:color="000000" w:sz="4" w:space="0"/>
              <w:right w:val="single" w:color="auto" w:sz="4" w:space="0"/>
            </w:tcBorders>
            <w:vAlign w:val="center"/>
          </w:tcPr>
          <w:p w14:paraId="1DD4CBD4">
            <w:pPr>
              <w:wordWrap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宋体" w:hAnsi="宋体" w:eastAsia="宋体" w:cs="宋体"/>
                <w:sz w:val="24"/>
                <w:szCs w:val="24"/>
                <w:highlight w:val="none"/>
                <w:lang w:val="en-US" w:eastAsia="zh-CN"/>
              </w:rPr>
              <w:t>858360</w:t>
            </w:r>
          </w:p>
        </w:tc>
        <w:tc>
          <w:tcPr>
            <w:tcW w:w="1672" w:type="dxa"/>
            <w:tcBorders>
              <w:top w:val="single" w:color="000000" w:sz="4" w:space="0"/>
              <w:left w:val="single" w:color="auto" w:sz="4" w:space="0"/>
              <w:bottom w:val="single" w:color="000000" w:sz="4" w:space="0"/>
              <w:right w:val="single" w:color="auto" w:sz="4" w:space="0"/>
            </w:tcBorders>
            <w:vAlign w:val="center"/>
          </w:tcPr>
          <w:p w14:paraId="5C543083">
            <w:pPr>
              <w:wordWrap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宋体" w:hAnsi="宋体" w:eastAsia="宋体" w:cs="宋体"/>
                <w:sz w:val="24"/>
                <w:szCs w:val="24"/>
                <w:highlight w:val="none"/>
                <w:lang w:val="en-US" w:eastAsia="zh-CN"/>
              </w:rPr>
              <w:t>858360</w:t>
            </w:r>
          </w:p>
        </w:tc>
      </w:tr>
    </w:tbl>
    <w:p w14:paraId="76D3ADAE">
      <w:pPr>
        <w:tabs>
          <w:tab w:val="left" w:pos="709"/>
        </w:tabs>
        <w:wordWrap w:val="0"/>
        <w:autoSpaceDE w:val="0"/>
        <w:autoSpaceDN w:val="0"/>
        <w:adjustRightInd w:val="0"/>
        <w:snapToGrid w:val="0"/>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p>
    <w:p w14:paraId="46952F1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5、采购需求：（包括但不限于标的的名称、数量、简要技术需求或服务要求等）：</w:t>
      </w:r>
    </w:p>
    <w:p w14:paraId="3E90652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采购内容：</w:t>
      </w:r>
      <w:r>
        <w:rPr>
          <w:rFonts w:hint="eastAsia" w:ascii="宋体" w:hAnsi="宋体" w:eastAsia="宋体" w:cs="宋体"/>
          <w:sz w:val="24"/>
          <w:szCs w:val="24"/>
          <w:highlight w:val="none"/>
          <w:lang w:val="en-US" w:eastAsia="zh-CN"/>
        </w:rPr>
        <w:t>包括</w:t>
      </w: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val="en-US" w:eastAsia="zh-CN"/>
        </w:rPr>
        <w:t>一台通信指挥车等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w:t>
      </w:r>
      <w:r>
        <w:rPr>
          <w:rFonts w:hint="eastAsia" w:ascii="宋体" w:hAnsi="宋体" w:eastAsia="宋体" w:cs="宋体"/>
          <w:sz w:val="24"/>
          <w:szCs w:val="24"/>
          <w:highlight w:val="none"/>
        </w:rPr>
        <w:t>详见磋商文件第五章。</w:t>
      </w:r>
    </w:p>
    <w:p w14:paraId="1989A61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质量要求</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达到国家相关行业合格标准及强制性标准</w:t>
      </w:r>
      <w:r>
        <w:rPr>
          <w:rFonts w:hint="eastAsia" w:ascii="宋体" w:hAnsi="宋体" w:eastAsia="宋体" w:cs="宋体"/>
          <w:sz w:val="24"/>
          <w:szCs w:val="24"/>
          <w:highlight w:val="none"/>
        </w:rPr>
        <w:t>；</w:t>
      </w:r>
    </w:p>
    <w:p w14:paraId="31D1AE73">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 交货地点：采购人指定地点；</w:t>
      </w:r>
    </w:p>
    <w:p w14:paraId="5BF2DC7F">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lang w:val="en-US" w:eastAsia="zh-CN"/>
        </w:rPr>
        <w:t>接采购人通知后，15日历天内货到现场</w:t>
      </w:r>
      <w:r>
        <w:rPr>
          <w:rFonts w:hint="eastAsia" w:ascii="宋体" w:hAnsi="宋体" w:eastAsia="宋体" w:cs="宋体"/>
          <w:color w:val="auto"/>
          <w:sz w:val="24"/>
          <w:szCs w:val="24"/>
          <w:highlight w:val="none"/>
          <w:lang w:eastAsia="zh-CN"/>
        </w:rPr>
        <w:t>；</w:t>
      </w:r>
    </w:p>
    <w:p w14:paraId="6461AAA0">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7、是否接受进口产品投标：否</w:t>
      </w:r>
    </w:p>
    <w:p w14:paraId="21DB8CC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8、是否接受联合体投标：否</w:t>
      </w:r>
    </w:p>
    <w:p w14:paraId="3FF32450">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9、是否专门面向中小企业：</w:t>
      </w:r>
      <w:r>
        <w:rPr>
          <w:rFonts w:hint="eastAsia" w:ascii="宋体" w:hAnsi="宋体" w:eastAsia="宋体" w:cs="宋体"/>
          <w:sz w:val="24"/>
          <w:szCs w:val="24"/>
          <w:highlight w:val="none"/>
          <w:lang w:val="en-US" w:eastAsia="zh-CN"/>
        </w:rPr>
        <w:t>否</w:t>
      </w:r>
    </w:p>
    <w:p w14:paraId="4078DF08">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二、申请人的资格要求：</w:t>
      </w:r>
    </w:p>
    <w:p w14:paraId="4AD7222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6A15715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2、落实政府采购政策满足的资格要求：本项目落实节约能源、保护环境、扶持不发达地区和少数民族地区、促进中小微企业、监狱企业及残疾人福利性单位发展等政府采购政策；</w:t>
      </w:r>
    </w:p>
    <w:p w14:paraId="659B169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3、本项目的特定资格要求 </w:t>
      </w:r>
    </w:p>
    <w:p w14:paraId="4C1FEA4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  本项目适用信用承诺（详见下述要求）。</w:t>
      </w:r>
    </w:p>
    <w:p w14:paraId="55479276">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本项目政府采购活动中，供应商在投标（响应）时，可对照资格要求进行自主核对，确定符合资格要求，按照规定提供相关承诺函（详见投标（响应）文件“资格证明材料”附件），供应商应在资格审查环节提供满足相应条件的书面承诺书，不再需要提供以下证明材料：</w:t>
      </w:r>
    </w:p>
    <w:p w14:paraId="45E03FA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①供应商须具有独立承担民事责任的能力，提供法人或者其他组织的营业执照等证明文件；</w:t>
      </w:r>
    </w:p>
    <w:p w14:paraId="50F7556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供应商须具有良好的商业信誉和健全的财务会计制度（提供2024年度或2025年度经审计的财务审计报告或提供基本户的开户行开具的银行资信证明）；</w:t>
      </w:r>
    </w:p>
    <w:p w14:paraId="24CADAF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③供应商须具有履行合同所必需的设备和专业技术能力（提供相关证明材料或承诺函）；</w:t>
      </w:r>
    </w:p>
    <w:p w14:paraId="63FC36E3">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供应商依法缴纳税收和社会保险的良好记录（提供2025年01月以来任意3个月依法缴纳税收和社会保险的证明，成立不足三个月的提供自成立日以来的依法缴纳税收和社会保险的证明，依法免税和免缴纳社会保障金的须提供依法免缴纳证明）；</w:t>
      </w:r>
    </w:p>
    <w:p w14:paraId="427F97A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⑤供应商参加政府采购活动前三年内，在经营活动中没有重大违法记录（提供声明函）；</w:t>
      </w:r>
    </w:p>
    <w:p w14:paraId="33CCD33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4、其他说明</w:t>
      </w:r>
    </w:p>
    <w:p w14:paraId="544C414B">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 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r>
        <w:rPr>
          <w:rFonts w:hint="eastAsia" w:ascii="宋体" w:hAnsi="宋体" w:eastAsia="宋体" w:cs="宋体"/>
          <w:sz w:val="24"/>
          <w:szCs w:val="24"/>
          <w:highlight w:val="none"/>
        </w:rPr>
        <w:t>；</w:t>
      </w:r>
    </w:p>
    <w:p w14:paraId="4A0E8AE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 供应商在中标（成交）后，应将上述由信用承诺函替代的证明材料提交采购人核验，经核验无误后，由采购人发出中标（成交）通知书。</w:t>
      </w:r>
    </w:p>
    <w:p w14:paraId="7D1E56F7">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三、获取磋商文件</w:t>
      </w:r>
    </w:p>
    <w:p w14:paraId="6505244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日（北京时间）；每天上午08:00至12:00，下午12:00至18:00（北京时间，法定节假日除外。）</w:t>
      </w:r>
    </w:p>
    <w:p w14:paraId="7AD31F3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2、地点：“</w:t>
      </w:r>
      <w:r>
        <w:rPr>
          <w:rFonts w:hint="eastAsia" w:asciiTheme="minorEastAsia" w:hAnsiTheme="minorEastAsia" w:eastAsiaTheme="minorEastAsia" w:cstheme="minorEastAsia"/>
          <w:sz w:val="24"/>
          <w:szCs w:val="24"/>
          <w:highlight w:val="none"/>
          <w:lang w:eastAsia="zh-CN"/>
        </w:rPr>
        <w:t>《固始县公共资源交易网》</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https://ggzyjy.xinyang.gov.cn/gushi/</w:t>
      </w:r>
      <w:r>
        <w:rPr>
          <w:rFonts w:hint="eastAsia" w:asciiTheme="minorEastAsia" w:hAnsiTheme="minorEastAsia" w:eastAsiaTheme="minorEastAsia" w:cstheme="minorEastAsia"/>
          <w:sz w:val="24"/>
          <w:szCs w:val="24"/>
          <w:highlight w:val="none"/>
        </w:rPr>
        <w:t>）”</w:t>
      </w:r>
    </w:p>
    <w:p w14:paraId="2F7E4D86">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3、方式：供应商</w:t>
      </w:r>
      <w:r>
        <w:rPr>
          <w:rFonts w:hint="eastAsia" w:asciiTheme="minorEastAsia" w:hAnsiTheme="minorEastAsia" w:eastAsiaTheme="minorEastAsia" w:cstheme="minorEastAsia"/>
          <w:sz w:val="24"/>
          <w:szCs w:val="24"/>
          <w:highlight w:val="none"/>
          <w:lang w:val="en-US" w:eastAsia="zh-CN"/>
        </w:rPr>
        <w:t>登录固始县公共资源交易</w:t>
      </w:r>
      <w:r>
        <w:rPr>
          <w:rFonts w:hint="eastAsia" w:asciiTheme="minorEastAsia" w:hAnsiTheme="minorEastAsia" w:eastAsiaTheme="minorEastAsia" w:cstheme="minorEastAsia"/>
          <w:sz w:val="24"/>
          <w:szCs w:val="24"/>
          <w:highlight w:val="none"/>
        </w:rPr>
        <w:t>系统后，即可按网上提示免费下载磋商文件及资料（操作程序详见固始县公共资源交易中心网站下载中心栏目里供应商操作手册）。磋商文件(*.</w:t>
      </w:r>
      <w:r>
        <w:rPr>
          <w:rFonts w:hint="eastAsia" w:asciiTheme="minorEastAsia" w:hAnsiTheme="minorEastAsia" w:eastAsiaTheme="minorEastAsia" w:cstheme="minorEastAsia"/>
          <w:sz w:val="24"/>
          <w:szCs w:val="24"/>
          <w:highlight w:val="none"/>
          <w:lang w:eastAsia="zh-CN"/>
        </w:rPr>
        <w:t>XYZF</w:t>
      </w:r>
      <w:r>
        <w:rPr>
          <w:rFonts w:hint="eastAsia" w:asciiTheme="minorEastAsia" w:hAnsiTheme="minorEastAsia" w:eastAsiaTheme="minorEastAsia" w:cstheme="minorEastAsia"/>
          <w:sz w:val="24"/>
          <w:szCs w:val="24"/>
          <w:highlight w:val="none"/>
        </w:rPr>
        <w:t>格式)下载后需使用“固始县电子投标文件制作工具软件”打开（该工具软件可在“固始县公共资源交易中心（</w:t>
      </w:r>
      <w:r>
        <w:rPr>
          <w:rFonts w:hint="eastAsia" w:asciiTheme="minorEastAsia" w:hAnsiTheme="minorEastAsia" w:eastAsiaTheme="minorEastAsia" w:cstheme="minorEastAsia"/>
          <w:sz w:val="24"/>
          <w:szCs w:val="24"/>
          <w:highlight w:val="none"/>
          <w:lang w:eastAsia="zh-CN"/>
        </w:rPr>
        <w:t>https://ggzyjy.xinyang.gov.cn/gushi/</w:t>
      </w:r>
      <w:r>
        <w:rPr>
          <w:rFonts w:hint="eastAsia" w:asciiTheme="minorEastAsia" w:hAnsiTheme="minorEastAsia" w:eastAsiaTheme="minorEastAsia" w:cstheme="minorEastAsia"/>
          <w:sz w:val="24"/>
          <w:szCs w:val="24"/>
          <w:highlight w:val="none"/>
        </w:rPr>
        <w:t>）”网站下载中心栏目内下载或在磋商文件领取页面下载）。</w:t>
      </w:r>
    </w:p>
    <w:p w14:paraId="25A3AEDA">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4、售价：0元。</w:t>
      </w:r>
    </w:p>
    <w:p w14:paraId="41CD0C2D">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四、提交响应文件截止时间及地点</w:t>
      </w:r>
    </w:p>
    <w:p w14:paraId="1CC7EBD9">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rPr>
        <w:t>08时30分(北京时间）</w:t>
      </w:r>
      <w:r>
        <w:rPr>
          <w:rFonts w:hint="eastAsia" w:asciiTheme="minorEastAsia" w:hAnsiTheme="minorEastAsia" w:eastAsiaTheme="minorEastAsia" w:cstheme="minorEastAsia"/>
          <w:color w:val="auto"/>
          <w:sz w:val="24"/>
          <w:szCs w:val="24"/>
          <w:highlight w:val="none"/>
        </w:rPr>
        <w:t>。</w:t>
      </w:r>
    </w:p>
    <w:p w14:paraId="18C996C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2、地点：投标人必须在投标截止时间前通过固始县公共资源交易中心电子招投标系统上传电子响应文件(*.</w:t>
      </w:r>
      <w:r>
        <w:rPr>
          <w:rFonts w:hint="eastAsia" w:asciiTheme="minorEastAsia" w:hAnsiTheme="minorEastAsia" w:eastAsiaTheme="minorEastAsia" w:cstheme="minorEastAsia"/>
          <w:sz w:val="24"/>
          <w:szCs w:val="24"/>
          <w:highlight w:val="none"/>
          <w:lang w:eastAsia="zh-CN"/>
        </w:rPr>
        <w:t>XYTF</w:t>
      </w:r>
      <w:r>
        <w:rPr>
          <w:rFonts w:hint="eastAsia" w:asciiTheme="minorEastAsia" w:hAnsiTheme="minorEastAsia" w:eastAsiaTheme="minorEastAsia" w:cstheme="minorEastAsia"/>
          <w:sz w:val="24"/>
          <w:szCs w:val="24"/>
          <w:highlight w:val="none"/>
        </w:rPr>
        <w:t>格式)。上传的电子响应文件应使用投标人CA数字证书认证并加密。</w:t>
      </w:r>
    </w:p>
    <w:p w14:paraId="26503647">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五、开标时间及地点</w:t>
      </w:r>
    </w:p>
    <w:p w14:paraId="61BF6B02">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rPr>
        <w:t>08时30分(北京时间）</w:t>
      </w:r>
    </w:p>
    <w:p w14:paraId="5C4CDF46">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2、地点：固始县公共资源交易中心六楼不见面</w:t>
      </w:r>
      <w:r>
        <w:rPr>
          <w:rFonts w:hint="eastAsia" w:asciiTheme="minorEastAsia" w:hAnsiTheme="minorEastAsia" w:eastAsiaTheme="minorEastAsia" w:cstheme="minorEastAsia"/>
          <w:color w:val="auto"/>
          <w:sz w:val="24"/>
          <w:szCs w:val="24"/>
          <w:highlight w:val="none"/>
          <w:lang w:eastAsia="zh-CN"/>
        </w:rPr>
        <w:t>第</w:t>
      </w:r>
      <w:r>
        <w:rPr>
          <w:rFonts w:hint="eastAsia" w:asciiTheme="minorEastAsia" w:hAnsi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开标室</w:t>
      </w:r>
      <w:r>
        <w:rPr>
          <w:rFonts w:hint="eastAsia" w:asciiTheme="minorEastAsia" w:hAnsiTheme="minorEastAsia" w:eastAsiaTheme="minorEastAsia" w:cstheme="minorEastAsia"/>
          <w:color w:val="auto"/>
          <w:sz w:val="24"/>
          <w:szCs w:val="24"/>
          <w:highlight w:val="none"/>
        </w:rPr>
        <w:t>。</w:t>
      </w:r>
    </w:p>
    <w:p w14:paraId="4F36FC50">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六、发布公告的媒介及招标公告期限</w:t>
      </w:r>
    </w:p>
    <w:p w14:paraId="0E54D996">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本公告在《河南省政府采购网》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《全国公共资源交易平台(河南省·固始县)》</w:t>
      </w:r>
      <w:r>
        <w:rPr>
          <w:rFonts w:hint="eastAsia" w:asciiTheme="minorEastAsia" w:hAnsiTheme="minorEastAsia" w:eastAsiaTheme="minorEastAsia" w:cstheme="minorEastAsia"/>
          <w:sz w:val="24"/>
          <w:szCs w:val="24"/>
        </w:rPr>
        <w:t>上</w:t>
      </w:r>
      <w:r>
        <w:rPr>
          <w:rFonts w:hint="eastAsia" w:asciiTheme="minorEastAsia" w:hAnsiTheme="minorEastAsia" w:eastAsiaTheme="minorEastAsia" w:cstheme="minorEastAsia"/>
          <w:sz w:val="24"/>
          <w:szCs w:val="24"/>
          <w:lang w:val="en-US" w:eastAsia="zh-CN"/>
        </w:rPr>
        <w:t>同时</w:t>
      </w:r>
      <w:r>
        <w:rPr>
          <w:rFonts w:hint="eastAsia" w:asciiTheme="minorEastAsia" w:hAnsiTheme="minorEastAsia" w:eastAsiaTheme="minorEastAsia" w:cstheme="minorEastAsia"/>
          <w:sz w:val="24"/>
          <w:szCs w:val="24"/>
        </w:rPr>
        <w:t>发布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竞争性磋商</w:t>
      </w:r>
      <w:r>
        <w:rPr>
          <w:rFonts w:hint="eastAsia" w:asciiTheme="minorEastAsia" w:hAnsiTheme="minorEastAsia" w:eastAsiaTheme="minorEastAsia" w:cstheme="minorEastAsia"/>
          <w:sz w:val="24"/>
          <w:szCs w:val="24"/>
        </w:rPr>
        <w:t>公告期限为</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个工作日。</w:t>
      </w:r>
    </w:p>
    <w:p w14:paraId="2E0219ED">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七、其他补充事宜：</w:t>
      </w:r>
    </w:p>
    <w:p w14:paraId="15A1AE44">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各投标人应在投标文件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14:paraId="1272884B">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请供应商下载磋商文件后，及时关注系统业务菜单（“答疑澄清文件领取”、“控制价文件领取”）内该项目是否有新的答疑澄清文件或控制价文件。如有请直接下载，不再另行通知。</w:t>
      </w:r>
    </w:p>
    <w:p w14:paraId="45E015AC">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项目采用“不见面开标”交易方式，不见面开标大厅网址为https://ggzyjy.xinyang.gov.cn/BidOpening/bidhall/xinyang/login.html。投标人无需寄送和递交非加密的电子投标文件，无需到现场参加开标会议，无需到达现场提交原件资料。</w:t>
      </w:r>
    </w:p>
    <w:p w14:paraId="6D98F121">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、投标人应当在投标截止时间前，使用投标人CA数字证书登录不见面开标大厅，在线签到并准时参加开标活动，并在规定时间内完成投标文件解密、答疑澄清等。</w:t>
      </w:r>
    </w:p>
    <w:p w14:paraId="00A55042">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、逾期解密或者没有准时在线签到参加开标活动导致的一切后果投标人自行承担。</w:t>
      </w:r>
    </w:p>
    <w:p w14:paraId="671A92C3">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、不见面开标服务的具体事宜，请查阅固始县公共资源交易中心网站首页—下载中心—固始县不见面开标大厅系统操作手册。</w:t>
      </w:r>
    </w:p>
    <w:p w14:paraId="75F859F1">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特别提示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投标人在线签到时，应如实准确的填写授权委托人的联系电话，开标当天请务必保证电话畅通，否则引发的后果由投标人自行承担。</w:t>
      </w:r>
    </w:p>
    <w:p w14:paraId="0802A581">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本项目评标以电子投标文件为依据，未在投标截止时间前上传电子投标文件的投标人，视为自动放弃其投标</w:t>
      </w:r>
      <w:r>
        <w:rPr>
          <w:rFonts w:hint="eastAsia" w:asciiTheme="minorEastAsia" w:hAnsiTheme="minorEastAsia" w:eastAsiaTheme="minorEastAsia" w:cstheme="minorEastAsia"/>
          <w:sz w:val="24"/>
          <w:szCs w:val="24"/>
        </w:rPr>
        <w:t>。</w:t>
      </w:r>
    </w:p>
    <w:p w14:paraId="0220205C">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八、对本次招标提出询问，请按以下方式联系</w:t>
      </w:r>
    </w:p>
    <w:p w14:paraId="05086BEF">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信息</w:t>
      </w:r>
    </w:p>
    <w:p w14:paraId="22E0A230">
      <w:pPr>
        <w:autoSpaceDE w:val="0"/>
        <w:autoSpaceDN w:val="0"/>
        <w:adjustRightInd w:val="0"/>
        <w:spacing w:line="360" w:lineRule="auto"/>
        <w:ind w:left="100" w:right="-20" w:firstLine="480" w:firstLineChars="200"/>
        <w:jc w:val="left"/>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名称</w:t>
      </w:r>
      <w:r>
        <w:rPr>
          <w:rFonts w:hint="eastAsia" w:ascii="宋体" w:hAnsi="宋体" w:cs="宋体"/>
          <w:b w:val="0"/>
          <w:bCs w:val="0"/>
          <w:color w:val="000000"/>
          <w:kern w:val="0"/>
          <w:sz w:val="24"/>
          <w:szCs w:val="24"/>
          <w:highlight w:val="none"/>
        </w:rPr>
        <w:t>：固始县</w:t>
      </w:r>
      <w:r>
        <w:rPr>
          <w:rFonts w:hint="eastAsia" w:ascii="宋体" w:hAnsi="宋体" w:cs="宋体"/>
          <w:b w:val="0"/>
          <w:bCs w:val="0"/>
          <w:color w:val="000000"/>
          <w:kern w:val="0"/>
          <w:sz w:val="24"/>
          <w:szCs w:val="24"/>
          <w:highlight w:val="none"/>
          <w:lang w:val="en-US" w:eastAsia="zh-CN"/>
        </w:rPr>
        <w:t>公安局</w:t>
      </w:r>
      <w:bookmarkStart w:id="1000" w:name="_GoBack"/>
      <w:bookmarkEnd w:id="1000"/>
    </w:p>
    <w:p w14:paraId="51FED010">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联系人：</w:t>
      </w:r>
      <w:r>
        <w:rPr>
          <w:rFonts w:hint="eastAsia" w:ascii="宋体" w:hAnsi="宋体" w:cs="宋体"/>
          <w:b w:val="0"/>
          <w:bCs w:val="0"/>
          <w:color w:val="000000"/>
          <w:kern w:val="0"/>
          <w:sz w:val="24"/>
          <w:szCs w:val="24"/>
          <w:highlight w:val="none"/>
          <w:lang w:val="en-US" w:eastAsia="zh-CN"/>
        </w:rPr>
        <w:t>张健</w:t>
      </w:r>
    </w:p>
    <w:p w14:paraId="566BB854">
      <w:pPr>
        <w:autoSpaceDE w:val="0"/>
        <w:autoSpaceDN w:val="0"/>
        <w:adjustRightInd w:val="0"/>
        <w:spacing w:line="360" w:lineRule="auto"/>
        <w:ind w:left="100" w:right="-20" w:firstLine="480" w:firstLineChars="200"/>
        <w:jc w:val="left"/>
        <w:rPr>
          <w:rFonts w:hint="default" w:ascii="宋体" w:hAnsi="宋体" w:eastAsia="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w:t>
      </w:r>
      <w:r>
        <w:rPr>
          <w:rFonts w:hint="eastAsia" w:ascii="宋体" w:hAnsi="宋体" w:eastAsia="宋体" w:cs="宋体"/>
          <w:b w:val="0"/>
          <w:bCs w:val="0"/>
          <w:color w:val="000000"/>
          <w:kern w:val="0"/>
          <w:sz w:val="24"/>
          <w:szCs w:val="24"/>
          <w:highlight w:val="none"/>
        </w:rPr>
        <w:t>电话：</w:t>
      </w:r>
      <w:r>
        <w:rPr>
          <w:rFonts w:hint="default" w:ascii="宋体" w:hAnsi="宋体" w:eastAsia="宋体" w:cs="宋体"/>
          <w:b w:val="0"/>
          <w:bCs w:val="0"/>
          <w:color w:val="000000"/>
          <w:kern w:val="0"/>
          <w:sz w:val="24"/>
          <w:szCs w:val="24"/>
          <w:highlight w:val="none"/>
          <w:lang w:val="en-US" w:eastAsia="zh-CN"/>
        </w:rPr>
        <w:t>0376-4656032</w:t>
      </w:r>
    </w:p>
    <w:p w14:paraId="31F68A7D">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 xml:space="preserve">联系地址：固始县蓼城大道与成功大道交叉口  </w:t>
      </w:r>
    </w:p>
    <w:p w14:paraId="29CB6330">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2.采购代理机构信息</w:t>
      </w:r>
    </w:p>
    <w:p w14:paraId="2F757B23">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名    称：</w:t>
      </w:r>
      <w:r>
        <w:rPr>
          <w:rFonts w:hint="eastAsia" w:ascii="宋体" w:hAnsi="宋体" w:cs="宋体"/>
          <w:b w:val="0"/>
          <w:bCs w:val="0"/>
          <w:color w:val="000000"/>
          <w:kern w:val="0"/>
          <w:sz w:val="24"/>
          <w:szCs w:val="24"/>
          <w:highlight w:val="none"/>
          <w:lang w:eastAsia="zh-CN"/>
        </w:rPr>
        <w:t>固始县采购中心</w:t>
      </w:r>
      <w:r>
        <w:rPr>
          <w:rFonts w:hint="eastAsia" w:ascii="宋体" w:hAnsi="宋体" w:cs="宋体"/>
          <w:b w:val="0"/>
          <w:bCs w:val="0"/>
          <w:color w:val="000000"/>
          <w:kern w:val="0"/>
          <w:sz w:val="24"/>
          <w:szCs w:val="24"/>
          <w:highlight w:val="none"/>
        </w:rPr>
        <w:t>　　　　　　　　　　　　　　　　　　　　　　　</w:t>
      </w:r>
    </w:p>
    <w:p w14:paraId="4AE37EDA">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联系人：</w:t>
      </w:r>
      <w:r>
        <w:rPr>
          <w:rFonts w:hint="eastAsia" w:ascii="宋体" w:hAnsi="宋体" w:cs="宋体"/>
          <w:b w:val="0"/>
          <w:bCs w:val="0"/>
          <w:color w:val="000000"/>
          <w:kern w:val="0"/>
          <w:sz w:val="24"/>
          <w:szCs w:val="24"/>
          <w:highlight w:val="none"/>
          <w:lang w:val="en-US" w:eastAsia="zh-CN"/>
        </w:rPr>
        <w:t>王磊</w:t>
      </w:r>
      <w:r>
        <w:rPr>
          <w:rFonts w:hint="eastAsia" w:ascii="宋体" w:hAnsi="宋体" w:cs="宋体"/>
          <w:b w:val="0"/>
          <w:bCs w:val="0"/>
          <w:color w:val="000000"/>
          <w:kern w:val="0"/>
          <w:sz w:val="24"/>
          <w:szCs w:val="24"/>
          <w:highlight w:val="none"/>
        </w:rPr>
        <w:t xml:space="preserve"> </w:t>
      </w:r>
    </w:p>
    <w:p w14:paraId="67275A24">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联系方式：</w:t>
      </w:r>
      <w:r>
        <w:rPr>
          <w:rFonts w:hint="eastAsia" w:ascii="宋体" w:hAnsi="宋体" w:cs="宋体"/>
          <w:b w:val="0"/>
          <w:bCs w:val="0"/>
          <w:color w:val="000000"/>
          <w:kern w:val="0"/>
          <w:sz w:val="24"/>
          <w:szCs w:val="24"/>
          <w:highlight w:val="none"/>
          <w:lang w:val="en-US" w:eastAsia="zh-CN"/>
        </w:rPr>
        <w:t>0376-4667718</w:t>
      </w:r>
      <w:r>
        <w:rPr>
          <w:rFonts w:hint="eastAsia" w:ascii="宋体" w:hAnsi="宋体" w:cs="宋体"/>
          <w:b w:val="0"/>
          <w:bCs w:val="0"/>
          <w:color w:val="000000"/>
          <w:kern w:val="0"/>
          <w:sz w:val="24"/>
          <w:szCs w:val="24"/>
          <w:highlight w:val="none"/>
        </w:rPr>
        <w:t xml:space="preserve"> </w:t>
      </w:r>
    </w:p>
    <w:p w14:paraId="2580CAFD">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地　　址：</w:t>
      </w:r>
      <w:r>
        <w:rPr>
          <w:rFonts w:hint="eastAsia" w:ascii="宋体" w:hAnsi="宋体" w:cs="宋体"/>
          <w:b w:val="0"/>
          <w:bCs w:val="0"/>
          <w:color w:val="000000"/>
          <w:kern w:val="0"/>
          <w:sz w:val="24"/>
          <w:szCs w:val="24"/>
          <w:highlight w:val="none"/>
          <w:lang w:val="en-US" w:eastAsia="zh-CN"/>
        </w:rPr>
        <w:t>固始县财政局1801室</w:t>
      </w:r>
      <w:r>
        <w:rPr>
          <w:rFonts w:hint="eastAsia" w:ascii="宋体" w:hAnsi="宋体" w:cs="宋体"/>
          <w:b w:val="0"/>
          <w:bCs w:val="0"/>
          <w:color w:val="000000"/>
          <w:kern w:val="0"/>
          <w:sz w:val="24"/>
          <w:szCs w:val="24"/>
          <w:highlight w:val="none"/>
        </w:rPr>
        <w:t xml:space="preserve">  </w:t>
      </w:r>
    </w:p>
    <w:p w14:paraId="4B6E7C63">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3.项目联系方式</w:t>
      </w:r>
    </w:p>
    <w:p w14:paraId="4D3A0341">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项目联系人：</w:t>
      </w:r>
      <w:r>
        <w:rPr>
          <w:rFonts w:hint="eastAsia" w:ascii="宋体" w:hAnsi="宋体" w:cs="宋体"/>
          <w:b w:val="0"/>
          <w:bCs w:val="0"/>
          <w:color w:val="000000"/>
          <w:kern w:val="0"/>
          <w:sz w:val="24"/>
          <w:szCs w:val="24"/>
          <w:highlight w:val="none"/>
          <w:lang w:val="en-US" w:eastAsia="zh-CN"/>
        </w:rPr>
        <w:t>张健</w:t>
      </w:r>
    </w:p>
    <w:p w14:paraId="66C396A3">
      <w:pPr>
        <w:autoSpaceDE w:val="0"/>
        <w:autoSpaceDN w:val="0"/>
        <w:adjustRightInd w:val="0"/>
        <w:spacing w:line="360" w:lineRule="auto"/>
        <w:ind w:left="100" w:right="-20" w:firstLine="480" w:firstLineChars="200"/>
        <w:jc w:val="left"/>
        <w:rPr>
          <w:rFonts w:hint="default" w:ascii="宋体" w:hAnsi="宋体" w:eastAsia="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联系电话：0376-4656032</w:t>
      </w:r>
    </w:p>
    <w:p w14:paraId="4C18DA8E">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5B4C2447">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1CAFDABF">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60C22504">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001733D2">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54EE8D5A">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12FDEC50">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1906F0D9">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44CAD2F1">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5A4B9DDF">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00828FC4">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7D01983E">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7DDAEDB0">
      <w:pPr>
        <w:numPr>
          <w:ilvl w:val="0"/>
          <w:numId w:val="1"/>
        </w:numPr>
        <w:wordWrap w:val="0"/>
        <w:autoSpaceDE w:val="0"/>
        <w:autoSpaceDN w:val="0"/>
        <w:adjustRightInd w:val="0"/>
        <w:snapToGrid w:val="0"/>
        <w:spacing w:after="120" w:afterLines="50"/>
        <w:ind w:left="0" w:leftChars="0" w:firstLine="0" w:firstLineChars="0"/>
        <w:jc w:val="center"/>
        <w:outlineLvl w:val="0"/>
        <w:rPr>
          <w:rFonts w:ascii="宋体" w:hAnsi="宋体" w:cs="宋体"/>
          <w:b/>
          <w:bCs/>
          <w:kern w:val="44"/>
          <w:sz w:val="44"/>
          <w:szCs w:val="44"/>
        </w:rPr>
      </w:pPr>
      <w:bookmarkStart w:id="11" w:name="_Toc26326"/>
      <w:bookmarkStart w:id="12" w:name="_Toc23165"/>
      <w:r>
        <w:rPr>
          <w:rFonts w:hint="eastAsia" w:ascii="宋体" w:hAnsi="宋体" w:cs="宋体"/>
          <w:b/>
          <w:bCs/>
          <w:kern w:val="44"/>
          <w:sz w:val="44"/>
          <w:szCs w:val="44"/>
          <w:lang w:val="en-US" w:eastAsia="zh-CN"/>
        </w:rPr>
        <w:t>供应</w:t>
      </w:r>
      <w:r>
        <w:rPr>
          <w:rFonts w:hint="eastAsia" w:ascii="宋体" w:hAnsi="宋体" w:cs="宋体"/>
          <w:b/>
          <w:bCs/>
          <w:kern w:val="44"/>
          <w:sz w:val="44"/>
          <w:szCs w:val="44"/>
        </w:rPr>
        <w:t>商须知</w:t>
      </w:r>
      <w:bookmarkEnd w:id="10"/>
      <w:bookmarkEnd w:id="11"/>
      <w:bookmarkEnd w:id="12"/>
    </w:p>
    <w:p w14:paraId="1FE04F47">
      <w:pPr>
        <w:wordWrap w:val="0"/>
        <w:autoSpaceDE w:val="0"/>
        <w:autoSpaceDN w:val="0"/>
        <w:adjustRightInd w:val="0"/>
        <w:spacing w:before="72" w:beforeLines="30" w:line="288" w:lineRule="auto"/>
        <w:ind w:left="20" w:leftChars="0" w:right="21" w:rightChars="10" w:hanging="20" w:hangingChars="7"/>
        <w:jc w:val="center"/>
        <w:rPr>
          <w:rFonts w:hint="eastAsia" w:asciiTheme="minorEastAsia" w:hAnsiTheme="minorEastAsia" w:eastAsiaTheme="minorEastAsia" w:cstheme="minorEastAsia"/>
          <w:b/>
          <w:kern w:val="0"/>
          <w:sz w:val="28"/>
          <w:szCs w:val="28"/>
        </w:rPr>
      </w:pPr>
      <w:bookmarkStart w:id="13" w:name="_Toc2549"/>
    </w:p>
    <w:p w14:paraId="35B1AFA7">
      <w:pPr>
        <w:wordWrap w:val="0"/>
        <w:autoSpaceDE w:val="0"/>
        <w:autoSpaceDN w:val="0"/>
        <w:adjustRightInd w:val="0"/>
        <w:spacing w:before="72" w:beforeLines="30" w:line="288" w:lineRule="auto"/>
        <w:ind w:left="20" w:leftChars="0" w:right="21" w:rightChars="10" w:hanging="20" w:hangingChars="7"/>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供应商须知前附表</w:t>
      </w:r>
      <w:bookmarkEnd w:id="13"/>
    </w:p>
    <w:p w14:paraId="645B01CE">
      <w:pPr>
        <w:wordWrap w:val="0"/>
        <w:autoSpaceDE w:val="0"/>
        <w:autoSpaceDN w:val="0"/>
        <w:adjustRightInd w:val="0"/>
        <w:spacing w:before="72" w:beforeLines="30" w:line="288" w:lineRule="auto"/>
        <w:ind w:left="20" w:leftChars="0" w:right="21" w:rightChars="10" w:hanging="20" w:hangingChars="7"/>
        <w:jc w:val="center"/>
        <w:rPr>
          <w:rFonts w:hint="eastAsia" w:asciiTheme="minorEastAsia" w:hAnsiTheme="minorEastAsia" w:eastAsiaTheme="minorEastAsia" w:cstheme="minorEastAsia"/>
          <w:b/>
          <w:kern w:val="0"/>
          <w:sz w:val="28"/>
          <w:szCs w:val="28"/>
        </w:rPr>
      </w:pPr>
    </w:p>
    <w:tbl>
      <w:tblPr>
        <w:tblStyle w:val="23"/>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416"/>
        <w:gridCol w:w="6392"/>
      </w:tblGrid>
      <w:tr w14:paraId="5A0D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vAlign w:val="center"/>
          </w:tcPr>
          <w:p w14:paraId="0C30FA18">
            <w:pPr>
              <w:wordWrap w:val="0"/>
              <w:autoSpaceDE w:val="0"/>
              <w:autoSpaceDN w:val="0"/>
              <w:adjustRightInd w:val="0"/>
              <w:spacing w:before="72" w:beforeLines="30" w:line="288" w:lineRule="auto"/>
              <w:ind w:left="0" w:leftChars="0" w:right="21" w:rightChars="10" w:firstLine="0" w:firstLineChars="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条款号</w:t>
            </w:r>
          </w:p>
        </w:tc>
        <w:tc>
          <w:tcPr>
            <w:tcW w:w="2416" w:type="dxa"/>
            <w:vAlign w:val="center"/>
          </w:tcPr>
          <w:p w14:paraId="19FDAECB">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条 款 名 称</w:t>
            </w:r>
          </w:p>
        </w:tc>
        <w:tc>
          <w:tcPr>
            <w:tcW w:w="6392" w:type="dxa"/>
            <w:vAlign w:val="center"/>
          </w:tcPr>
          <w:p w14:paraId="3C1B67F4">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编 列 内 容</w:t>
            </w:r>
          </w:p>
        </w:tc>
      </w:tr>
      <w:tr w14:paraId="6B3B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6478F087">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28936340">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采购人</w:t>
            </w:r>
          </w:p>
        </w:tc>
        <w:tc>
          <w:tcPr>
            <w:tcW w:w="6392" w:type="dxa"/>
            <w:vAlign w:val="center"/>
          </w:tcPr>
          <w:p w14:paraId="38396DD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名    称：固始县公安局</w:t>
            </w:r>
          </w:p>
          <w:p w14:paraId="3CD4B90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 系 人：张健</w:t>
            </w:r>
          </w:p>
          <w:p w14:paraId="15DB159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联系电话：0376-4656032</w:t>
            </w:r>
          </w:p>
          <w:p w14:paraId="0869DBC9">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联系地址：固始县蓼城大道与成功大道交叉口  　</w:t>
            </w:r>
          </w:p>
        </w:tc>
      </w:tr>
      <w:tr w14:paraId="49D6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52099451">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DF95F2A">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采购代理机构</w:t>
            </w:r>
          </w:p>
        </w:tc>
        <w:tc>
          <w:tcPr>
            <w:tcW w:w="6392" w:type="dxa"/>
            <w:vAlign w:val="center"/>
          </w:tcPr>
          <w:p w14:paraId="040835E9">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名    称：固始县采购中心　　</w:t>
            </w:r>
          </w:p>
          <w:p w14:paraId="44CA1FE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联 系 人：王磊 </w:t>
            </w:r>
          </w:p>
          <w:p w14:paraId="7C44F53D">
            <w:pPr>
              <w:wordWrap w:val="0"/>
              <w:adjustRightInd w:val="0"/>
              <w:spacing w:line="340" w:lineRule="exact"/>
              <w:ind w:left="0" w:leftChars="0" w:firstLine="0" w:firstLineChars="0"/>
              <w:jc w:val="left"/>
              <w:textAlignment w:val="baseline"/>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联系方式：0376-4667718</w:t>
            </w:r>
          </w:p>
          <w:p w14:paraId="1451E6B5">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地　　址：固始县财政局1801室   </w:t>
            </w:r>
          </w:p>
        </w:tc>
      </w:tr>
      <w:tr w14:paraId="4752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vAlign w:val="center"/>
          </w:tcPr>
          <w:p w14:paraId="1E46C29F">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4</w:t>
            </w:r>
          </w:p>
        </w:tc>
        <w:tc>
          <w:tcPr>
            <w:tcW w:w="2416" w:type="dxa"/>
            <w:vAlign w:val="center"/>
          </w:tcPr>
          <w:p w14:paraId="7ABCC1CA">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项目名称</w:t>
            </w:r>
          </w:p>
        </w:tc>
        <w:tc>
          <w:tcPr>
            <w:tcW w:w="6392" w:type="dxa"/>
            <w:vAlign w:val="center"/>
          </w:tcPr>
          <w:p w14:paraId="1B5060D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固始县公安局采购一台通信指挥车项目</w:t>
            </w:r>
          </w:p>
        </w:tc>
      </w:tr>
      <w:tr w14:paraId="1950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vAlign w:val="center"/>
          </w:tcPr>
          <w:p w14:paraId="1E413229">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5</w:t>
            </w:r>
          </w:p>
        </w:tc>
        <w:tc>
          <w:tcPr>
            <w:tcW w:w="2416" w:type="dxa"/>
            <w:vAlign w:val="center"/>
          </w:tcPr>
          <w:p w14:paraId="7762970F">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采购方式</w:t>
            </w:r>
          </w:p>
        </w:tc>
        <w:tc>
          <w:tcPr>
            <w:tcW w:w="6392" w:type="dxa"/>
            <w:vAlign w:val="center"/>
          </w:tcPr>
          <w:p w14:paraId="272E534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竞争性磋商</w:t>
            </w:r>
          </w:p>
        </w:tc>
      </w:tr>
      <w:tr w14:paraId="41C7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vAlign w:val="center"/>
          </w:tcPr>
          <w:p w14:paraId="7107DA05">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6</w:t>
            </w:r>
          </w:p>
        </w:tc>
        <w:tc>
          <w:tcPr>
            <w:tcW w:w="2416" w:type="dxa"/>
            <w:vAlign w:val="center"/>
          </w:tcPr>
          <w:p w14:paraId="532868CB">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预算价（</w:t>
            </w:r>
            <w:r>
              <w:rPr>
                <w:rFonts w:hint="eastAsia" w:asciiTheme="minorEastAsia" w:hAnsiTheme="minorEastAsia" w:eastAsiaTheme="minorEastAsia" w:cstheme="minorEastAsia"/>
                <w:sz w:val="24"/>
                <w:szCs w:val="24"/>
              </w:rPr>
              <w:t>最高限价</w:t>
            </w:r>
            <w:r>
              <w:rPr>
                <w:rFonts w:hint="eastAsia" w:asciiTheme="minorEastAsia" w:hAnsiTheme="minorEastAsia" w:eastAsiaTheme="minorEastAsia" w:cstheme="minorEastAsia"/>
                <w:kern w:val="0"/>
                <w:sz w:val="24"/>
                <w:szCs w:val="24"/>
              </w:rPr>
              <w:t>）</w:t>
            </w:r>
          </w:p>
        </w:tc>
        <w:tc>
          <w:tcPr>
            <w:tcW w:w="6392" w:type="dxa"/>
            <w:vAlign w:val="center"/>
          </w:tcPr>
          <w:p w14:paraId="0A26D49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w:t>
            </w:r>
            <w:r>
              <w:rPr>
                <w:rFonts w:hint="eastAsia" w:ascii="宋体" w:hAnsi="宋体" w:eastAsia="宋体" w:cs="宋体"/>
                <w:sz w:val="24"/>
                <w:szCs w:val="24"/>
                <w:highlight w:val="none"/>
                <w:lang w:val="en-US" w:eastAsia="zh-CN"/>
              </w:rPr>
              <w:t>858360</w:t>
            </w:r>
            <w:r>
              <w:rPr>
                <w:rFonts w:hint="eastAsia" w:ascii="宋体" w:hAnsi="宋体" w:eastAsia="宋体" w:cs="宋体"/>
                <w:color w:val="000000"/>
                <w:kern w:val="0"/>
                <w:sz w:val="21"/>
                <w:szCs w:val="21"/>
                <w:highlight w:val="none"/>
                <w:lang w:val="en-US" w:eastAsia="zh-CN" w:bidi="ar-SA"/>
              </w:rPr>
              <w:t>元</w:t>
            </w:r>
          </w:p>
          <w:p w14:paraId="7176AFB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（大写：捌拾伍万捌仟叁佰陆拾元整）</w:t>
            </w:r>
          </w:p>
          <w:p w14:paraId="149E9B1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投标报价超过预算价（最高限价）按无效投标处理</w:t>
            </w:r>
          </w:p>
        </w:tc>
      </w:tr>
      <w:tr w14:paraId="6C6F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6" w:type="dxa"/>
            <w:shd w:val="clear" w:color="auto" w:fill="auto"/>
            <w:vAlign w:val="center"/>
          </w:tcPr>
          <w:p w14:paraId="3BA97F34">
            <w:pPr>
              <w:wordWrap w:val="0"/>
              <w:autoSpaceDE w:val="0"/>
              <w:autoSpaceDN w:val="0"/>
              <w:adjustRightInd w:val="0"/>
              <w:spacing w:before="72" w:beforeLines="30" w:line="288" w:lineRule="auto"/>
              <w:ind w:left="0" w:leftChars="0" w:right="21" w:rightChars="10" w:firstLine="0" w:firstLineChars="0"/>
              <w:jc w:val="center"/>
              <w:rPr>
                <w:rFonts w:hint="eastAsia" w:asciiTheme="minorEastAsia" w:hAnsiTheme="minorEastAsia" w:eastAsiaTheme="minorEastAsia" w:cstheme="minorEastAsia"/>
                <w:color w:val="auto"/>
                <w:kern w:val="0"/>
                <w:sz w:val="24"/>
                <w:szCs w:val="24"/>
                <w:lang w:val="en-US" w:eastAsia="en-US"/>
              </w:rPr>
            </w:pPr>
            <w:r>
              <w:rPr>
                <w:rFonts w:hint="eastAsia" w:asciiTheme="minorEastAsia" w:hAnsiTheme="minorEastAsia" w:eastAsiaTheme="minorEastAsia" w:cstheme="minorEastAsia"/>
                <w:color w:val="auto"/>
                <w:kern w:val="0"/>
                <w:sz w:val="24"/>
                <w:szCs w:val="24"/>
                <w:lang w:val="en-US" w:eastAsia="zh-CN"/>
              </w:rPr>
              <w:t>1.1.9</w:t>
            </w:r>
          </w:p>
        </w:tc>
        <w:tc>
          <w:tcPr>
            <w:tcW w:w="2416" w:type="dxa"/>
            <w:shd w:val="clear" w:color="auto" w:fill="auto"/>
            <w:vAlign w:val="center"/>
          </w:tcPr>
          <w:p w14:paraId="20C0FF42">
            <w:pPr>
              <w:wordWrap w:val="0"/>
              <w:autoSpaceDE w:val="0"/>
              <w:autoSpaceDN w:val="0"/>
              <w:adjustRightInd w:val="0"/>
              <w:spacing w:before="72" w:beforeLines="30" w:line="288" w:lineRule="auto"/>
              <w:ind w:left="19" w:leftChars="0" w:right="21" w:rightChars="10" w:hanging="19" w:hangingChars="8"/>
              <w:jc w:val="center"/>
              <w:rPr>
                <w:rFonts w:hint="eastAsia" w:ascii="Arial" w:hAnsi="Arial" w:eastAsia="Arial" w:cs="Arial"/>
                <w:color w:val="auto"/>
                <w:kern w:val="2"/>
                <w:sz w:val="21"/>
                <w:szCs w:val="21"/>
                <w:lang w:val="en-US" w:eastAsia="en-US" w:bidi="ar-SA"/>
              </w:rPr>
            </w:pPr>
            <w:r>
              <w:rPr>
                <w:rFonts w:hint="eastAsia" w:asciiTheme="minorEastAsia" w:hAnsiTheme="minorEastAsia" w:eastAsiaTheme="minorEastAsia" w:cstheme="minorEastAsia"/>
                <w:color w:val="auto"/>
                <w:kern w:val="0"/>
                <w:sz w:val="24"/>
                <w:szCs w:val="24"/>
              </w:rPr>
              <w:t>强制采购节能产品</w:t>
            </w:r>
          </w:p>
        </w:tc>
        <w:tc>
          <w:tcPr>
            <w:tcW w:w="6392" w:type="dxa"/>
            <w:shd w:val="clear" w:color="auto" w:fill="auto"/>
            <w:vAlign w:val="top"/>
          </w:tcPr>
          <w:p w14:paraId="6E27FBB7">
            <w:pPr>
              <w:wordWrap w:val="0"/>
              <w:adjustRightInd w:val="0"/>
              <w:spacing w:line="340" w:lineRule="exact"/>
              <w:ind w:left="0" w:leftChars="0" w:firstLine="0" w:firstLineChars="0"/>
              <w:jc w:val="left"/>
              <w:textAlignment w:val="baseline"/>
              <w:rPr>
                <w:rFonts w:hint="eastAsia" w:ascii="Arial" w:hAnsi="Arial" w:eastAsia="Arial" w:cs="Arial"/>
                <w:color w:val="auto"/>
                <w:kern w:val="2"/>
                <w:sz w:val="21"/>
                <w:szCs w:val="21"/>
                <w:lang w:val="en-US" w:eastAsia="zh-CN" w:bidi="ar-SA"/>
              </w:rPr>
            </w:pPr>
            <w:r>
              <w:rPr>
                <w:rFonts w:hint="eastAsia" w:ascii="宋体" w:hAnsi="宋体" w:eastAsia="宋体" w:cs="宋体"/>
                <w:color w:val="auto"/>
                <w:kern w:val="0"/>
                <w:sz w:val="21"/>
                <w:szCs w:val="21"/>
                <w:highlight w:val="none"/>
                <w:lang w:val="en-US" w:eastAsia="zh-CN" w:bidi="ar-SA"/>
              </w:rPr>
              <w:t>本次采购强制采购的节能产品：电视，供应商所投强制节能产品应具有《中国节能产品认证证书》，证书不显示规格型号的，还须同时提供证书配套附件；证书应是由《市场监管总局关于发布参与实施政府采购节能产品、环境标志产品认证机构名录的公告》的认证机构出具的、处于有效期之内的），否则其响应文件将被否决。</w:t>
            </w:r>
          </w:p>
        </w:tc>
      </w:tr>
      <w:tr w14:paraId="4B03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6" w:type="dxa"/>
            <w:vAlign w:val="center"/>
          </w:tcPr>
          <w:p w14:paraId="15A49B88">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1.2.1</w:t>
            </w:r>
          </w:p>
        </w:tc>
        <w:tc>
          <w:tcPr>
            <w:tcW w:w="2416" w:type="dxa"/>
            <w:vAlign w:val="center"/>
          </w:tcPr>
          <w:p w14:paraId="2F8B4D71">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资金来源</w:t>
            </w:r>
          </w:p>
        </w:tc>
        <w:tc>
          <w:tcPr>
            <w:tcW w:w="6392" w:type="dxa"/>
            <w:vAlign w:val="center"/>
          </w:tcPr>
          <w:p w14:paraId="4881CBD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财政资金</w:t>
            </w:r>
          </w:p>
        </w:tc>
      </w:tr>
      <w:tr w14:paraId="6308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5FA3ACB9">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w:t>
            </w:r>
          </w:p>
        </w:tc>
        <w:tc>
          <w:tcPr>
            <w:tcW w:w="2416" w:type="dxa"/>
            <w:vAlign w:val="center"/>
          </w:tcPr>
          <w:p w14:paraId="07A34905">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出资比例</w:t>
            </w:r>
          </w:p>
        </w:tc>
        <w:tc>
          <w:tcPr>
            <w:tcW w:w="6392" w:type="dxa"/>
            <w:vAlign w:val="center"/>
          </w:tcPr>
          <w:p w14:paraId="2A264C85">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100%</w:t>
            </w:r>
          </w:p>
        </w:tc>
      </w:tr>
      <w:tr w14:paraId="4EE8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6" w:type="dxa"/>
            <w:vAlign w:val="center"/>
          </w:tcPr>
          <w:p w14:paraId="42806058">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.1</w:t>
            </w:r>
          </w:p>
        </w:tc>
        <w:tc>
          <w:tcPr>
            <w:tcW w:w="2416" w:type="dxa"/>
            <w:vAlign w:val="center"/>
          </w:tcPr>
          <w:p w14:paraId="7153CDF6">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采购内容</w:t>
            </w:r>
          </w:p>
        </w:tc>
        <w:tc>
          <w:tcPr>
            <w:tcW w:w="6392" w:type="dxa"/>
            <w:vAlign w:val="center"/>
          </w:tcPr>
          <w:p w14:paraId="7E385C5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采购一台通信指挥车等，具体详见磋商文件第五章。</w:t>
            </w:r>
          </w:p>
        </w:tc>
      </w:tr>
      <w:tr w14:paraId="11A2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16" w:type="dxa"/>
            <w:vAlign w:val="center"/>
          </w:tcPr>
          <w:p w14:paraId="22E37822">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50627A12">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供货期</w:t>
            </w:r>
          </w:p>
        </w:tc>
        <w:tc>
          <w:tcPr>
            <w:tcW w:w="6392" w:type="dxa"/>
            <w:vAlign w:val="center"/>
          </w:tcPr>
          <w:p w14:paraId="779E0CB0">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接采购人通知后，15日历天内货到现场并安装调试完毕；</w:t>
            </w:r>
          </w:p>
        </w:tc>
      </w:tr>
      <w:tr w14:paraId="380D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vAlign w:val="center"/>
          </w:tcPr>
          <w:p w14:paraId="30BC2FF8">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15F10C0">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质量要求</w:t>
            </w:r>
          </w:p>
        </w:tc>
        <w:tc>
          <w:tcPr>
            <w:tcW w:w="6392" w:type="dxa"/>
            <w:vAlign w:val="center"/>
          </w:tcPr>
          <w:p w14:paraId="6DCD2596">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达到国家相关行业合格标准及强制性标准；</w:t>
            </w:r>
          </w:p>
        </w:tc>
      </w:tr>
      <w:tr w14:paraId="26DD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vAlign w:val="center"/>
          </w:tcPr>
          <w:p w14:paraId="7A348E03">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1.3.4</w:t>
            </w:r>
          </w:p>
        </w:tc>
        <w:tc>
          <w:tcPr>
            <w:tcW w:w="2416" w:type="dxa"/>
            <w:vAlign w:val="center"/>
          </w:tcPr>
          <w:p w14:paraId="580BCBD8">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质保期</w:t>
            </w:r>
          </w:p>
        </w:tc>
        <w:tc>
          <w:tcPr>
            <w:tcW w:w="6392" w:type="dxa"/>
            <w:vAlign w:val="center"/>
          </w:tcPr>
          <w:p w14:paraId="4B1E6D15">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达到国家相关行业标准；</w:t>
            </w:r>
          </w:p>
        </w:tc>
      </w:tr>
      <w:tr w14:paraId="7A14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916" w:type="dxa"/>
            <w:tcBorders>
              <w:top w:val="single" w:color="auto" w:sz="4" w:space="0"/>
            </w:tcBorders>
            <w:vAlign w:val="center"/>
          </w:tcPr>
          <w:p w14:paraId="170D9F64">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.1</w:t>
            </w:r>
          </w:p>
        </w:tc>
        <w:tc>
          <w:tcPr>
            <w:tcW w:w="2416" w:type="dxa"/>
            <w:tcBorders>
              <w:top w:val="single" w:color="auto" w:sz="4" w:space="0"/>
            </w:tcBorders>
            <w:vAlign w:val="center"/>
          </w:tcPr>
          <w:p w14:paraId="107A8DB9">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供应商资格要求</w:t>
            </w:r>
          </w:p>
        </w:tc>
        <w:tc>
          <w:tcPr>
            <w:tcW w:w="6392" w:type="dxa"/>
            <w:tcBorders>
              <w:top w:val="single" w:color="auto" w:sz="4" w:space="0"/>
            </w:tcBorders>
            <w:vAlign w:val="center"/>
          </w:tcPr>
          <w:p w14:paraId="093B7F5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1、满足《中华人民共和国政府采购法》第二十二条规定；</w:t>
            </w:r>
          </w:p>
          <w:p w14:paraId="5544090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2、落实政府采购政策满足的资格要求：本项目落实节约能源、保护环境、扶持不发达地区、实施本国产品标准和少数民族地区、促进中小微企业、监狱企业及残疾人福利性单位发展等政府采购政策；</w:t>
            </w:r>
          </w:p>
          <w:p w14:paraId="159D369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3、本项目的特定资格要求 </w:t>
            </w:r>
          </w:p>
          <w:p w14:paraId="12AFC992">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3.1  本项目适用信用承诺（详见下述要求）。</w:t>
            </w:r>
          </w:p>
          <w:p w14:paraId="0585E5A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本项目政府采购活动中，供应商在投标（响应）时，可对照资格要求进行自主核对，确定符合资格要求，按照规定提供相关承诺函（详见投标（响应）文件“资格证明材料”附件），供应商应在资格审查环节提供满足相应条件的书面承诺书，不再需要提供以下证明材料：</w:t>
            </w:r>
          </w:p>
          <w:p w14:paraId="19F7F08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①供应商须具有独立承担民事责任的能力，提供法人或者其他组织的营业执照等证明文件；</w:t>
            </w:r>
          </w:p>
          <w:p w14:paraId="661641A2">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供应商须具有良好的商业信誉和健全的财务会计制度（提供2024年度或2025年度经审计的财务审计报告或提供基本户的开户行开具的银行资信证明）；</w:t>
            </w:r>
          </w:p>
          <w:p w14:paraId="2181E7DE">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③供应商须具有履行合同所必需的设备和专业技术能力（提供相关证明材料或承诺函）；</w:t>
            </w:r>
          </w:p>
          <w:p w14:paraId="5B508A7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④供应商依法缴纳税收和社会保险的良好记录（提供2025年01月以来任意3个月依法缴纳税收和社会保险的证明，成立不足三个月的提供自成立日以来的依法缴纳税收和社会保险的证明，依法免税和免缴纳社会保障金的须提供依法免缴纳证明）；</w:t>
            </w:r>
          </w:p>
          <w:p w14:paraId="297E3571">
            <w:pPr>
              <w:wordWrap w:val="0"/>
              <w:adjustRightInd w:val="0"/>
              <w:spacing w:line="340" w:lineRule="exact"/>
              <w:ind w:left="0" w:leftChars="0" w:firstLine="0" w:firstLineChars="0"/>
              <w:jc w:val="left"/>
              <w:textAlignment w:val="baseline"/>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⑤供应商参加政府采购活动前三年内，在经营活动中没有重大违法记录（提供声明函）；</w:t>
            </w:r>
          </w:p>
          <w:p w14:paraId="312B3B86">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4、其他说明</w:t>
            </w:r>
          </w:p>
          <w:p w14:paraId="37CB6B2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4.1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p>
          <w:p w14:paraId="71B4C6C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4.2供应商在中标（成交）后，应将上述由信用承诺函替代的证明材料提交采购人核验，经核验无误后，由采购人发出中标（成交）通知书。</w:t>
            </w:r>
          </w:p>
        </w:tc>
      </w:tr>
      <w:tr w14:paraId="50B8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097730A6">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w:t>
            </w:r>
          </w:p>
        </w:tc>
        <w:tc>
          <w:tcPr>
            <w:tcW w:w="2416" w:type="dxa"/>
            <w:tcBorders>
              <w:top w:val="single" w:color="auto" w:sz="4" w:space="0"/>
            </w:tcBorders>
            <w:vAlign w:val="center"/>
          </w:tcPr>
          <w:p w14:paraId="7AAAE2E6">
            <w:pPr>
              <w:wordWrap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是否接受联合体</w:t>
            </w:r>
          </w:p>
        </w:tc>
        <w:tc>
          <w:tcPr>
            <w:tcW w:w="6392" w:type="dxa"/>
            <w:tcBorders>
              <w:top w:val="single" w:color="auto" w:sz="4" w:space="0"/>
            </w:tcBorders>
            <w:vAlign w:val="center"/>
          </w:tcPr>
          <w:p w14:paraId="3800268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不接受</w:t>
            </w:r>
          </w:p>
        </w:tc>
      </w:tr>
      <w:tr w14:paraId="14FD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4F6A97B5">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9</w:t>
            </w:r>
          </w:p>
        </w:tc>
        <w:tc>
          <w:tcPr>
            <w:tcW w:w="2416" w:type="dxa"/>
            <w:tcBorders>
              <w:top w:val="single" w:color="auto" w:sz="4" w:space="0"/>
            </w:tcBorders>
            <w:vAlign w:val="center"/>
          </w:tcPr>
          <w:p w14:paraId="1B642187">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现场踏勘</w:t>
            </w:r>
          </w:p>
        </w:tc>
        <w:tc>
          <w:tcPr>
            <w:tcW w:w="6392" w:type="dxa"/>
            <w:tcBorders>
              <w:top w:val="single" w:color="auto" w:sz="4" w:space="0"/>
            </w:tcBorders>
            <w:vAlign w:val="center"/>
          </w:tcPr>
          <w:p w14:paraId="5D52BC7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自行踏勘</w:t>
            </w:r>
          </w:p>
        </w:tc>
      </w:tr>
      <w:tr w14:paraId="2514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45DCACD3">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10</w:t>
            </w:r>
          </w:p>
        </w:tc>
        <w:tc>
          <w:tcPr>
            <w:tcW w:w="2416" w:type="dxa"/>
            <w:tcBorders>
              <w:top w:val="single" w:color="auto" w:sz="4" w:space="0"/>
            </w:tcBorders>
            <w:vAlign w:val="center"/>
          </w:tcPr>
          <w:p w14:paraId="507172AB">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w:t>
            </w:r>
          </w:p>
        </w:tc>
        <w:tc>
          <w:tcPr>
            <w:tcW w:w="6392" w:type="dxa"/>
            <w:tcBorders>
              <w:top w:val="single" w:color="auto" w:sz="4" w:space="0"/>
            </w:tcBorders>
            <w:vAlign w:val="center"/>
          </w:tcPr>
          <w:p w14:paraId="544B0EB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不允许分包</w:t>
            </w:r>
          </w:p>
        </w:tc>
      </w:tr>
      <w:tr w14:paraId="1170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5AAC8DBB">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2416" w:type="dxa"/>
            <w:tcBorders>
              <w:top w:val="single" w:color="auto" w:sz="4" w:space="0"/>
            </w:tcBorders>
            <w:vAlign w:val="center"/>
          </w:tcPr>
          <w:p w14:paraId="3441C9A8">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构成磋商文件</w:t>
            </w:r>
          </w:p>
          <w:p w14:paraId="3B26B244">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的其他材料</w:t>
            </w:r>
          </w:p>
        </w:tc>
        <w:tc>
          <w:tcPr>
            <w:tcW w:w="6392" w:type="dxa"/>
            <w:tcBorders>
              <w:top w:val="single" w:color="auto" w:sz="4" w:space="0"/>
            </w:tcBorders>
            <w:vAlign w:val="center"/>
          </w:tcPr>
          <w:p w14:paraId="6961EEE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除磋商文件外，采购人在磋商期间发出的澄清、修改、补充、补遗和其它有效正式函件等内容均是磋商文件的组成部分</w:t>
            </w:r>
          </w:p>
        </w:tc>
      </w:tr>
      <w:tr w14:paraId="0AF4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5F60A017">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2</w:t>
            </w:r>
          </w:p>
        </w:tc>
        <w:tc>
          <w:tcPr>
            <w:tcW w:w="2416" w:type="dxa"/>
            <w:tcBorders>
              <w:top w:val="single" w:color="auto" w:sz="4" w:space="0"/>
            </w:tcBorders>
            <w:vAlign w:val="center"/>
          </w:tcPr>
          <w:p w14:paraId="5EF42DF8">
            <w:pPr>
              <w:wordWrap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采购人澄清磋商文件的截止时间</w:t>
            </w:r>
          </w:p>
        </w:tc>
        <w:tc>
          <w:tcPr>
            <w:tcW w:w="6392" w:type="dxa"/>
            <w:tcBorders>
              <w:top w:val="single" w:color="auto" w:sz="4" w:space="0"/>
            </w:tcBorders>
            <w:vAlign w:val="center"/>
          </w:tcPr>
          <w:p w14:paraId="783EE24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递交响应文件截止之日5天前</w:t>
            </w:r>
          </w:p>
        </w:tc>
      </w:tr>
      <w:tr w14:paraId="155C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300D81D5">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2416" w:type="dxa"/>
            <w:tcBorders>
              <w:top w:val="single" w:color="auto" w:sz="4" w:space="0"/>
            </w:tcBorders>
            <w:vAlign w:val="center"/>
          </w:tcPr>
          <w:p w14:paraId="755F882D">
            <w:pPr>
              <w:wordWrap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供应商确认收到磋商文件澄清的时间</w:t>
            </w:r>
          </w:p>
        </w:tc>
        <w:tc>
          <w:tcPr>
            <w:tcW w:w="6392" w:type="dxa"/>
            <w:tcBorders>
              <w:top w:val="single" w:color="auto" w:sz="4" w:space="0"/>
            </w:tcBorders>
            <w:vAlign w:val="center"/>
          </w:tcPr>
          <w:p w14:paraId="6F7BBAE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在收到相应澄清文件后 24 小时内</w:t>
            </w:r>
          </w:p>
        </w:tc>
      </w:tr>
      <w:tr w14:paraId="4560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28474A26">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p>
        </w:tc>
        <w:tc>
          <w:tcPr>
            <w:tcW w:w="2416" w:type="dxa"/>
            <w:tcBorders>
              <w:top w:val="single" w:color="auto" w:sz="4" w:space="0"/>
            </w:tcBorders>
            <w:vAlign w:val="center"/>
          </w:tcPr>
          <w:p w14:paraId="2D13E8FF">
            <w:pPr>
              <w:wordWrap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供应商确认收到磋商文件修改的时间</w:t>
            </w:r>
          </w:p>
        </w:tc>
        <w:tc>
          <w:tcPr>
            <w:tcW w:w="6392" w:type="dxa"/>
            <w:tcBorders>
              <w:top w:val="single" w:color="auto" w:sz="4" w:space="0"/>
            </w:tcBorders>
            <w:vAlign w:val="center"/>
          </w:tcPr>
          <w:p w14:paraId="3BA71A9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在收到相应修改文件后 24 小时内</w:t>
            </w:r>
          </w:p>
        </w:tc>
      </w:tr>
      <w:tr w14:paraId="6E24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vAlign w:val="center"/>
          </w:tcPr>
          <w:p w14:paraId="0E50107D">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w:t>
            </w:r>
          </w:p>
        </w:tc>
        <w:tc>
          <w:tcPr>
            <w:tcW w:w="2416" w:type="dxa"/>
            <w:tcBorders>
              <w:bottom w:val="single" w:color="auto" w:sz="4" w:space="0"/>
            </w:tcBorders>
            <w:vAlign w:val="center"/>
          </w:tcPr>
          <w:p w14:paraId="43CDF5F2">
            <w:pPr>
              <w:wordWrap w:val="0"/>
              <w:autoSpaceDE w:val="0"/>
              <w:autoSpaceDN w:val="0"/>
              <w:adjustRightInd w:val="0"/>
              <w:spacing w:before="72" w:beforeLines="30" w:line="288" w:lineRule="auto"/>
              <w:ind w:left="18" w:leftChars="0" w:right="21" w:rightChars="10" w:hanging="18" w:hangingChars="8"/>
              <w:jc w:val="center"/>
              <w:rPr>
                <w:rFonts w:hint="eastAsia" w:asciiTheme="minorEastAsia" w:hAnsiTheme="minorEastAsia" w:eastAsiaTheme="minorEastAsia" w:cstheme="minorEastAsia"/>
                <w:spacing w:val="-6"/>
                <w:kern w:val="0"/>
                <w:sz w:val="24"/>
                <w:szCs w:val="24"/>
              </w:rPr>
            </w:pPr>
            <w:r>
              <w:rPr>
                <w:rFonts w:hint="eastAsia" w:asciiTheme="minorEastAsia" w:hAnsiTheme="minorEastAsia" w:eastAsiaTheme="minorEastAsia" w:cstheme="minorEastAsia"/>
                <w:spacing w:val="-6"/>
                <w:kern w:val="0"/>
                <w:sz w:val="24"/>
                <w:szCs w:val="24"/>
              </w:rPr>
              <w:t>构成响应文件的其他材料</w:t>
            </w:r>
          </w:p>
        </w:tc>
        <w:tc>
          <w:tcPr>
            <w:tcW w:w="6392" w:type="dxa"/>
            <w:tcBorders>
              <w:bottom w:val="single" w:color="auto" w:sz="4" w:space="0"/>
            </w:tcBorders>
            <w:vAlign w:val="center"/>
          </w:tcPr>
          <w:p w14:paraId="190ACE0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供应商认为其他所需要补充的内容</w:t>
            </w:r>
          </w:p>
        </w:tc>
      </w:tr>
      <w:tr w14:paraId="1A21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2BEA7521">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w:t>
            </w:r>
          </w:p>
        </w:tc>
        <w:tc>
          <w:tcPr>
            <w:tcW w:w="2416" w:type="dxa"/>
            <w:vAlign w:val="center"/>
          </w:tcPr>
          <w:p w14:paraId="0425E726">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磋商报价</w:t>
            </w:r>
          </w:p>
        </w:tc>
        <w:tc>
          <w:tcPr>
            <w:tcW w:w="6392" w:type="dxa"/>
            <w:vAlign w:val="center"/>
          </w:tcPr>
          <w:p w14:paraId="2EB751D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自主报价，超出最高限价的文件为无效文件</w:t>
            </w:r>
          </w:p>
        </w:tc>
      </w:tr>
      <w:tr w14:paraId="4233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371ACAB8">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val="en-US" w:eastAsia="zh-CN"/>
              </w:rPr>
              <w:t>.1</w:t>
            </w:r>
          </w:p>
        </w:tc>
        <w:tc>
          <w:tcPr>
            <w:tcW w:w="2416" w:type="dxa"/>
            <w:vAlign w:val="center"/>
          </w:tcPr>
          <w:p w14:paraId="63839912">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磋商有效期</w:t>
            </w:r>
          </w:p>
        </w:tc>
        <w:tc>
          <w:tcPr>
            <w:tcW w:w="6392" w:type="dxa"/>
            <w:vAlign w:val="center"/>
          </w:tcPr>
          <w:p w14:paraId="0DF58A2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60日历天（从磋商截止之日算起）</w:t>
            </w:r>
          </w:p>
        </w:tc>
      </w:tr>
      <w:tr w14:paraId="407C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6" w:type="dxa"/>
            <w:vAlign w:val="center"/>
          </w:tcPr>
          <w:p w14:paraId="55F7FBC9">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7.3</w:t>
            </w:r>
          </w:p>
        </w:tc>
        <w:tc>
          <w:tcPr>
            <w:tcW w:w="2416" w:type="dxa"/>
            <w:vAlign w:val="center"/>
          </w:tcPr>
          <w:p w14:paraId="6B2F8693">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响应文件签字和盖章要求</w:t>
            </w:r>
          </w:p>
        </w:tc>
        <w:tc>
          <w:tcPr>
            <w:tcW w:w="6392" w:type="dxa"/>
            <w:vAlign w:val="center"/>
          </w:tcPr>
          <w:p w14:paraId="42EE223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1、响应文件格式中所有要求供应商加盖公章的地方都须加盖供应商的 CA 印章。</w:t>
            </w:r>
          </w:p>
          <w:p w14:paraId="4AAAAB8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2、所有要求法定代表人或其委托代理人签字的地方都须法定代表人或其委托代理人加盖CA印章或签字。</w:t>
            </w:r>
          </w:p>
        </w:tc>
      </w:tr>
      <w:tr w14:paraId="7C1E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vAlign w:val="center"/>
          </w:tcPr>
          <w:p w14:paraId="48DF6DC3">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7.4</w:t>
            </w:r>
          </w:p>
        </w:tc>
        <w:tc>
          <w:tcPr>
            <w:tcW w:w="2416" w:type="dxa"/>
            <w:vAlign w:val="center"/>
          </w:tcPr>
          <w:p w14:paraId="75B0E108">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响应文件份数及其他要求</w:t>
            </w:r>
          </w:p>
        </w:tc>
        <w:tc>
          <w:tcPr>
            <w:tcW w:w="6392" w:type="dxa"/>
            <w:vAlign w:val="center"/>
          </w:tcPr>
          <w:p w14:paraId="72F8462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加密的电子响应文件壹份（*.XYTF 格式，在会员系统指定位置上传）</w:t>
            </w:r>
          </w:p>
        </w:tc>
      </w:tr>
      <w:tr w14:paraId="2E94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vAlign w:val="center"/>
          </w:tcPr>
          <w:p w14:paraId="3BC6032A">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3334F493">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响应文件递交</w:t>
            </w:r>
          </w:p>
        </w:tc>
        <w:tc>
          <w:tcPr>
            <w:tcW w:w="6392" w:type="dxa"/>
            <w:vAlign w:val="center"/>
          </w:tcPr>
          <w:p w14:paraId="6930FC0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1、电子响应文件的递交</w:t>
            </w:r>
          </w:p>
          <w:p w14:paraId="27A455F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各供应商应在投标截止时间前上传加密的电子响应文件（**.XYTF）到会员系统的指定位置。上传时必须得到交易系统“上传成功”的确认回复后方为上传成功。请供应商在上传前务必认真检查上传响应文件是否完整、正确。</w:t>
            </w:r>
          </w:p>
          <w:p w14:paraId="72741C6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本项目采用“不见面开标”交易方式，不见面开标大厅网址为https://ggzyjy.xinyang.gov.cn/BidOpening/bidhall/xinyang/login.html，供应商无需寄送和递交非加密的电子响应文件，无需到现场参加开标会议，无需到达现场提交原件资料。</w:t>
            </w:r>
          </w:p>
        </w:tc>
      </w:tr>
      <w:tr w14:paraId="621D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42D91E0A">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2416" w:type="dxa"/>
            <w:vAlign w:val="center"/>
          </w:tcPr>
          <w:p w14:paraId="27213F7B">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提交响应文件截止时间</w:t>
            </w:r>
          </w:p>
        </w:tc>
        <w:tc>
          <w:tcPr>
            <w:tcW w:w="6392" w:type="dxa"/>
            <w:vAlign w:val="center"/>
          </w:tcPr>
          <w:p w14:paraId="14F09434">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2026年6月26日08时30分</w:t>
            </w:r>
          </w:p>
        </w:tc>
      </w:tr>
      <w:tr w14:paraId="19DA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396E3FF1">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2</w:t>
            </w:r>
          </w:p>
        </w:tc>
        <w:tc>
          <w:tcPr>
            <w:tcW w:w="2416" w:type="dxa"/>
            <w:vAlign w:val="center"/>
          </w:tcPr>
          <w:p w14:paraId="0734A2E0">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磋商时间和地点</w:t>
            </w:r>
          </w:p>
        </w:tc>
        <w:tc>
          <w:tcPr>
            <w:tcW w:w="6392" w:type="dxa"/>
            <w:vAlign w:val="center"/>
          </w:tcPr>
          <w:p w14:paraId="48897FFC">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磋商时间：同响应文件提交截止时间</w:t>
            </w:r>
          </w:p>
          <w:p w14:paraId="4430732E">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磋商地点：固始县公共资源交易中心六楼不见面第三开标室</w:t>
            </w:r>
          </w:p>
        </w:tc>
      </w:tr>
      <w:tr w14:paraId="1278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3AD0FEC3">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6.1</w:t>
            </w:r>
          </w:p>
        </w:tc>
        <w:tc>
          <w:tcPr>
            <w:tcW w:w="2416" w:type="dxa"/>
            <w:vAlign w:val="center"/>
          </w:tcPr>
          <w:p w14:paraId="55E1001A">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评标委员会的组建</w:t>
            </w:r>
          </w:p>
        </w:tc>
        <w:tc>
          <w:tcPr>
            <w:tcW w:w="6392" w:type="dxa"/>
            <w:vAlign w:val="center"/>
          </w:tcPr>
          <w:p w14:paraId="5A33116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磋商小组构成：3人，其中业主评委1人，技术、经济类专家2人；</w:t>
            </w:r>
          </w:p>
          <w:p w14:paraId="3BB122F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专家确定方式：磋商前从政府采购专家库中随机抽取。</w:t>
            </w:r>
          </w:p>
        </w:tc>
      </w:tr>
      <w:tr w14:paraId="670C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vAlign w:val="center"/>
          </w:tcPr>
          <w:p w14:paraId="0DAEB5EF">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7.1</w:t>
            </w:r>
          </w:p>
        </w:tc>
        <w:tc>
          <w:tcPr>
            <w:tcW w:w="2416" w:type="dxa"/>
            <w:vAlign w:val="center"/>
          </w:tcPr>
          <w:p w14:paraId="4C271C2D">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是否授权评标委员会确定中标人</w:t>
            </w:r>
          </w:p>
        </w:tc>
        <w:tc>
          <w:tcPr>
            <w:tcW w:w="6392" w:type="dxa"/>
            <w:vAlign w:val="center"/>
          </w:tcPr>
          <w:p w14:paraId="373B901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否，推荐1-3名中标候选人。</w:t>
            </w:r>
          </w:p>
        </w:tc>
      </w:tr>
      <w:tr w14:paraId="232D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71CE3BAE">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41942F4">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履约保证金</w:t>
            </w:r>
          </w:p>
        </w:tc>
        <w:tc>
          <w:tcPr>
            <w:tcW w:w="6392" w:type="dxa"/>
            <w:vAlign w:val="center"/>
          </w:tcPr>
          <w:p w14:paraId="416D80E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无</w:t>
            </w:r>
          </w:p>
        </w:tc>
      </w:tr>
      <w:tr w14:paraId="1561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016D435D">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10.1</w:t>
            </w:r>
          </w:p>
        </w:tc>
        <w:tc>
          <w:tcPr>
            <w:tcW w:w="2416" w:type="dxa"/>
            <w:vAlign w:val="center"/>
          </w:tcPr>
          <w:p w14:paraId="254DB6BE">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付款方式</w:t>
            </w:r>
          </w:p>
        </w:tc>
        <w:tc>
          <w:tcPr>
            <w:tcW w:w="6392" w:type="dxa"/>
            <w:vAlign w:val="center"/>
          </w:tcPr>
          <w:p w14:paraId="3D2A27B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由采购人和中标供应商在合同中约定</w:t>
            </w:r>
          </w:p>
        </w:tc>
      </w:tr>
      <w:tr w14:paraId="7117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16" w:type="dxa"/>
            <w:vAlign w:val="center"/>
          </w:tcPr>
          <w:p w14:paraId="023A1E78">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10.2</w:t>
            </w:r>
          </w:p>
        </w:tc>
        <w:tc>
          <w:tcPr>
            <w:tcW w:w="2416" w:type="dxa"/>
            <w:vAlign w:val="center"/>
          </w:tcPr>
          <w:p w14:paraId="702A4ADB">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rPr>
              <w:t>本项目所属行业</w:t>
            </w:r>
          </w:p>
        </w:tc>
        <w:tc>
          <w:tcPr>
            <w:tcW w:w="6392" w:type="dxa"/>
            <w:vAlign w:val="center"/>
          </w:tcPr>
          <w:p w14:paraId="73CF83F9">
            <w:pPr>
              <w:wordWrap w:val="0"/>
              <w:adjustRightInd w:val="0"/>
              <w:spacing w:line="340" w:lineRule="exact"/>
              <w:ind w:left="0" w:leftChars="0" w:firstLine="0" w:firstLineChars="0"/>
              <w:jc w:val="left"/>
              <w:textAlignment w:val="baseline"/>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工业</w:t>
            </w:r>
          </w:p>
        </w:tc>
      </w:tr>
      <w:tr w14:paraId="45C1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4C7AA7E9">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10.3</w:t>
            </w:r>
          </w:p>
        </w:tc>
        <w:tc>
          <w:tcPr>
            <w:tcW w:w="2416" w:type="dxa"/>
            <w:vAlign w:val="center"/>
          </w:tcPr>
          <w:p w14:paraId="59589C35">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本项目核心产品</w:t>
            </w:r>
          </w:p>
        </w:tc>
        <w:tc>
          <w:tcPr>
            <w:tcW w:w="6392" w:type="dxa"/>
            <w:vAlign w:val="center"/>
          </w:tcPr>
          <w:p w14:paraId="42CA1CE2">
            <w:pPr>
              <w:wordWrap w:val="0"/>
              <w:adjustRightInd w:val="0"/>
              <w:spacing w:line="340" w:lineRule="exact"/>
              <w:ind w:left="0" w:leftChars="0" w:firstLine="0" w:firstLineChars="0"/>
              <w:jc w:val="left"/>
              <w:textAlignment w:val="baseline"/>
              <w:rPr>
                <w:rFonts w:hint="default"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通信指挥车</w:t>
            </w:r>
          </w:p>
        </w:tc>
      </w:tr>
      <w:tr w14:paraId="12ED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24" w:type="dxa"/>
            <w:gridSpan w:val="3"/>
            <w:vAlign w:val="center"/>
          </w:tcPr>
          <w:p w14:paraId="0D6E0E4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需要补充的其他内容</w:t>
            </w:r>
          </w:p>
        </w:tc>
      </w:tr>
      <w:tr w14:paraId="7BE0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109DEA49">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解释权</w:t>
            </w:r>
          </w:p>
        </w:tc>
        <w:tc>
          <w:tcPr>
            <w:tcW w:w="6392" w:type="dxa"/>
            <w:vAlign w:val="center"/>
          </w:tcPr>
          <w:p w14:paraId="09FC3F8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2C9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736BEECB">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质疑（异议）、投诉</w:t>
            </w:r>
          </w:p>
        </w:tc>
        <w:tc>
          <w:tcPr>
            <w:tcW w:w="6392" w:type="dxa"/>
            <w:vAlign w:val="center"/>
          </w:tcPr>
          <w:p w14:paraId="57F6AFA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和其他利害关系人认为本次招标活动违反法律、法规和规章规定的，可以自知道或者应当知道之日起10日内；供应商对采购文件、采购过程、中标或者成交结果的有质疑（异议），可以在知道或者应知其权益受到损害之日起7个工作日内；在固始县公共资源交易平台上网上质疑（异议）、投诉通道一次性提出（在线上质疑（异议）、投诉的同时，供应商也可向招标人或招标代理机构提供书面申请）。</w:t>
            </w:r>
          </w:p>
          <w:p w14:paraId="053F08A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操作流程详见</w:t>
            </w:r>
          </w:p>
          <w:p w14:paraId="287AC10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“质疑流程https://ggzyjy.xinyang.gov.cn/gushi//xzjd/001001/20230424/24338233-8372-48ba-9519-a74188f109aa.html”</w:t>
            </w:r>
          </w:p>
          <w:p w14:paraId="6A022BD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“投诉流程https://ggzyjy.xinyang.gov.cn/gushi//xzjd/001001/20230421/d6715f40-071e-4cb1-acf3-26d64cf67d8a.html”。采购人或采购代理机构不接受投标人对同一采购环节的多次质疑。</w:t>
            </w:r>
          </w:p>
        </w:tc>
      </w:tr>
      <w:tr w14:paraId="73FF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75F1B079">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标书雷同性分析</w:t>
            </w:r>
          </w:p>
        </w:tc>
        <w:tc>
          <w:tcPr>
            <w:tcW w:w="6392" w:type="dxa"/>
            <w:vAlign w:val="center"/>
          </w:tcPr>
          <w:p w14:paraId="1304D270">
            <w:pPr>
              <w:wordWrap w:val="0"/>
              <w:adjustRightInd w:val="0"/>
              <w:spacing w:line="340" w:lineRule="exact"/>
              <w:ind w:left="0" w:leftChars="0" w:firstLine="0" w:firstLineChars="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文件制作机器码、文件创建标识码有相同的按废标处理。</w:t>
            </w:r>
          </w:p>
        </w:tc>
      </w:tr>
      <w:tr w14:paraId="2876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1AA21D9B">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w:t>
            </w:r>
          </w:p>
        </w:tc>
        <w:tc>
          <w:tcPr>
            <w:tcW w:w="6392" w:type="dxa"/>
            <w:vAlign w:val="center"/>
          </w:tcPr>
          <w:p w14:paraId="3AB05559">
            <w:pPr>
              <w:wordWrap w:val="0"/>
              <w:adjustRightInd w:val="0"/>
              <w:spacing w:line="340" w:lineRule="exact"/>
              <w:ind w:left="0" w:leftChars="0" w:firstLine="0" w:firstLineChars="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按照政府采购法及其条例规定，本项目由固始县政府集中采购部门免费代理。中标方不需要交纳代理服务费。</w:t>
            </w:r>
          </w:p>
        </w:tc>
      </w:tr>
      <w:tr w14:paraId="0408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5FDAD680">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bookmarkStart w:id="14" w:name="_Toc16296"/>
            <w:bookmarkStart w:id="15" w:name="_Toc27364"/>
            <w:bookmarkStart w:id="16" w:name="_Toc3568"/>
            <w:bookmarkStart w:id="17" w:name="_Toc195921851"/>
            <w:r>
              <w:rPr>
                <w:rFonts w:hint="eastAsia" w:asciiTheme="minorEastAsia" w:hAnsiTheme="minorEastAsia" w:eastAsiaTheme="minorEastAsia" w:cstheme="minorEastAsia"/>
                <w:sz w:val="24"/>
                <w:szCs w:val="24"/>
                <w:lang w:eastAsia="zh-CN"/>
              </w:rPr>
              <w:t>相同品牌产品的处理</w:t>
            </w:r>
          </w:p>
        </w:tc>
        <w:tc>
          <w:tcPr>
            <w:tcW w:w="6392" w:type="dxa"/>
            <w:vAlign w:val="center"/>
          </w:tcPr>
          <w:p w14:paraId="046853C9">
            <w:pPr>
              <w:wordWrap w:val="0"/>
              <w:adjustRightInd w:val="0"/>
              <w:spacing w:line="340" w:lineRule="exact"/>
              <w:ind w:left="-59" w:leftChars="-38" w:hanging="21" w:hangingChars="1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提供相同品牌产品且通过资格审查、符合性审查的不同供应商参加同一合同项目投标的，按一家供应商计算，评审后得分最高的同品牌供应商获得中标人推荐资格；评审得分相同的，确定报价较低的一个供应商获得中标人推荐资格；</w:t>
            </w:r>
          </w:p>
          <w:p w14:paraId="688189A8">
            <w:pPr>
              <w:wordWrap w:val="0"/>
              <w:adjustRightInd w:val="0"/>
              <w:spacing w:line="340" w:lineRule="exact"/>
              <w:ind w:left="-59" w:leftChars="-38" w:hanging="21" w:hangingChars="1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2、提供相同品牌产品且通过资格审查、符合性审查的不同供应商参加同一合同项目投标的，已确定中标候选人的其他同品牌供应商不再推荐为中标候选人。</w:t>
            </w:r>
          </w:p>
          <w:p w14:paraId="135B695A">
            <w:pPr>
              <w:wordWrap w:val="0"/>
              <w:adjustRightInd w:val="0"/>
              <w:spacing w:line="340" w:lineRule="exact"/>
              <w:ind w:left="-59" w:leftChars="-38" w:hanging="21" w:hangingChars="1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3、非单一产品采购项目，多家供应商提供的核心产品品牌相同的，视为提供相同品牌产品。</w:t>
            </w:r>
          </w:p>
        </w:tc>
      </w:tr>
    </w:tbl>
    <w:p w14:paraId="70D2EE2D">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1.总则</w:t>
      </w:r>
      <w:bookmarkEnd w:id="14"/>
      <w:bookmarkEnd w:id="15"/>
      <w:bookmarkStart w:id="18" w:name="_Toc9136"/>
      <w:bookmarkStart w:id="19" w:name="_Toc455867769"/>
      <w:bookmarkStart w:id="20" w:name="_Toc21266"/>
      <w:bookmarkStart w:id="21" w:name="_Toc658"/>
      <w:bookmarkStart w:id="22" w:name="_Toc10273"/>
      <w:bookmarkStart w:id="23" w:name="_Toc29023"/>
      <w:bookmarkStart w:id="24" w:name="_Toc466298092"/>
      <w:bookmarkStart w:id="25" w:name="_Toc1172"/>
      <w:bookmarkStart w:id="26" w:name="_Toc21458"/>
      <w:bookmarkStart w:id="27" w:name="_Toc274409866"/>
      <w:bookmarkStart w:id="28" w:name="_Toc281380952"/>
      <w:bookmarkStart w:id="29" w:name="_Toc455080109"/>
      <w:bookmarkStart w:id="30" w:name="_Toc31404"/>
      <w:bookmarkStart w:id="31" w:name="_Toc318450675"/>
      <w:bookmarkStart w:id="32" w:name="_Toc490667828"/>
      <w:bookmarkStart w:id="33" w:name="_Toc20827"/>
      <w:bookmarkStart w:id="34" w:name="_Toc6747"/>
      <w:bookmarkStart w:id="35" w:name="_Toc15709"/>
      <w:bookmarkStart w:id="36" w:name="_Toc152045531"/>
      <w:bookmarkStart w:id="37" w:name="_Toc144974499"/>
      <w:bookmarkStart w:id="38" w:name="_Toc152042307"/>
    </w:p>
    <w:p w14:paraId="69D1398F">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 xml:space="preserve">1.1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Theme="minorEastAsia" w:hAnsiTheme="minorEastAsia" w:eastAsiaTheme="minorEastAsia" w:cstheme="minorEastAsia"/>
          <w:b/>
          <w:bCs/>
          <w:sz w:val="24"/>
          <w:szCs w:val="24"/>
          <w:lang w:val="en-US" w:eastAsia="zh-CN"/>
        </w:rPr>
        <w:t>采购项目概括</w:t>
      </w:r>
    </w:p>
    <w:p w14:paraId="304A63A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根据《中华人民共和国政府采购法》、《中华人民共和国政府采购法实施条例》、《政府采购竞争性磋商采购方式管理暂行办法》等有关法律、法规和规章的规定，编制本项目磋商文件。</w:t>
      </w:r>
      <w:bookmarkStart w:id="39" w:name="_Toc31929"/>
      <w:bookmarkStart w:id="40" w:name="_Toc10269"/>
      <w:bookmarkStart w:id="41" w:name="_Toc710"/>
      <w:bookmarkStart w:id="42" w:name="_Toc3336"/>
      <w:bookmarkStart w:id="43" w:name="_Toc30891"/>
      <w:bookmarkStart w:id="44" w:name="_Toc281405468"/>
      <w:bookmarkStart w:id="45" w:name="_Toc7237"/>
      <w:bookmarkStart w:id="46" w:name="_Toc24852"/>
      <w:bookmarkStart w:id="47" w:name="_Toc490667829"/>
      <w:bookmarkStart w:id="48" w:name="_Toc466298093"/>
      <w:bookmarkStart w:id="49" w:name="_Toc274409867"/>
      <w:bookmarkStart w:id="50" w:name="_Toc2929"/>
      <w:bookmarkStart w:id="51" w:name="_Toc32619"/>
      <w:bookmarkStart w:id="52" w:name="_Toc318450676"/>
      <w:bookmarkStart w:id="53" w:name="_Toc455080110"/>
      <w:bookmarkStart w:id="54" w:name="_Toc25773"/>
      <w:bookmarkStart w:id="55" w:name="_Toc455867770"/>
      <w:bookmarkStart w:id="56" w:name="_Toc10556"/>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ACCDE0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本项目采购人：见供应商须知前附表。</w:t>
      </w:r>
    </w:p>
    <w:p w14:paraId="5F2BF92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本项目采购代理机构：见供应商须知前附表。</w:t>
      </w:r>
    </w:p>
    <w:p w14:paraId="382D69C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本项目名称：见供应商须知前附表。</w:t>
      </w:r>
    </w:p>
    <w:p w14:paraId="645D014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本项目采购方式：见供应商须知前附表。</w:t>
      </w:r>
    </w:p>
    <w:p w14:paraId="71DC773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本项目预算价（最高限价）：见供应商须知前附表。</w:t>
      </w:r>
      <w:bookmarkStart w:id="57" w:name="_Toc17016"/>
      <w:bookmarkStart w:id="58" w:name="_Toc455867771"/>
      <w:bookmarkStart w:id="59" w:name="_Toc17146"/>
      <w:bookmarkStart w:id="60" w:name="_Toc1373"/>
      <w:bookmarkStart w:id="61" w:name="_Toc274409868"/>
      <w:bookmarkStart w:id="62" w:name="_Toc490667830"/>
      <w:bookmarkStart w:id="63" w:name="_Toc18960"/>
      <w:bookmarkStart w:id="64" w:name="_Toc4122"/>
      <w:bookmarkStart w:id="65" w:name="_Toc281405469"/>
      <w:bookmarkStart w:id="66" w:name="_Toc466298094"/>
      <w:bookmarkStart w:id="67" w:name="_Toc4952"/>
      <w:bookmarkStart w:id="68" w:name="_Toc22979"/>
      <w:bookmarkStart w:id="69" w:name="_Toc4563"/>
      <w:bookmarkStart w:id="70" w:name="_Toc318450677"/>
      <w:bookmarkStart w:id="71" w:name="_Toc455080111"/>
      <w:bookmarkStart w:id="72" w:name="_Toc16931"/>
      <w:bookmarkStart w:id="73" w:name="_Toc3477"/>
      <w:bookmarkStart w:id="74" w:name="_Toc2415"/>
    </w:p>
    <w:p w14:paraId="4CBD7954">
      <w:pPr>
        <w:wordWrap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 xml:space="preserve"> 采购项目的资金来源及付款方式</w:t>
      </w:r>
    </w:p>
    <w:p w14:paraId="171E29E5">
      <w:pPr>
        <w:wordWrap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1.2.1资金来源：</w:t>
      </w:r>
      <w:r>
        <w:rPr>
          <w:rFonts w:hint="eastAsia" w:asciiTheme="minorEastAsia" w:hAnsiTheme="minorEastAsia" w:eastAsiaTheme="minorEastAsia" w:cstheme="minorEastAsia"/>
          <w:sz w:val="24"/>
          <w:szCs w:val="24"/>
        </w:rPr>
        <w:t>见供应商须知前附表。</w:t>
      </w:r>
    </w:p>
    <w:p w14:paraId="174ED4D2">
      <w:pPr>
        <w:wordWrap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1.2.2出资比例：</w:t>
      </w:r>
      <w:r>
        <w:rPr>
          <w:rFonts w:hint="eastAsia" w:asciiTheme="minorEastAsia" w:hAnsiTheme="minorEastAsia" w:eastAsiaTheme="minorEastAsia" w:cstheme="minorEastAsia"/>
          <w:sz w:val="24"/>
          <w:szCs w:val="24"/>
        </w:rPr>
        <w:t>见供应商须知前附表。</w:t>
      </w:r>
    </w:p>
    <w:p w14:paraId="06AC93B9">
      <w:pPr>
        <w:wordWrap w:val="0"/>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1.2.3</w:t>
      </w:r>
      <w:r>
        <w:rPr>
          <w:rFonts w:hint="eastAsia" w:asciiTheme="minorEastAsia" w:hAnsiTheme="minorEastAsia" w:eastAsiaTheme="minorEastAsia" w:cstheme="minorEastAsia"/>
          <w:b w:val="0"/>
          <w:bCs/>
          <w:sz w:val="24"/>
          <w:szCs w:val="24"/>
        </w:rPr>
        <w:t>定义及解释</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7E4203A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采购人：依法进行政府采购的国家机关、事业单位、团体组织。</w:t>
      </w:r>
    </w:p>
    <w:p w14:paraId="3436A46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 xml:space="preserve"> 采购代理机构：取得政府采购招标代理资质，受采购人委托组织招标活动的社会中介组织。</w:t>
      </w:r>
    </w:p>
    <w:p w14:paraId="51DE32D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服务：系指根据本磋商文件规定供应商须承担的服务以及其他类似的义务等。</w:t>
      </w:r>
    </w:p>
    <w:p w14:paraId="7063422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供应商：供应商是响应磋商文件、参加磋商竞争的中华人民共和国境内的法人、其他组织。</w:t>
      </w:r>
    </w:p>
    <w:p w14:paraId="7EAE37E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响应文件：指供应商根据竞争性磋商文件提交的所有文件。</w:t>
      </w:r>
    </w:p>
    <w:p w14:paraId="46FAF1C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磋商小组：依据《中华人民共和国政府采购法》及有关法律、法规的规定依法组建的专门负责本次评标工作的临时机构。</w:t>
      </w:r>
    </w:p>
    <w:p w14:paraId="2389285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3.7</w:t>
      </w:r>
      <w:r>
        <w:rPr>
          <w:rFonts w:hint="eastAsia" w:asciiTheme="minorEastAsia" w:hAnsiTheme="minorEastAsia" w:eastAsiaTheme="minorEastAsia" w:cstheme="minorEastAsia"/>
          <w:sz w:val="24"/>
          <w:szCs w:val="24"/>
        </w:rPr>
        <w:t>偏离：响应文件的响应相对于竞争性磋商文件要求的偏差，该偏差优于竞争性磋商文件要求的为正偏离；劣于的，为负偏离。</w:t>
      </w:r>
    </w:p>
    <w:p w14:paraId="3BF2E2B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“日期”或“天”：指日历天。</w:t>
      </w:r>
    </w:p>
    <w:p w14:paraId="72B1997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3.9</w:t>
      </w:r>
      <w:r>
        <w:rPr>
          <w:rFonts w:hint="eastAsia" w:asciiTheme="minorEastAsia" w:hAnsiTheme="minorEastAsia" w:eastAsiaTheme="minorEastAsia" w:cstheme="minorEastAsia"/>
          <w:sz w:val="24"/>
          <w:szCs w:val="24"/>
        </w:rPr>
        <w:t xml:space="preserve"> 合同：指依据本次服务采购招标结果签订的协议或合约文件。</w:t>
      </w:r>
    </w:p>
    <w:p w14:paraId="4C31B74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3.10</w:t>
      </w:r>
      <w:r>
        <w:rPr>
          <w:rFonts w:hint="eastAsia" w:asciiTheme="minorEastAsia" w:hAnsiTheme="minorEastAsia" w:eastAsiaTheme="minorEastAsia" w:cstheme="minorEastAsia"/>
          <w:sz w:val="24"/>
          <w:szCs w:val="24"/>
        </w:rPr>
        <w:t>竞争性磋商文件中的标题或题名仅起引导作用，而不应视为对竞争性磋商文件内容的理解和解释。</w:t>
      </w:r>
      <w:bookmarkEnd w:id="36"/>
      <w:bookmarkEnd w:id="37"/>
      <w:bookmarkEnd w:id="38"/>
      <w:bookmarkStart w:id="75" w:name="_Toc19363"/>
      <w:bookmarkStart w:id="76" w:name="_Toc16470"/>
      <w:bookmarkStart w:id="77" w:name="_Toc455080112"/>
      <w:bookmarkStart w:id="78" w:name="_Toc12752"/>
      <w:bookmarkStart w:id="79" w:name="_Toc466298095"/>
      <w:bookmarkStart w:id="80" w:name="_Toc17808"/>
      <w:bookmarkStart w:id="81" w:name="_Toc14043"/>
      <w:bookmarkStart w:id="82" w:name="_Toc490667831"/>
      <w:bookmarkStart w:id="83" w:name="_Toc32236"/>
      <w:bookmarkStart w:id="84" w:name="_Toc27407"/>
      <w:bookmarkStart w:id="85" w:name="_Toc144974500"/>
      <w:bookmarkStart w:id="86" w:name="_Toc17908"/>
      <w:bookmarkStart w:id="87" w:name="_Toc455867772"/>
      <w:bookmarkStart w:id="88" w:name="_Toc152042308"/>
      <w:bookmarkStart w:id="89" w:name="_Toc10894"/>
      <w:bookmarkStart w:id="90" w:name="_Toc26189"/>
      <w:bookmarkStart w:id="91" w:name="_Toc21766"/>
      <w:bookmarkStart w:id="92" w:name="_Toc152045532"/>
      <w:bookmarkStart w:id="93" w:name="_Toc318450678"/>
    </w:p>
    <w:p w14:paraId="055B0D3A">
      <w:pPr>
        <w:wordWrap w:val="0"/>
        <w:spacing w:line="360" w:lineRule="auto"/>
        <w:ind w:firstLine="482" w:firstLineChars="200"/>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 xml:space="preserve"> 采购内容、</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Theme="minorEastAsia" w:hAnsiTheme="minorEastAsia" w:eastAsiaTheme="minorEastAsia" w:cstheme="minorEastAsia"/>
          <w:b/>
          <w:sz w:val="24"/>
          <w:szCs w:val="24"/>
          <w:lang w:val="en-US" w:eastAsia="zh-CN"/>
        </w:rPr>
        <w:t>供货期</w:t>
      </w:r>
      <w:r>
        <w:rPr>
          <w:rFonts w:hint="eastAsia" w:asciiTheme="minorEastAsia" w:hAnsiTheme="minorEastAsia" w:eastAsiaTheme="minorEastAsia" w:cstheme="minorEastAsia"/>
          <w:b/>
          <w:sz w:val="24"/>
          <w:szCs w:val="24"/>
        </w:rPr>
        <w:t>、质量要求</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质保期</w:t>
      </w:r>
    </w:p>
    <w:p w14:paraId="02C9A9D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本次采购内容：见供应商须知前附表。</w:t>
      </w:r>
    </w:p>
    <w:p w14:paraId="345EE99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本项目的</w:t>
      </w:r>
      <w:r>
        <w:rPr>
          <w:rFonts w:hint="eastAsia" w:asciiTheme="minorEastAsia" w:hAnsiTheme="minorEastAsia" w:eastAsiaTheme="minorEastAsia" w:cstheme="minorEastAsia"/>
          <w:sz w:val="24"/>
          <w:szCs w:val="24"/>
          <w:lang w:val="en-US" w:eastAsia="zh-CN"/>
        </w:rPr>
        <w:t>供货期</w:t>
      </w:r>
      <w:r>
        <w:rPr>
          <w:rFonts w:hint="eastAsia" w:asciiTheme="minorEastAsia" w:hAnsiTheme="minorEastAsia" w:eastAsiaTheme="minorEastAsia" w:cstheme="minorEastAsia"/>
          <w:sz w:val="24"/>
          <w:szCs w:val="24"/>
        </w:rPr>
        <w:t>：见供应商须知前附表。</w:t>
      </w:r>
    </w:p>
    <w:p w14:paraId="53268EC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.3 本项目的质量要求：见供应商须知前附表。</w:t>
      </w:r>
      <w:bookmarkStart w:id="94" w:name="_Toc318450679"/>
      <w:bookmarkStart w:id="95" w:name="_Toc152045534"/>
      <w:bookmarkStart w:id="96" w:name="_Toc152042310"/>
      <w:bookmarkStart w:id="97" w:name="_Toc144974502"/>
      <w:bookmarkStart w:id="98" w:name="_Toc455080113"/>
      <w:bookmarkStart w:id="99" w:name="_Toc10081"/>
      <w:bookmarkStart w:id="100" w:name="_Toc18689"/>
      <w:bookmarkStart w:id="101" w:name="_Toc466298096"/>
      <w:bookmarkStart w:id="102" w:name="_Toc455867773"/>
      <w:bookmarkStart w:id="103" w:name="_Toc18004"/>
      <w:bookmarkStart w:id="104" w:name="_Toc490667832"/>
      <w:bookmarkStart w:id="105" w:name="_Toc4711"/>
      <w:bookmarkStart w:id="106" w:name="_Toc11063"/>
      <w:bookmarkStart w:id="107" w:name="_Toc4301"/>
      <w:bookmarkStart w:id="108" w:name="_Toc7209"/>
      <w:bookmarkStart w:id="109" w:name="_Toc32156"/>
      <w:bookmarkStart w:id="110" w:name="_Toc5019"/>
      <w:bookmarkStart w:id="111" w:name="_Toc1602"/>
      <w:bookmarkStart w:id="112" w:name="_Toc22643"/>
    </w:p>
    <w:p w14:paraId="78C18A8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本项目的</w:t>
      </w:r>
      <w:r>
        <w:rPr>
          <w:rFonts w:hint="eastAsia" w:asciiTheme="minorEastAsia" w:hAnsiTheme="minorEastAsia" w:eastAsiaTheme="minorEastAsia" w:cstheme="minorEastAsia"/>
          <w:sz w:val="24"/>
          <w:szCs w:val="24"/>
          <w:lang w:val="en-US" w:eastAsia="zh-CN"/>
        </w:rPr>
        <w:t>质保期</w:t>
      </w:r>
      <w:r>
        <w:rPr>
          <w:rFonts w:hint="eastAsia" w:asciiTheme="minorEastAsia" w:hAnsiTheme="minorEastAsia" w:eastAsiaTheme="minorEastAsia" w:cstheme="minorEastAsia"/>
          <w:sz w:val="24"/>
          <w:szCs w:val="24"/>
        </w:rPr>
        <w:t>：见供应商须知前附表。</w:t>
      </w:r>
    </w:p>
    <w:p w14:paraId="2F189885">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 xml:space="preserve"> </w:t>
      </w:r>
      <w:bookmarkEnd w:id="94"/>
      <w:bookmarkEnd w:id="95"/>
      <w:bookmarkEnd w:id="96"/>
      <w:bookmarkEnd w:id="97"/>
      <w:r>
        <w:rPr>
          <w:rFonts w:hint="eastAsia" w:asciiTheme="minorEastAsia" w:hAnsiTheme="minorEastAsia" w:eastAsiaTheme="minorEastAsia" w:cstheme="minorEastAsia"/>
          <w:b/>
          <w:sz w:val="24"/>
          <w:szCs w:val="24"/>
        </w:rPr>
        <w:t>供应商资质条件和能力</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07D568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 供应商资质及能力要求：见供应商须知前附表。</w:t>
      </w:r>
    </w:p>
    <w:p w14:paraId="3EC02C5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 是否接受联合体：见供应商须知前附表。</w:t>
      </w:r>
      <w:bookmarkStart w:id="113" w:name="_Toc152042311"/>
      <w:bookmarkStart w:id="114" w:name="_Toc16889"/>
      <w:bookmarkStart w:id="115" w:name="_Toc28135"/>
      <w:bookmarkStart w:id="116" w:name="_Toc152045535"/>
      <w:bookmarkStart w:id="117" w:name="_Toc31497"/>
      <w:bookmarkStart w:id="118" w:name="_Toc5162"/>
      <w:bookmarkStart w:id="119" w:name="_Toc12403"/>
      <w:bookmarkStart w:id="120" w:name="_Toc455867774"/>
      <w:bookmarkStart w:id="121" w:name="_Toc651"/>
      <w:bookmarkStart w:id="122" w:name="_Toc490667833"/>
      <w:bookmarkStart w:id="123" w:name="_Toc318450680"/>
      <w:bookmarkStart w:id="124" w:name="_Toc32446"/>
      <w:bookmarkStart w:id="125" w:name="_Toc144974503"/>
      <w:bookmarkStart w:id="126" w:name="_Toc466298097"/>
      <w:bookmarkStart w:id="127" w:name="_Toc455080114"/>
      <w:bookmarkStart w:id="128" w:name="_Toc11905"/>
      <w:bookmarkStart w:id="129" w:name="_Toc31854"/>
      <w:bookmarkStart w:id="130" w:name="_Toc981"/>
      <w:bookmarkStart w:id="131" w:name="_Toc9505"/>
    </w:p>
    <w:p w14:paraId="408FDB7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 供应商不得存在下列情形之一：</w:t>
      </w:r>
    </w:p>
    <w:p w14:paraId="3615A75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（1）与采购人存在利害关系且可能影响采购公正性；</w:t>
      </w:r>
    </w:p>
    <w:p w14:paraId="1AC5D2B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（2）与本采购项目的其他供应商为同一个单位负责人；</w:t>
      </w:r>
    </w:p>
    <w:p w14:paraId="0655174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（3）与本采购项目的其他供应商存在直接控股、管理关系；</w:t>
      </w:r>
    </w:p>
    <w:p w14:paraId="6CA9AF5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（4）为本采购项目提供整体设计、规范编制或者项目管理、监理、检测等服务；</w:t>
      </w:r>
    </w:p>
    <w:p w14:paraId="296DE80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（5）为本采购项目的采购代理机构或与采购代理机构同为一个法定代表人；</w:t>
      </w:r>
    </w:p>
    <w:p w14:paraId="5F81A5A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（6）被“中国政府采购”网站（www.ccgp.gov.cn）列入政府采购严重违法失信行为记录名单；</w:t>
      </w:r>
    </w:p>
    <w:p w14:paraId="5D1EF26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（7）因违法经营受到刑事处罚或者责令停产停业、吊销许可证或者执照、较大数额罚款等行政处罚；</w:t>
      </w:r>
    </w:p>
    <w:p w14:paraId="19AD16B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（8）进入清算程序，或被宣告破产，或其他丧失履约能力的情形；</w:t>
      </w:r>
    </w:p>
    <w:p w14:paraId="3919F3C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（9）被“中国执行信息公开网”（http://zxgk.court.gov.cn）列入失信被执行人、被“国家税务总局”（http://www.chinatax.gov.cn/）列入重大税收违法失信主体的；</w:t>
      </w:r>
    </w:p>
    <w:p w14:paraId="23A2CAC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（10）在近三年内供应商有行贿犯罪行为的；</w:t>
      </w:r>
    </w:p>
    <w:p w14:paraId="3A6330C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（11）法律法规或供应商须知前附表规定的其他情形。</w:t>
      </w:r>
    </w:p>
    <w:p w14:paraId="000A471B">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 xml:space="preserve"> 费用承担</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6DA124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供应商准备和参加磋商活动发生的费用自理，不论磋商的结果如何，采购人和采购代理机构在任何情况下均无义务和责任承担这些费用。</w:t>
      </w:r>
      <w:bookmarkStart w:id="132" w:name="_Toc144974504"/>
      <w:bookmarkStart w:id="133" w:name="_Toc455867775"/>
      <w:bookmarkStart w:id="134" w:name="_Toc466298098"/>
      <w:bookmarkStart w:id="135" w:name="_Toc5402"/>
      <w:bookmarkStart w:id="136" w:name="_Toc32053"/>
      <w:bookmarkStart w:id="137" w:name="_Toc8598"/>
      <w:bookmarkStart w:id="138" w:name="_Toc1879"/>
      <w:bookmarkStart w:id="139" w:name="_Toc24601"/>
      <w:bookmarkStart w:id="140" w:name="_Toc152045536"/>
      <w:bookmarkStart w:id="141" w:name="_Toc318450681"/>
      <w:bookmarkStart w:id="142" w:name="_Toc22136"/>
      <w:bookmarkStart w:id="143" w:name="_Toc6014"/>
      <w:bookmarkStart w:id="144" w:name="_Toc22800"/>
      <w:bookmarkStart w:id="145" w:name="_Toc152042312"/>
      <w:bookmarkStart w:id="146" w:name="_Toc20145"/>
      <w:bookmarkStart w:id="147" w:name="_Toc2622"/>
      <w:bookmarkStart w:id="148" w:name="_Toc8055"/>
      <w:bookmarkStart w:id="149" w:name="_Toc455080115"/>
      <w:bookmarkStart w:id="150" w:name="_Toc490667834"/>
    </w:p>
    <w:p w14:paraId="2AC38EE0">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 xml:space="preserve"> 保密</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11B2493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参与磋商活动的各方应对竞争性磋商文件和响应文件中的商业和技术等秘密保密，违者应对由此造成的后果承担法律责任。</w:t>
      </w:r>
      <w:bookmarkStart w:id="151" w:name="_Toc144974505"/>
      <w:bookmarkStart w:id="152" w:name="_Toc30583"/>
      <w:bookmarkStart w:id="153" w:name="_Toc455867776"/>
      <w:bookmarkStart w:id="154" w:name="_Toc455080116"/>
      <w:bookmarkStart w:id="155" w:name="_Toc152042313"/>
      <w:bookmarkStart w:id="156" w:name="_Toc30747"/>
      <w:bookmarkStart w:id="157" w:name="_Toc318450682"/>
      <w:bookmarkStart w:id="158" w:name="_Toc21089"/>
      <w:bookmarkStart w:id="159" w:name="_Toc22226"/>
      <w:bookmarkStart w:id="160" w:name="_Toc15673"/>
      <w:bookmarkStart w:id="161" w:name="_Toc13976"/>
      <w:bookmarkStart w:id="162" w:name="_Toc6615"/>
      <w:bookmarkStart w:id="163" w:name="_Toc7031"/>
      <w:bookmarkStart w:id="164" w:name="_Toc25517"/>
      <w:bookmarkStart w:id="165" w:name="_Toc3628"/>
      <w:bookmarkStart w:id="166" w:name="_Toc152045537"/>
      <w:bookmarkStart w:id="167" w:name="_Toc490667835"/>
      <w:bookmarkStart w:id="168" w:name="_Toc466298099"/>
      <w:bookmarkStart w:id="169" w:name="_Toc14775"/>
    </w:p>
    <w:p w14:paraId="15009E6C">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 xml:space="preserve"> 语言</w:t>
      </w:r>
      <w:bookmarkEnd w:id="151"/>
      <w:r>
        <w:rPr>
          <w:rFonts w:hint="eastAsia" w:asciiTheme="minorEastAsia" w:hAnsiTheme="minorEastAsia" w:eastAsiaTheme="minorEastAsia" w:cstheme="minorEastAsia"/>
          <w:b/>
          <w:sz w:val="24"/>
          <w:szCs w:val="24"/>
        </w:rPr>
        <w:t>文字</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5C4440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除专用术语外，与磋商有关的语言均使用中文。必要时专用术语应附有中文注释，对不同文字文本响应文件的解释发生异议的，以中文文本为准。</w:t>
      </w:r>
      <w:bookmarkStart w:id="170" w:name="_Toc9446"/>
      <w:bookmarkStart w:id="171" w:name="_Toc22415"/>
      <w:bookmarkStart w:id="172" w:name="_Toc18357"/>
      <w:bookmarkStart w:id="173" w:name="_Toc22378"/>
      <w:bookmarkStart w:id="174" w:name="_Toc21543"/>
      <w:bookmarkStart w:id="175" w:name="_Toc14934"/>
      <w:bookmarkStart w:id="176" w:name="_Toc455867777"/>
      <w:bookmarkStart w:id="177" w:name="_Toc2702"/>
      <w:bookmarkStart w:id="178" w:name="_Toc490667836"/>
      <w:bookmarkStart w:id="179" w:name="_Toc32507"/>
      <w:bookmarkStart w:id="180" w:name="_Toc152045538"/>
      <w:bookmarkStart w:id="181" w:name="_Toc4237"/>
      <w:bookmarkStart w:id="182" w:name="_Toc144974506"/>
      <w:bookmarkStart w:id="183" w:name="_Toc24337"/>
      <w:bookmarkStart w:id="184" w:name="_Toc318450683"/>
      <w:bookmarkStart w:id="185" w:name="_Toc455080117"/>
      <w:bookmarkStart w:id="186" w:name="_Toc4501"/>
      <w:bookmarkStart w:id="187" w:name="_Toc152042314"/>
      <w:bookmarkStart w:id="188" w:name="_Toc466298100"/>
    </w:p>
    <w:p w14:paraId="07623F7E">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 xml:space="preserve"> 计量单位</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FDEBCD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所有计量均采用中华人民共和国法定计量单位。</w:t>
      </w:r>
      <w:bookmarkStart w:id="189" w:name="_Toc27570"/>
      <w:bookmarkStart w:id="190" w:name="_Toc31195"/>
      <w:bookmarkStart w:id="191" w:name="_Toc318450684"/>
      <w:bookmarkStart w:id="192" w:name="_Toc466298101"/>
      <w:bookmarkStart w:id="193" w:name="_Toc29845"/>
      <w:bookmarkStart w:id="194" w:name="_Toc2508"/>
      <w:bookmarkStart w:id="195" w:name="_Toc152045540"/>
      <w:bookmarkStart w:id="196" w:name="_Toc13675"/>
      <w:bookmarkStart w:id="197" w:name="_Toc338"/>
      <w:bookmarkStart w:id="198" w:name="_Toc455080118"/>
      <w:bookmarkStart w:id="199" w:name="_Toc490667837"/>
      <w:bookmarkStart w:id="200" w:name="_Toc19685"/>
      <w:bookmarkStart w:id="201" w:name="_Toc18589"/>
      <w:bookmarkStart w:id="202" w:name="_Toc152042316"/>
      <w:bookmarkStart w:id="203" w:name="_Toc284"/>
      <w:bookmarkStart w:id="204" w:name="_Toc12027"/>
      <w:bookmarkStart w:id="205" w:name="_Toc144974508"/>
      <w:bookmarkStart w:id="206" w:name="_Toc455867778"/>
      <w:bookmarkStart w:id="207" w:name="_Toc32253"/>
    </w:p>
    <w:p w14:paraId="56602C38">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 xml:space="preserve"> </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rFonts w:hint="eastAsia" w:asciiTheme="minorEastAsia" w:hAnsiTheme="minorEastAsia" w:eastAsiaTheme="minorEastAsia" w:cstheme="minorEastAsia"/>
          <w:b/>
          <w:sz w:val="24"/>
          <w:szCs w:val="24"/>
        </w:rPr>
        <w:t>现场踏勘</w:t>
      </w:r>
      <w:bookmarkEnd w:id="207"/>
      <w:bookmarkStart w:id="208" w:name="_Toc23678"/>
      <w:bookmarkStart w:id="209" w:name="_Toc28719"/>
      <w:bookmarkStart w:id="210" w:name="_Toc455867779"/>
      <w:bookmarkStart w:id="211" w:name="_Toc24262"/>
      <w:bookmarkStart w:id="212" w:name="_Toc9182"/>
      <w:bookmarkStart w:id="213" w:name="_Toc144974509"/>
      <w:bookmarkStart w:id="214" w:name="_Toc25208"/>
      <w:bookmarkStart w:id="215" w:name="_Toc32757"/>
      <w:bookmarkStart w:id="216" w:name="_Toc31725"/>
      <w:bookmarkStart w:id="217" w:name="_Toc318450685"/>
      <w:bookmarkStart w:id="218" w:name="_Toc152042317"/>
      <w:bookmarkStart w:id="219" w:name="_Toc466298102"/>
      <w:bookmarkStart w:id="220" w:name="_Toc3853"/>
      <w:bookmarkStart w:id="221" w:name="_Toc23635"/>
      <w:bookmarkStart w:id="222" w:name="_Toc490667838"/>
      <w:bookmarkStart w:id="223" w:name="_Toc11744"/>
      <w:bookmarkStart w:id="224" w:name="_Toc152045541"/>
      <w:bookmarkStart w:id="225" w:name="_Toc455080119"/>
    </w:p>
    <w:p w14:paraId="7CCD88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w:t>
      </w:r>
    </w:p>
    <w:p w14:paraId="677EB975">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1.1</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 xml:space="preserve"> 分包</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78F3B1F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是否允许分包：见供应商须知前附表。</w:t>
      </w:r>
      <w:bookmarkStart w:id="226" w:name="_Toc144974510"/>
      <w:bookmarkStart w:id="227" w:name="_Toc455080120"/>
      <w:bookmarkStart w:id="228" w:name="_Toc152045542"/>
      <w:bookmarkStart w:id="229" w:name="_Toc152042318"/>
    </w:p>
    <w:bookmarkEnd w:id="226"/>
    <w:bookmarkEnd w:id="227"/>
    <w:bookmarkEnd w:id="228"/>
    <w:bookmarkEnd w:id="229"/>
    <w:p w14:paraId="3D220A0E">
      <w:pPr>
        <w:wordWrap w:val="0"/>
        <w:spacing w:line="360" w:lineRule="auto"/>
        <w:ind w:firstLine="482" w:firstLineChars="200"/>
        <w:rPr>
          <w:rFonts w:hint="eastAsia" w:asciiTheme="minorEastAsia" w:hAnsiTheme="minorEastAsia" w:eastAsiaTheme="minorEastAsia" w:cstheme="minorEastAsia"/>
          <w:b/>
          <w:sz w:val="24"/>
          <w:szCs w:val="24"/>
        </w:rPr>
      </w:pPr>
      <w:bookmarkStart w:id="230" w:name="_Toc24635"/>
      <w:bookmarkStart w:id="231" w:name="_Toc2792"/>
      <w:r>
        <w:rPr>
          <w:rFonts w:hint="eastAsia" w:asciiTheme="minorEastAsia" w:hAnsiTheme="minorEastAsia" w:eastAsiaTheme="minorEastAsia" w:cstheme="minorEastAsia"/>
          <w:b/>
          <w:sz w:val="24"/>
          <w:szCs w:val="24"/>
        </w:rPr>
        <w:t>2.竞争性磋商文件</w:t>
      </w:r>
      <w:bookmarkEnd w:id="230"/>
      <w:bookmarkEnd w:id="231"/>
      <w:bookmarkStart w:id="232" w:name="_Toc318450687"/>
      <w:bookmarkStart w:id="233" w:name="_Toc152042319"/>
      <w:bookmarkStart w:id="234" w:name="_Toc12004"/>
      <w:bookmarkStart w:id="235" w:name="_Toc11599"/>
      <w:bookmarkStart w:id="236" w:name="_Toc490667840"/>
      <w:bookmarkStart w:id="237" w:name="_Toc11567"/>
      <w:bookmarkStart w:id="238" w:name="_Toc455867781"/>
      <w:bookmarkStart w:id="239" w:name="_Toc3982"/>
      <w:bookmarkStart w:id="240" w:name="_Toc455080121"/>
      <w:bookmarkStart w:id="241" w:name="_Toc23649"/>
      <w:bookmarkStart w:id="242" w:name="_Toc12640"/>
      <w:bookmarkStart w:id="243" w:name="_Toc466298104"/>
      <w:bookmarkStart w:id="244" w:name="_Toc25982"/>
      <w:bookmarkStart w:id="245" w:name="_Toc32711"/>
      <w:bookmarkStart w:id="246" w:name="_Toc9780"/>
      <w:bookmarkStart w:id="247" w:name="_Toc144974511"/>
      <w:bookmarkStart w:id="248" w:name="_Toc1008"/>
      <w:bookmarkStart w:id="249" w:name="_Toc152045543"/>
      <w:bookmarkStart w:id="250" w:name="_Toc7999"/>
    </w:p>
    <w:p w14:paraId="41A3987B">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2.1 竞争性磋商文件的组成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345536D">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本竞争性磋商文件包括：</w:t>
      </w:r>
    </w:p>
    <w:p w14:paraId="55F3110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（1）竞争性磋商公告；</w:t>
      </w:r>
    </w:p>
    <w:p w14:paraId="588A82A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（2）供应商须知；</w:t>
      </w:r>
    </w:p>
    <w:p w14:paraId="6501E78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评标</w:t>
      </w:r>
      <w:r>
        <w:rPr>
          <w:rFonts w:hint="eastAsia" w:asciiTheme="minorEastAsia" w:hAnsiTheme="minorEastAsia" w:eastAsiaTheme="minorEastAsia" w:cstheme="minorEastAsia"/>
          <w:sz w:val="24"/>
          <w:szCs w:val="24"/>
        </w:rPr>
        <w:t>办法（综合评分法）；</w:t>
      </w:r>
    </w:p>
    <w:p w14:paraId="0F71B80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（4）河南省政府采购合同（参考文本）；</w:t>
      </w:r>
    </w:p>
    <w:p w14:paraId="3A9F49D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（5）采购要求；</w:t>
      </w:r>
    </w:p>
    <w:p w14:paraId="224633F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（6）竞争性磋商响应文件格式。</w:t>
      </w:r>
    </w:p>
    <w:p w14:paraId="5CDC52E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根据本章第2.2款和第2.3款对竞争性磋商文件所作的澄清、修改，构成竞争性磋商文件的组成部分。</w:t>
      </w:r>
      <w:bookmarkStart w:id="251" w:name="_Toc6508"/>
      <w:bookmarkStart w:id="252" w:name="_Toc15658"/>
      <w:bookmarkStart w:id="253" w:name="_Toc152045546"/>
      <w:bookmarkStart w:id="254" w:name="_Toc152042322"/>
      <w:bookmarkStart w:id="255" w:name="_Toc144974514"/>
      <w:bookmarkStart w:id="256" w:name="_Toc455080124"/>
    </w:p>
    <w:p w14:paraId="77B6108A">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2.2 竞争性磋商文件的澄清</w:t>
      </w:r>
      <w:bookmarkEnd w:id="251"/>
      <w:bookmarkEnd w:id="252"/>
    </w:p>
    <w:p w14:paraId="6D741DF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 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7F1C5B0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 竞争性磋商文件的澄清将在供应商须知前附表规定的响应文件递交截止时间5天前在信阳市公共资源交易系统“变更公告”或“答疑文件”将澄清内容予以发布，但不指明澄清问题的来源。如果澄清的内容可能影响响应文件编制且发出的时间距响应文件递交截止时间不足5天，相应延长投标截止时间。</w:t>
      </w:r>
    </w:p>
    <w:p w14:paraId="64F9ED4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 供应商应在响应文件递交截止时间前及时查看澄清内容，因供应商未及时查看而造成的后果自负。</w:t>
      </w:r>
      <w:bookmarkStart w:id="257" w:name="_Toc9923"/>
      <w:bookmarkStart w:id="258" w:name="_Toc8263"/>
    </w:p>
    <w:p w14:paraId="070EEB3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竞争性磋商文件的修改</w:t>
      </w:r>
      <w:bookmarkEnd w:id="257"/>
      <w:bookmarkEnd w:id="258"/>
    </w:p>
    <w:p w14:paraId="150C2A7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 在响应文件递交截止时间5天前，采购人可以修改竞争性磋商文件。如有修改，应在信阳市公共资源交易系统“变更公告”或“答疑文件”将修改内容予以发布。如果修改的内容可能影响响应文件编制且发出的时间距响应文件递交截止时间不足5天，相应延长响应文件递交截止时间。</w:t>
      </w:r>
    </w:p>
    <w:p w14:paraId="01DC972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 当竞争性磋商文件的澄清、修改、补充等在同一内容的表述上不一致时，以最后在信阳市公共资源交易系统发出的文件为准。</w:t>
      </w:r>
    </w:p>
    <w:p w14:paraId="24A3F47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 供应商应在响应文件递交截止时间前及时查看修改内容，因供应商未及时查看而造成的后果自负。</w:t>
      </w:r>
    </w:p>
    <w:p w14:paraId="4F7917F9">
      <w:pPr>
        <w:wordWrap w:val="0"/>
        <w:spacing w:line="360" w:lineRule="auto"/>
        <w:ind w:firstLine="482" w:firstLineChars="200"/>
        <w:rPr>
          <w:rFonts w:hint="eastAsia" w:asciiTheme="minorEastAsia" w:hAnsiTheme="minorEastAsia" w:eastAsiaTheme="minorEastAsia" w:cstheme="minorEastAsia"/>
          <w:b/>
          <w:sz w:val="24"/>
          <w:szCs w:val="24"/>
        </w:rPr>
      </w:pPr>
      <w:bookmarkStart w:id="259" w:name="_Toc20484"/>
      <w:bookmarkStart w:id="260" w:name="_Toc4666"/>
      <w:bookmarkStart w:id="261" w:name="_Toc26311"/>
      <w:r>
        <w:rPr>
          <w:rFonts w:hint="eastAsia" w:asciiTheme="minorEastAsia" w:hAnsiTheme="minorEastAsia" w:eastAsiaTheme="minorEastAsia" w:cstheme="minorEastAsia"/>
          <w:b/>
          <w:sz w:val="24"/>
          <w:szCs w:val="24"/>
        </w:rPr>
        <w:t xml:space="preserve">3. </w:t>
      </w:r>
      <w:bookmarkEnd w:id="253"/>
      <w:bookmarkEnd w:id="254"/>
      <w:bookmarkEnd w:id="255"/>
      <w:r>
        <w:rPr>
          <w:rFonts w:hint="eastAsia" w:asciiTheme="minorEastAsia" w:hAnsiTheme="minorEastAsia" w:eastAsiaTheme="minorEastAsia" w:cstheme="minorEastAsia"/>
          <w:b/>
          <w:sz w:val="24"/>
          <w:szCs w:val="24"/>
        </w:rPr>
        <w:t>响应文件</w:t>
      </w:r>
      <w:bookmarkEnd w:id="256"/>
      <w:bookmarkEnd w:id="259"/>
      <w:bookmarkEnd w:id="260"/>
      <w:bookmarkEnd w:id="261"/>
      <w:bookmarkStart w:id="262" w:name="_Toc1102"/>
      <w:bookmarkStart w:id="263" w:name="_Toc152045547"/>
      <w:bookmarkStart w:id="264" w:name="_Toc490667844"/>
      <w:bookmarkStart w:id="265" w:name="_Toc27373"/>
      <w:bookmarkStart w:id="266" w:name="_Toc144974515"/>
      <w:bookmarkStart w:id="267" w:name="_Toc9273"/>
      <w:bookmarkStart w:id="268" w:name="_Toc10096"/>
      <w:bookmarkStart w:id="269" w:name="_Toc318450691"/>
      <w:bookmarkStart w:id="270" w:name="_Toc24440"/>
      <w:bookmarkStart w:id="271" w:name="_Toc16198"/>
      <w:bookmarkStart w:id="272" w:name="_Toc15810"/>
      <w:bookmarkStart w:id="273" w:name="_Toc152042323"/>
    </w:p>
    <w:p w14:paraId="43EFF32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3.1 响应文件的组成</w:t>
      </w:r>
      <w:bookmarkEnd w:id="262"/>
      <w:bookmarkEnd w:id="263"/>
      <w:bookmarkEnd w:id="264"/>
      <w:bookmarkEnd w:id="265"/>
      <w:bookmarkEnd w:id="266"/>
      <w:bookmarkEnd w:id="267"/>
      <w:bookmarkEnd w:id="268"/>
      <w:bookmarkEnd w:id="269"/>
      <w:bookmarkEnd w:id="270"/>
      <w:bookmarkEnd w:id="271"/>
      <w:bookmarkEnd w:id="272"/>
      <w:bookmarkEnd w:id="273"/>
    </w:p>
    <w:p w14:paraId="34ABD3D8">
      <w:pPr>
        <w:wordWrap w:val="0"/>
        <w:spacing w:line="360" w:lineRule="auto"/>
        <w:ind w:firstLine="480" w:firstLineChars="200"/>
        <w:rPr>
          <w:rFonts w:hint="eastAsia" w:asciiTheme="minorEastAsia" w:hAnsiTheme="minorEastAsia" w:eastAsiaTheme="minorEastAsia" w:cstheme="minorEastAsia"/>
          <w:sz w:val="24"/>
          <w:szCs w:val="24"/>
          <w:highlight w:val="none"/>
        </w:rPr>
      </w:pPr>
      <w:bookmarkStart w:id="274" w:name="_Toc152042324"/>
      <w:bookmarkStart w:id="275" w:name="_Toc144974516"/>
      <w:bookmarkStart w:id="276" w:name="_Toc318450692"/>
      <w:bookmarkStart w:id="277" w:name="_Toc152045548"/>
      <w:bookmarkStart w:id="278" w:name="_Toc899"/>
      <w:bookmarkStart w:id="279" w:name="_Toc26291"/>
      <w:bookmarkStart w:id="280" w:name="_Toc279156232"/>
      <w:r>
        <w:rPr>
          <w:rFonts w:hint="eastAsia" w:asciiTheme="minorEastAsia" w:hAnsiTheme="minorEastAsia" w:eastAsiaTheme="minorEastAsia" w:cstheme="minorEastAsia"/>
          <w:sz w:val="24"/>
          <w:szCs w:val="24"/>
          <w:highlight w:val="none"/>
        </w:rPr>
        <w:t>响应文件应包括下列内容：</w:t>
      </w:r>
    </w:p>
    <w:p w14:paraId="30D1CBE6">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bookmarkStart w:id="281" w:name="_Toc4592"/>
      <w:r>
        <w:rPr>
          <w:rFonts w:hint="eastAsia" w:asciiTheme="minorEastAsia" w:hAnsiTheme="minorEastAsia" w:eastAsiaTheme="minorEastAsia" w:cstheme="minorEastAsia"/>
          <w:b w:val="0"/>
          <w:bCs/>
          <w:sz w:val="24"/>
          <w:szCs w:val="24"/>
          <w:highlight w:val="none"/>
        </w:rPr>
        <w:t>一、响应函及响应函附录</w:t>
      </w:r>
    </w:p>
    <w:p w14:paraId="696634CB">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二、分项报价表</w:t>
      </w:r>
    </w:p>
    <w:p w14:paraId="1F9BD75E">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三、法定代表人（单位负责人）身份证明</w:t>
      </w:r>
    </w:p>
    <w:p w14:paraId="2A075ABC">
      <w:pPr>
        <w:wordWrap w:val="0"/>
        <w:spacing w:line="360" w:lineRule="auto"/>
        <w:ind w:firstLine="1200" w:firstLineChars="5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授权委托书</w:t>
      </w:r>
    </w:p>
    <w:p w14:paraId="443E5313">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四、商务条款偏离表</w:t>
      </w:r>
    </w:p>
    <w:p w14:paraId="66E0278D">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五、技术条款偏离表</w:t>
      </w:r>
    </w:p>
    <w:p w14:paraId="1CA31D8A">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六、资格证明材料</w:t>
      </w:r>
    </w:p>
    <w:p w14:paraId="2EB67D68">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七、技术部分</w:t>
      </w:r>
    </w:p>
    <w:p w14:paraId="1AA21FCE">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八、其他材料</w:t>
      </w:r>
    </w:p>
    <w:p w14:paraId="687D2557">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九、供应商认为应该提交的其他材料</w:t>
      </w:r>
    </w:p>
    <w:p w14:paraId="4A19D336">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十、关于政府采购政策（有则附，没有不附）</w:t>
      </w:r>
    </w:p>
    <w:p w14:paraId="641172D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 磋商报价</w:t>
      </w:r>
      <w:bookmarkEnd w:id="274"/>
      <w:bookmarkEnd w:id="275"/>
      <w:bookmarkEnd w:id="276"/>
      <w:bookmarkEnd w:id="277"/>
      <w:bookmarkEnd w:id="278"/>
      <w:bookmarkEnd w:id="279"/>
      <w:bookmarkEnd w:id="280"/>
      <w:bookmarkEnd w:id="281"/>
    </w:p>
    <w:p w14:paraId="49B48ADD">
      <w:pPr>
        <w:wordWrap w:val="0"/>
        <w:spacing w:line="360" w:lineRule="auto"/>
        <w:ind w:firstLine="480" w:firstLineChars="200"/>
        <w:rPr>
          <w:rFonts w:hint="eastAsia" w:asciiTheme="minorEastAsia" w:hAnsiTheme="minorEastAsia" w:eastAsiaTheme="minorEastAsia" w:cstheme="minorEastAsia"/>
          <w:sz w:val="24"/>
          <w:szCs w:val="24"/>
        </w:rPr>
      </w:pPr>
      <w:bookmarkStart w:id="282" w:name="_Toc12402"/>
      <w:bookmarkStart w:id="283" w:name="_Toc3624"/>
      <w:bookmarkStart w:id="284" w:name="_Toc152042325"/>
      <w:bookmarkStart w:id="285" w:name="_Toc152045549"/>
      <w:bookmarkStart w:id="286" w:name="_Toc11968"/>
      <w:bookmarkStart w:id="287" w:name="_Toc25387"/>
      <w:bookmarkStart w:id="288" w:name="_Toc144974517"/>
      <w:bookmarkStart w:id="289" w:name="_Toc29133"/>
      <w:bookmarkStart w:id="290" w:name="_Toc466298109"/>
      <w:bookmarkStart w:id="291" w:name="_Toc2425"/>
      <w:bookmarkStart w:id="292" w:name="_Toc6105"/>
      <w:bookmarkStart w:id="293" w:name="_Toc7105"/>
      <w:bookmarkStart w:id="294" w:name="_Toc318450693"/>
      <w:bookmarkStart w:id="295" w:name="_Toc455080126"/>
      <w:bookmarkStart w:id="296" w:name="_Toc455867786"/>
      <w:bookmarkStart w:id="297" w:name="_Toc21600"/>
      <w:bookmarkStart w:id="298" w:name="_Toc7910"/>
      <w:bookmarkStart w:id="299" w:name="_Toc490667846"/>
      <w:bookmarkStart w:id="300" w:name="_Toc21680"/>
      <w:r>
        <w:rPr>
          <w:rFonts w:hint="eastAsia" w:asciiTheme="minorEastAsia" w:hAnsiTheme="minorEastAsia" w:eastAsiaTheme="minorEastAsia" w:cstheme="minorEastAsia"/>
          <w:sz w:val="24"/>
          <w:szCs w:val="24"/>
        </w:rPr>
        <w:t xml:space="preserve">3.2.1 </w:t>
      </w:r>
      <w:bookmarkEnd w:id="282"/>
      <w:r>
        <w:rPr>
          <w:rFonts w:hint="eastAsia" w:asciiTheme="minorEastAsia" w:hAnsiTheme="minorEastAsia" w:eastAsiaTheme="minorEastAsia" w:cstheme="minorEastAsia"/>
          <w:sz w:val="24"/>
          <w:szCs w:val="24"/>
        </w:rPr>
        <w:t>本项目的磋商报价应按照磋商文件、补充通知、答疑纪要、现场情况、承包范围，并充分考虑服务期间各类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p>
    <w:p w14:paraId="6B5EF9E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供应商应充分了解该项目的总体情况以及影响磋商报价的其它要素，考虑服务期间的价格风险因素，成交价在合同实施期内不得调整，同时也不因市场价格变动而调整。</w:t>
      </w:r>
    </w:p>
    <w:p w14:paraId="632FF16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响应报价表中的大写金额和小写金额不一致的，以大写金额为准。</w:t>
      </w:r>
    </w:p>
    <w:p w14:paraId="268BBDF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 供应商的报价明显低于其他通过符合性审查供应商的报价，有可能影响服务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p>
    <w:p w14:paraId="2506C28E">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注：磋商价格为含税价，供应商应充分了解该项目的总体情况以及影响磋商报价的其它要素，考虑</w:t>
      </w:r>
      <w:r>
        <w:rPr>
          <w:rFonts w:hint="eastAsia" w:asciiTheme="minorEastAsia" w:hAnsiTheme="minorEastAsia" w:eastAsiaTheme="minorEastAsia" w:cstheme="minorEastAsia"/>
          <w:b/>
          <w:sz w:val="24"/>
          <w:szCs w:val="24"/>
          <w:lang w:val="en-US" w:eastAsia="zh-CN"/>
        </w:rPr>
        <w:t>项目周期内</w:t>
      </w:r>
      <w:r>
        <w:rPr>
          <w:rFonts w:hint="eastAsia" w:asciiTheme="minorEastAsia" w:hAnsiTheme="minorEastAsia" w:eastAsiaTheme="minorEastAsia" w:cstheme="minorEastAsia"/>
          <w:b/>
          <w:sz w:val="24"/>
          <w:szCs w:val="24"/>
        </w:rPr>
        <w:t>的价格风险因素，成交价在合同实施期内不得调整，同时也不因市场价格变动而调整。</w:t>
      </w:r>
    </w:p>
    <w:p w14:paraId="664AE3EB">
      <w:pPr>
        <w:wordWrap w:val="0"/>
        <w:spacing w:line="360" w:lineRule="auto"/>
        <w:ind w:firstLine="482" w:firstLineChars="200"/>
        <w:rPr>
          <w:rFonts w:hint="eastAsia" w:asciiTheme="minorEastAsia" w:hAnsiTheme="minorEastAsia" w:eastAsiaTheme="minorEastAsia" w:cstheme="minorEastAsia"/>
          <w:b/>
          <w:sz w:val="24"/>
          <w:szCs w:val="24"/>
        </w:rPr>
      </w:pPr>
      <w:bookmarkStart w:id="301" w:name="_Toc31126"/>
      <w:r>
        <w:rPr>
          <w:rFonts w:hint="eastAsia" w:asciiTheme="minorEastAsia" w:hAnsiTheme="minorEastAsia" w:eastAsiaTheme="minorEastAsia" w:cstheme="minorEastAsia"/>
          <w:b/>
          <w:sz w:val="24"/>
          <w:szCs w:val="24"/>
        </w:rPr>
        <w:t>3.3 磋商有效期</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893FBB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 在供应商须知前附表规定的磋商有效期内，供应商不得要求撤销或修改其响应文件。</w:t>
      </w:r>
    </w:p>
    <w:p w14:paraId="1B77F1C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出现特殊情况需要延长磋商有效期的，采购人以书面形式通知所有供应商延长磋商有效期。供应商同意延长的，但不得要求或被允许修改或撤销其响应文件；供应商拒绝延长的，其响应文件失效。</w:t>
      </w:r>
    </w:p>
    <w:p w14:paraId="2213BA68">
      <w:pPr>
        <w:wordWrap w:val="0"/>
        <w:spacing w:line="360" w:lineRule="auto"/>
        <w:ind w:firstLine="482" w:firstLineChars="200"/>
        <w:rPr>
          <w:rFonts w:hint="eastAsia" w:asciiTheme="minorEastAsia" w:hAnsiTheme="minorEastAsia" w:eastAsiaTheme="minorEastAsia" w:cstheme="minorEastAsia"/>
          <w:sz w:val="24"/>
          <w:szCs w:val="24"/>
        </w:rPr>
      </w:pPr>
      <w:bookmarkStart w:id="302" w:name="_Toc144974518"/>
      <w:bookmarkStart w:id="303" w:name="_Toc318450694"/>
      <w:bookmarkStart w:id="304" w:name="_Toc4165"/>
      <w:bookmarkStart w:id="305" w:name="_Toc152042326"/>
      <w:bookmarkStart w:id="306" w:name="_Toc10370"/>
      <w:bookmarkStart w:id="307" w:name="_Toc152045550"/>
      <w:bookmarkStart w:id="308" w:name="_Toc8406"/>
      <w:bookmarkStart w:id="309" w:name="_Toc490667847"/>
      <w:bookmarkStart w:id="310" w:name="_Toc455080127"/>
      <w:bookmarkStart w:id="311" w:name="_Toc7618"/>
      <w:bookmarkStart w:id="312" w:name="_Toc22634"/>
      <w:bookmarkStart w:id="313" w:name="_Toc7057"/>
      <w:bookmarkStart w:id="314" w:name="_Toc455867787"/>
      <w:bookmarkStart w:id="315" w:name="_Toc466298110"/>
      <w:bookmarkStart w:id="316" w:name="_Toc2505"/>
      <w:bookmarkStart w:id="317" w:name="_Toc30697"/>
      <w:bookmarkStart w:id="318" w:name="_Toc7973"/>
      <w:bookmarkStart w:id="319" w:name="_Toc13921"/>
      <w:bookmarkStart w:id="320" w:name="_Toc1907"/>
      <w:r>
        <w:rPr>
          <w:rFonts w:hint="eastAsia" w:asciiTheme="minorEastAsia" w:hAnsiTheme="minorEastAsia" w:eastAsiaTheme="minorEastAsia" w:cstheme="minorEastAsia"/>
          <w:b/>
          <w:sz w:val="24"/>
          <w:szCs w:val="24"/>
        </w:rPr>
        <w:t>3.4 磋商保证金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Start w:id="321" w:name="_Toc152042328"/>
      <w:bookmarkStart w:id="322" w:name="_Toc152045552"/>
      <w:bookmarkStart w:id="323" w:name="_Toc144974520"/>
      <w:bookmarkStart w:id="324" w:name="_Toc318450695"/>
    </w:p>
    <w:p w14:paraId="4189B18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bookmarkEnd w:id="319"/>
      <w:bookmarkEnd w:id="320"/>
    </w:p>
    <w:p w14:paraId="41AD7B95">
      <w:pPr>
        <w:wordWrap w:val="0"/>
        <w:spacing w:line="360" w:lineRule="auto"/>
        <w:ind w:firstLine="482" w:firstLineChars="200"/>
        <w:rPr>
          <w:rFonts w:hint="eastAsia" w:asciiTheme="minorEastAsia" w:hAnsiTheme="minorEastAsia" w:eastAsiaTheme="minorEastAsia" w:cstheme="minorEastAsia"/>
          <w:b/>
          <w:sz w:val="24"/>
          <w:szCs w:val="24"/>
        </w:rPr>
      </w:pPr>
      <w:bookmarkStart w:id="325" w:name="_Toc490667848"/>
      <w:bookmarkStart w:id="326" w:name="_Toc22527"/>
      <w:bookmarkStart w:id="327" w:name="_Toc455080128"/>
      <w:bookmarkStart w:id="328" w:name="_Toc11077"/>
      <w:bookmarkStart w:id="329" w:name="_Toc17153"/>
      <w:bookmarkStart w:id="330" w:name="_Toc455867788"/>
      <w:bookmarkStart w:id="331" w:name="_Toc27678"/>
      <w:bookmarkStart w:id="332" w:name="_Toc13680"/>
      <w:bookmarkStart w:id="333" w:name="_Toc22384"/>
      <w:bookmarkStart w:id="334" w:name="_Toc15547"/>
      <w:bookmarkStart w:id="335" w:name="_Toc16747"/>
      <w:bookmarkStart w:id="336" w:name="_Toc466298111"/>
      <w:bookmarkStart w:id="337" w:name="_Toc20328"/>
      <w:bookmarkStart w:id="338" w:name="_Toc27579"/>
      <w:r>
        <w:rPr>
          <w:rFonts w:hint="eastAsia" w:asciiTheme="minorEastAsia" w:hAnsiTheme="minorEastAsia" w:eastAsiaTheme="minorEastAsia" w:cstheme="minorEastAsia"/>
          <w:b/>
          <w:sz w:val="24"/>
          <w:szCs w:val="24"/>
        </w:rPr>
        <w:t>3.5 资格审查资料</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DD2CE2C">
      <w:pPr>
        <w:wordWrap w:val="0"/>
        <w:spacing w:line="360" w:lineRule="auto"/>
        <w:ind w:firstLine="480" w:firstLineChars="200"/>
        <w:rPr>
          <w:rFonts w:hint="eastAsia" w:asciiTheme="minorEastAsia" w:hAnsiTheme="minorEastAsia" w:eastAsiaTheme="minorEastAsia" w:cstheme="minorEastAsia"/>
          <w:sz w:val="24"/>
          <w:szCs w:val="24"/>
        </w:rPr>
      </w:pPr>
      <w:bookmarkStart w:id="339" w:name="_Toc4586"/>
      <w:bookmarkStart w:id="340" w:name="_Toc15687"/>
      <w:bookmarkStart w:id="341" w:name="_Toc9015"/>
      <w:bookmarkStart w:id="342" w:name="_Toc11694"/>
      <w:bookmarkStart w:id="343" w:name="_Toc490667849"/>
      <w:bookmarkStart w:id="344" w:name="_Toc1228"/>
      <w:bookmarkStart w:id="345" w:name="_Toc318450696"/>
      <w:bookmarkStart w:id="346" w:name="_Toc3286"/>
      <w:bookmarkStart w:id="347" w:name="_Toc144974521"/>
      <w:bookmarkStart w:id="348" w:name="_Toc30442"/>
      <w:bookmarkStart w:id="349" w:name="_Toc26258"/>
      <w:bookmarkStart w:id="350" w:name="_Toc466298112"/>
      <w:bookmarkStart w:id="351" w:name="_Toc19724"/>
      <w:bookmarkStart w:id="352" w:name="_Toc5132"/>
      <w:bookmarkStart w:id="353" w:name="_Toc18915"/>
      <w:bookmarkStart w:id="354" w:name="_Toc152042329"/>
      <w:bookmarkStart w:id="355" w:name="_Toc455867789"/>
      <w:bookmarkStart w:id="356" w:name="_Toc455080129"/>
      <w:bookmarkStart w:id="357" w:name="_Toc152045553"/>
      <w:r>
        <w:rPr>
          <w:rFonts w:hint="eastAsia" w:asciiTheme="minorEastAsia" w:hAnsiTheme="minorEastAsia" w:eastAsiaTheme="minorEastAsia" w:cstheme="minorEastAsia"/>
          <w:sz w:val="24"/>
          <w:szCs w:val="24"/>
        </w:rPr>
        <w:t>按照第二章供应商须知表“供应商须知前附表”1.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.1要求，提供其他相关材料。</w:t>
      </w:r>
      <w:bookmarkEnd w:id="339"/>
      <w:bookmarkEnd w:id="340"/>
    </w:p>
    <w:p w14:paraId="26CA284A">
      <w:pPr>
        <w:wordWrap w:val="0"/>
        <w:spacing w:line="360" w:lineRule="auto"/>
        <w:ind w:firstLine="482" w:firstLineChars="200"/>
        <w:rPr>
          <w:rFonts w:hint="eastAsia" w:asciiTheme="minorEastAsia" w:hAnsiTheme="minorEastAsia" w:eastAsiaTheme="minorEastAsia" w:cstheme="minorEastAsia"/>
          <w:b/>
          <w:sz w:val="24"/>
          <w:szCs w:val="24"/>
        </w:rPr>
      </w:pPr>
      <w:bookmarkStart w:id="358" w:name="_Toc24859"/>
      <w:bookmarkStart w:id="359" w:name="_Toc3708"/>
      <w:r>
        <w:rPr>
          <w:rFonts w:hint="eastAsia" w:asciiTheme="minorEastAsia" w:hAnsiTheme="minorEastAsia" w:eastAsiaTheme="minorEastAsia" w:cstheme="minorEastAsia"/>
          <w:b/>
          <w:sz w:val="24"/>
          <w:szCs w:val="24"/>
        </w:rPr>
        <w:t>3.6 备选方案</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639F88B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除供应商须知前附表另有规定外，供应商不得递交备选磋商方案。</w:t>
      </w:r>
    </w:p>
    <w:p w14:paraId="6CB60312">
      <w:pPr>
        <w:wordWrap w:val="0"/>
        <w:spacing w:line="360" w:lineRule="auto"/>
        <w:ind w:firstLine="482" w:firstLineChars="200"/>
        <w:rPr>
          <w:rFonts w:hint="eastAsia" w:asciiTheme="minorEastAsia" w:hAnsiTheme="minorEastAsia" w:eastAsiaTheme="minorEastAsia" w:cstheme="minorEastAsia"/>
          <w:b/>
          <w:sz w:val="24"/>
          <w:szCs w:val="24"/>
        </w:rPr>
      </w:pPr>
      <w:bookmarkStart w:id="360" w:name="_Toc318450697"/>
      <w:bookmarkStart w:id="361" w:name="_Toc12275"/>
      <w:bookmarkStart w:id="362" w:name="_Toc144974522"/>
      <w:bookmarkStart w:id="363" w:name="_Toc7966"/>
      <w:bookmarkStart w:id="364" w:name="_Toc17982"/>
      <w:bookmarkStart w:id="365" w:name="_Toc455867790"/>
      <w:bookmarkStart w:id="366" w:name="_Toc28656"/>
      <w:bookmarkStart w:id="367" w:name="_Toc25620"/>
      <w:bookmarkStart w:id="368" w:name="_Toc466298113"/>
      <w:bookmarkStart w:id="369" w:name="_Toc152045554"/>
      <w:bookmarkStart w:id="370" w:name="_Toc17697"/>
      <w:bookmarkStart w:id="371" w:name="_Toc18912"/>
      <w:bookmarkStart w:id="372" w:name="_Toc455080130"/>
      <w:bookmarkStart w:id="373" w:name="_Toc12541"/>
      <w:bookmarkStart w:id="374" w:name="_Toc490667850"/>
      <w:bookmarkStart w:id="375" w:name="_Toc7626"/>
      <w:bookmarkStart w:id="376" w:name="_Toc6323"/>
      <w:bookmarkStart w:id="377" w:name="_Toc152042330"/>
      <w:bookmarkStart w:id="378" w:name="_Toc5516"/>
      <w:r>
        <w:rPr>
          <w:rFonts w:hint="eastAsia" w:asciiTheme="minorEastAsia" w:hAnsiTheme="minorEastAsia" w:eastAsiaTheme="minorEastAsia" w:cstheme="minorEastAsia"/>
          <w:b/>
          <w:sz w:val="24"/>
          <w:szCs w:val="24"/>
        </w:rPr>
        <w:t>3.7 响应文件的编制</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Start w:id="379" w:name="_Toc152045555"/>
      <w:bookmarkStart w:id="380" w:name="_Toc144974523"/>
      <w:bookmarkStart w:id="381" w:name="_Toc152042331"/>
      <w:bookmarkStart w:id="382" w:name="_Toc455080131"/>
    </w:p>
    <w:p w14:paraId="101BCC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3.7.1 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76D8037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3.7.2 响应文件应当对竞争性磋商文件有关采购内容、</w:t>
      </w:r>
      <w:r>
        <w:rPr>
          <w:rFonts w:hint="eastAsia" w:asciiTheme="minorEastAsia" w:hAnsiTheme="minorEastAsia" w:eastAsiaTheme="minorEastAsia" w:cstheme="minorEastAsia"/>
          <w:sz w:val="24"/>
          <w:szCs w:val="24"/>
          <w:lang w:val="en-US" w:eastAsia="zh-CN"/>
        </w:rPr>
        <w:t>供货期</w:t>
      </w:r>
      <w:r>
        <w:rPr>
          <w:rFonts w:hint="eastAsia" w:asciiTheme="minorEastAsia" w:hAnsiTheme="minorEastAsia" w:eastAsiaTheme="minorEastAsia" w:cstheme="minorEastAsia"/>
          <w:sz w:val="24"/>
          <w:szCs w:val="24"/>
        </w:rPr>
        <w:t>、质量要求作出响应。</w:t>
      </w:r>
    </w:p>
    <w:p w14:paraId="13386AB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3.7.3 响应文件应使用信阳市公共资源交易系统响应文件制作专用工具软件编制，竞争性磋商响应文件格式为“**.</w:t>
      </w:r>
      <w:r>
        <w:rPr>
          <w:rFonts w:hint="eastAsia" w:asciiTheme="minorEastAsia" w:hAnsiTheme="minorEastAsia" w:eastAsiaTheme="minorEastAsia" w:cstheme="minorEastAsia"/>
          <w:sz w:val="24"/>
          <w:szCs w:val="24"/>
          <w:lang w:eastAsia="zh-CN"/>
        </w:rPr>
        <w:t>XYTF</w:t>
      </w:r>
      <w:r>
        <w:rPr>
          <w:rFonts w:hint="eastAsia" w:asciiTheme="minorEastAsia" w:hAnsiTheme="minorEastAsia" w:eastAsiaTheme="minorEastAsia" w:cstheme="minorEastAsia"/>
          <w:sz w:val="24"/>
          <w:szCs w:val="24"/>
        </w:rPr>
        <w:t>”。电子响应文件签字或盖章的具体要求见供应商须知前附表。供应商须在响应文件递交截止时间前制作并提交。</w:t>
      </w:r>
    </w:p>
    <w:p w14:paraId="56E3B5E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3.7.4 响应文件份数见供应商须知前附表。</w:t>
      </w:r>
    </w:p>
    <w:p w14:paraId="777BD29C">
      <w:pPr>
        <w:wordWrap w:val="0"/>
        <w:spacing w:line="360" w:lineRule="auto"/>
        <w:ind w:firstLine="482" w:firstLineChars="200"/>
        <w:rPr>
          <w:rFonts w:hint="eastAsia" w:asciiTheme="minorEastAsia" w:hAnsiTheme="minorEastAsia" w:eastAsiaTheme="minorEastAsia" w:cstheme="minorEastAsia"/>
          <w:b/>
          <w:sz w:val="24"/>
          <w:szCs w:val="24"/>
        </w:rPr>
      </w:pPr>
      <w:bookmarkStart w:id="383" w:name="_Toc10732"/>
      <w:bookmarkStart w:id="384" w:name="_Toc19433"/>
      <w:bookmarkStart w:id="385" w:name="_Toc28805"/>
      <w:r>
        <w:rPr>
          <w:rFonts w:hint="eastAsia" w:asciiTheme="minorEastAsia" w:hAnsiTheme="minorEastAsia" w:eastAsiaTheme="minorEastAsia" w:cstheme="minorEastAsia"/>
          <w:b/>
          <w:sz w:val="24"/>
          <w:szCs w:val="24"/>
        </w:rPr>
        <w:t xml:space="preserve">4. </w:t>
      </w:r>
      <w:bookmarkEnd w:id="379"/>
      <w:bookmarkEnd w:id="380"/>
      <w:bookmarkEnd w:id="381"/>
      <w:bookmarkEnd w:id="382"/>
      <w:r>
        <w:rPr>
          <w:rFonts w:hint="eastAsia" w:asciiTheme="minorEastAsia" w:hAnsiTheme="minorEastAsia" w:eastAsiaTheme="minorEastAsia" w:cstheme="minorEastAsia"/>
          <w:b/>
          <w:sz w:val="24"/>
          <w:szCs w:val="24"/>
        </w:rPr>
        <w:t>磋商</w:t>
      </w:r>
      <w:bookmarkEnd w:id="383"/>
      <w:bookmarkEnd w:id="384"/>
      <w:bookmarkEnd w:id="385"/>
      <w:bookmarkStart w:id="386" w:name="_Toc18820"/>
      <w:bookmarkStart w:id="387" w:name="_Toc455080132"/>
      <w:bookmarkStart w:id="388" w:name="_Toc31492"/>
      <w:bookmarkStart w:id="389" w:name="_Toc144974524"/>
      <w:bookmarkStart w:id="390" w:name="_Toc455867792"/>
      <w:bookmarkStart w:id="391" w:name="_Toc16783"/>
      <w:bookmarkStart w:id="392" w:name="_Toc466298115"/>
      <w:bookmarkStart w:id="393" w:name="_Toc152042332"/>
      <w:bookmarkStart w:id="394" w:name="_Toc22961"/>
      <w:bookmarkStart w:id="395" w:name="_Toc16344"/>
      <w:bookmarkStart w:id="396" w:name="_Toc490667852"/>
      <w:bookmarkStart w:id="397" w:name="_Toc26550"/>
      <w:bookmarkStart w:id="398" w:name="_Toc11243"/>
      <w:bookmarkStart w:id="399" w:name="_Toc318450699"/>
      <w:bookmarkStart w:id="400" w:name="_Toc26583"/>
      <w:bookmarkStart w:id="401" w:name="_Toc16962"/>
      <w:bookmarkStart w:id="402" w:name="_Toc152045556"/>
      <w:bookmarkStart w:id="403" w:name="_Toc21145"/>
      <w:bookmarkStart w:id="404" w:name="_Toc19950"/>
    </w:p>
    <w:p w14:paraId="726FB5D3">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4.1 响应文件的</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Theme="minorEastAsia" w:hAnsiTheme="minorEastAsia" w:eastAsiaTheme="minorEastAsia" w:cstheme="minorEastAsia"/>
          <w:b/>
          <w:sz w:val="24"/>
          <w:szCs w:val="24"/>
        </w:rPr>
        <w:t>上传</w:t>
      </w:r>
      <w:bookmarkEnd w:id="403"/>
      <w:bookmarkEnd w:id="404"/>
    </w:p>
    <w:p w14:paraId="3D60536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 网上上传的电子响应文件应使用供应商数字证书认证并加密。</w:t>
      </w:r>
    </w:p>
    <w:p w14:paraId="3B2F8F04">
      <w:pPr>
        <w:wordWrap w:val="0"/>
        <w:spacing w:line="360" w:lineRule="auto"/>
        <w:ind w:firstLine="482" w:firstLineChars="200"/>
        <w:rPr>
          <w:rFonts w:hint="eastAsia" w:asciiTheme="minorEastAsia" w:hAnsiTheme="minorEastAsia" w:eastAsiaTheme="minorEastAsia" w:cstheme="minorEastAsia"/>
          <w:b/>
          <w:sz w:val="24"/>
          <w:szCs w:val="24"/>
        </w:rPr>
      </w:pPr>
      <w:bookmarkStart w:id="405" w:name="_Toc8754"/>
      <w:bookmarkStart w:id="406" w:name="_Toc152042333"/>
      <w:bookmarkStart w:id="407" w:name="_Toc7663"/>
      <w:bookmarkStart w:id="408" w:name="_Toc318450700"/>
      <w:bookmarkStart w:id="409" w:name="_Toc152045557"/>
      <w:bookmarkStart w:id="410" w:name="_Toc21072"/>
      <w:bookmarkStart w:id="411" w:name="_Toc466298116"/>
      <w:bookmarkStart w:id="412" w:name="_Toc16832"/>
      <w:bookmarkStart w:id="413" w:name="_Toc27132"/>
      <w:bookmarkStart w:id="414" w:name="_Toc455867793"/>
      <w:bookmarkStart w:id="415" w:name="_Toc144974525"/>
      <w:bookmarkStart w:id="416" w:name="_Toc20259"/>
      <w:bookmarkStart w:id="417" w:name="_Toc455080133"/>
      <w:bookmarkStart w:id="418" w:name="_Toc28272"/>
      <w:bookmarkStart w:id="419" w:name="_Toc21897"/>
      <w:bookmarkStart w:id="420" w:name="_Toc4767"/>
      <w:bookmarkStart w:id="421" w:name="_Toc462"/>
      <w:bookmarkStart w:id="422" w:name="_Toc5518"/>
      <w:bookmarkStart w:id="423" w:name="_Toc490667853"/>
      <w:r>
        <w:rPr>
          <w:rFonts w:hint="eastAsia" w:asciiTheme="minorEastAsia" w:hAnsiTheme="minorEastAsia" w:eastAsiaTheme="minorEastAsia" w:cstheme="minorEastAsia"/>
          <w:b/>
          <w:sz w:val="24"/>
          <w:szCs w:val="24"/>
        </w:rPr>
        <w:t>4.2 响应文件的递交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B7CFA5A">
      <w:pPr>
        <w:wordWrap w:val="0"/>
        <w:spacing w:line="360" w:lineRule="auto"/>
        <w:ind w:firstLine="480" w:firstLineChars="200"/>
        <w:rPr>
          <w:rFonts w:hint="eastAsia" w:asciiTheme="minorEastAsia" w:hAnsiTheme="minorEastAsia" w:eastAsiaTheme="minorEastAsia" w:cstheme="minorEastAsia"/>
          <w:sz w:val="24"/>
          <w:szCs w:val="24"/>
        </w:rPr>
      </w:pPr>
      <w:bookmarkStart w:id="424" w:name="_Toc5102"/>
      <w:bookmarkStart w:id="425" w:name="_Toc144974526"/>
      <w:bookmarkStart w:id="426" w:name="_Toc21890"/>
      <w:bookmarkStart w:id="427" w:name="_Toc11817"/>
      <w:bookmarkStart w:id="428" w:name="_Toc30860"/>
      <w:bookmarkStart w:id="429" w:name="_Toc17161"/>
      <w:bookmarkStart w:id="430" w:name="_Toc20281"/>
      <w:bookmarkStart w:id="431" w:name="_Toc490667854"/>
      <w:bookmarkStart w:id="432" w:name="_Toc318450701"/>
      <w:bookmarkStart w:id="433" w:name="_Toc466298117"/>
      <w:bookmarkStart w:id="434" w:name="_Toc152042334"/>
      <w:bookmarkStart w:id="435" w:name="_Toc26684"/>
      <w:bookmarkStart w:id="436" w:name="_Toc19951"/>
      <w:bookmarkStart w:id="437" w:name="_Toc455867794"/>
      <w:bookmarkStart w:id="438" w:name="_Toc455080134"/>
      <w:bookmarkStart w:id="439" w:name="_Toc2952"/>
      <w:bookmarkStart w:id="440" w:name="_Toc152045558"/>
      <w:r>
        <w:rPr>
          <w:rFonts w:hint="eastAsia" w:asciiTheme="minorEastAsia" w:hAnsiTheme="minorEastAsia" w:eastAsiaTheme="minorEastAsia" w:cstheme="minorEastAsia"/>
          <w:sz w:val="24"/>
          <w:szCs w:val="24"/>
        </w:rPr>
        <w:t>4.2.1 电子响应文件的递交</w:t>
      </w:r>
    </w:p>
    <w:p w14:paraId="2CCB1B3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各供应商应在响应文件提交截止时间前上传加密的电子响应文件（**.</w:t>
      </w:r>
      <w:r>
        <w:rPr>
          <w:rFonts w:hint="eastAsia" w:asciiTheme="minorEastAsia" w:hAnsiTheme="minorEastAsia" w:eastAsiaTheme="minorEastAsia" w:cstheme="minorEastAsia"/>
          <w:sz w:val="24"/>
          <w:szCs w:val="24"/>
          <w:lang w:eastAsia="zh-CN"/>
        </w:rPr>
        <w:t>XYTF</w:t>
      </w:r>
      <w:r>
        <w:rPr>
          <w:rFonts w:hint="eastAsia" w:asciiTheme="minorEastAsia" w:hAnsiTheme="minorEastAsia" w:eastAsiaTheme="minorEastAsia" w:cstheme="minorEastAsia"/>
          <w:sz w:val="24"/>
          <w:szCs w:val="24"/>
        </w:rPr>
        <w:t>）到会员系统的指定位置。上传的电子响应文件应使用供应商CA数字证书认证并加密。上传时必须得到交易系统“上传成功”的确认回复后方为上传成功。请供应商在上传前务必认真检查上传响应文件是否完整、正确。</w:t>
      </w:r>
      <w:bookmarkStart w:id="441" w:name="_Toc1790"/>
      <w:bookmarkStart w:id="442" w:name="_Toc30434"/>
    </w:p>
    <w:p w14:paraId="60E07CD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 逾期上传的投标文件，招标人不予受理。</w:t>
      </w:r>
    </w:p>
    <w:p w14:paraId="1E07C242">
      <w:pPr>
        <w:wordWrap w:val="0"/>
        <w:spacing w:line="360" w:lineRule="auto"/>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4.2.3</w:t>
      </w:r>
      <w:r>
        <w:rPr>
          <w:rFonts w:hint="eastAsia" w:asciiTheme="minorEastAsia" w:hAnsiTheme="minorEastAsia" w:eastAsiaTheme="minorEastAsia" w:cstheme="minorEastAsia"/>
          <w:b/>
          <w:bCs/>
          <w:sz w:val="24"/>
          <w:szCs w:val="24"/>
        </w:rPr>
        <w:t>投标人因电子招投标交易平台问题无法上传电子投标文件时，请及时与固始县公共资源交易中心联系，新点软件技术人员联系电话：1</w:t>
      </w:r>
      <w:r>
        <w:rPr>
          <w:rFonts w:hint="eastAsia" w:asciiTheme="minorEastAsia" w:hAnsiTheme="minorEastAsia" w:eastAsiaTheme="minorEastAsia" w:cstheme="minorEastAsia"/>
          <w:b/>
          <w:bCs/>
          <w:sz w:val="24"/>
          <w:szCs w:val="24"/>
          <w:lang w:val="en-US" w:eastAsia="zh-CN"/>
        </w:rPr>
        <w:t>8537677109</w:t>
      </w:r>
      <w:r>
        <w:rPr>
          <w:rFonts w:hint="eastAsia" w:asciiTheme="minorEastAsia" w:hAnsiTheme="minorEastAsia" w:eastAsiaTheme="minorEastAsia" w:cstheme="minorEastAsia"/>
          <w:b/>
          <w:bCs/>
          <w:sz w:val="24"/>
          <w:szCs w:val="24"/>
        </w:rPr>
        <w:t>，交易中心信息科：4096606。</w:t>
      </w:r>
    </w:p>
    <w:p w14:paraId="06E633D3">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4.3 响应文件的修改与撤回</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2FF30A2D">
      <w:pPr>
        <w:wordWrap w:val="0"/>
        <w:spacing w:line="360" w:lineRule="auto"/>
        <w:ind w:firstLine="480" w:firstLineChars="200"/>
        <w:rPr>
          <w:rFonts w:hint="eastAsia" w:asciiTheme="minorEastAsia" w:hAnsiTheme="minorEastAsia" w:eastAsiaTheme="minorEastAsia" w:cstheme="minorEastAsia"/>
          <w:sz w:val="24"/>
          <w:szCs w:val="24"/>
        </w:rPr>
      </w:pPr>
      <w:bookmarkStart w:id="443" w:name="_Toc144974527"/>
      <w:bookmarkStart w:id="444" w:name="_Toc152042335"/>
      <w:bookmarkStart w:id="445" w:name="_Toc152045559"/>
      <w:bookmarkStart w:id="446" w:name="_Toc455080135"/>
      <w:r>
        <w:rPr>
          <w:rFonts w:hint="eastAsia" w:asciiTheme="minorEastAsia" w:hAnsiTheme="minorEastAsia" w:eastAsiaTheme="minorEastAsia" w:cstheme="minorEastAsia"/>
          <w:sz w:val="24"/>
          <w:szCs w:val="24"/>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587BCE8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 修改的响应文件应按照本章第3.7条、第4.2条规定进行编制和递交。</w:t>
      </w:r>
    </w:p>
    <w:bookmarkEnd w:id="443"/>
    <w:bookmarkEnd w:id="444"/>
    <w:bookmarkEnd w:id="445"/>
    <w:p w14:paraId="4B6F32AA">
      <w:pPr>
        <w:wordWrap w:val="0"/>
        <w:spacing w:line="360" w:lineRule="auto"/>
        <w:ind w:firstLine="482" w:firstLineChars="200"/>
        <w:rPr>
          <w:rFonts w:hint="eastAsia" w:asciiTheme="minorEastAsia" w:hAnsiTheme="minorEastAsia" w:eastAsiaTheme="minorEastAsia" w:cstheme="minorEastAsia"/>
          <w:b/>
          <w:sz w:val="24"/>
          <w:szCs w:val="24"/>
        </w:rPr>
      </w:pPr>
      <w:bookmarkStart w:id="447" w:name="_Toc5719"/>
      <w:bookmarkStart w:id="448" w:name="_Toc31291"/>
      <w:bookmarkStart w:id="449" w:name="_Toc14969"/>
      <w:r>
        <w:rPr>
          <w:rFonts w:hint="eastAsia" w:asciiTheme="minorEastAsia" w:hAnsiTheme="minorEastAsia" w:eastAsiaTheme="minorEastAsia" w:cstheme="minorEastAsia"/>
          <w:b/>
          <w:sz w:val="24"/>
          <w:szCs w:val="24"/>
        </w:rPr>
        <w:t>5. 磋商开始</w:t>
      </w:r>
      <w:bookmarkEnd w:id="446"/>
      <w:bookmarkEnd w:id="447"/>
      <w:bookmarkEnd w:id="448"/>
      <w:bookmarkEnd w:id="449"/>
      <w:bookmarkStart w:id="450" w:name="_Toc16040"/>
      <w:bookmarkStart w:id="451" w:name="_Toc455080136"/>
      <w:bookmarkStart w:id="452" w:name="_Toc152042336"/>
      <w:bookmarkStart w:id="453" w:name="_Toc9969"/>
      <w:bookmarkStart w:id="454" w:name="_Toc6763"/>
      <w:bookmarkStart w:id="455" w:name="_Toc25533"/>
      <w:bookmarkStart w:id="456" w:name="_Toc26426"/>
      <w:bookmarkStart w:id="457" w:name="_Toc20660"/>
      <w:bookmarkStart w:id="458" w:name="_Toc20333"/>
      <w:bookmarkStart w:id="459" w:name="_Toc144974528"/>
      <w:bookmarkStart w:id="460" w:name="_Toc490667856"/>
      <w:bookmarkStart w:id="461" w:name="_Toc455867796"/>
      <w:bookmarkStart w:id="462" w:name="_Toc318450703"/>
      <w:bookmarkStart w:id="463" w:name="_Toc466298119"/>
      <w:bookmarkStart w:id="464" w:name="_Toc25809"/>
      <w:bookmarkStart w:id="465" w:name="_Toc152045560"/>
      <w:bookmarkStart w:id="466" w:name="_Toc14"/>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14:paraId="4C00CEF5">
      <w:pPr>
        <w:wordWrap w:val="0"/>
        <w:spacing w:line="360" w:lineRule="auto"/>
        <w:ind w:firstLine="482" w:firstLineChars="200"/>
        <w:rPr>
          <w:rFonts w:hint="eastAsia" w:asciiTheme="minorEastAsia" w:hAnsiTheme="minorEastAsia" w:eastAsiaTheme="minorEastAsia" w:cstheme="minorEastAsia"/>
          <w:b/>
          <w:sz w:val="24"/>
          <w:szCs w:val="24"/>
        </w:rPr>
      </w:pPr>
      <w:bookmarkStart w:id="467" w:name="_Toc19037"/>
      <w:bookmarkStart w:id="468" w:name="_Toc455080137"/>
      <w:bookmarkStart w:id="469" w:name="_Toc466298120"/>
      <w:bookmarkStart w:id="470" w:name="_Toc9328"/>
      <w:bookmarkStart w:id="471" w:name="_Toc144974529"/>
      <w:bookmarkStart w:id="472" w:name="_Toc30074"/>
      <w:bookmarkStart w:id="473" w:name="_Toc3865"/>
      <w:bookmarkStart w:id="474" w:name="_Toc490667857"/>
      <w:bookmarkStart w:id="475" w:name="_Toc455867797"/>
      <w:bookmarkStart w:id="476" w:name="_Toc152042337"/>
      <w:bookmarkStart w:id="477" w:name="_Toc11148"/>
      <w:bookmarkStart w:id="478" w:name="_Toc30792"/>
      <w:bookmarkStart w:id="479" w:name="_Toc152045561"/>
      <w:bookmarkStart w:id="480" w:name="_Toc18582"/>
      <w:bookmarkStart w:id="481" w:name="_Toc30965"/>
      <w:bookmarkStart w:id="482" w:name="_Toc318450704"/>
      <w:bookmarkStart w:id="483" w:name="_Toc17491"/>
      <w:bookmarkStart w:id="484" w:name="_Toc747"/>
      <w:bookmarkStart w:id="485" w:name="_Toc25911"/>
      <w:r>
        <w:rPr>
          <w:rFonts w:hint="eastAsia" w:asciiTheme="minorEastAsia" w:hAnsiTheme="minorEastAsia" w:eastAsiaTheme="minorEastAsia" w:cstheme="minorEastAsia"/>
          <w:b/>
          <w:sz w:val="24"/>
          <w:szCs w:val="24"/>
        </w:rPr>
        <w:t>5.1 磋商时间和地点</w:t>
      </w:r>
      <w:bookmarkEnd w:id="467"/>
    </w:p>
    <w:p w14:paraId="61B9A41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 采购人在本章规定的投标截止时间（开标时间）和供应商须知前附表规定的地点开标。</w:t>
      </w:r>
    </w:p>
    <w:p w14:paraId="193FD23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 本项目采用“不见面开标”交易方式，不见面开标大厅网址为</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https://ggzyjy.xinyang.gov.cn/BidOpening/bidhall/xinyang/login.html，供应商无需寄送和递交非加密的电子响应文件，无需到现场参加开标会议，无需到达现场提交原件资料。</w:t>
      </w:r>
      <w:r>
        <w:rPr>
          <w:rFonts w:hint="eastAsia" w:asciiTheme="minorEastAsia" w:hAnsiTheme="minorEastAsia" w:eastAsiaTheme="minorEastAsia" w:cstheme="minorEastAsia"/>
          <w:sz w:val="24"/>
          <w:szCs w:val="24"/>
        </w:rPr>
        <w:fldChar w:fldCharType="end"/>
      </w:r>
    </w:p>
    <w:p w14:paraId="17255C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供应商应当在响应文件提交截止时间前，使用供应商CA数字证书登录不见面开标大厅，在线签到并准时参加开标活动，并在规定时间内完成响应文件解密、答疑澄清等。</w:t>
      </w:r>
    </w:p>
    <w:p w14:paraId="1961BC7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381C10F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不见面开标服务的具体事宜，请查阅信阳市公共资源交易中心网站首页—下载中心—信阳市不见面开标大厅系统操作手册。</w:t>
      </w:r>
    </w:p>
    <w:p w14:paraId="314A562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开标过程中，供应商如有异议，须在开标结束前通过系统提出，否则视同认可开标记录。开标结束后，对开标记录的任何异议不再接受。</w:t>
      </w:r>
    </w:p>
    <w:p w14:paraId="0BEDC11B">
      <w:pPr>
        <w:wordWrap w:val="0"/>
        <w:spacing w:line="360" w:lineRule="auto"/>
        <w:ind w:firstLine="482" w:firstLineChars="200"/>
        <w:rPr>
          <w:rFonts w:hint="eastAsia" w:asciiTheme="minorEastAsia" w:hAnsiTheme="minorEastAsia" w:eastAsiaTheme="minorEastAsia" w:cstheme="minorEastAsia"/>
          <w:b/>
          <w:sz w:val="24"/>
          <w:szCs w:val="24"/>
        </w:rPr>
      </w:pPr>
      <w:bookmarkStart w:id="486" w:name="_Toc6880"/>
      <w:r>
        <w:rPr>
          <w:rFonts w:hint="eastAsia" w:asciiTheme="minorEastAsia" w:hAnsiTheme="minorEastAsia" w:eastAsiaTheme="minorEastAsia" w:cstheme="minorEastAsia"/>
          <w:b/>
          <w:sz w:val="24"/>
          <w:szCs w:val="24"/>
        </w:rPr>
        <w:t>5.2 磋商程序</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Start w:id="487" w:name="_Toc14413"/>
      <w:bookmarkStart w:id="488" w:name="_Toc30403"/>
    </w:p>
    <w:p w14:paraId="50642E4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5.2.1 磋商小组对竞争性磋商文件进行熟悉确认。</w:t>
      </w:r>
      <w:bookmarkEnd w:id="487"/>
      <w:bookmarkEnd w:id="488"/>
    </w:p>
    <w:p w14:paraId="5B2CBDDB">
      <w:pPr>
        <w:wordWrap w:val="0"/>
        <w:spacing w:line="360" w:lineRule="auto"/>
        <w:ind w:firstLine="480" w:firstLineChars="200"/>
        <w:rPr>
          <w:rFonts w:hint="eastAsia" w:asciiTheme="minorEastAsia" w:hAnsiTheme="minorEastAsia" w:eastAsiaTheme="minorEastAsia" w:cstheme="minorEastAsia"/>
          <w:sz w:val="24"/>
          <w:szCs w:val="24"/>
        </w:rPr>
      </w:pPr>
      <w:bookmarkStart w:id="489" w:name="_Toc144974530"/>
      <w:bookmarkStart w:id="490" w:name="_Toc152045562"/>
      <w:bookmarkStart w:id="491" w:name="_Toc152042338"/>
      <w:r>
        <w:rPr>
          <w:rFonts w:hint="eastAsia" w:asciiTheme="minorEastAsia" w:hAnsiTheme="minorEastAsia" w:eastAsiaTheme="minorEastAsia" w:cstheme="minorEastAsia"/>
          <w:sz w:val="24"/>
          <w:szCs w:val="24"/>
        </w:rPr>
        <w:t>5.2.2 磋商小组推选组长，讨论、通过磋商工作流程和磋商要点。</w:t>
      </w:r>
    </w:p>
    <w:p w14:paraId="2724AF5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5.2.3 资格评审审查：采购人依据竞争性磋商文件规定，对供应商进行审查，以确定磋商供应商是否具备参与磋商的资格。</w:t>
      </w:r>
    </w:p>
    <w:p w14:paraId="1D57880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5.2.4 符合性评审审查：磋商开始后，磋商小组依据竞争性磋商文件规定，对通过资格评审的供应商进行审查，以确定磋商供应商是否具备参与磋商的资格。</w:t>
      </w:r>
    </w:p>
    <w:p w14:paraId="5FD713EB">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5.2.5 磋商小组对通过资格性和符合性审查的响应文件进行评估，确定与各竞标人磋商的具体内容。</w:t>
      </w:r>
    </w:p>
    <w:p w14:paraId="05CEECB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5.2.6 磋商过程中，磋商小组可以根据磋商情况实质性变动招标需求中的技术、</w:t>
      </w:r>
      <w:r>
        <w:rPr>
          <w:rFonts w:hint="eastAsia" w:asciiTheme="minorEastAsia" w:hAnsiTheme="minorEastAsia" w:eastAsiaTheme="minorEastAsia" w:cstheme="minorEastAsia"/>
          <w:sz w:val="24"/>
          <w:szCs w:val="24"/>
          <w:lang w:eastAsia="zh-CN"/>
        </w:rPr>
        <w:t>质量要求</w:t>
      </w:r>
      <w:r>
        <w:rPr>
          <w:rFonts w:hint="eastAsia" w:asciiTheme="minorEastAsia" w:hAnsiTheme="minorEastAsia" w:eastAsiaTheme="minorEastAsia" w:cstheme="minorEastAsia"/>
          <w:sz w:val="24"/>
          <w:szCs w:val="24"/>
        </w:rPr>
        <w:t>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w:t>
      </w:r>
      <w:r>
        <w:rPr>
          <w:rFonts w:hint="eastAsia" w:asciiTheme="minorEastAsia" w:hAnsiTheme="minorEastAsia" w:eastAsiaTheme="minorEastAsia" w:cstheme="minorEastAsia"/>
          <w:sz w:val="24"/>
          <w:szCs w:val="24"/>
          <w:lang w:eastAsia="zh-CN"/>
        </w:rPr>
        <w:t>质量要求</w:t>
      </w:r>
      <w:r>
        <w:rPr>
          <w:rFonts w:hint="eastAsia" w:asciiTheme="minorEastAsia" w:hAnsiTheme="minorEastAsia" w:eastAsiaTheme="minorEastAsia" w:cstheme="minorEastAsia"/>
          <w:sz w:val="24"/>
          <w:szCs w:val="24"/>
        </w:rPr>
        <w:t>以及合同草案条款，则供应商的最后报价不得高于首次报价，否则按无效报价处理。</w:t>
      </w:r>
    </w:p>
    <w:p w14:paraId="7A4E7E9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5.2.7 磋商小组对符合招标需求的供应商进行两轮报价；供应商只有通过资格评审及符合性评审后方可进入下一轮报价，在规定的时间内同时提交报价，最终报价不得超过响应文件中报价。</w:t>
      </w:r>
    </w:p>
    <w:p w14:paraId="322072A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5.2.8 经磋商确定最终招标需求，由磋商小组采用综合评分法对通过初步评审的供应商的响应文件进行综合评分。</w:t>
      </w:r>
    </w:p>
    <w:p w14:paraId="7E4FA014">
      <w:pPr>
        <w:wordWrap w:val="0"/>
        <w:spacing w:line="360" w:lineRule="auto"/>
        <w:ind w:firstLine="482" w:firstLineChars="200"/>
        <w:rPr>
          <w:rFonts w:hint="eastAsia" w:asciiTheme="minorEastAsia" w:hAnsiTheme="minorEastAsia" w:eastAsiaTheme="minorEastAsia" w:cstheme="minorEastAsia"/>
          <w:b/>
          <w:sz w:val="24"/>
          <w:szCs w:val="24"/>
        </w:rPr>
      </w:pPr>
      <w:bookmarkStart w:id="492" w:name="_Toc455080138"/>
      <w:bookmarkStart w:id="493" w:name="_Toc14039"/>
      <w:bookmarkStart w:id="494" w:name="_Toc32276"/>
      <w:bookmarkStart w:id="495" w:name="_Toc16609"/>
      <w:r>
        <w:rPr>
          <w:rFonts w:hint="eastAsia" w:asciiTheme="minorEastAsia" w:hAnsiTheme="minorEastAsia" w:eastAsiaTheme="minorEastAsia" w:cstheme="minorEastAsia"/>
          <w:b/>
          <w:sz w:val="24"/>
          <w:szCs w:val="24"/>
        </w:rPr>
        <w:t xml:space="preserve">6. </w:t>
      </w:r>
      <w:bookmarkEnd w:id="489"/>
      <w:bookmarkEnd w:id="490"/>
      <w:bookmarkEnd w:id="491"/>
      <w:r>
        <w:rPr>
          <w:rFonts w:hint="eastAsia" w:asciiTheme="minorEastAsia" w:hAnsiTheme="minorEastAsia" w:eastAsiaTheme="minorEastAsia" w:cstheme="minorEastAsia"/>
          <w:b/>
          <w:sz w:val="24"/>
          <w:szCs w:val="24"/>
        </w:rPr>
        <w:t>磋商</w:t>
      </w:r>
      <w:bookmarkEnd w:id="492"/>
      <w:r>
        <w:rPr>
          <w:rFonts w:hint="eastAsia" w:asciiTheme="minorEastAsia" w:hAnsiTheme="minorEastAsia" w:eastAsiaTheme="minorEastAsia" w:cstheme="minorEastAsia"/>
          <w:b/>
          <w:sz w:val="24"/>
          <w:szCs w:val="24"/>
        </w:rPr>
        <w:t>小组</w:t>
      </w:r>
      <w:bookmarkEnd w:id="493"/>
      <w:bookmarkEnd w:id="494"/>
      <w:bookmarkEnd w:id="495"/>
    </w:p>
    <w:p w14:paraId="5112D715">
      <w:pPr>
        <w:wordWrap w:val="0"/>
        <w:spacing w:line="360" w:lineRule="auto"/>
        <w:ind w:firstLine="482" w:firstLineChars="200"/>
        <w:rPr>
          <w:rFonts w:hint="eastAsia" w:asciiTheme="minorEastAsia" w:hAnsiTheme="minorEastAsia" w:eastAsiaTheme="minorEastAsia" w:cstheme="minorEastAsia"/>
          <w:b/>
          <w:sz w:val="24"/>
          <w:szCs w:val="24"/>
        </w:rPr>
      </w:pPr>
      <w:bookmarkStart w:id="496" w:name="_Toc26098"/>
      <w:bookmarkStart w:id="497" w:name="_Toc318450706"/>
      <w:bookmarkStart w:id="498" w:name="_Toc22250"/>
      <w:bookmarkStart w:id="499" w:name="_Toc152045563"/>
      <w:bookmarkStart w:id="500" w:name="_Toc9808"/>
      <w:bookmarkStart w:id="501" w:name="_Toc152042339"/>
      <w:bookmarkStart w:id="502" w:name="_Toc144974531"/>
      <w:bookmarkStart w:id="503" w:name="_Toc23138"/>
      <w:bookmarkStart w:id="504" w:name="_Toc12742"/>
      <w:bookmarkStart w:id="505" w:name="_Toc1574"/>
      <w:bookmarkStart w:id="506" w:name="_Toc8157"/>
      <w:bookmarkStart w:id="507" w:name="_Toc490667859"/>
      <w:bookmarkStart w:id="508" w:name="_Toc466298122"/>
      <w:bookmarkStart w:id="509" w:name="_Toc455867799"/>
      <w:bookmarkStart w:id="510" w:name="_Toc13978"/>
      <w:bookmarkStart w:id="511" w:name="_Toc455080139"/>
      <w:bookmarkStart w:id="512" w:name="_Toc18985"/>
      <w:bookmarkStart w:id="513" w:name="_Toc8725"/>
      <w:bookmarkStart w:id="514" w:name="_Toc1546"/>
      <w:r>
        <w:rPr>
          <w:rFonts w:hint="eastAsia" w:asciiTheme="minorEastAsia" w:hAnsiTheme="minorEastAsia" w:eastAsiaTheme="minorEastAsia" w:cstheme="minorEastAsia"/>
          <w:b/>
          <w:sz w:val="24"/>
          <w:szCs w:val="24"/>
        </w:rPr>
        <w:t>6.1</w:t>
      </w:r>
      <w:bookmarkEnd w:id="496"/>
      <w:bookmarkEnd w:id="497"/>
      <w:bookmarkEnd w:id="498"/>
      <w:bookmarkEnd w:id="499"/>
      <w:bookmarkEnd w:id="500"/>
      <w:bookmarkEnd w:id="501"/>
      <w:bookmarkEnd w:id="502"/>
      <w:r>
        <w:rPr>
          <w:rFonts w:hint="eastAsia" w:asciiTheme="minorEastAsia" w:hAnsiTheme="minorEastAsia" w:eastAsiaTheme="minorEastAsia" w:cstheme="minorEastAsia"/>
          <w:b/>
          <w:sz w:val="24"/>
          <w:szCs w:val="24"/>
        </w:rPr>
        <w:t xml:space="preserve"> 磋商小组</w:t>
      </w:r>
      <w:bookmarkEnd w:id="503"/>
      <w:bookmarkEnd w:id="504"/>
      <w:bookmarkEnd w:id="505"/>
      <w:bookmarkEnd w:id="506"/>
      <w:bookmarkEnd w:id="507"/>
      <w:bookmarkEnd w:id="508"/>
      <w:bookmarkEnd w:id="509"/>
      <w:bookmarkEnd w:id="510"/>
      <w:bookmarkEnd w:id="511"/>
      <w:bookmarkEnd w:id="512"/>
      <w:bookmarkEnd w:id="513"/>
      <w:bookmarkEnd w:id="514"/>
    </w:p>
    <w:p w14:paraId="5382964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磋商由采购人依法组建的磋商小组负责。磋商小组由采购人代表以及有关技术、经济等方面的专家组成。磋商小组成员人数以及技术、经济等方面专家的确定方式见供应商须知前附表。</w:t>
      </w:r>
      <w:bookmarkStart w:id="515" w:name="_Toc152045564"/>
      <w:bookmarkStart w:id="516" w:name="_Toc466298123"/>
      <w:bookmarkStart w:id="517" w:name="_Toc27035"/>
      <w:bookmarkStart w:id="518" w:name="_Toc455867800"/>
      <w:bookmarkStart w:id="519" w:name="_Toc8248"/>
      <w:bookmarkStart w:id="520" w:name="_Toc21102"/>
      <w:bookmarkStart w:id="521" w:name="_Toc25721"/>
      <w:bookmarkStart w:id="522" w:name="_Toc13368"/>
      <w:bookmarkStart w:id="523" w:name="_Toc455080140"/>
      <w:bookmarkStart w:id="524" w:name="_Toc8240"/>
      <w:bookmarkStart w:id="525" w:name="_Toc144974532"/>
      <w:bookmarkStart w:id="526" w:name="_Toc4435"/>
      <w:bookmarkStart w:id="527" w:name="_Toc22143"/>
      <w:bookmarkStart w:id="528" w:name="_Toc152042340"/>
      <w:bookmarkStart w:id="529" w:name="_Toc490667860"/>
      <w:bookmarkStart w:id="530" w:name="_Toc318450707"/>
      <w:bookmarkStart w:id="531" w:name="_Toc7286"/>
      <w:bookmarkStart w:id="532" w:name="_Toc9532"/>
      <w:bookmarkStart w:id="533" w:name="_Toc10765"/>
    </w:p>
    <w:p w14:paraId="79887F97">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6.2 磋商原则</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73A02C8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磋商活动遵循公平、公正、科学和择优的原则。</w:t>
      </w:r>
      <w:bookmarkStart w:id="534" w:name="_Toc318450708"/>
      <w:bookmarkStart w:id="535" w:name="_Toc144974533"/>
      <w:bookmarkStart w:id="536" w:name="_Toc152045565"/>
      <w:bookmarkStart w:id="537" w:name="_Toc15595"/>
      <w:bookmarkStart w:id="538" w:name="_Toc152042341"/>
      <w:bookmarkStart w:id="539" w:name="_Toc8705"/>
      <w:bookmarkStart w:id="540" w:name="_Toc16725"/>
      <w:bookmarkStart w:id="541" w:name="_Toc24358"/>
      <w:bookmarkStart w:id="542" w:name="_Toc490667861"/>
      <w:bookmarkStart w:id="543" w:name="_Toc455080141"/>
      <w:bookmarkStart w:id="544" w:name="_Toc466298124"/>
      <w:bookmarkStart w:id="545" w:name="_Toc24526"/>
      <w:bookmarkStart w:id="546" w:name="_Toc7890"/>
      <w:bookmarkStart w:id="547" w:name="_Toc27036"/>
      <w:bookmarkStart w:id="548" w:name="_Toc28734"/>
      <w:bookmarkStart w:id="549" w:name="_Toc3606"/>
      <w:bookmarkStart w:id="550" w:name="_Toc455867801"/>
      <w:bookmarkStart w:id="551" w:name="_Toc18756"/>
      <w:bookmarkStart w:id="552" w:name="_Toc20062"/>
    </w:p>
    <w:p w14:paraId="4CEEE99C">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6.3 </w:t>
      </w:r>
      <w:bookmarkEnd w:id="534"/>
      <w:bookmarkEnd w:id="535"/>
      <w:bookmarkEnd w:id="536"/>
      <w:bookmarkEnd w:id="537"/>
      <w:bookmarkEnd w:id="538"/>
      <w:bookmarkEnd w:id="539"/>
      <w:bookmarkEnd w:id="540"/>
      <w:r>
        <w:rPr>
          <w:rFonts w:hint="eastAsia" w:asciiTheme="minorEastAsia" w:hAnsiTheme="minorEastAsia" w:eastAsiaTheme="minorEastAsia" w:cstheme="minorEastAsia"/>
          <w:b/>
          <w:sz w:val="24"/>
          <w:szCs w:val="24"/>
        </w:rPr>
        <w:t>磋商</w:t>
      </w:r>
      <w:bookmarkEnd w:id="541"/>
      <w:bookmarkEnd w:id="542"/>
      <w:bookmarkEnd w:id="543"/>
      <w:bookmarkEnd w:id="544"/>
      <w:bookmarkEnd w:id="545"/>
      <w:bookmarkEnd w:id="546"/>
      <w:bookmarkEnd w:id="547"/>
      <w:bookmarkEnd w:id="548"/>
      <w:bookmarkEnd w:id="549"/>
      <w:bookmarkEnd w:id="550"/>
      <w:bookmarkEnd w:id="551"/>
      <w:bookmarkEnd w:id="552"/>
    </w:p>
    <w:p w14:paraId="1849DCED">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磋商小组按照第三章“评审办法”规定的方法、评审因素、标准和程序对响应文件进行评审。第三章“评审办法”没有规定的方法、评审因素和标准，不作为评标依据。</w:t>
      </w:r>
      <w:bookmarkStart w:id="553" w:name="_Toc144974534"/>
      <w:bookmarkStart w:id="554" w:name="_Toc455080142"/>
      <w:bookmarkStart w:id="555" w:name="_Toc6334"/>
      <w:bookmarkStart w:id="556" w:name="_Toc9522"/>
      <w:bookmarkStart w:id="557" w:name="_Toc152045566"/>
      <w:bookmarkStart w:id="558" w:name="_Toc5971"/>
      <w:bookmarkStart w:id="559" w:name="_Toc152042342"/>
    </w:p>
    <w:p w14:paraId="4FF7491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 合同授予</w:t>
      </w:r>
      <w:bookmarkEnd w:id="553"/>
      <w:bookmarkEnd w:id="554"/>
      <w:bookmarkEnd w:id="555"/>
      <w:bookmarkEnd w:id="556"/>
      <w:bookmarkEnd w:id="557"/>
      <w:bookmarkEnd w:id="558"/>
      <w:bookmarkEnd w:id="559"/>
    </w:p>
    <w:p w14:paraId="3402C8EE">
      <w:pPr>
        <w:wordWrap w:val="0"/>
        <w:spacing w:line="360" w:lineRule="auto"/>
        <w:ind w:firstLine="482" w:firstLineChars="200"/>
        <w:rPr>
          <w:rFonts w:hint="eastAsia" w:asciiTheme="minorEastAsia" w:hAnsiTheme="minorEastAsia" w:eastAsiaTheme="minorEastAsia" w:cstheme="minorEastAsia"/>
          <w:b/>
          <w:sz w:val="24"/>
          <w:szCs w:val="24"/>
        </w:rPr>
      </w:pPr>
      <w:bookmarkStart w:id="560" w:name="_Toc28919"/>
      <w:bookmarkStart w:id="561" w:name="_Toc29664"/>
      <w:bookmarkStart w:id="562" w:name="_Toc455867803"/>
      <w:bookmarkStart w:id="563" w:name="_Toc14528"/>
      <w:bookmarkStart w:id="564" w:name="_Toc144974535"/>
      <w:bookmarkStart w:id="565" w:name="_Toc29686"/>
      <w:bookmarkStart w:id="566" w:name="_Toc466298126"/>
      <w:bookmarkStart w:id="567" w:name="_Toc11409"/>
      <w:bookmarkStart w:id="568" w:name="_Toc25316"/>
      <w:bookmarkStart w:id="569" w:name="_Toc152045567"/>
      <w:bookmarkStart w:id="570" w:name="_Toc7358"/>
      <w:bookmarkStart w:id="571" w:name="_Toc490667863"/>
      <w:bookmarkStart w:id="572" w:name="_Toc455080143"/>
      <w:bookmarkStart w:id="573" w:name="_Toc22461"/>
      <w:bookmarkStart w:id="574" w:name="_Toc32135"/>
      <w:bookmarkStart w:id="575" w:name="_Toc318450710"/>
      <w:bookmarkStart w:id="576" w:name="_Toc20777"/>
      <w:bookmarkStart w:id="577" w:name="_Toc17660"/>
      <w:bookmarkStart w:id="578" w:name="_Toc152042343"/>
      <w:r>
        <w:rPr>
          <w:rFonts w:hint="eastAsia" w:asciiTheme="minorEastAsia" w:hAnsiTheme="minorEastAsia" w:eastAsiaTheme="minorEastAsia" w:cstheme="minorEastAsia"/>
          <w:b/>
          <w:sz w:val="24"/>
          <w:szCs w:val="24"/>
        </w:rPr>
        <w:t>7.1 定标方式</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D334A23">
      <w:pPr>
        <w:wordWrap w:val="0"/>
        <w:spacing w:line="360" w:lineRule="auto"/>
        <w:ind w:firstLine="480" w:firstLineChars="200"/>
        <w:rPr>
          <w:rFonts w:hint="eastAsia" w:asciiTheme="minorEastAsia" w:hAnsiTheme="minorEastAsia" w:eastAsiaTheme="minorEastAsia" w:cstheme="minorEastAsia"/>
          <w:sz w:val="24"/>
          <w:szCs w:val="24"/>
        </w:rPr>
      </w:pPr>
      <w:bookmarkStart w:id="579" w:name="_Toc28254"/>
      <w:bookmarkStart w:id="580" w:name="_Toc152045568"/>
      <w:bookmarkStart w:id="581" w:name="_Toc10868"/>
      <w:bookmarkStart w:id="582" w:name="_Toc318450711"/>
      <w:bookmarkStart w:id="583" w:name="_Toc7066"/>
      <w:bookmarkStart w:id="584" w:name="_Toc144974536"/>
      <w:bookmarkStart w:id="585" w:name="_Toc152042344"/>
      <w:r>
        <w:rPr>
          <w:rFonts w:hint="eastAsia" w:asciiTheme="minorEastAsia" w:hAnsiTheme="minorEastAsia" w:eastAsiaTheme="minorEastAsia" w:cstheme="minorEastAsia"/>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792F7A57">
      <w:pPr>
        <w:wordWrap w:val="0"/>
        <w:spacing w:line="360" w:lineRule="auto"/>
        <w:ind w:firstLine="482" w:firstLineChars="200"/>
        <w:rPr>
          <w:rFonts w:hint="eastAsia" w:asciiTheme="minorEastAsia" w:hAnsiTheme="minorEastAsia" w:eastAsiaTheme="minorEastAsia" w:cstheme="minorEastAsia"/>
          <w:b/>
          <w:sz w:val="24"/>
          <w:szCs w:val="24"/>
        </w:rPr>
      </w:pPr>
      <w:bookmarkStart w:id="586" w:name="_Toc455080144"/>
      <w:bookmarkStart w:id="587" w:name="_Toc15825"/>
      <w:bookmarkStart w:id="588" w:name="_Toc490667864"/>
      <w:bookmarkStart w:id="589" w:name="_Toc28177"/>
      <w:bookmarkStart w:id="590" w:name="_Toc9775"/>
      <w:bookmarkStart w:id="591" w:name="_Toc5668"/>
      <w:bookmarkStart w:id="592" w:name="_Toc1484"/>
      <w:bookmarkStart w:id="593" w:name="_Toc466298127"/>
      <w:bookmarkStart w:id="594" w:name="_Toc16163"/>
      <w:bookmarkStart w:id="595" w:name="_Toc9897"/>
      <w:bookmarkStart w:id="596" w:name="_Toc5428"/>
      <w:bookmarkStart w:id="597" w:name="_Toc455867804"/>
      <w:r>
        <w:rPr>
          <w:rFonts w:hint="eastAsia" w:asciiTheme="minorEastAsia" w:hAnsiTheme="minorEastAsia" w:eastAsiaTheme="minorEastAsia" w:cstheme="minorEastAsia"/>
          <w:b/>
          <w:sz w:val="24"/>
          <w:szCs w:val="24"/>
        </w:rPr>
        <w:t>7.2 成交通知</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0ED4EE9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在本章第3.3.1款规定的磋商有效期内，采购人以书面形式向成交人发出成交通知书，同时将成交结果通知未成交的供应商。</w:t>
      </w:r>
    </w:p>
    <w:p w14:paraId="24F82B62">
      <w:pPr>
        <w:wordWrap w:val="0"/>
        <w:spacing w:line="360" w:lineRule="auto"/>
        <w:ind w:firstLine="482" w:firstLineChars="200"/>
        <w:rPr>
          <w:rFonts w:hint="eastAsia" w:asciiTheme="minorEastAsia" w:hAnsiTheme="minorEastAsia" w:eastAsiaTheme="minorEastAsia" w:cstheme="minorEastAsia"/>
          <w:b/>
          <w:sz w:val="24"/>
          <w:szCs w:val="24"/>
        </w:rPr>
      </w:pPr>
      <w:bookmarkStart w:id="598" w:name="_Toc22732"/>
      <w:r>
        <w:rPr>
          <w:rFonts w:hint="eastAsia" w:asciiTheme="minorEastAsia" w:hAnsiTheme="minorEastAsia" w:eastAsiaTheme="minorEastAsia" w:cstheme="minorEastAsia"/>
          <w:b/>
          <w:sz w:val="24"/>
          <w:szCs w:val="24"/>
        </w:rPr>
        <w:t>7.3 履约保证金</w:t>
      </w:r>
      <w:bookmarkEnd w:id="598"/>
    </w:p>
    <w:p w14:paraId="0CEBC6B1">
      <w:pPr>
        <w:wordWrap w:val="0"/>
        <w:spacing w:line="360" w:lineRule="auto"/>
        <w:ind w:firstLine="480" w:firstLineChars="200"/>
        <w:rPr>
          <w:rFonts w:hint="eastAsia" w:asciiTheme="minorEastAsia" w:hAnsiTheme="minorEastAsia" w:eastAsiaTheme="minorEastAsia" w:cstheme="minorEastAsia"/>
          <w:sz w:val="24"/>
          <w:szCs w:val="24"/>
        </w:rPr>
      </w:pPr>
      <w:bookmarkStart w:id="599" w:name="_Toc21617"/>
      <w:bookmarkStart w:id="600" w:name="_Toc24026"/>
      <w:bookmarkStart w:id="601" w:name="_Toc12663"/>
      <w:bookmarkStart w:id="602" w:name="_Toc26915"/>
      <w:bookmarkStart w:id="603" w:name="_Toc21271"/>
      <w:bookmarkStart w:id="604" w:name="_Toc455080145"/>
      <w:bookmarkStart w:id="605" w:name="_Toc13147"/>
      <w:bookmarkStart w:id="606" w:name="_Toc144974538"/>
      <w:bookmarkStart w:id="607" w:name="_Toc318450712"/>
      <w:bookmarkStart w:id="608" w:name="_Toc490667865"/>
      <w:bookmarkStart w:id="609" w:name="_Toc26655"/>
      <w:bookmarkStart w:id="610" w:name="_Toc152045570"/>
      <w:bookmarkStart w:id="611" w:name="_Toc466298128"/>
      <w:bookmarkStart w:id="612" w:name="_Toc152042346"/>
      <w:bookmarkStart w:id="613" w:name="_Toc26760"/>
      <w:bookmarkStart w:id="614" w:name="_Toc455867805"/>
      <w:bookmarkStart w:id="615" w:name="_Toc8886"/>
      <w:bookmarkStart w:id="616" w:name="_Toc10082"/>
      <w:bookmarkStart w:id="617" w:name="_Toc15458"/>
      <w:r>
        <w:rPr>
          <w:rFonts w:hint="eastAsia" w:asciiTheme="minorEastAsia" w:hAnsiTheme="minorEastAsia" w:eastAsiaTheme="minorEastAsia" w:cstheme="minorEastAsia"/>
          <w:sz w:val="24"/>
          <w:szCs w:val="24"/>
        </w:rPr>
        <w:t>免收履约保证金</w:t>
      </w:r>
      <w:bookmarkEnd w:id="599"/>
    </w:p>
    <w:p w14:paraId="2ED46351">
      <w:pPr>
        <w:wordWrap w:val="0"/>
        <w:spacing w:line="360" w:lineRule="auto"/>
        <w:ind w:firstLine="482" w:firstLineChars="200"/>
        <w:rPr>
          <w:rFonts w:hint="eastAsia" w:asciiTheme="minorEastAsia" w:hAnsiTheme="minorEastAsia" w:eastAsiaTheme="minorEastAsia" w:cstheme="minorEastAsia"/>
          <w:b/>
          <w:sz w:val="24"/>
          <w:szCs w:val="24"/>
        </w:rPr>
      </w:pPr>
      <w:bookmarkStart w:id="618" w:name="_Toc25032"/>
      <w:r>
        <w:rPr>
          <w:rFonts w:hint="eastAsia" w:asciiTheme="minorEastAsia" w:hAnsiTheme="minorEastAsia" w:eastAsiaTheme="minorEastAsia" w:cstheme="minorEastAsia"/>
          <w:b/>
          <w:sz w:val="24"/>
          <w:szCs w:val="24"/>
        </w:rPr>
        <w:t>7.4 签订合同</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5284018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7.4.1 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7925871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7.4.2 发出成交通知书后，采购人无正当理由拒签合同的，采购人向成交人退还磋商保证金；给成交人造成损失的，还应当赔偿损失。</w:t>
      </w:r>
      <w:bookmarkStart w:id="619" w:name="_Toc152045574"/>
      <w:bookmarkStart w:id="620" w:name="_Toc152042350"/>
      <w:bookmarkStart w:id="621" w:name="_Toc144974542"/>
    </w:p>
    <w:p w14:paraId="665FFF5E">
      <w:pPr>
        <w:wordWrap w:val="0"/>
        <w:spacing w:line="360" w:lineRule="auto"/>
        <w:ind w:firstLine="482" w:firstLineChars="200"/>
        <w:rPr>
          <w:rFonts w:hint="eastAsia" w:asciiTheme="minorEastAsia" w:hAnsiTheme="minorEastAsia" w:eastAsiaTheme="minorEastAsia" w:cstheme="minorEastAsia"/>
          <w:b/>
          <w:sz w:val="24"/>
          <w:szCs w:val="24"/>
        </w:rPr>
      </w:pPr>
      <w:bookmarkStart w:id="622" w:name="_Toc16866"/>
      <w:bookmarkStart w:id="623" w:name="_Toc20121"/>
      <w:bookmarkStart w:id="624" w:name="_Toc24956"/>
      <w:bookmarkStart w:id="625" w:name="_Toc455080146"/>
      <w:r>
        <w:rPr>
          <w:rFonts w:hint="eastAsia" w:asciiTheme="minorEastAsia" w:hAnsiTheme="minorEastAsia" w:eastAsiaTheme="minorEastAsia" w:cstheme="minorEastAsia"/>
          <w:b/>
          <w:sz w:val="24"/>
          <w:szCs w:val="24"/>
        </w:rPr>
        <w:t>8. 重新招标</w:t>
      </w:r>
      <w:bookmarkEnd w:id="622"/>
      <w:bookmarkEnd w:id="623"/>
      <w:bookmarkEnd w:id="624"/>
      <w:bookmarkEnd w:id="625"/>
    </w:p>
    <w:p w14:paraId="70B789BF">
      <w:pPr>
        <w:wordWrap w:val="0"/>
        <w:spacing w:line="360" w:lineRule="auto"/>
        <w:ind w:firstLine="482" w:firstLineChars="200"/>
        <w:rPr>
          <w:rFonts w:hint="eastAsia" w:asciiTheme="minorEastAsia" w:hAnsiTheme="minorEastAsia" w:eastAsiaTheme="minorEastAsia" w:cstheme="minorEastAsia"/>
          <w:b/>
          <w:sz w:val="24"/>
          <w:szCs w:val="24"/>
        </w:rPr>
      </w:pPr>
      <w:bookmarkStart w:id="626" w:name="_Toc21278"/>
      <w:bookmarkStart w:id="627" w:name="_Toc16556"/>
      <w:r>
        <w:rPr>
          <w:rFonts w:hint="eastAsia" w:asciiTheme="minorEastAsia" w:hAnsiTheme="minorEastAsia" w:eastAsiaTheme="minorEastAsia" w:cstheme="minorEastAsia"/>
          <w:b/>
          <w:sz w:val="24"/>
          <w:szCs w:val="24"/>
        </w:rPr>
        <w:t>8.1 重新招标</w:t>
      </w:r>
      <w:bookmarkEnd w:id="626"/>
      <w:bookmarkEnd w:id="627"/>
    </w:p>
    <w:p w14:paraId="7BCFCF54">
      <w:pPr>
        <w:wordWrap w:val="0"/>
        <w:spacing w:line="360" w:lineRule="auto"/>
        <w:ind w:firstLine="480" w:firstLineChars="200"/>
        <w:rPr>
          <w:rFonts w:hint="eastAsia" w:asciiTheme="minorEastAsia" w:hAnsiTheme="minorEastAsia" w:eastAsiaTheme="minorEastAsia" w:cstheme="minorEastAsia"/>
          <w:sz w:val="24"/>
          <w:szCs w:val="24"/>
        </w:rPr>
      </w:pPr>
      <w:bookmarkStart w:id="628" w:name="_Toc9985"/>
      <w:r>
        <w:rPr>
          <w:rFonts w:hint="eastAsia" w:asciiTheme="minorEastAsia" w:hAnsiTheme="minorEastAsia" w:eastAsiaTheme="minorEastAsia" w:cstheme="minorEastAsia"/>
          <w:sz w:val="24"/>
          <w:szCs w:val="24"/>
        </w:rPr>
        <w:t>有下列情形之一的，采购人将重新招标：</w:t>
      </w:r>
      <w:bookmarkEnd w:id="628"/>
    </w:p>
    <w:p w14:paraId="59ED9CCA">
      <w:pPr>
        <w:wordWrap w:val="0"/>
        <w:spacing w:line="360" w:lineRule="auto"/>
        <w:ind w:firstLine="480" w:firstLineChars="200"/>
        <w:rPr>
          <w:rFonts w:hint="eastAsia" w:asciiTheme="minorEastAsia" w:hAnsiTheme="minorEastAsia" w:eastAsiaTheme="minorEastAsia" w:cstheme="minorEastAsia"/>
          <w:sz w:val="24"/>
          <w:szCs w:val="24"/>
        </w:rPr>
      </w:pPr>
      <w:bookmarkStart w:id="629" w:name="_Toc25063"/>
      <w:r>
        <w:rPr>
          <w:rFonts w:hint="eastAsia" w:asciiTheme="minorEastAsia" w:hAnsiTheme="minorEastAsia" w:eastAsiaTheme="minorEastAsia" w:cstheme="minorEastAsia"/>
          <w:sz w:val="24"/>
          <w:szCs w:val="24"/>
        </w:rPr>
        <w:t>（1）提交响应文件截止时间止，供应商少于3个的；</w:t>
      </w:r>
      <w:bookmarkEnd w:id="629"/>
    </w:p>
    <w:p w14:paraId="475A0ECD">
      <w:pPr>
        <w:wordWrap w:val="0"/>
        <w:spacing w:line="360" w:lineRule="auto"/>
        <w:ind w:firstLine="480" w:firstLineChars="200"/>
        <w:rPr>
          <w:rFonts w:hint="eastAsia" w:asciiTheme="minorEastAsia" w:hAnsiTheme="minorEastAsia" w:eastAsiaTheme="minorEastAsia" w:cstheme="minorEastAsia"/>
          <w:sz w:val="24"/>
          <w:szCs w:val="24"/>
        </w:rPr>
      </w:pPr>
      <w:bookmarkStart w:id="630" w:name="_Toc17911"/>
      <w:r>
        <w:rPr>
          <w:rFonts w:hint="eastAsia" w:asciiTheme="minorEastAsia" w:hAnsiTheme="minorEastAsia" w:eastAsiaTheme="minorEastAsia" w:cstheme="minorEastAsia"/>
          <w:sz w:val="24"/>
          <w:szCs w:val="24"/>
        </w:rPr>
        <w:t>（2）经磋商小组评审后否决所有响应文件的。</w:t>
      </w:r>
      <w:bookmarkEnd w:id="630"/>
    </w:p>
    <w:p w14:paraId="7FD6277A">
      <w:pPr>
        <w:wordWrap w:val="0"/>
        <w:spacing w:line="360" w:lineRule="auto"/>
        <w:ind w:firstLine="482" w:firstLineChars="200"/>
        <w:rPr>
          <w:rFonts w:hint="eastAsia" w:asciiTheme="minorEastAsia" w:hAnsiTheme="minorEastAsia" w:eastAsiaTheme="minorEastAsia" w:cstheme="minorEastAsia"/>
          <w:b/>
          <w:sz w:val="24"/>
          <w:szCs w:val="24"/>
        </w:rPr>
      </w:pPr>
      <w:bookmarkStart w:id="631" w:name="_Toc455080147"/>
      <w:bookmarkStart w:id="632" w:name="_Toc27506"/>
      <w:bookmarkStart w:id="633" w:name="_Toc9996"/>
      <w:bookmarkStart w:id="634" w:name="_Toc8213"/>
      <w:r>
        <w:rPr>
          <w:rFonts w:hint="eastAsia" w:asciiTheme="minorEastAsia" w:hAnsiTheme="minorEastAsia" w:eastAsiaTheme="minorEastAsia" w:cstheme="minorEastAsia"/>
          <w:b/>
          <w:sz w:val="24"/>
          <w:szCs w:val="24"/>
        </w:rPr>
        <w:t>9. 纪律和监督</w:t>
      </w:r>
      <w:bookmarkEnd w:id="619"/>
      <w:bookmarkEnd w:id="620"/>
      <w:bookmarkEnd w:id="621"/>
      <w:bookmarkEnd w:id="631"/>
      <w:bookmarkEnd w:id="632"/>
      <w:bookmarkEnd w:id="633"/>
      <w:bookmarkEnd w:id="634"/>
    </w:p>
    <w:p w14:paraId="79EA37C0">
      <w:pPr>
        <w:wordWrap w:val="0"/>
        <w:spacing w:line="360" w:lineRule="auto"/>
        <w:ind w:firstLine="482" w:firstLineChars="200"/>
        <w:rPr>
          <w:rFonts w:hint="eastAsia" w:asciiTheme="minorEastAsia" w:hAnsiTheme="minorEastAsia" w:eastAsiaTheme="minorEastAsia" w:cstheme="minorEastAsia"/>
          <w:b/>
          <w:sz w:val="24"/>
          <w:szCs w:val="24"/>
        </w:rPr>
      </w:pPr>
      <w:bookmarkStart w:id="635" w:name="_Toc1282"/>
      <w:bookmarkStart w:id="636" w:name="_Toc269"/>
      <w:bookmarkStart w:id="637" w:name="_Toc144974543"/>
      <w:bookmarkStart w:id="638" w:name="_Toc466298131"/>
      <w:bookmarkStart w:id="639" w:name="_Toc13970"/>
      <w:bookmarkStart w:id="640" w:name="_Toc318450714"/>
      <w:bookmarkStart w:id="641" w:name="_Toc455080148"/>
      <w:bookmarkStart w:id="642" w:name="_Toc15592"/>
      <w:bookmarkStart w:id="643" w:name="_Toc152042351"/>
      <w:bookmarkStart w:id="644" w:name="_Toc20009"/>
      <w:bookmarkStart w:id="645" w:name="_Toc455867808"/>
      <w:bookmarkStart w:id="646" w:name="_Toc12992"/>
      <w:bookmarkStart w:id="647" w:name="_Toc152045575"/>
      <w:bookmarkStart w:id="648" w:name="_Toc490667868"/>
      <w:bookmarkStart w:id="649" w:name="_Toc15769"/>
      <w:bookmarkStart w:id="650" w:name="_Toc14155"/>
      <w:bookmarkStart w:id="651" w:name="_Toc697"/>
      <w:bookmarkStart w:id="652" w:name="_Toc27836"/>
      <w:bookmarkStart w:id="653" w:name="_Toc19159"/>
      <w:r>
        <w:rPr>
          <w:rFonts w:hint="eastAsia" w:asciiTheme="minorEastAsia" w:hAnsiTheme="minorEastAsia" w:eastAsiaTheme="minorEastAsia" w:cstheme="minorEastAsia"/>
          <w:b/>
          <w:sz w:val="24"/>
          <w:szCs w:val="24"/>
        </w:rPr>
        <w:t>9.1 对采购人的纪律要求</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5B8B80E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采购人不得泄露磋商活动中应当保密的情况和资料，不得与供应商串通损害国家利益、社会公共利益或者他人合法权益。</w:t>
      </w:r>
    </w:p>
    <w:p w14:paraId="08CE98AC">
      <w:pPr>
        <w:wordWrap w:val="0"/>
        <w:spacing w:line="360" w:lineRule="auto"/>
        <w:ind w:firstLine="482" w:firstLineChars="200"/>
        <w:rPr>
          <w:rFonts w:hint="eastAsia" w:asciiTheme="minorEastAsia" w:hAnsiTheme="minorEastAsia" w:eastAsiaTheme="minorEastAsia" w:cstheme="minorEastAsia"/>
          <w:b/>
          <w:sz w:val="24"/>
          <w:szCs w:val="24"/>
        </w:rPr>
      </w:pPr>
      <w:bookmarkStart w:id="654" w:name="_Toc20261"/>
      <w:bookmarkStart w:id="655" w:name="_Toc490667869"/>
      <w:bookmarkStart w:id="656" w:name="_Toc1743"/>
      <w:bookmarkStart w:id="657" w:name="_Toc27698"/>
      <w:bookmarkStart w:id="658" w:name="_Toc455080149"/>
      <w:bookmarkStart w:id="659" w:name="_Toc466298132"/>
      <w:bookmarkStart w:id="660" w:name="_Toc18604"/>
      <w:bookmarkStart w:id="661" w:name="_Toc3089"/>
      <w:bookmarkStart w:id="662" w:name="_Toc7572"/>
      <w:bookmarkStart w:id="663" w:name="_Toc17040"/>
      <w:bookmarkStart w:id="664" w:name="_Toc21646"/>
      <w:bookmarkStart w:id="665" w:name="_Toc152045576"/>
      <w:bookmarkStart w:id="666" w:name="_Toc455867809"/>
      <w:bookmarkStart w:id="667" w:name="_Toc18204"/>
      <w:bookmarkStart w:id="668" w:name="_Toc152042352"/>
      <w:bookmarkStart w:id="669" w:name="_Toc3662"/>
      <w:bookmarkStart w:id="670" w:name="_Toc318450715"/>
      <w:bookmarkStart w:id="671" w:name="_Toc144974544"/>
      <w:bookmarkStart w:id="672" w:name="_Toc19167"/>
      <w:r>
        <w:rPr>
          <w:rFonts w:hint="eastAsia" w:asciiTheme="minorEastAsia" w:hAnsiTheme="minorEastAsia" w:eastAsiaTheme="minorEastAsia" w:cstheme="minorEastAsia"/>
          <w:b/>
          <w:sz w:val="24"/>
          <w:szCs w:val="24"/>
        </w:rPr>
        <w:t>9.2 对供应商的纪律要求</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220C567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供应商不得相互串通或者与采购人串通，不得向采购人或者谈判小组行贿谋取成交，不得以他人名义或者以其他方式弄虚作假骗取成交；供应商不得以任何方式干扰、影响评审工作。</w:t>
      </w:r>
    </w:p>
    <w:p w14:paraId="7416CA92">
      <w:pPr>
        <w:wordWrap w:val="0"/>
        <w:spacing w:line="360" w:lineRule="auto"/>
        <w:ind w:firstLine="482" w:firstLineChars="200"/>
        <w:rPr>
          <w:rFonts w:hint="eastAsia" w:asciiTheme="minorEastAsia" w:hAnsiTheme="minorEastAsia" w:eastAsiaTheme="minorEastAsia" w:cstheme="minorEastAsia"/>
          <w:b/>
          <w:sz w:val="24"/>
          <w:szCs w:val="24"/>
        </w:rPr>
      </w:pPr>
      <w:bookmarkStart w:id="673" w:name="_Toc318450716"/>
      <w:bookmarkStart w:id="674" w:name="_Toc152042353"/>
      <w:bookmarkStart w:id="675" w:name="_Toc490667870"/>
      <w:bookmarkStart w:id="676" w:name="_Toc144974545"/>
      <w:bookmarkStart w:id="677" w:name="_Toc30153"/>
      <w:bookmarkStart w:id="678" w:name="_Toc25211"/>
      <w:bookmarkStart w:id="679" w:name="_Toc32320"/>
      <w:bookmarkStart w:id="680" w:name="_Toc25241"/>
      <w:bookmarkStart w:id="681" w:name="_Toc12177"/>
      <w:bookmarkStart w:id="682" w:name="_Toc455080150"/>
      <w:bookmarkStart w:id="683" w:name="_Toc152045577"/>
      <w:bookmarkStart w:id="684" w:name="_Toc7107"/>
      <w:bookmarkStart w:id="685" w:name="_Toc31001"/>
      <w:bookmarkStart w:id="686" w:name="_Toc466298133"/>
      <w:bookmarkStart w:id="687" w:name="_Toc28813"/>
      <w:bookmarkStart w:id="688" w:name="_Toc19965"/>
      <w:bookmarkStart w:id="689" w:name="_Toc7439"/>
      <w:bookmarkStart w:id="690" w:name="_Toc455867810"/>
      <w:bookmarkStart w:id="691" w:name="_Toc11909"/>
      <w:r>
        <w:rPr>
          <w:rFonts w:hint="eastAsia" w:asciiTheme="minorEastAsia" w:hAnsiTheme="minorEastAsia" w:eastAsiaTheme="minorEastAsia" w:cstheme="minorEastAsia"/>
          <w:b/>
          <w:sz w:val="24"/>
          <w:szCs w:val="24"/>
        </w:rPr>
        <w:t>9.3 对磋商小组成员的纪律要求</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36353D2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成员不得收受他人的财物或者其他好处，不得向他人透露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0B4238DB">
      <w:pPr>
        <w:wordWrap w:val="0"/>
        <w:spacing w:line="360" w:lineRule="auto"/>
        <w:ind w:firstLine="482" w:firstLineChars="200"/>
        <w:rPr>
          <w:rFonts w:hint="eastAsia" w:asciiTheme="minorEastAsia" w:hAnsiTheme="minorEastAsia" w:eastAsiaTheme="minorEastAsia" w:cstheme="minorEastAsia"/>
          <w:b/>
          <w:sz w:val="24"/>
          <w:szCs w:val="24"/>
        </w:rPr>
      </w:pPr>
      <w:bookmarkStart w:id="692" w:name="_Toc466298134"/>
      <w:bookmarkStart w:id="693" w:name="_Toc7368"/>
      <w:bookmarkStart w:id="694" w:name="_Toc318450717"/>
      <w:bookmarkStart w:id="695" w:name="_Toc235"/>
      <w:bookmarkStart w:id="696" w:name="_Toc11405"/>
      <w:bookmarkStart w:id="697" w:name="_Toc9063"/>
      <w:bookmarkStart w:id="698" w:name="_Toc455867811"/>
      <w:bookmarkStart w:id="699" w:name="_Toc23717"/>
      <w:bookmarkStart w:id="700" w:name="_Toc20546"/>
      <w:bookmarkStart w:id="701" w:name="_Toc27559"/>
      <w:bookmarkStart w:id="702" w:name="_Toc26462"/>
      <w:bookmarkStart w:id="703" w:name="_Toc490667871"/>
      <w:bookmarkStart w:id="704" w:name="_Toc19485"/>
      <w:bookmarkStart w:id="705" w:name="_Toc152042354"/>
      <w:bookmarkStart w:id="706" w:name="_Toc152045578"/>
      <w:bookmarkStart w:id="707" w:name="_Toc455080151"/>
      <w:bookmarkStart w:id="708" w:name="_Toc1295"/>
      <w:bookmarkStart w:id="709" w:name="_Toc24"/>
      <w:bookmarkStart w:id="710" w:name="_Toc144974546"/>
      <w:r>
        <w:rPr>
          <w:rFonts w:hint="eastAsia" w:asciiTheme="minorEastAsia" w:hAnsiTheme="minorEastAsia" w:eastAsiaTheme="minorEastAsia" w:cstheme="minorEastAsia"/>
          <w:b/>
          <w:sz w:val="24"/>
          <w:szCs w:val="24"/>
        </w:rPr>
        <w:t>9.4 对与评标活动有关的工作人员的纪律要求</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541BBDAA">
      <w:pPr>
        <w:wordWrap w:val="0"/>
        <w:spacing w:line="360" w:lineRule="auto"/>
        <w:ind w:firstLine="480" w:firstLineChars="200"/>
        <w:rPr>
          <w:rFonts w:hint="eastAsia" w:asciiTheme="minorEastAsia" w:hAnsiTheme="minorEastAsia" w:eastAsiaTheme="minorEastAsia" w:cstheme="minorEastAsia"/>
          <w:sz w:val="24"/>
          <w:szCs w:val="24"/>
        </w:rPr>
      </w:pPr>
      <w:bookmarkStart w:id="711" w:name="_Toc152042355"/>
      <w:r>
        <w:rPr>
          <w:rFonts w:hint="eastAsia" w:asciiTheme="minorEastAsia" w:hAnsiTheme="minorEastAsia" w:eastAsiaTheme="minorEastAsia" w:cstheme="minorEastAsia"/>
          <w:sz w:val="24"/>
          <w:szCs w:val="24"/>
        </w:rPr>
        <w:t>与评标活动有关的工作人员不得收受他人的财物或者其他好处，不得向他人透露对响应文件的评审和比较、成交候选人的推荐情况以及评标有关的其他情况。在评标活动中，与评标活动有关的工作人员不得擅离职守，影响评标程序正常进行。</w:t>
      </w:r>
      <w:bookmarkEnd w:id="711"/>
    </w:p>
    <w:p w14:paraId="219BDD2D">
      <w:pPr>
        <w:wordWrap w:val="0"/>
        <w:spacing w:line="360" w:lineRule="auto"/>
        <w:ind w:firstLine="482" w:firstLineChars="200"/>
        <w:rPr>
          <w:rFonts w:hint="eastAsia" w:asciiTheme="minorEastAsia" w:hAnsiTheme="minorEastAsia" w:eastAsiaTheme="minorEastAsia" w:cstheme="minorEastAsia"/>
          <w:b/>
          <w:sz w:val="24"/>
          <w:szCs w:val="24"/>
        </w:rPr>
      </w:pPr>
      <w:bookmarkStart w:id="712" w:name="_Toc152045579"/>
      <w:bookmarkStart w:id="713" w:name="_Toc466298135"/>
      <w:bookmarkStart w:id="714" w:name="_Toc490667872"/>
      <w:bookmarkStart w:id="715" w:name="_Toc17735"/>
      <w:bookmarkStart w:id="716" w:name="_Toc5504"/>
      <w:bookmarkStart w:id="717" w:name="_Toc1820"/>
      <w:bookmarkStart w:id="718" w:name="_Toc32675"/>
      <w:bookmarkStart w:id="719" w:name="_Toc3303"/>
      <w:bookmarkStart w:id="720" w:name="_Toc455080152"/>
      <w:bookmarkStart w:id="721" w:name="_Toc455867812"/>
      <w:bookmarkStart w:id="722" w:name="_Toc8074"/>
      <w:bookmarkStart w:id="723" w:name="_Toc318450718"/>
      <w:bookmarkStart w:id="724" w:name="_Toc27420"/>
      <w:bookmarkStart w:id="725" w:name="_Toc3617"/>
      <w:bookmarkStart w:id="726" w:name="_Toc152042356"/>
      <w:bookmarkStart w:id="727" w:name="_Toc25751"/>
      <w:bookmarkStart w:id="728" w:name="_Toc6199"/>
      <w:bookmarkStart w:id="729" w:name="_Toc31010"/>
      <w:r>
        <w:rPr>
          <w:rFonts w:hint="eastAsia" w:asciiTheme="minorEastAsia" w:hAnsiTheme="minorEastAsia" w:eastAsiaTheme="minorEastAsia" w:cstheme="minorEastAsia"/>
          <w:b/>
          <w:sz w:val="24"/>
          <w:szCs w:val="24"/>
        </w:rPr>
        <w:t>9.5 投诉</w:t>
      </w:r>
      <w:bookmarkEnd w:id="710"/>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7EE1FF2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供应商和其他利害关系人认为本次磋商活动违反法律、法规和规章规定的，有权向有关行政监督部门投诉。</w:t>
      </w:r>
    </w:p>
    <w:p w14:paraId="211BC261">
      <w:pPr>
        <w:wordWrap w:val="0"/>
        <w:spacing w:line="360" w:lineRule="auto"/>
        <w:ind w:firstLine="482" w:firstLineChars="200"/>
        <w:rPr>
          <w:rFonts w:hint="eastAsia"/>
        </w:rPr>
      </w:pPr>
      <w:bookmarkStart w:id="730" w:name="_Toc455080153"/>
      <w:bookmarkStart w:id="731" w:name="_Toc152045580"/>
      <w:bookmarkStart w:id="732" w:name="_Toc152042357"/>
      <w:bookmarkStart w:id="733" w:name="_Toc144974547"/>
      <w:bookmarkStart w:id="734" w:name="_Toc18280"/>
      <w:bookmarkStart w:id="735" w:name="_Toc14221"/>
      <w:bookmarkStart w:id="736" w:name="_Toc24942"/>
      <w:r>
        <w:rPr>
          <w:rFonts w:hint="eastAsia" w:asciiTheme="minorEastAsia" w:hAnsiTheme="minorEastAsia" w:eastAsiaTheme="minorEastAsia" w:cstheme="minorEastAsia"/>
          <w:b/>
          <w:sz w:val="24"/>
          <w:szCs w:val="24"/>
        </w:rPr>
        <w:t>10. 需要补充的其他内容</w:t>
      </w:r>
      <w:bookmarkEnd w:id="730"/>
      <w:bookmarkEnd w:id="731"/>
      <w:bookmarkEnd w:id="732"/>
      <w:bookmarkEnd w:id="733"/>
      <w:bookmarkEnd w:id="734"/>
      <w:bookmarkEnd w:id="735"/>
      <w:bookmarkEnd w:id="736"/>
      <w:bookmarkStart w:id="737" w:name="_Toc16648"/>
      <w:bookmarkStart w:id="738" w:name="_Toc22213"/>
    </w:p>
    <w:p w14:paraId="23270F32">
      <w:pPr>
        <w:wordWrap w:val="0"/>
        <w:spacing w:line="360" w:lineRule="auto"/>
        <w:ind w:firstLine="480" w:firstLineChars="200"/>
        <w:rPr>
          <w:rFonts w:hint="eastAsia" w:asciiTheme="minorEastAsia" w:hAnsiTheme="minorEastAsia" w:eastAsiaTheme="minorEastAsia" w:cstheme="minorEastAsia"/>
          <w:sz w:val="24"/>
          <w:szCs w:val="24"/>
        </w:rPr>
      </w:pPr>
      <w:bookmarkStart w:id="739" w:name="_Toc29331"/>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 采购人不承诺最低价中标，而且采购人没有义务解释说明未中标原因。</w:t>
      </w:r>
      <w:bookmarkEnd w:id="739"/>
    </w:p>
    <w:p w14:paraId="2E54CD6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 其他未尽事宜，按国家有关法律、法规执行。</w:t>
      </w:r>
    </w:p>
    <w:p w14:paraId="23F6582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 本</w:t>
      </w:r>
      <w:r>
        <w:rPr>
          <w:rFonts w:hint="eastAsia" w:asciiTheme="minorEastAsia" w:hAnsiTheme="minorEastAsia" w:eastAsiaTheme="minorEastAsia" w:cstheme="minorEastAsia"/>
          <w:sz w:val="24"/>
          <w:szCs w:val="24"/>
          <w:lang w:eastAsia="zh-CN"/>
        </w:rPr>
        <w:t>竞争性磋商</w:t>
      </w:r>
      <w:r>
        <w:rPr>
          <w:rFonts w:hint="eastAsia" w:asciiTheme="minorEastAsia" w:hAnsiTheme="minorEastAsia" w:eastAsiaTheme="minorEastAsia" w:cstheme="minorEastAsia"/>
          <w:sz w:val="24"/>
          <w:szCs w:val="24"/>
        </w:rPr>
        <w:t>文件解释权归</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固始县</w:t>
      </w:r>
      <w:r>
        <w:rPr>
          <w:rFonts w:hint="eastAsia" w:asciiTheme="minorEastAsia" w:hAnsiTheme="minorEastAsia" w:eastAsiaTheme="minorEastAsia" w:cstheme="minorEastAsia"/>
          <w:sz w:val="24"/>
          <w:szCs w:val="24"/>
          <w:lang w:val="en-US" w:eastAsia="zh-CN"/>
        </w:rPr>
        <w:t>公安</w:t>
      </w:r>
      <w:r>
        <w:rPr>
          <w:rFonts w:hint="eastAsia" w:asciiTheme="minorEastAsia" w:hAnsiTheme="minorEastAsia" w:eastAsiaTheme="minorEastAsia" w:cstheme="minorEastAsia"/>
          <w:sz w:val="24"/>
          <w:szCs w:val="24"/>
        </w:rPr>
        <w:t>局。</w:t>
      </w:r>
    </w:p>
    <w:p w14:paraId="109E61D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 监督单位：固始县财政局政府采购监督科。</w:t>
      </w:r>
    </w:p>
    <w:p w14:paraId="6CE7FFA6">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p>
    <w:p w14:paraId="1DE30831">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p>
    <w:p w14:paraId="1287115C">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p>
    <w:p w14:paraId="640C8FE5">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p>
    <w:p w14:paraId="5B4D9307">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p>
    <w:p w14:paraId="41112C7F">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p>
    <w:p w14:paraId="057DABA7">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p>
    <w:p w14:paraId="3C6607BA">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p>
    <w:p w14:paraId="1A09CE6D">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p>
    <w:p w14:paraId="35620589">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p>
    <w:p w14:paraId="053582D4">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p>
    <w:p w14:paraId="056A978D">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p>
    <w:p w14:paraId="1F73E9EC">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p>
    <w:p w14:paraId="19D54E75">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r>
        <w:rPr>
          <w:rFonts w:hint="eastAsia" w:ascii="宋体" w:hAnsi="宋体" w:cs="宋体"/>
          <w:b/>
          <w:bCs/>
          <w:kern w:val="44"/>
          <w:sz w:val="44"/>
          <w:szCs w:val="44"/>
        </w:rPr>
        <w:t>第三章 评标办法</w:t>
      </w:r>
      <w:bookmarkEnd w:id="16"/>
      <w:bookmarkEnd w:id="17"/>
      <w:r>
        <w:rPr>
          <w:rFonts w:hint="eastAsia" w:ascii="宋体" w:hAnsi="宋体" w:cs="宋体"/>
          <w:b/>
          <w:bCs/>
          <w:kern w:val="44"/>
          <w:sz w:val="44"/>
          <w:szCs w:val="44"/>
        </w:rPr>
        <w:t>（综合评分法）</w:t>
      </w:r>
      <w:bookmarkEnd w:id="737"/>
      <w:bookmarkEnd w:id="738"/>
      <w:bookmarkStart w:id="740" w:name="_Toc482"/>
      <w:bookmarkStart w:id="741" w:name="_Toc455080156"/>
      <w:bookmarkStart w:id="742" w:name="_Toc28069"/>
      <w:bookmarkStart w:id="743" w:name="_Toc152042376"/>
      <w:bookmarkStart w:id="744" w:name="_Toc281405527"/>
      <w:bookmarkStart w:id="745" w:name="_Toc27806"/>
      <w:bookmarkStart w:id="746" w:name="_Toc144974566"/>
      <w:bookmarkStart w:id="747" w:name="_Toc455867816"/>
      <w:bookmarkStart w:id="748" w:name="_Toc318450721"/>
      <w:bookmarkStart w:id="749" w:name="_Toc152045599"/>
      <w:bookmarkStart w:id="750" w:name="_Toc922"/>
      <w:bookmarkStart w:id="751" w:name="_Toc466298139"/>
    </w:p>
    <w:p w14:paraId="4F4F4E31">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bookmarkStart w:id="752" w:name="_Toc27153"/>
    </w:p>
    <w:p w14:paraId="2EF248A1">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一、初步评审</w:t>
      </w:r>
      <w:bookmarkEnd w:id="752"/>
    </w:p>
    <w:p w14:paraId="05440AC3">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初步评审分为资格性检查和符合性检查。</w:t>
      </w:r>
    </w:p>
    <w:p w14:paraId="746290E6">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bookmarkStart w:id="753" w:name="_Toc16543"/>
      <w:r>
        <w:rPr>
          <w:rFonts w:hint="eastAsia" w:ascii="宋体" w:hAnsi="宋体" w:eastAsia="宋体" w:cs="宋体"/>
          <w:sz w:val="22"/>
          <w:szCs w:val="24"/>
          <w:lang w:val="en-US" w:eastAsia="zh-CN"/>
        </w:rPr>
        <w:t>1.资格性检查</w:t>
      </w:r>
      <w:bookmarkEnd w:id="753"/>
    </w:p>
    <w:p w14:paraId="27953331">
      <w:pPr>
        <w:keepNext w:val="0"/>
        <w:keepLines w:val="0"/>
        <w:pageBreakBefore w:val="0"/>
        <w:kinsoku/>
        <w:wordWrap w:val="0"/>
        <w:overflowPunct/>
        <w:topLinePunct/>
        <w:autoSpaceDE w:val="0"/>
        <w:autoSpaceDN w:val="0"/>
        <w:bidi w:val="0"/>
        <w:spacing w:line="109" w:lineRule="exact"/>
        <w:rPr>
          <w:rFonts w:hint="eastAsia" w:ascii="宋体" w:hAnsi="宋体" w:eastAsia="宋体" w:cs="宋体"/>
          <w:color w:val="auto"/>
          <w:highlight w:val="none"/>
        </w:rPr>
      </w:pPr>
    </w:p>
    <w:tbl>
      <w:tblPr>
        <w:tblStyle w:val="23"/>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872"/>
        <w:gridCol w:w="2883"/>
        <w:gridCol w:w="4104"/>
      </w:tblGrid>
      <w:tr w14:paraId="6F9A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1552" w:type="dxa"/>
            <w:gridSpan w:val="2"/>
            <w:tcBorders>
              <w:tl2br w:val="nil"/>
              <w:tr2bl w:val="nil"/>
            </w:tcBorders>
            <w:noWrap w:val="0"/>
            <w:vAlign w:val="center"/>
          </w:tcPr>
          <w:p w14:paraId="5ECF59A5">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2883" w:type="dxa"/>
            <w:tcBorders>
              <w:tl2br w:val="nil"/>
              <w:tr2bl w:val="nil"/>
            </w:tcBorders>
            <w:noWrap w:val="0"/>
            <w:vAlign w:val="center"/>
          </w:tcPr>
          <w:p w14:paraId="6B945191">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4104" w:type="dxa"/>
            <w:tcBorders>
              <w:tl2br w:val="nil"/>
              <w:tr2bl w:val="nil"/>
            </w:tcBorders>
            <w:noWrap w:val="0"/>
            <w:vAlign w:val="center"/>
          </w:tcPr>
          <w:p w14:paraId="05A31B0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14:paraId="1B06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680" w:type="dxa"/>
            <w:vMerge w:val="restart"/>
            <w:tcBorders>
              <w:tl2br w:val="nil"/>
              <w:tr2bl w:val="nil"/>
            </w:tcBorders>
            <w:noWrap w:val="0"/>
            <w:vAlign w:val="center"/>
          </w:tcPr>
          <w:p w14:paraId="044D55B2">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2E502EB2">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11A7F80F">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2.1</w:t>
            </w:r>
          </w:p>
        </w:tc>
        <w:tc>
          <w:tcPr>
            <w:tcW w:w="872" w:type="dxa"/>
            <w:vMerge w:val="restart"/>
            <w:tcBorders>
              <w:tl2br w:val="nil"/>
              <w:tr2bl w:val="nil"/>
            </w:tcBorders>
            <w:noWrap w:val="0"/>
            <w:vAlign w:val="center"/>
          </w:tcPr>
          <w:p w14:paraId="11FE9AFE">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74D55A59">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02FD122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资格评审标准</w:t>
            </w:r>
          </w:p>
        </w:tc>
        <w:tc>
          <w:tcPr>
            <w:tcW w:w="2883" w:type="dxa"/>
            <w:tcBorders>
              <w:tl2br w:val="nil"/>
              <w:tr2bl w:val="nil"/>
            </w:tcBorders>
            <w:noWrap w:val="0"/>
            <w:vAlign w:val="center"/>
          </w:tcPr>
          <w:p w14:paraId="148DDBD6">
            <w:pPr>
              <w:spacing w:line="240" w:lineRule="auto"/>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符合《中华人民共和国政府采购法》第22条规定</w:t>
            </w:r>
          </w:p>
        </w:tc>
        <w:tc>
          <w:tcPr>
            <w:tcW w:w="4104" w:type="dxa"/>
            <w:tcBorders>
              <w:tl2br w:val="nil"/>
              <w:tr2bl w:val="nil"/>
            </w:tcBorders>
            <w:noWrap w:val="0"/>
            <w:vAlign w:val="center"/>
          </w:tcPr>
          <w:p w14:paraId="62A87436">
            <w:pPr>
              <w:spacing w:line="400" w:lineRule="exact"/>
              <w:ind w:right="105"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r w14:paraId="11F9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680" w:type="dxa"/>
            <w:vMerge w:val="continue"/>
            <w:tcBorders>
              <w:tl2br w:val="nil"/>
              <w:tr2bl w:val="nil"/>
            </w:tcBorders>
            <w:noWrap w:val="0"/>
            <w:vAlign w:val="center"/>
          </w:tcPr>
          <w:p w14:paraId="246412A9">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72" w:type="dxa"/>
            <w:vMerge w:val="continue"/>
            <w:tcBorders>
              <w:tl2br w:val="nil"/>
              <w:tr2bl w:val="nil"/>
            </w:tcBorders>
            <w:noWrap w:val="0"/>
            <w:vAlign w:val="center"/>
          </w:tcPr>
          <w:p w14:paraId="19DDCCCC">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883" w:type="dxa"/>
            <w:tcBorders>
              <w:tl2br w:val="nil"/>
              <w:tr2bl w:val="nil"/>
            </w:tcBorders>
            <w:noWrap w:val="0"/>
            <w:vAlign w:val="center"/>
          </w:tcPr>
          <w:p w14:paraId="32F9E01D">
            <w:pPr>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落实政府采购政策</w:t>
            </w:r>
          </w:p>
        </w:tc>
        <w:tc>
          <w:tcPr>
            <w:tcW w:w="4104" w:type="dxa"/>
            <w:tcBorders>
              <w:tl2br w:val="nil"/>
              <w:tr2bl w:val="nil"/>
            </w:tcBorders>
            <w:noWrap w:val="0"/>
            <w:vAlign w:val="center"/>
          </w:tcPr>
          <w:p w14:paraId="6B8E2D5E">
            <w:pPr>
              <w:spacing w:line="400" w:lineRule="exact"/>
              <w:ind w:right="105"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r w14:paraId="5142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680" w:type="dxa"/>
            <w:vMerge w:val="continue"/>
            <w:tcBorders>
              <w:tl2br w:val="nil"/>
              <w:tr2bl w:val="nil"/>
            </w:tcBorders>
            <w:noWrap w:val="0"/>
            <w:vAlign w:val="center"/>
          </w:tcPr>
          <w:p w14:paraId="1B7DB94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72" w:type="dxa"/>
            <w:vMerge w:val="continue"/>
            <w:tcBorders>
              <w:tl2br w:val="nil"/>
              <w:tr2bl w:val="nil"/>
            </w:tcBorders>
            <w:noWrap w:val="0"/>
            <w:vAlign w:val="center"/>
          </w:tcPr>
          <w:p w14:paraId="7248130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883" w:type="dxa"/>
            <w:tcBorders>
              <w:tl2br w:val="nil"/>
              <w:tr2bl w:val="nil"/>
            </w:tcBorders>
            <w:noWrap w:val="0"/>
            <w:vAlign w:val="center"/>
          </w:tcPr>
          <w:p w14:paraId="58D3D694">
            <w:pPr>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特定资格要求</w:t>
            </w:r>
          </w:p>
        </w:tc>
        <w:tc>
          <w:tcPr>
            <w:tcW w:w="4104" w:type="dxa"/>
            <w:tcBorders>
              <w:tl2br w:val="nil"/>
              <w:tr2bl w:val="nil"/>
            </w:tcBorders>
            <w:noWrap w:val="0"/>
            <w:vAlign w:val="center"/>
          </w:tcPr>
          <w:p w14:paraId="017D8D6F">
            <w:pPr>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r w14:paraId="0B04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680" w:type="dxa"/>
            <w:vMerge w:val="continue"/>
            <w:tcBorders>
              <w:tl2br w:val="nil"/>
              <w:tr2bl w:val="nil"/>
            </w:tcBorders>
            <w:noWrap w:val="0"/>
            <w:vAlign w:val="center"/>
          </w:tcPr>
          <w:p w14:paraId="59EA1995">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72" w:type="dxa"/>
            <w:vMerge w:val="continue"/>
            <w:tcBorders>
              <w:tl2br w:val="nil"/>
              <w:tr2bl w:val="nil"/>
            </w:tcBorders>
            <w:noWrap w:val="0"/>
            <w:vAlign w:val="center"/>
          </w:tcPr>
          <w:p w14:paraId="14DA819C">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883" w:type="dxa"/>
            <w:tcBorders>
              <w:tl2br w:val="nil"/>
              <w:tr2bl w:val="nil"/>
            </w:tcBorders>
            <w:noWrap w:val="0"/>
            <w:vAlign w:val="center"/>
          </w:tcPr>
          <w:p w14:paraId="0FCB8482">
            <w:pPr>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其他要求</w:t>
            </w:r>
          </w:p>
        </w:tc>
        <w:tc>
          <w:tcPr>
            <w:tcW w:w="4104" w:type="dxa"/>
            <w:tcBorders>
              <w:tl2br w:val="nil"/>
              <w:tr2bl w:val="nil"/>
            </w:tcBorders>
            <w:noWrap w:val="0"/>
            <w:vAlign w:val="center"/>
          </w:tcPr>
          <w:p w14:paraId="4AC62357">
            <w:pPr>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bl>
    <w:p w14:paraId="76ADC193">
      <w:pPr>
        <w:pageBreakBefore w:val="0"/>
        <w:kinsoku/>
        <w:wordWrap w:val="0"/>
        <w:overflowPunct/>
        <w:bidi w:val="0"/>
        <w:spacing w:line="360" w:lineRule="auto"/>
        <w:ind w:firstLine="420" w:firstLineChars="200"/>
        <w:rPr>
          <w:rFonts w:hint="eastAsia" w:ascii="宋体" w:hAnsi="宋体" w:eastAsia="宋体" w:cs="宋体"/>
          <w:lang w:val="en-US" w:eastAsia="zh-CN"/>
        </w:rPr>
      </w:pPr>
    </w:p>
    <w:p w14:paraId="14AE85A8">
      <w:pPr>
        <w:pageBreakBefore w:val="0"/>
        <w:kinsoku/>
        <w:wordWrap w:val="0"/>
        <w:overflowPunct/>
        <w:bidi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注： 本项目为资格后审，由采购人代表进行资格性审查。</w:t>
      </w:r>
    </w:p>
    <w:p w14:paraId="595164C2">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rPr>
      </w:pPr>
    </w:p>
    <w:p w14:paraId="3C243F0A">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2.符合性审查</w:t>
      </w:r>
    </w:p>
    <w:p w14:paraId="6561E7FB">
      <w:pPr>
        <w:keepNext w:val="0"/>
        <w:keepLines w:val="0"/>
        <w:pageBreakBefore w:val="0"/>
        <w:kinsoku/>
        <w:wordWrap w:val="0"/>
        <w:overflowPunct/>
        <w:topLinePunct/>
        <w:autoSpaceDE w:val="0"/>
        <w:autoSpaceDN w:val="0"/>
        <w:bidi w:val="0"/>
        <w:spacing w:line="95" w:lineRule="exact"/>
        <w:rPr>
          <w:rFonts w:hint="eastAsia" w:ascii="宋体" w:hAnsi="宋体" w:eastAsia="宋体" w:cs="宋体"/>
          <w:color w:val="auto"/>
          <w:highlight w:val="none"/>
        </w:rPr>
      </w:pPr>
    </w:p>
    <w:tbl>
      <w:tblPr>
        <w:tblStyle w:val="48"/>
        <w:tblW w:w="8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9"/>
        <w:gridCol w:w="1185"/>
        <w:gridCol w:w="2349"/>
        <w:gridCol w:w="3885"/>
      </w:tblGrid>
      <w:tr w14:paraId="5835D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1219" w:type="dxa"/>
            <w:tcBorders>
              <w:top w:val="single" w:color="000000" w:sz="2" w:space="0"/>
              <w:bottom w:val="single" w:color="000000" w:sz="2" w:space="0"/>
            </w:tcBorders>
            <w:vAlign w:val="center"/>
          </w:tcPr>
          <w:p w14:paraId="251ECA27">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85" w:type="dxa"/>
            <w:tcBorders>
              <w:top w:val="single" w:color="000000" w:sz="2" w:space="0"/>
              <w:bottom w:val="single" w:color="000000" w:sz="2" w:space="0"/>
            </w:tcBorders>
            <w:vAlign w:val="center"/>
          </w:tcPr>
          <w:p w14:paraId="49789F53">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6234" w:type="dxa"/>
            <w:gridSpan w:val="2"/>
            <w:tcBorders>
              <w:top w:val="single" w:color="000000" w:sz="2" w:space="0"/>
              <w:bottom w:val="single" w:color="000000" w:sz="2" w:space="0"/>
            </w:tcBorders>
            <w:vAlign w:val="center"/>
          </w:tcPr>
          <w:p w14:paraId="173538F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14:paraId="36B2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1219" w:type="dxa"/>
            <w:vMerge w:val="restart"/>
            <w:tcBorders>
              <w:top w:val="single" w:color="000000" w:sz="2" w:space="0"/>
            </w:tcBorders>
            <w:vAlign w:val="center"/>
          </w:tcPr>
          <w:p w14:paraId="7494FC80">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p>
        </w:tc>
        <w:tc>
          <w:tcPr>
            <w:tcW w:w="1185" w:type="dxa"/>
            <w:vMerge w:val="restart"/>
            <w:tcBorders>
              <w:top w:val="single" w:color="000000" w:sz="2" w:space="0"/>
            </w:tcBorders>
            <w:vAlign w:val="center"/>
          </w:tcPr>
          <w:p w14:paraId="797C66AC">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符合性评审标准</w:t>
            </w:r>
          </w:p>
        </w:tc>
        <w:tc>
          <w:tcPr>
            <w:tcW w:w="2349" w:type="dxa"/>
            <w:tcBorders>
              <w:top w:val="single" w:color="000000" w:sz="2" w:space="0"/>
              <w:bottom w:val="single" w:color="000000" w:sz="2" w:space="0"/>
            </w:tcBorders>
            <w:vAlign w:val="center"/>
          </w:tcPr>
          <w:p w14:paraId="33CC3498">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3885" w:type="dxa"/>
            <w:tcBorders>
              <w:top w:val="single" w:color="000000" w:sz="2" w:space="0"/>
              <w:bottom w:val="single" w:color="000000" w:sz="2" w:space="0"/>
            </w:tcBorders>
            <w:vAlign w:val="center"/>
          </w:tcPr>
          <w:p w14:paraId="235C8D92">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与营业执照等证明文件一致</w:t>
            </w:r>
          </w:p>
        </w:tc>
      </w:tr>
      <w:tr w14:paraId="1316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219" w:type="dxa"/>
            <w:vMerge w:val="continue"/>
            <w:vAlign w:val="center"/>
          </w:tcPr>
          <w:p w14:paraId="5370896A">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5" w:type="dxa"/>
            <w:vMerge w:val="continue"/>
            <w:vAlign w:val="center"/>
          </w:tcPr>
          <w:p w14:paraId="3EB31DFB">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349" w:type="dxa"/>
            <w:tcBorders>
              <w:top w:val="single" w:color="000000" w:sz="2" w:space="0"/>
              <w:bottom w:val="single" w:color="000000" w:sz="2" w:space="0"/>
            </w:tcBorders>
            <w:vAlign w:val="center"/>
          </w:tcPr>
          <w:p w14:paraId="075AA2AA">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函签字盖章</w:t>
            </w:r>
          </w:p>
        </w:tc>
        <w:tc>
          <w:tcPr>
            <w:tcW w:w="3885" w:type="dxa"/>
            <w:tcBorders>
              <w:top w:val="single" w:color="000000" w:sz="2" w:space="0"/>
              <w:bottom w:val="single" w:color="000000" w:sz="2" w:space="0"/>
            </w:tcBorders>
            <w:vAlign w:val="center"/>
          </w:tcPr>
          <w:p w14:paraId="0B0A7ECA">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签字盖章的要求</w:t>
            </w:r>
          </w:p>
        </w:tc>
      </w:tr>
      <w:tr w14:paraId="3045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219" w:type="dxa"/>
            <w:vMerge w:val="continue"/>
            <w:vAlign w:val="center"/>
          </w:tcPr>
          <w:p w14:paraId="5CD81306">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5" w:type="dxa"/>
            <w:vMerge w:val="continue"/>
            <w:vAlign w:val="center"/>
          </w:tcPr>
          <w:p w14:paraId="79152981">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349" w:type="dxa"/>
            <w:tcBorders>
              <w:top w:val="single" w:color="000000" w:sz="2" w:space="0"/>
              <w:bottom w:val="single" w:color="000000" w:sz="2" w:space="0"/>
            </w:tcBorders>
            <w:vAlign w:val="center"/>
          </w:tcPr>
          <w:p w14:paraId="16CB1268">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w:t>
            </w:r>
          </w:p>
        </w:tc>
        <w:tc>
          <w:tcPr>
            <w:tcW w:w="3885" w:type="dxa"/>
            <w:tcBorders>
              <w:top w:val="single" w:color="000000" w:sz="2" w:space="0"/>
              <w:bottom w:val="single" w:color="000000" w:sz="2" w:space="0"/>
            </w:tcBorders>
            <w:vAlign w:val="center"/>
          </w:tcPr>
          <w:p w14:paraId="5CD1039B">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符合第六</w:t>
            </w:r>
            <w:r>
              <w:rPr>
                <w:rFonts w:hint="eastAsia" w:ascii="宋体" w:hAnsi="宋体" w:eastAsia="宋体" w:cs="宋体"/>
                <w:color w:val="auto"/>
                <w:highlight w:val="none"/>
                <w:lang w:val="en-US" w:eastAsia="zh-CN"/>
              </w:rPr>
              <w:t>章</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格式”的要求</w:t>
            </w:r>
          </w:p>
        </w:tc>
      </w:tr>
      <w:tr w14:paraId="6B135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219" w:type="dxa"/>
            <w:vMerge w:val="continue"/>
            <w:vAlign w:val="center"/>
          </w:tcPr>
          <w:p w14:paraId="23AFB58E">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5" w:type="dxa"/>
            <w:vMerge w:val="continue"/>
            <w:vAlign w:val="center"/>
          </w:tcPr>
          <w:p w14:paraId="58F677F6">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349" w:type="dxa"/>
            <w:tcBorders>
              <w:top w:val="single" w:color="000000" w:sz="2" w:space="0"/>
              <w:bottom w:val="single" w:color="000000" w:sz="2" w:space="0"/>
            </w:tcBorders>
            <w:vAlign w:val="center"/>
          </w:tcPr>
          <w:p w14:paraId="5363591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质量要求</w:t>
            </w:r>
          </w:p>
        </w:tc>
        <w:tc>
          <w:tcPr>
            <w:tcW w:w="3885" w:type="dxa"/>
            <w:tcBorders>
              <w:top w:val="single" w:color="000000" w:sz="2" w:space="0"/>
              <w:bottom w:val="single" w:color="000000" w:sz="2" w:space="0"/>
            </w:tcBorders>
            <w:vAlign w:val="center"/>
          </w:tcPr>
          <w:p w14:paraId="6A0B8FB4">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文件要求</w:t>
            </w:r>
          </w:p>
        </w:tc>
      </w:tr>
      <w:tr w14:paraId="41802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219" w:type="dxa"/>
            <w:vMerge w:val="continue"/>
            <w:vAlign w:val="center"/>
          </w:tcPr>
          <w:p w14:paraId="6C3B3593">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5" w:type="dxa"/>
            <w:vMerge w:val="continue"/>
            <w:vAlign w:val="center"/>
          </w:tcPr>
          <w:p w14:paraId="64AC9274">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349" w:type="dxa"/>
            <w:tcBorders>
              <w:top w:val="single" w:color="000000" w:sz="2" w:space="0"/>
              <w:bottom w:val="single" w:color="000000" w:sz="2" w:space="0"/>
            </w:tcBorders>
            <w:vAlign w:val="center"/>
          </w:tcPr>
          <w:p w14:paraId="23226461">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交货期</w:t>
            </w:r>
          </w:p>
        </w:tc>
        <w:tc>
          <w:tcPr>
            <w:tcW w:w="3885" w:type="dxa"/>
            <w:tcBorders>
              <w:top w:val="single" w:color="000000" w:sz="2" w:space="0"/>
              <w:bottom w:val="single" w:color="000000" w:sz="2" w:space="0"/>
            </w:tcBorders>
            <w:vAlign w:val="center"/>
          </w:tcPr>
          <w:p w14:paraId="4F4D0C42">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w:t>
            </w:r>
          </w:p>
        </w:tc>
      </w:tr>
      <w:tr w14:paraId="660E0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219" w:type="dxa"/>
            <w:vMerge w:val="continue"/>
            <w:vAlign w:val="center"/>
          </w:tcPr>
          <w:p w14:paraId="166E125E">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5" w:type="dxa"/>
            <w:vMerge w:val="continue"/>
            <w:vAlign w:val="center"/>
          </w:tcPr>
          <w:p w14:paraId="3CAD55E8">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349" w:type="dxa"/>
            <w:tcBorders>
              <w:top w:val="single" w:color="000000" w:sz="2" w:space="0"/>
              <w:bottom w:val="single" w:color="000000" w:sz="2" w:space="0"/>
            </w:tcBorders>
            <w:vAlign w:val="center"/>
          </w:tcPr>
          <w:p w14:paraId="6D68D329">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3885" w:type="dxa"/>
            <w:tcBorders>
              <w:top w:val="single" w:color="000000" w:sz="2" w:space="0"/>
              <w:bottom w:val="single" w:color="000000" w:sz="2" w:space="0"/>
            </w:tcBorders>
            <w:vAlign w:val="center"/>
          </w:tcPr>
          <w:p w14:paraId="153B22BA">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w:t>
            </w:r>
          </w:p>
        </w:tc>
      </w:tr>
      <w:tr w14:paraId="14E9C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jc w:val="center"/>
        </w:trPr>
        <w:tc>
          <w:tcPr>
            <w:tcW w:w="1219" w:type="dxa"/>
            <w:vMerge w:val="continue"/>
            <w:vAlign w:val="center"/>
          </w:tcPr>
          <w:p w14:paraId="3F3137D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5" w:type="dxa"/>
            <w:vMerge w:val="continue"/>
            <w:tcBorders>
              <w:bottom w:val="single" w:color="000000" w:sz="2" w:space="0"/>
            </w:tcBorders>
            <w:vAlign w:val="center"/>
          </w:tcPr>
          <w:p w14:paraId="128B93E4">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349" w:type="dxa"/>
            <w:tcBorders>
              <w:top w:val="single" w:color="000000" w:sz="2" w:space="0"/>
              <w:bottom w:val="single" w:color="000000" w:sz="2" w:space="0"/>
            </w:tcBorders>
            <w:shd w:val="clear" w:color="auto" w:fill="auto"/>
            <w:vAlign w:val="center"/>
          </w:tcPr>
          <w:p w14:paraId="5631BDA8">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信用记录</w:t>
            </w:r>
          </w:p>
        </w:tc>
        <w:tc>
          <w:tcPr>
            <w:tcW w:w="3885" w:type="dxa"/>
            <w:tcBorders>
              <w:top w:val="single" w:color="000000" w:sz="2" w:space="0"/>
              <w:bottom w:val="single" w:color="000000" w:sz="2" w:space="0"/>
            </w:tcBorders>
            <w:shd w:val="clear" w:color="auto" w:fill="auto"/>
            <w:vAlign w:val="center"/>
          </w:tcPr>
          <w:p w14:paraId="7D15D0D2">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bl>
    <w:p w14:paraId="3C295E9C">
      <w:pPr>
        <w:keepNext w:val="0"/>
        <w:keepLines w:val="0"/>
        <w:pageBreakBefore w:val="0"/>
        <w:kinsoku/>
        <w:wordWrap w:val="0"/>
        <w:overflowPunct/>
        <w:topLinePunct/>
        <w:autoSpaceDE w:val="0"/>
        <w:autoSpaceDN w:val="0"/>
        <w:bidi w:val="0"/>
        <w:spacing w:line="363" w:lineRule="auto"/>
        <w:rPr>
          <w:rFonts w:hint="eastAsia" w:ascii="宋体" w:hAnsi="宋体" w:eastAsia="宋体" w:cs="宋体"/>
          <w:color w:val="auto"/>
          <w:sz w:val="21"/>
          <w:highlight w:val="none"/>
        </w:rPr>
      </w:pPr>
    </w:p>
    <w:p w14:paraId="6C467EBD">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p w14:paraId="619B9290">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lang w:val="en-US" w:eastAsia="zh-CN"/>
        </w:rPr>
      </w:pPr>
    </w:p>
    <w:bookmarkEnd w:id="740"/>
    <w:bookmarkEnd w:id="741"/>
    <w:bookmarkEnd w:id="742"/>
    <w:bookmarkEnd w:id="743"/>
    <w:bookmarkEnd w:id="744"/>
    <w:bookmarkEnd w:id="745"/>
    <w:bookmarkEnd w:id="746"/>
    <w:bookmarkEnd w:id="747"/>
    <w:bookmarkEnd w:id="748"/>
    <w:bookmarkEnd w:id="749"/>
    <w:bookmarkEnd w:id="750"/>
    <w:bookmarkEnd w:id="751"/>
    <w:tbl>
      <w:tblPr>
        <w:tblStyle w:val="23"/>
        <w:tblW w:w="8897" w:type="dxa"/>
        <w:jc w:val="center"/>
        <w:tblLayout w:type="fixed"/>
        <w:tblCellMar>
          <w:top w:w="15" w:type="dxa"/>
          <w:left w:w="15" w:type="dxa"/>
          <w:bottom w:w="15" w:type="dxa"/>
          <w:right w:w="15" w:type="dxa"/>
        </w:tblCellMar>
      </w:tblPr>
      <w:tblGrid>
        <w:gridCol w:w="882"/>
        <w:gridCol w:w="996"/>
        <w:gridCol w:w="6278"/>
        <w:gridCol w:w="741"/>
      </w:tblGrid>
      <w:tr w14:paraId="33B6D2A1">
        <w:tblPrEx>
          <w:tblCellMar>
            <w:top w:w="15" w:type="dxa"/>
            <w:left w:w="15" w:type="dxa"/>
            <w:bottom w:w="15" w:type="dxa"/>
            <w:right w:w="15" w:type="dxa"/>
          </w:tblCellMar>
        </w:tblPrEx>
        <w:trPr>
          <w:trHeight w:val="162"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top"/>
          </w:tcPr>
          <w:p w14:paraId="054F3177">
            <w:pPr>
              <w:widowControl/>
              <w:tabs>
                <w:tab w:val="left" w:pos="210"/>
              </w:tabs>
              <w:spacing w:line="240" w:lineRule="auto"/>
              <w:ind w:left="0" w:leftChars="0" w:hanging="10" w:firstLineChars="0"/>
              <w:jc w:val="center"/>
              <w:textAlignment w:val="top"/>
              <w:rPr>
                <w:rFonts w:hint="eastAsia" w:hAnsi="宋体" w:cs="宋体"/>
                <w:b/>
                <w:color w:val="auto"/>
                <w:sz w:val="24"/>
                <w:szCs w:val="24"/>
              </w:rPr>
            </w:pPr>
            <w:bookmarkStart w:id="754" w:name="_Toc19375"/>
            <w:bookmarkStart w:id="755" w:name="_Toc18239"/>
            <w:bookmarkStart w:id="756" w:name="_Toc12267"/>
            <w:r>
              <w:rPr>
                <w:rFonts w:hint="eastAsia" w:hAnsi="宋体" w:cs="宋体"/>
                <w:b/>
                <w:color w:val="auto"/>
                <w:sz w:val="24"/>
                <w:szCs w:val="24"/>
              </w:rPr>
              <w:t>评分</w:t>
            </w:r>
          </w:p>
          <w:p w14:paraId="7BB5DCC1">
            <w:pPr>
              <w:widowControl/>
              <w:tabs>
                <w:tab w:val="left" w:pos="210"/>
              </w:tabs>
              <w:spacing w:line="240" w:lineRule="auto"/>
              <w:ind w:left="0" w:leftChars="0" w:hanging="10" w:firstLineChars="0"/>
              <w:jc w:val="center"/>
              <w:textAlignment w:val="top"/>
              <w:rPr>
                <w:rFonts w:hint="eastAsia" w:hAnsi="宋体" w:cs="宋体"/>
                <w:b/>
                <w:color w:val="auto"/>
                <w:sz w:val="24"/>
                <w:szCs w:val="24"/>
              </w:rPr>
            </w:pPr>
            <w:r>
              <w:rPr>
                <w:rFonts w:hint="eastAsia" w:hAnsi="宋体" w:cs="宋体"/>
                <w:b/>
                <w:color w:val="auto"/>
                <w:sz w:val="24"/>
                <w:szCs w:val="24"/>
              </w:rPr>
              <w:t>因素</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7FEEF3B3">
            <w:pPr>
              <w:widowControl/>
              <w:tabs>
                <w:tab w:val="left" w:pos="210"/>
              </w:tabs>
              <w:spacing w:line="240" w:lineRule="auto"/>
              <w:ind w:left="212" w:leftChars="101" w:right="126" w:rightChars="60" w:firstLine="6" w:firstLineChars="0"/>
              <w:jc w:val="center"/>
              <w:textAlignment w:val="center"/>
              <w:rPr>
                <w:rFonts w:hint="eastAsia" w:hAnsi="宋体" w:cs="宋体"/>
                <w:b/>
                <w:color w:val="auto"/>
                <w:sz w:val="24"/>
                <w:szCs w:val="24"/>
              </w:rPr>
            </w:pPr>
            <w:r>
              <w:rPr>
                <w:rFonts w:hint="eastAsia" w:hAnsi="宋体" w:cs="宋体"/>
                <w:b/>
                <w:color w:val="auto"/>
                <w:sz w:val="24"/>
                <w:szCs w:val="24"/>
              </w:rPr>
              <w:t>评分</w:t>
            </w:r>
          </w:p>
          <w:p w14:paraId="1CBD7B18">
            <w:pPr>
              <w:widowControl/>
              <w:tabs>
                <w:tab w:val="left" w:pos="210"/>
              </w:tabs>
              <w:spacing w:line="240" w:lineRule="auto"/>
              <w:ind w:left="212" w:leftChars="101" w:right="126" w:rightChars="60" w:firstLine="6" w:firstLineChars="0"/>
              <w:jc w:val="center"/>
              <w:textAlignment w:val="center"/>
              <w:rPr>
                <w:rFonts w:hint="eastAsia" w:hAnsi="宋体" w:cs="宋体"/>
                <w:b/>
                <w:color w:val="auto"/>
                <w:sz w:val="24"/>
                <w:szCs w:val="24"/>
              </w:rPr>
            </w:pPr>
            <w:r>
              <w:rPr>
                <w:rFonts w:hint="eastAsia" w:hAnsi="宋体" w:cs="宋体"/>
                <w:b/>
                <w:color w:val="auto"/>
                <w:sz w:val="24"/>
                <w:szCs w:val="24"/>
              </w:rPr>
              <w:t>内容</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C359503">
            <w:pPr>
              <w:widowControl/>
              <w:tabs>
                <w:tab w:val="left" w:pos="-40"/>
              </w:tabs>
              <w:spacing w:line="240" w:lineRule="auto"/>
              <w:ind w:left="10" w:leftChars="5" w:firstLine="8" w:firstLineChars="0"/>
              <w:jc w:val="center"/>
              <w:textAlignment w:val="center"/>
              <w:rPr>
                <w:rFonts w:hint="eastAsia" w:hAnsi="宋体" w:cs="宋体"/>
                <w:b/>
                <w:color w:val="auto"/>
                <w:sz w:val="24"/>
                <w:szCs w:val="24"/>
              </w:rPr>
            </w:pPr>
            <w:r>
              <w:rPr>
                <w:rFonts w:hint="eastAsia" w:hAnsi="宋体" w:cs="宋体"/>
                <w:b/>
                <w:color w:val="auto"/>
                <w:sz w:val="24"/>
                <w:szCs w:val="24"/>
              </w:rPr>
              <w:t>评分标准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4E276C8">
            <w:pPr>
              <w:widowControl/>
              <w:spacing w:line="240" w:lineRule="auto"/>
              <w:ind w:left="-36" w:leftChars="-17" w:firstLine="17" w:firstLineChars="0"/>
              <w:jc w:val="center"/>
              <w:textAlignment w:val="center"/>
              <w:rPr>
                <w:rFonts w:hint="eastAsia" w:hAnsi="宋体" w:cs="宋体"/>
                <w:b/>
                <w:color w:val="auto"/>
                <w:sz w:val="24"/>
                <w:szCs w:val="24"/>
              </w:rPr>
            </w:pPr>
            <w:r>
              <w:rPr>
                <w:rFonts w:hint="eastAsia" w:hAnsi="宋体" w:cs="宋体"/>
                <w:b/>
                <w:color w:val="auto"/>
                <w:sz w:val="24"/>
                <w:szCs w:val="24"/>
              </w:rPr>
              <w:t>分值</w:t>
            </w:r>
          </w:p>
        </w:tc>
      </w:tr>
      <w:tr w14:paraId="4915EF4E">
        <w:tblPrEx>
          <w:tblCellMar>
            <w:top w:w="15" w:type="dxa"/>
            <w:left w:w="15" w:type="dxa"/>
            <w:bottom w:w="15" w:type="dxa"/>
            <w:right w:w="15" w:type="dxa"/>
          </w:tblCellMar>
        </w:tblPrEx>
        <w:trPr>
          <w:trHeight w:val="907"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1F69F5F6">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商务部分</w:t>
            </w:r>
            <w:r>
              <w:rPr>
                <w:rFonts w:hint="eastAsia" w:ascii="宋体" w:hAnsi="宋体" w:eastAsia="宋体" w:cs="宋体"/>
                <w:color w:val="auto"/>
                <w:highlight w:val="none"/>
              </w:rPr>
              <w:t>（30分）</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5EABC262">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投标报价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3060C4D">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highlight w:val="none"/>
                <w:lang w:val="en-US" w:eastAsia="zh-CN"/>
              </w:rPr>
              <w:t>、价格扣除：①投标人的货物全部由符合政策要求的小微企业承接，则给予该投标人的报价20%的扣除，用扣除后的价格参与评审。参加投标的中小微企业，应当按照《政府采购促进中小企业发展管理办法》（财库﹝2020﹞46号）的规定提供《中小微企业声明函》（中小企业划型标准符合国家最新信管规定）。投标人所提供的货物为大型和中型企业的不适用本款规定。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货物的价格给予20%的扣除。</w:t>
            </w:r>
            <w:r>
              <w:rPr>
                <w:rFonts w:hint="eastAsia" w:ascii="宋体" w:hAnsi="宋体" w:eastAsia="宋体" w:cs="宋体"/>
                <w:color w:val="auto"/>
                <w:highlight w:val="none"/>
                <w:lang w:eastAsia="zh-CN"/>
              </w:rPr>
              <w:t>②投标人所投设备属于本国产品</w:t>
            </w:r>
            <w:r>
              <w:rPr>
                <w:rFonts w:hint="eastAsia" w:ascii="宋体" w:hAnsi="宋体" w:eastAsia="宋体" w:cs="宋体"/>
                <w:color w:val="auto"/>
                <w:highlight w:val="none"/>
                <w:lang w:val="en-US" w:eastAsia="zh-CN"/>
              </w:rPr>
              <w:t>参与竞争，同时出具</w:t>
            </w:r>
            <w:r>
              <w:rPr>
                <w:rFonts w:hint="eastAsia" w:ascii="宋体" w:hAnsi="宋体" w:eastAsia="宋体" w:cs="宋体"/>
                <w:color w:val="auto"/>
                <w:highlight w:val="none"/>
                <w:lang w:eastAsia="zh-CN"/>
              </w:rPr>
              <w:t>《关于符合本国产品标准的声明函》</w:t>
            </w:r>
            <w:r>
              <w:rPr>
                <w:rFonts w:hint="eastAsia" w:ascii="宋体" w:hAnsi="宋体" w:eastAsia="宋体" w:cs="宋体"/>
                <w:color w:val="auto"/>
                <w:highlight w:val="none"/>
                <w:lang w:val="en-US" w:eastAsia="zh-CN"/>
              </w:rPr>
              <w:t>时</w:t>
            </w:r>
            <w:r>
              <w:rPr>
                <w:rFonts w:hint="eastAsia" w:ascii="宋体" w:hAnsi="宋体" w:eastAsia="宋体" w:cs="宋体"/>
                <w:color w:val="auto"/>
                <w:highlight w:val="none"/>
                <w:lang w:eastAsia="zh-CN"/>
              </w:rPr>
              <w:t>，该产品视为本国产品，依法对本国产品给予价格评审优惠，对本国产品的报价给予20%的价格扣除，用扣除后的价格参与评审。</w:t>
            </w:r>
          </w:p>
          <w:p w14:paraId="553DE55A">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2、价格分统一采用低价优先法计算，即满足招标文件要求且投标价格最低的投标报价为评标基准价，其价格分为满分30分。其他供应商的价格分统一按照下列公式计算：</w:t>
            </w:r>
          </w:p>
          <w:p w14:paraId="615CB8B1">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投标报价得分=(评标基准价/投标报价)×30。</w:t>
            </w:r>
          </w:p>
          <w:p w14:paraId="5DF0EB96">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最终得分计算保留小数点两位。</w:t>
            </w:r>
          </w:p>
          <w:p w14:paraId="59190698">
            <w:pPr>
              <w:tabs>
                <w:tab w:val="left" w:pos="-40"/>
              </w:tabs>
              <w:autoSpaceDE w:val="0"/>
              <w:autoSpaceDN w:val="0"/>
              <w:adjustRightInd w:val="0"/>
              <w:snapToGrid w:val="0"/>
              <w:spacing w:line="340" w:lineRule="exact"/>
              <w:ind w:left="10" w:leftChars="5" w:firstLine="8" w:firstLineChars="0"/>
              <w:jc w:val="left"/>
              <w:rPr>
                <w:rFonts w:hint="eastAsia" w:hAnsi="宋体" w:cs="宋体"/>
                <w:color w:val="auto"/>
                <w:sz w:val="24"/>
                <w:szCs w:val="24"/>
                <w:lang w:eastAsia="zh-CN"/>
              </w:rPr>
            </w:pPr>
            <w:r>
              <w:rPr>
                <w:rFonts w:hint="eastAsia" w:ascii="宋体" w:hAnsi="宋体" w:eastAsia="宋体" w:cs="宋体"/>
                <w:color w:val="auto"/>
                <w:highlight w:val="none"/>
                <w:lang w:val="en-US"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hAnsi="宋体" w:cs="宋体"/>
                <w:color w:val="auto"/>
                <w:sz w:val="24"/>
                <w:szCs w:val="24"/>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B11A8BA">
            <w:pPr>
              <w:widowControl/>
              <w:spacing w:line="288" w:lineRule="auto"/>
              <w:ind w:left="-36" w:leftChars="-17" w:firstLine="17" w:firstLineChars="0"/>
              <w:jc w:val="center"/>
              <w:textAlignment w:val="center"/>
              <w:rPr>
                <w:rFonts w:hint="eastAsia" w:hAnsi="宋体" w:cs="宋体"/>
                <w:color w:val="auto"/>
                <w:sz w:val="24"/>
                <w:szCs w:val="24"/>
              </w:rPr>
            </w:pPr>
            <w:r>
              <w:rPr>
                <w:rFonts w:hint="eastAsia" w:hAnsi="宋体" w:cs="宋体"/>
                <w:color w:val="auto"/>
                <w:sz w:val="24"/>
                <w:szCs w:val="24"/>
              </w:rPr>
              <w:t>30分</w:t>
            </w:r>
          </w:p>
        </w:tc>
      </w:tr>
      <w:tr w14:paraId="0EF07E58">
        <w:tblPrEx>
          <w:tblCellMar>
            <w:top w:w="15" w:type="dxa"/>
            <w:left w:w="15" w:type="dxa"/>
            <w:bottom w:w="15" w:type="dxa"/>
            <w:right w:w="15" w:type="dxa"/>
          </w:tblCellMar>
        </w:tblPrEx>
        <w:trPr>
          <w:trHeight w:val="176" w:hRule="atLeast"/>
          <w:jc w:val="center"/>
        </w:trPr>
        <w:tc>
          <w:tcPr>
            <w:tcW w:w="882" w:type="dxa"/>
            <w:vMerge w:val="restart"/>
            <w:tcBorders>
              <w:top w:val="single" w:color="auto" w:sz="4" w:space="0"/>
              <w:left w:val="single" w:color="auto" w:sz="4" w:space="0"/>
              <w:right w:val="single" w:color="auto" w:sz="4" w:space="0"/>
            </w:tcBorders>
            <w:noWrap w:val="0"/>
            <w:vAlign w:val="center"/>
          </w:tcPr>
          <w:p w14:paraId="7FE5F001">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技术</w:t>
            </w:r>
          </w:p>
          <w:p w14:paraId="498B7915">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53</w:t>
            </w:r>
            <w:r>
              <w:rPr>
                <w:rFonts w:hint="eastAsia" w:ascii="宋体" w:hAnsi="宋体" w:eastAsia="宋体" w:cs="宋体"/>
                <w:color w:val="auto"/>
                <w:highlight w:val="none"/>
              </w:rPr>
              <w:t>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B84267F">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技术指标</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04B0FB01">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投标人产品的技术参数完全满足招标文件要求的得</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val="zh-CN" w:eastAsia="zh-CN"/>
              </w:rPr>
              <w:t>分</w:t>
            </w:r>
          </w:p>
          <w:p w14:paraId="2E045DC7">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带“</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项为</w:t>
            </w:r>
            <w:r>
              <w:rPr>
                <w:rFonts w:hint="eastAsia" w:ascii="宋体" w:hAnsi="宋体" w:eastAsia="宋体" w:cs="宋体"/>
                <w:color w:val="auto"/>
                <w:highlight w:val="none"/>
                <w:lang w:val="zh-CN" w:eastAsia="zh-CN"/>
              </w:rPr>
              <w:t>重要技术参数，达不到招标文件要求的，每负偏离一条扣</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val="zh-CN" w:eastAsia="zh-CN"/>
              </w:rPr>
              <w:t>分；</w:t>
            </w:r>
          </w:p>
          <w:p w14:paraId="077F39BF">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其余为</w:t>
            </w:r>
            <w:r>
              <w:rPr>
                <w:rFonts w:hint="eastAsia" w:ascii="宋体" w:hAnsi="宋体" w:eastAsia="宋体" w:cs="宋体"/>
                <w:color w:val="auto"/>
                <w:highlight w:val="none"/>
                <w:lang w:val="zh-CN" w:eastAsia="zh-CN"/>
              </w:rPr>
              <w:t>一般性技术参数，达不到招标文件要求的，每负偏离一条扣</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lang w:val="zh-CN" w:eastAsia="zh-CN"/>
              </w:rPr>
              <w:t>分，扣完为止。</w:t>
            </w:r>
          </w:p>
          <w:p w14:paraId="477ED4BA">
            <w:pPr>
              <w:tabs>
                <w:tab w:val="left" w:pos="-40"/>
              </w:tabs>
              <w:autoSpaceDE w:val="0"/>
              <w:autoSpaceDN w:val="0"/>
              <w:adjustRightInd w:val="0"/>
              <w:snapToGrid w:val="0"/>
              <w:spacing w:line="340" w:lineRule="exact"/>
              <w:ind w:left="10" w:leftChars="5" w:firstLine="8" w:firstLineChars="0"/>
              <w:jc w:val="left"/>
              <w:rPr>
                <w:rFonts w:hint="eastAsia" w:hAnsi="宋体" w:cs="宋体"/>
                <w:color w:val="auto"/>
                <w:sz w:val="24"/>
                <w:szCs w:val="24"/>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需</w:t>
            </w:r>
            <w:r>
              <w:rPr>
                <w:rFonts w:hint="eastAsia" w:ascii="宋体" w:hAnsi="宋体" w:eastAsia="宋体" w:cs="宋体"/>
                <w:b/>
                <w:bCs/>
                <w:color w:val="auto"/>
                <w:highlight w:val="none"/>
                <w:lang w:val="zh-CN" w:eastAsia="zh-CN"/>
              </w:rPr>
              <w:t>提供证明材料复印件。</w:t>
            </w:r>
            <w:r>
              <w:rPr>
                <w:rFonts w:hint="eastAsia" w:ascii="宋体" w:hAnsi="宋体" w:eastAsia="宋体" w:cs="宋体"/>
                <w:b/>
                <w:bCs/>
                <w:color w:val="auto"/>
                <w:highlight w:val="none"/>
                <w:lang w:eastAsia="zh-CN"/>
              </w:rPr>
              <w:t>合同签定前及履行过程中发现参数有虚假者，取消其资格，并追究相应的法律责任和经济赔偿</w:t>
            </w:r>
            <w:r>
              <w:rPr>
                <w:rFonts w:hint="eastAsia" w:ascii="宋体" w:hAnsi="宋体" w:eastAsia="宋体" w:cs="宋体"/>
                <w:color w:val="auto"/>
                <w:highlight w:val="none"/>
                <w:lang w:eastAsia="zh-CN"/>
              </w:rPr>
              <w:t>）</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1366FC22">
            <w:pPr>
              <w:autoSpaceDE w:val="0"/>
              <w:autoSpaceDN w:val="0"/>
              <w:adjustRightInd w:val="0"/>
              <w:snapToGrid w:val="0"/>
              <w:spacing w:line="340" w:lineRule="exact"/>
              <w:ind w:left="-36" w:leftChars="-17" w:firstLine="17" w:firstLineChars="0"/>
              <w:jc w:val="center"/>
              <w:rPr>
                <w:rFonts w:hint="eastAsia" w:hAnsi="宋体" w:cs="宋体"/>
                <w:color w:val="auto"/>
                <w:sz w:val="24"/>
                <w:szCs w:val="24"/>
                <w:highlight w:val="none"/>
              </w:rPr>
            </w:pPr>
            <w:r>
              <w:rPr>
                <w:rFonts w:hint="eastAsia" w:hAnsi="宋体" w:cs="宋体"/>
                <w:color w:val="auto"/>
                <w:sz w:val="24"/>
                <w:szCs w:val="24"/>
                <w:highlight w:val="none"/>
                <w:lang w:val="en-US" w:eastAsia="zh-CN"/>
              </w:rPr>
              <w:t>20</w:t>
            </w:r>
            <w:r>
              <w:rPr>
                <w:rFonts w:hint="eastAsia" w:hAnsi="宋体" w:cs="宋体"/>
                <w:color w:val="auto"/>
                <w:sz w:val="24"/>
                <w:szCs w:val="24"/>
                <w:highlight w:val="none"/>
              </w:rPr>
              <w:t>分</w:t>
            </w:r>
          </w:p>
        </w:tc>
      </w:tr>
      <w:tr w14:paraId="37703121">
        <w:tblPrEx>
          <w:tblCellMar>
            <w:top w:w="15" w:type="dxa"/>
            <w:left w:w="15" w:type="dxa"/>
            <w:bottom w:w="15" w:type="dxa"/>
            <w:right w:w="15" w:type="dxa"/>
          </w:tblCellMar>
        </w:tblPrEx>
        <w:trPr>
          <w:trHeight w:val="396" w:hRule="atLeast"/>
          <w:jc w:val="center"/>
        </w:trPr>
        <w:tc>
          <w:tcPr>
            <w:tcW w:w="882" w:type="dxa"/>
            <w:vMerge w:val="continue"/>
            <w:tcBorders>
              <w:left w:val="single" w:color="auto" w:sz="4" w:space="0"/>
              <w:right w:val="single" w:color="auto" w:sz="4" w:space="0"/>
            </w:tcBorders>
            <w:noWrap w:val="0"/>
            <w:vAlign w:val="center"/>
          </w:tcPr>
          <w:p w14:paraId="4A574227">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A9196">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供货方案</w:t>
            </w:r>
          </w:p>
          <w:p w14:paraId="0582BCF8">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kern w:val="2"/>
                <w:sz w:val="21"/>
                <w:szCs w:val="22"/>
                <w:highlight w:val="none"/>
                <w:lang w:val="en-US" w:eastAsia="zh-CN" w:bidi="ar-SA"/>
              </w:rPr>
            </w:pP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A0E619">
            <w:pPr>
              <w:tabs>
                <w:tab w:val="left" w:pos="-40"/>
              </w:tabs>
              <w:autoSpaceDE w:val="0"/>
              <w:autoSpaceDN w:val="0"/>
              <w:adjustRightInd w:val="0"/>
              <w:snapToGrid w:val="0"/>
              <w:spacing w:line="340" w:lineRule="exact"/>
              <w:ind w:left="10" w:leftChars="5" w:firstLine="8" w:firstLineChars="0"/>
              <w:jc w:val="left"/>
              <w:rPr>
                <w:rFonts w:hint="eastAsia"/>
                <w:color w:val="auto"/>
                <w:lang w:val="en-US" w:eastAsia="zh-CN"/>
              </w:rPr>
            </w:pPr>
            <w:r>
              <w:rPr>
                <w:rFonts w:hint="eastAsia" w:ascii="宋体" w:hAnsi="宋体" w:eastAsia="宋体" w:cs="宋体"/>
                <w:color w:val="auto"/>
                <w:highlight w:val="none"/>
                <w:lang w:val="en-US" w:eastAsia="zh-CN"/>
              </w:rPr>
              <w:t>根据</w:t>
            </w:r>
            <w:r>
              <w:rPr>
                <w:rFonts w:hint="eastAsia" w:ascii="宋体" w:hAnsi="宋体" w:eastAsia="宋体" w:cs="宋体"/>
                <w:b w:val="0"/>
                <w:bCs w:val="0"/>
                <w:color w:val="auto"/>
                <w:kern w:val="2"/>
                <w:sz w:val="21"/>
                <w:szCs w:val="22"/>
                <w:highlight w:val="none"/>
                <w:lang w:val="zh-CN" w:eastAsia="zh-CN" w:bidi="ar-SA"/>
              </w:rPr>
              <w:t>各磋商供应商</w:t>
            </w:r>
            <w:r>
              <w:rPr>
                <w:rFonts w:hint="eastAsia" w:ascii="宋体" w:hAnsi="宋体" w:eastAsia="宋体" w:cs="宋体"/>
                <w:color w:val="auto"/>
                <w:highlight w:val="none"/>
                <w:lang w:val="en-US" w:eastAsia="zh-CN"/>
              </w:rPr>
              <w:t>提供的项目供货方案进行综合打分，应包含：①整体运输；②运输保障方案；③安装调试方案等方面。依据</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方案内容与项目需求基本不一致或缺少关键点；方案内容与实际实施存在差异或不适用本项目特征、套用其他项目内容；方案内容表述前后矛盾；内容存在凭空编造、逻辑漏洞、常识错误；涉及的规范及标准错误；只是简单的复制采购需求内容而没有具体详细阐述；非专门针对本项目制定；存在现有技术条件下不可能出现的情形</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等</w:t>
            </w:r>
            <w:r>
              <w:rPr>
                <w:rFonts w:hint="eastAsia" w:ascii="宋体" w:hAnsi="宋体" w:eastAsia="宋体" w:cs="宋体"/>
                <w:color w:val="auto"/>
                <w:highlight w:val="none"/>
                <w:lang w:val="zh-CN" w:eastAsia="zh-CN"/>
              </w:rPr>
              <w:t>情形</w:t>
            </w:r>
            <w:r>
              <w:rPr>
                <w:rFonts w:hint="eastAsia" w:ascii="宋体" w:hAnsi="宋体" w:eastAsia="宋体" w:cs="宋体"/>
                <w:color w:val="auto"/>
                <w:highlight w:val="none"/>
                <w:lang w:val="en-US" w:eastAsia="zh-CN"/>
              </w:rPr>
              <w:t>判断：①如每个方案</w:t>
            </w:r>
            <w:r>
              <w:rPr>
                <w:rFonts w:hint="eastAsia" w:ascii="宋体" w:hAnsi="宋体" w:eastAsia="宋体" w:cs="宋体"/>
                <w:color w:val="auto"/>
                <w:highlight w:val="none"/>
                <w:lang w:val="zh-CN" w:eastAsia="zh-CN"/>
              </w:rPr>
              <w:t>条理结构清晰，内容详尽、准确响应的，</w:t>
            </w:r>
            <w:r>
              <w:rPr>
                <w:rFonts w:hint="eastAsia" w:ascii="宋体" w:hAnsi="宋体" w:eastAsia="宋体" w:cs="宋体"/>
                <w:color w:val="auto"/>
                <w:highlight w:val="none"/>
                <w:lang w:val="en-US" w:eastAsia="zh-CN"/>
              </w:rPr>
              <w:t>没有上述</w:t>
            </w:r>
            <w:r>
              <w:rPr>
                <w:rFonts w:hint="eastAsia" w:ascii="宋体" w:hAnsi="宋体" w:eastAsia="宋体" w:cs="宋体"/>
                <w:color w:val="auto"/>
                <w:highlight w:val="none"/>
                <w:lang w:val="zh-CN" w:eastAsia="zh-CN"/>
              </w:rPr>
              <w:t>缺陷或有瑕疵</w:t>
            </w:r>
            <w:r>
              <w:rPr>
                <w:rFonts w:hint="eastAsia" w:ascii="宋体" w:hAnsi="宋体" w:eastAsia="宋体" w:cs="宋体"/>
                <w:color w:val="auto"/>
                <w:highlight w:val="none"/>
                <w:lang w:val="en-US" w:eastAsia="zh-CN"/>
              </w:rPr>
              <w:t>的，每个方案</w:t>
            </w:r>
            <w:r>
              <w:rPr>
                <w:rFonts w:hint="eastAsia" w:ascii="宋体" w:hAnsi="宋体" w:eastAsia="宋体" w:cs="宋体"/>
                <w:color w:val="auto"/>
                <w:highlight w:val="none"/>
                <w:lang w:val="zh-CN" w:eastAsia="zh-CN"/>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zh-CN" w:eastAsia="zh-CN"/>
              </w:rPr>
              <w:t>分；②</w:t>
            </w:r>
            <w:r>
              <w:rPr>
                <w:rFonts w:hint="eastAsia" w:ascii="宋体" w:hAnsi="宋体" w:eastAsia="宋体" w:cs="宋体"/>
                <w:color w:val="auto"/>
                <w:highlight w:val="none"/>
                <w:lang w:val="en-US" w:eastAsia="zh-CN"/>
              </w:rPr>
              <w:t>如每个方案</w:t>
            </w:r>
            <w:r>
              <w:rPr>
                <w:rFonts w:hint="eastAsia" w:ascii="宋体" w:hAnsi="宋体" w:eastAsia="宋体" w:cs="宋体"/>
                <w:color w:val="auto"/>
                <w:highlight w:val="none"/>
                <w:lang w:val="zh-CN" w:eastAsia="zh-CN"/>
              </w:rPr>
              <w:t>条理结构</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清晰，内容</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详尽、准确</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响应的，有缺陷或瑕疵的，</w:t>
            </w:r>
            <w:r>
              <w:rPr>
                <w:rFonts w:hint="eastAsia" w:ascii="宋体" w:hAnsi="宋体" w:eastAsia="宋体" w:cs="宋体"/>
                <w:color w:val="auto"/>
                <w:highlight w:val="none"/>
                <w:lang w:val="en-US" w:eastAsia="zh-CN"/>
              </w:rPr>
              <w:t>每个方案得1</w:t>
            </w:r>
            <w:r>
              <w:rPr>
                <w:rFonts w:hint="eastAsia" w:ascii="宋体" w:hAnsi="宋体" w:eastAsia="宋体" w:cs="宋体"/>
                <w:color w:val="auto"/>
                <w:highlight w:val="none"/>
                <w:lang w:val="zh-CN" w:eastAsia="zh-CN"/>
              </w:rPr>
              <w:t>分；③每缺少一项的</w:t>
            </w:r>
            <w:r>
              <w:rPr>
                <w:rFonts w:hint="eastAsia" w:ascii="宋体" w:hAnsi="宋体" w:eastAsia="宋体" w:cs="宋体"/>
                <w:color w:val="auto"/>
                <w:highlight w:val="none"/>
                <w:lang w:val="en-US" w:eastAsia="zh-CN"/>
              </w:rPr>
              <w:t>得0</w:t>
            </w:r>
            <w:r>
              <w:rPr>
                <w:rFonts w:hint="eastAsia" w:ascii="宋体" w:hAnsi="宋体" w:eastAsia="宋体" w:cs="宋体"/>
                <w:color w:val="auto"/>
                <w:highlight w:val="none"/>
                <w:lang w:val="zh-CN" w:eastAsia="zh-CN"/>
              </w:rPr>
              <w:t>分。</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0A79028A">
            <w:pPr>
              <w:autoSpaceDE w:val="0"/>
              <w:autoSpaceDN w:val="0"/>
              <w:adjustRightInd w:val="0"/>
              <w:snapToGrid w:val="0"/>
              <w:spacing w:line="340" w:lineRule="exact"/>
              <w:ind w:left="-36" w:leftChars="-17" w:firstLine="17" w:firstLineChars="0"/>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9分</w:t>
            </w:r>
          </w:p>
        </w:tc>
      </w:tr>
      <w:tr w14:paraId="1D67148E">
        <w:tblPrEx>
          <w:tblCellMar>
            <w:top w:w="15" w:type="dxa"/>
            <w:left w:w="15" w:type="dxa"/>
            <w:bottom w:w="15" w:type="dxa"/>
            <w:right w:w="15" w:type="dxa"/>
          </w:tblCellMar>
        </w:tblPrEx>
        <w:trPr>
          <w:trHeight w:val="396" w:hRule="atLeast"/>
          <w:jc w:val="center"/>
        </w:trPr>
        <w:tc>
          <w:tcPr>
            <w:tcW w:w="882" w:type="dxa"/>
            <w:vMerge w:val="continue"/>
            <w:tcBorders>
              <w:left w:val="single" w:color="auto" w:sz="4" w:space="0"/>
              <w:right w:val="single" w:color="auto" w:sz="4" w:space="0"/>
            </w:tcBorders>
            <w:noWrap w:val="0"/>
            <w:vAlign w:val="center"/>
          </w:tcPr>
          <w:p w14:paraId="421E36F0">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DCFDC9">
            <w:pPr>
              <w:tabs>
                <w:tab w:val="left" w:pos="-40"/>
              </w:tabs>
              <w:autoSpaceDE w:val="0"/>
              <w:autoSpaceDN w:val="0"/>
              <w:adjustRightInd w:val="0"/>
              <w:snapToGrid w:val="0"/>
              <w:spacing w:line="340" w:lineRule="exact"/>
              <w:ind w:left="10" w:leftChars="5" w:firstLine="8"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质量保障措施</w:t>
            </w:r>
          </w:p>
          <w:p w14:paraId="74BA173A">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lang w:val="en-US" w:eastAsia="zh-CN"/>
              </w:rPr>
            </w:pP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C34632">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w:t>
            </w:r>
            <w:r>
              <w:rPr>
                <w:rFonts w:hint="eastAsia" w:ascii="宋体" w:hAnsi="宋体" w:eastAsia="宋体" w:cs="宋体"/>
                <w:b w:val="0"/>
                <w:bCs w:val="0"/>
                <w:color w:val="auto"/>
                <w:kern w:val="2"/>
                <w:sz w:val="21"/>
                <w:szCs w:val="22"/>
                <w:highlight w:val="none"/>
                <w:lang w:val="zh-CN" w:eastAsia="zh-CN" w:bidi="ar-SA"/>
              </w:rPr>
              <w:t>各磋商供应商</w:t>
            </w:r>
            <w:r>
              <w:rPr>
                <w:rFonts w:hint="eastAsia" w:ascii="宋体" w:hAnsi="宋体" w:eastAsia="宋体" w:cs="宋体"/>
                <w:color w:val="auto"/>
                <w:highlight w:val="none"/>
                <w:lang w:val="en-US" w:eastAsia="zh-CN"/>
              </w:rPr>
              <w:t>提供的质量保证措施进行综合评审，包含但不限于：①质量控制制度措施；②质量风险控制措施等方面内容。依据</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方案内容与项目需求基本不一致或缺少关键点；方案内容与实际实施存在差异或不适用本项目特征、套用其他项目内容；方案内容表述前后矛盾；内容存在凭空编造、逻辑漏洞、常识错误；涉及的规范及标准错误；只是简单的复制采购需求内容而没有具体详细阐述；非专门针对本项目制定；存在现有技术条件下不可能出现的情形</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等</w:t>
            </w:r>
            <w:r>
              <w:rPr>
                <w:rFonts w:hint="eastAsia" w:ascii="宋体" w:hAnsi="宋体" w:eastAsia="宋体" w:cs="宋体"/>
                <w:color w:val="auto"/>
                <w:highlight w:val="none"/>
                <w:lang w:val="zh-CN" w:eastAsia="zh-CN"/>
              </w:rPr>
              <w:t>情形</w:t>
            </w:r>
            <w:r>
              <w:rPr>
                <w:rFonts w:hint="eastAsia" w:ascii="宋体" w:hAnsi="宋体" w:eastAsia="宋体" w:cs="宋体"/>
                <w:color w:val="auto"/>
                <w:highlight w:val="none"/>
                <w:lang w:val="en-US" w:eastAsia="zh-CN"/>
              </w:rPr>
              <w:t>判断：①如每个方案</w:t>
            </w:r>
            <w:r>
              <w:rPr>
                <w:rFonts w:hint="eastAsia" w:ascii="宋体" w:hAnsi="宋体" w:eastAsia="宋体" w:cs="宋体"/>
                <w:color w:val="auto"/>
                <w:highlight w:val="none"/>
                <w:lang w:val="zh-CN" w:eastAsia="zh-CN"/>
              </w:rPr>
              <w:t>条理结构清晰，内容详尽、准确响应的，</w:t>
            </w:r>
            <w:r>
              <w:rPr>
                <w:rFonts w:hint="eastAsia" w:ascii="宋体" w:hAnsi="宋体" w:eastAsia="宋体" w:cs="宋体"/>
                <w:color w:val="auto"/>
                <w:highlight w:val="none"/>
                <w:lang w:val="en-US" w:eastAsia="zh-CN"/>
              </w:rPr>
              <w:t>没有上述</w:t>
            </w:r>
            <w:r>
              <w:rPr>
                <w:rFonts w:hint="eastAsia" w:ascii="宋体" w:hAnsi="宋体" w:eastAsia="宋体" w:cs="宋体"/>
                <w:color w:val="auto"/>
                <w:highlight w:val="none"/>
                <w:lang w:val="zh-CN" w:eastAsia="zh-CN"/>
              </w:rPr>
              <w:t>缺陷或有瑕疵</w:t>
            </w:r>
            <w:r>
              <w:rPr>
                <w:rFonts w:hint="eastAsia" w:ascii="宋体" w:hAnsi="宋体" w:eastAsia="宋体" w:cs="宋体"/>
                <w:color w:val="auto"/>
                <w:highlight w:val="none"/>
                <w:lang w:val="en-US" w:eastAsia="zh-CN"/>
              </w:rPr>
              <w:t>的，每个措施</w:t>
            </w:r>
            <w:r>
              <w:rPr>
                <w:rFonts w:hint="eastAsia" w:ascii="宋体" w:hAnsi="宋体" w:eastAsia="宋体" w:cs="宋体"/>
                <w:color w:val="auto"/>
                <w:highlight w:val="none"/>
                <w:lang w:val="zh-CN" w:eastAsia="zh-CN"/>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zh-CN" w:eastAsia="zh-CN"/>
              </w:rPr>
              <w:t>分；②</w:t>
            </w:r>
            <w:r>
              <w:rPr>
                <w:rFonts w:hint="eastAsia" w:ascii="宋体" w:hAnsi="宋体" w:eastAsia="宋体" w:cs="宋体"/>
                <w:color w:val="auto"/>
                <w:highlight w:val="none"/>
                <w:lang w:val="en-US" w:eastAsia="zh-CN"/>
              </w:rPr>
              <w:t>如每个方案</w:t>
            </w:r>
            <w:r>
              <w:rPr>
                <w:rFonts w:hint="eastAsia" w:ascii="宋体" w:hAnsi="宋体" w:eastAsia="宋体" w:cs="宋体"/>
                <w:color w:val="auto"/>
                <w:highlight w:val="none"/>
                <w:lang w:val="zh-CN" w:eastAsia="zh-CN"/>
              </w:rPr>
              <w:t>条理结构</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清晰，内容</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详尽、准确</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响应的，有缺陷或瑕疵的，</w:t>
            </w:r>
            <w:r>
              <w:rPr>
                <w:rFonts w:hint="eastAsia" w:ascii="宋体" w:hAnsi="宋体" w:eastAsia="宋体" w:cs="宋体"/>
                <w:color w:val="auto"/>
                <w:highlight w:val="none"/>
                <w:lang w:val="en-US" w:eastAsia="zh-CN"/>
              </w:rPr>
              <w:t>每个措施得1</w:t>
            </w:r>
            <w:r>
              <w:rPr>
                <w:rFonts w:hint="eastAsia" w:ascii="宋体" w:hAnsi="宋体" w:eastAsia="宋体" w:cs="宋体"/>
                <w:color w:val="auto"/>
                <w:highlight w:val="none"/>
                <w:lang w:val="zh-CN" w:eastAsia="zh-CN"/>
              </w:rPr>
              <w:t>分；③每缺少一项的</w:t>
            </w:r>
            <w:r>
              <w:rPr>
                <w:rFonts w:hint="eastAsia" w:ascii="宋体" w:hAnsi="宋体" w:eastAsia="宋体" w:cs="宋体"/>
                <w:color w:val="auto"/>
                <w:highlight w:val="none"/>
                <w:lang w:val="en-US" w:eastAsia="zh-CN"/>
              </w:rPr>
              <w:t>得0</w:t>
            </w:r>
            <w:r>
              <w:rPr>
                <w:rFonts w:hint="eastAsia" w:ascii="宋体" w:hAnsi="宋体" w:eastAsia="宋体" w:cs="宋体"/>
                <w:color w:val="auto"/>
                <w:highlight w:val="none"/>
                <w:lang w:val="zh-CN" w:eastAsia="zh-CN"/>
              </w:rPr>
              <w:t>分。</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5D13E5FA">
            <w:pPr>
              <w:autoSpaceDE w:val="0"/>
              <w:autoSpaceDN w:val="0"/>
              <w:adjustRightInd w:val="0"/>
              <w:snapToGrid w:val="0"/>
              <w:spacing w:line="340" w:lineRule="exact"/>
              <w:ind w:left="-36" w:leftChars="-17" w:firstLine="17" w:firstLineChars="0"/>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6</w:t>
            </w:r>
            <w:r>
              <w:rPr>
                <w:rFonts w:hint="eastAsia" w:hAnsi="宋体" w:cs="宋体"/>
                <w:color w:val="auto"/>
                <w:sz w:val="24"/>
                <w:szCs w:val="24"/>
                <w:highlight w:val="none"/>
              </w:rPr>
              <w:t>分</w:t>
            </w:r>
          </w:p>
        </w:tc>
      </w:tr>
      <w:tr w14:paraId="548DB1F9">
        <w:tblPrEx>
          <w:tblCellMar>
            <w:top w:w="15" w:type="dxa"/>
            <w:left w:w="15" w:type="dxa"/>
            <w:bottom w:w="15" w:type="dxa"/>
            <w:right w:w="15" w:type="dxa"/>
          </w:tblCellMar>
        </w:tblPrEx>
        <w:trPr>
          <w:trHeight w:val="396" w:hRule="atLeast"/>
          <w:jc w:val="center"/>
        </w:trPr>
        <w:tc>
          <w:tcPr>
            <w:tcW w:w="882" w:type="dxa"/>
            <w:vMerge w:val="continue"/>
            <w:tcBorders>
              <w:left w:val="single" w:color="auto" w:sz="4" w:space="0"/>
              <w:right w:val="single" w:color="auto" w:sz="4" w:space="0"/>
            </w:tcBorders>
            <w:noWrap w:val="0"/>
            <w:vAlign w:val="center"/>
          </w:tcPr>
          <w:p w14:paraId="5F8DDE94">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C39965">
            <w:pPr>
              <w:tabs>
                <w:tab w:val="left" w:pos="-40"/>
              </w:tabs>
              <w:autoSpaceDE w:val="0"/>
              <w:autoSpaceDN w:val="0"/>
              <w:adjustRightInd w:val="0"/>
              <w:snapToGrid w:val="0"/>
              <w:spacing w:line="340" w:lineRule="exact"/>
              <w:ind w:left="10" w:leftChars="5" w:firstLine="8"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人员配备</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6FD9E8">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w:t>
            </w:r>
            <w:r>
              <w:rPr>
                <w:rFonts w:hint="eastAsia" w:ascii="宋体" w:hAnsi="宋体" w:eastAsia="宋体" w:cs="宋体"/>
                <w:b w:val="0"/>
                <w:bCs w:val="0"/>
                <w:color w:val="auto"/>
                <w:kern w:val="2"/>
                <w:sz w:val="21"/>
                <w:szCs w:val="22"/>
                <w:highlight w:val="none"/>
                <w:lang w:val="zh-CN" w:eastAsia="zh-CN" w:bidi="ar-SA"/>
              </w:rPr>
              <w:t>各磋商供应商</w:t>
            </w:r>
            <w:r>
              <w:rPr>
                <w:rFonts w:hint="eastAsia" w:ascii="宋体" w:hAnsi="宋体" w:eastAsia="宋体" w:cs="宋体"/>
                <w:color w:val="auto"/>
                <w:highlight w:val="none"/>
                <w:lang w:val="en-US" w:eastAsia="zh-CN"/>
              </w:rPr>
              <w:t>提供的人员配备施进行综合评审，</w:t>
            </w:r>
            <w:r>
              <w:rPr>
                <w:rFonts w:hint="eastAsia" w:ascii="宋体" w:hAnsi="宋体" w:eastAsia="宋体" w:cs="宋体"/>
                <w:b w:val="0"/>
                <w:bCs w:val="0"/>
                <w:color w:val="auto"/>
                <w:kern w:val="2"/>
                <w:sz w:val="21"/>
                <w:szCs w:val="22"/>
                <w:highlight w:val="none"/>
                <w:lang w:val="zh-CN" w:eastAsia="zh-CN" w:bidi="ar-SA"/>
              </w:rPr>
              <w:t>应</w:t>
            </w:r>
            <w:r>
              <w:rPr>
                <w:rFonts w:hint="eastAsia" w:ascii="宋体" w:hAnsi="宋体" w:eastAsia="宋体" w:cs="宋体"/>
                <w:color w:val="auto"/>
                <w:highlight w:val="none"/>
                <w:lang w:val="en-US" w:eastAsia="zh-CN"/>
              </w:rPr>
              <w:t>具备稳定的技术支持团队，具备开展项目实施现场技术支援的能力，包含但不限于：①技术团队人员配备方案；②岗位职责方案等方面内容。依据</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方案内容与项目需求基本不一致或缺少关键点；方案内容与实际实施存在差异或不适用本项目特征、套用其他项目内容；方案内容表述前后矛盾；内容存在凭空编造、逻辑漏洞、常识错误；涉及的规范及标准错误；只是简单的复制采购需求内容而没有具体详细阐述；非专门针对本项目制定；存在现有技术条件下不可能出现的情形</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等</w:t>
            </w:r>
            <w:r>
              <w:rPr>
                <w:rFonts w:hint="eastAsia" w:ascii="宋体" w:hAnsi="宋体" w:eastAsia="宋体" w:cs="宋体"/>
                <w:color w:val="auto"/>
                <w:highlight w:val="none"/>
                <w:lang w:val="zh-CN" w:eastAsia="zh-CN"/>
              </w:rPr>
              <w:t>情形</w:t>
            </w:r>
            <w:r>
              <w:rPr>
                <w:rFonts w:hint="eastAsia" w:ascii="宋体" w:hAnsi="宋体" w:eastAsia="宋体" w:cs="宋体"/>
                <w:color w:val="auto"/>
                <w:highlight w:val="none"/>
                <w:lang w:val="en-US" w:eastAsia="zh-CN"/>
              </w:rPr>
              <w:t>判断：①如每个方案</w:t>
            </w:r>
            <w:r>
              <w:rPr>
                <w:rFonts w:hint="eastAsia" w:ascii="宋体" w:hAnsi="宋体" w:eastAsia="宋体" w:cs="宋体"/>
                <w:color w:val="auto"/>
                <w:highlight w:val="none"/>
                <w:lang w:val="zh-CN" w:eastAsia="zh-CN"/>
              </w:rPr>
              <w:t>条理结构清晰，内容详尽、准确响应的，</w:t>
            </w:r>
            <w:r>
              <w:rPr>
                <w:rFonts w:hint="eastAsia" w:ascii="宋体" w:hAnsi="宋体" w:eastAsia="宋体" w:cs="宋体"/>
                <w:color w:val="auto"/>
                <w:highlight w:val="none"/>
                <w:lang w:val="en-US" w:eastAsia="zh-CN"/>
              </w:rPr>
              <w:t>没有上述</w:t>
            </w:r>
            <w:r>
              <w:rPr>
                <w:rFonts w:hint="eastAsia" w:ascii="宋体" w:hAnsi="宋体" w:eastAsia="宋体" w:cs="宋体"/>
                <w:color w:val="auto"/>
                <w:highlight w:val="none"/>
                <w:lang w:val="zh-CN" w:eastAsia="zh-CN"/>
              </w:rPr>
              <w:t>缺陷或有瑕疵</w:t>
            </w:r>
            <w:r>
              <w:rPr>
                <w:rFonts w:hint="eastAsia" w:ascii="宋体" w:hAnsi="宋体" w:eastAsia="宋体" w:cs="宋体"/>
                <w:color w:val="auto"/>
                <w:highlight w:val="none"/>
                <w:lang w:val="en-US" w:eastAsia="zh-CN"/>
              </w:rPr>
              <w:t>的，每个方案</w:t>
            </w:r>
            <w:r>
              <w:rPr>
                <w:rFonts w:hint="eastAsia" w:ascii="宋体" w:hAnsi="宋体" w:eastAsia="宋体" w:cs="宋体"/>
                <w:color w:val="auto"/>
                <w:highlight w:val="none"/>
                <w:lang w:val="zh-CN" w:eastAsia="zh-CN"/>
              </w:rPr>
              <w:t>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zh-CN" w:eastAsia="zh-CN"/>
              </w:rPr>
              <w:t>分；②</w:t>
            </w:r>
            <w:r>
              <w:rPr>
                <w:rFonts w:hint="eastAsia" w:ascii="宋体" w:hAnsi="宋体" w:eastAsia="宋体" w:cs="宋体"/>
                <w:color w:val="auto"/>
                <w:highlight w:val="none"/>
                <w:lang w:val="en-US" w:eastAsia="zh-CN"/>
              </w:rPr>
              <w:t>如每个方案</w:t>
            </w:r>
            <w:r>
              <w:rPr>
                <w:rFonts w:hint="eastAsia" w:ascii="宋体" w:hAnsi="宋体" w:eastAsia="宋体" w:cs="宋体"/>
                <w:color w:val="auto"/>
                <w:highlight w:val="none"/>
                <w:lang w:val="zh-CN" w:eastAsia="zh-CN"/>
              </w:rPr>
              <w:t>条理结构</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清晰，内容</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详尽、准确</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响应的，有缺陷或瑕疵的，</w:t>
            </w:r>
            <w:r>
              <w:rPr>
                <w:rFonts w:hint="eastAsia" w:ascii="宋体" w:hAnsi="宋体" w:eastAsia="宋体" w:cs="宋体"/>
                <w:color w:val="auto"/>
                <w:highlight w:val="none"/>
                <w:lang w:val="en-US" w:eastAsia="zh-CN"/>
              </w:rPr>
              <w:t>每个方案得1</w:t>
            </w:r>
            <w:r>
              <w:rPr>
                <w:rFonts w:hint="eastAsia" w:ascii="宋体" w:hAnsi="宋体" w:eastAsia="宋体" w:cs="宋体"/>
                <w:color w:val="auto"/>
                <w:highlight w:val="none"/>
                <w:lang w:val="zh-CN" w:eastAsia="zh-CN"/>
              </w:rPr>
              <w:t>分；③每缺少一项的</w:t>
            </w:r>
            <w:r>
              <w:rPr>
                <w:rFonts w:hint="eastAsia" w:ascii="宋体" w:hAnsi="宋体" w:eastAsia="宋体" w:cs="宋体"/>
                <w:color w:val="auto"/>
                <w:highlight w:val="none"/>
                <w:lang w:val="en-US" w:eastAsia="zh-CN"/>
              </w:rPr>
              <w:t>得0</w:t>
            </w:r>
            <w:r>
              <w:rPr>
                <w:rFonts w:hint="eastAsia" w:ascii="宋体" w:hAnsi="宋体" w:eastAsia="宋体" w:cs="宋体"/>
                <w:color w:val="auto"/>
                <w:highlight w:val="none"/>
                <w:lang w:val="zh-CN" w:eastAsia="zh-CN"/>
              </w:rPr>
              <w:t>分。</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166ED50B">
            <w:pPr>
              <w:autoSpaceDE w:val="0"/>
              <w:autoSpaceDN w:val="0"/>
              <w:adjustRightInd w:val="0"/>
              <w:snapToGrid w:val="0"/>
              <w:spacing w:line="340" w:lineRule="exact"/>
              <w:ind w:left="-36" w:leftChars="-17" w:firstLine="17" w:firstLineChars="0"/>
              <w:jc w:val="center"/>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4</w:t>
            </w:r>
            <w:r>
              <w:rPr>
                <w:rFonts w:hint="eastAsia" w:hAnsi="宋体" w:cs="宋体"/>
                <w:color w:val="auto"/>
                <w:sz w:val="24"/>
                <w:szCs w:val="24"/>
                <w:highlight w:val="none"/>
              </w:rPr>
              <w:t>分</w:t>
            </w:r>
          </w:p>
        </w:tc>
      </w:tr>
      <w:tr w14:paraId="1681C668">
        <w:tblPrEx>
          <w:tblCellMar>
            <w:top w:w="15" w:type="dxa"/>
            <w:left w:w="15" w:type="dxa"/>
            <w:bottom w:w="15" w:type="dxa"/>
            <w:right w:w="15" w:type="dxa"/>
          </w:tblCellMar>
        </w:tblPrEx>
        <w:trPr>
          <w:trHeight w:val="513" w:hRule="atLeast"/>
          <w:jc w:val="center"/>
        </w:trPr>
        <w:tc>
          <w:tcPr>
            <w:tcW w:w="882" w:type="dxa"/>
            <w:vMerge w:val="continue"/>
            <w:tcBorders>
              <w:left w:val="single" w:color="auto" w:sz="4" w:space="0"/>
              <w:right w:val="single" w:color="auto" w:sz="4" w:space="0"/>
            </w:tcBorders>
            <w:noWrap w:val="0"/>
            <w:vAlign w:val="center"/>
          </w:tcPr>
          <w:p w14:paraId="69CB05A4">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EA068F">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技术培训方案</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452E58">
            <w:pPr>
              <w:pStyle w:val="54"/>
              <w:spacing w:before="37" w:line="251" w:lineRule="auto"/>
              <w:ind w:left="12" w:leftChars="0" w:right="126" w:hanging="12" w:hangingChars="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 w:val="21"/>
                <w:szCs w:val="22"/>
                <w:highlight w:val="none"/>
                <w:lang w:val="zh-CN" w:eastAsia="zh-CN" w:bidi="ar-SA"/>
              </w:rPr>
              <w:t>磋商小组根据各磋商供应商的培训方案内容，</w:t>
            </w:r>
            <w:r>
              <w:rPr>
                <w:rFonts w:hint="eastAsia" w:ascii="宋体" w:hAnsi="宋体" w:eastAsia="宋体" w:cs="宋体"/>
                <w:color w:val="auto"/>
                <w:highlight w:val="none"/>
                <w:lang w:val="en-US" w:eastAsia="zh-CN"/>
              </w:rPr>
              <w:t>包含但</w:t>
            </w:r>
            <w:r>
              <w:rPr>
                <w:rFonts w:hint="eastAsia" w:ascii="宋体" w:hAnsi="宋体" w:eastAsia="宋体" w:cs="宋体"/>
                <w:color w:val="auto"/>
                <w:kern w:val="2"/>
                <w:sz w:val="21"/>
                <w:szCs w:val="22"/>
                <w:highlight w:val="none"/>
                <w:lang w:val="en-US" w:eastAsia="zh-CN" w:bidi="ar-SA"/>
              </w:rPr>
              <w:t>不限于：①培训计划方案；②培训内容方案；③培训方式方案等方面内容</w:t>
            </w:r>
            <w:r>
              <w:rPr>
                <w:rFonts w:hint="eastAsia" w:ascii="宋体" w:hAnsi="宋体" w:eastAsia="宋体" w:cs="宋体"/>
                <w:color w:val="auto"/>
                <w:highlight w:val="none"/>
                <w:lang w:val="en-US" w:eastAsia="zh-CN"/>
              </w:rPr>
              <w:t>。依据</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方案内容与项目需求基本不一致或缺少关键点；方案内容与实际实施存在差异或不适用本项目特征、套用其他项目内容；方案内容表述前后矛盾；内容存在凭空编造、逻辑漏洞、常识错误；涉及的规范及标准错误；只是简单的复制采购需求内容而没有具体详细阐述；非专门针对本项目制定；存在现有技术条件下不可能出现的情形</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等</w:t>
            </w:r>
            <w:r>
              <w:rPr>
                <w:rFonts w:hint="eastAsia" w:ascii="宋体" w:hAnsi="宋体" w:eastAsia="宋体" w:cs="宋体"/>
                <w:color w:val="auto"/>
                <w:highlight w:val="none"/>
                <w:lang w:val="zh-CN" w:eastAsia="zh-CN"/>
              </w:rPr>
              <w:t>情形</w:t>
            </w:r>
            <w:r>
              <w:rPr>
                <w:rFonts w:hint="eastAsia" w:ascii="宋体" w:hAnsi="宋体" w:eastAsia="宋体" w:cs="宋体"/>
                <w:color w:val="auto"/>
                <w:highlight w:val="none"/>
                <w:lang w:val="en-US" w:eastAsia="zh-CN"/>
              </w:rPr>
              <w:t>判断：①如每个方案</w:t>
            </w:r>
            <w:r>
              <w:rPr>
                <w:rFonts w:hint="eastAsia" w:ascii="宋体" w:hAnsi="宋体" w:eastAsia="宋体" w:cs="宋体"/>
                <w:color w:val="auto"/>
                <w:highlight w:val="none"/>
                <w:lang w:val="zh-CN" w:eastAsia="zh-CN"/>
              </w:rPr>
              <w:t>条理结构清晰，内容详尽、准确响应的，</w:t>
            </w:r>
            <w:r>
              <w:rPr>
                <w:rFonts w:hint="eastAsia" w:ascii="宋体" w:hAnsi="宋体" w:eastAsia="宋体" w:cs="宋体"/>
                <w:color w:val="auto"/>
                <w:highlight w:val="none"/>
                <w:lang w:val="en-US" w:eastAsia="zh-CN"/>
              </w:rPr>
              <w:t>没有上述</w:t>
            </w:r>
            <w:r>
              <w:rPr>
                <w:rFonts w:hint="eastAsia" w:ascii="宋体" w:hAnsi="宋体" w:eastAsia="宋体" w:cs="宋体"/>
                <w:color w:val="auto"/>
                <w:highlight w:val="none"/>
                <w:lang w:val="zh-CN" w:eastAsia="zh-CN"/>
              </w:rPr>
              <w:t>缺陷或有瑕疵</w:t>
            </w:r>
            <w:r>
              <w:rPr>
                <w:rFonts w:hint="eastAsia" w:ascii="宋体" w:hAnsi="宋体" w:eastAsia="宋体" w:cs="宋体"/>
                <w:color w:val="auto"/>
                <w:highlight w:val="none"/>
                <w:lang w:val="en-US" w:eastAsia="zh-CN"/>
              </w:rPr>
              <w:t>的，每个方案</w:t>
            </w:r>
            <w:r>
              <w:rPr>
                <w:rFonts w:hint="eastAsia" w:ascii="宋体" w:hAnsi="宋体" w:eastAsia="宋体" w:cs="宋体"/>
                <w:color w:val="auto"/>
                <w:highlight w:val="none"/>
                <w:lang w:val="zh-CN" w:eastAsia="zh-CN"/>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zh-CN" w:eastAsia="zh-CN"/>
              </w:rPr>
              <w:t>分；②</w:t>
            </w:r>
            <w:r>
              <w:rPr>
                <w:rFonts w:hint="eastAsia" w:ascii="宋体" w:hAnsi="宋体" w:eastAsia="宋体" w:cs="宋体"/>
                <w:color w:val="auto"/>
                <w:highlight w:val="none"/>
                <w:lang w:val="en-US" w:eastAsia="zh-CN"/>
              </w:rPr>
              <w:t>如每个方案</w:t>
            </w:r>
            <w:r>
              <w:rPr>
                <w:rFonts w:hint="eastAsia" w:ascii="宋体" w:hAnsi="宋体" w:eastAsia="宋体" w:cs="宋体"/>
                <w:color w:val="auto"/>
                <w:highlight w:val="none"/>
                <w:lang w:val="zh-CN" w:eastAsia="zh-CN"/>
              </w:rPr>
              <w:t>条理结构</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清晰，内容</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详尽、准确</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响应的，有缺陷或瑕疵的，</w:t>
            </w:r>
            <w:r>
              <w:rPr>
                <w:rFonts w:hint="eastAsia" w:ascii="宋体" w:hAnsi="宋体" w:eastAsia="宋体" w:cs="宋体"/>
                <w:color w:val="auto"/>
                <w:highlight w:val="none"/>
                <w:lang w:val="en-US" w:eastAsia="zh-CN"/>
              </w:rPr>
              <w:t>每个方案得1</w:t>
            </w:r>
            <w:r>
              <w:rPr>
                <w:rFonts w:hint="eastAsia" w:ascii="宋体" w:hAnsi="宋体" w:eastAsia="宋体" w:cs="宋体"/>
                <w:color w:val="auto"/>
                <w:highlight w:val="none"/>
                <w:lang w:val="zh-CN" w:eastAsia="zh-CN"/>
              </w:rPr>
              <w:t>分；③每缺少一项的</w:t>
            </w:r>
            <w:r>
              <w:rPr>
                <w:rFonts w:hint="eastAsia" w:ascii="宋体" w:hAnsi="宋体" w:eastAsia="宋体" w:cs="宋体"/>
                <w:color w:val="auto"/>
                <w:highlight w:val="none"/>
                <w:lang w:val="en-US" w:eastAsia="zh-CN"/>
              </w:rPr>
              <w:t>得0</w:t>
            </w:r>
            <w:r>
              <w:rPr>
                <w:rFonts w:hint="eastAsia" w:ascii="宋体" w:hAnsi="宋体" w:eastAsia="宋体" w:cs="宋体"/>
                <w:color w:val="auto"/>
                <w:highlight w:val="none"/>
                <w:lang w:val="zh-CN" w:eastAsia="zh-CN"/>
              </w:rPr>
              <w:t>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79947E">
            <w:pPr>
              <w:autoSpaceDE w:val="0"/>
              <w:autoSpaceDN w:val="0"/>
              <w:adjustRightInd w:val="0"/>
              <w:snapToGrid w:val="0"/>
              <w:spacing w:line="340" w:lineRule="exact"/>
              <w:ind w:left="-36" w:leftChars="-17" w:firstLine="17" w:firstLineChars="0"/>
              <w:jc w:val="center"/>
              <w:rPr>
                <w:rFonts w:hint="eastAsia" w:ascii="Times New Roman" w:hAnsi="宋体" w:eastAsia="宋体" w:cs="宋体"/>
                <w:color w:val="auto"/>
                <w:kern w:val="2"/>
                <w:sz w:val="24"/>
                <w:szCs w:val="24"/>
                <w:highlight w:val="none"/>
                <w:lang w:val="en-US" w:eastAsia="zh-CN" w:bidi="ar-SA"/>
              </w:rPr>
            </w:pPr>
            <w:r>
              <w:rPr>
                <w:rFonts w:hint="eastAsia" w:hAnsi="宋体" w:cs="宋体"/>
                <w:color w:val="auto"/>
                <w:sz w:val="24"/>
                <w:szCs w:val="24"/>
                <w:highlight w:val="none"/>
                <w:lang w:val="en-US" w:eastAsia="zh-CN"/>
              </w:rPr>
              <w:t>6</w:t>
            </w:r>
            <w:r>
              <w:rPr>
                <w:rFonts w:hint="eastAsia" w:hAnsi="宋体" w:cs="宋体"/>
                <w:color w:val="auto"/>
                <w:sz w:val="24"/>
                <w:szCs w:val="24"/>
                <w:highlight w:val="none"/>
              </w:rPr>
              <w:t>分</w:t>
            </w:r>
          </w:p>
        </w:tc>
      </w:tr>
      <w:tr w14:paraId="0CBD7127">
        <w:tblPrEx>
          <w:tblCellMar>
            <w:top w:w="15" w:type="dxa"/>
            <w:left w:w="15" w:type="dxa"/>
            <w:bottom w:w="15" w:type="dxa"/>
            <w:right w:w="15" w:type="dxa"/>
          </w:tblCellMar>
        </w:tblPrEx>
        <w:trPr>
          <w:trHeight w:val="120" w:hRule="atLeast"/>
          <w:jc w:val="center"/>
        </w:trPr>
        <w:tc>
          <w:tcPr>
            <w:tcW w:w="882" w:type="dxa"/>
            <w:vMerge w:val="continue"/>
            <w:tcBorders>
              <w:left w:val="single" w:color="auto" w:sz="4" w:space="0"/>
              <w:right w:val="single" w:color="auto" w:sz="4" w:space="0"/>
            </w:tcBorders>
            <w:noWrap w:val="0"/>
            <w:vAlign w:val="center"/>
          </w:tcPr>
          <w:p w14:paraId="6C0948B7">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right w:val="single" w:color="auto" w:sz="4" w:space="0"/>
            </w:tcBorders>
            <w:shd w:val="clear" w:color="auto" w:fill="auto"/>
            <w:noWrap w:val="0"/>
            <w:vAlign w:val="center"/>
          </w:tcPr>
          <w:p w14:paraId="71992BFF">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en-US" w:eastAsia="zh-CN"/>
              </w:rPr>
              <w:t>售后方案</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CAD690">
            <w:pPr>
              <w:pStyle w:val="54"/>
              <w:keepNext w:val="0"/>
              <w:keepLines w:val="0"/>
              <w:pageBreakBefore w:val="0"/>
              <w:widowControl w:val="0"/>
              <w:kinsoku/>
              <w:wordWrap w:val="0"/>
              <w:overflowPunct/>
              <w:topLinePunct w:val="0"/>
              <w:autoSpaceDE/>
              <w:autoSpaceDN/>
              <w:bidi w:val="0"/>
              <w:adjustRightInd/>
              <w:snapToGrid/>
              <w:spacing w:before="37" w:line="252" w:lineRule="auto"/>
              <w:ind w:left="12" w:leftChars="0" w:right="125" w:hanging="12" w:hangingChars="6"/>
              <w:textAlignment w:val="auto"/>
              <w:rPr>
                <w:rFonts w:hint="default"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zh-CN" w:eastAsia="zh-CN" w:bidi="ar-SA"/>
              </w:rPr>
              <w:t>磋商小组根据各磋商供应商的</w:t>
            </w:r>
            <w:r>
              <w:rPr>
                <w:rFonts w:hint="eastAsia" w:ascii="宋体" w:hAnsi="宋体" w:eastAsia="宋体" w:cs="宋体"/>
                <w:color w:val="auto"/>
                <w:kern w:val="0"/>
                <w:sz w:val="21"/>
                <w:szCs w:val="21"/>
                <w:lang w:val="en-US" w:eastAsia="zh-CN"/>
              </w:rPr>
              <w:t>售后服务方案，包含但不限于：①售后服务响应方案；②售后服务承诺方案；③售后服务人员配置方案；</w:t>
            </w:r>
            <w:r>
              <w:rPr>
                <w:rFonts w:hint="eastAsia" w:ascii="宋体" w:hAnsi="宋体" w:eastAsia="宋体" w:cs="宋体"/>
                <w:b w:val="0"/>
                <w:bCs w:val="0"/>
                <w:color w:val="auto"/>
                <w:sz w:val="21"/>
                <w:szCs w:val="21"/>
                <w:highlight w:val="none"/>
                <w:lang w:val="en-US" w:eastAsia="zh-CN"/>
              </w:rPr>
              <w:t>④</w:t>
            </w:r>
            <w:r>
              <w:rPr>
                <w:rFonts w:hint="eastAsia" w:ascii="宋体" w:hAnsi="宋体" w:eastAsia="宋体" w:cs="宋体"/>
                <w:color w:val="auto"/>
                <w:kern w:val="0"/>
                <w:sz w:val="21"/>
                <w:szCs w:val="21"/>
                <w:lang w:val="en-US" w:eastAsia="zh-CN"/>
              </w:rPr>
              <w:t>增值服务方案等方面内容</w:t>
            </w:r>
            <w:r>
              <w:rPr>
                <w:rFonts w:hint="eastAsia" w:ascii="宋体" w:hAnsi="宋体" w:eastAsia="宋体" w:cs="宋体"/>
                <w:color w:val="auto"/>
                <w:highlight w:val="none"/>
                <w:lang w:val="en-US" w:eastAsia="zh-CN"/>
              </w:rPr>
              <w:t>。依据</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方案内容与项目需求基本不一致或缺少关键点；方案内容与实际实施存在差异或不适用本项目特征、套用其他项目内容；方案内容表述前后矛盾；内容存在凭空编造、逻辑漏洞、常识错误；涉及的规范及标准错误；只是简单的复制采购需求内容而没有具体详细阐述；非专门针对本项目制定；存在现有技术条件下不可能出现的情形</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等</w:t>
            </w:r>
            <w:r>
              <w:rPr>
                <w:rFonts w:hint="eastAsia" w:ascii="宋体" w:hAnsi="宋体" w:eastAsia="宋体" w:cs="宋体"/>
                <w:color w:val="auto"/>
                <w:highlight w:val="none"/>
                <w:lang w:val="zh-CN" w:eastAsia="zh-CN"/>
              </w:rPr>
              <w:t>情形</w:t>
            </w:r>
            <w:r>
              <w:rPr>
                <w:rFonts w:hint="eastAsia" w:ascii="宋体" w:hAnsi="宋体" w:eastAsia="宋体" w:cs="宋体"/>
                <w:color w:val="auto"/>
                <w:highlight w:val="none"/>
                <w:lang w:val="en-US" w:eastAsia="zh-CN"/>
              </w:rPr>
              <w:t>判断：①如每个方案</w:t>
            </w:r>
            <w:r>
              <w:rPr>
                <w:rFonts w:hint="eastAsia" w:ascii="宋体" w:hAnsi="宋体" w:eastAsia="宋体" w:cs="宋体"/>
                <w:color w:val="auto"/>
                <w:highlight w:val="none"/>
                <w:lang w:val="zh-CN" w:eastAsia="zh-CN"/>
              </w:rPr>
              <w:t>条理结构清晰，内容详尽、准确响应的，</w:t>
            </w:r>
            <w:r>
              <w:rPr>
                <w:rFonts w:hint="eastAsia" w:ascii="宋体" w:hAnsi="宋体" w:eastAsia="宋体" w:cs="宋体"/>
                <w:color w:val="auto"/>
                <w:highlight w:val="none"/>
                <w:lang w:val="en-US" w:eastAsia="zh-CN"/>
              </w:rPr>
              <w:t>没有上述</w:t>
            </w:r>
            <w:r>
              <w:rPr>
                <w:rFonts w:hint="eastAsia" w:ascii="宋体" w:hAnsi="宋体" w:eastAsia="宋体" w:cs="宋体"/>
                <w:color w:val="auto"/>
                <w:highlight w:val="none"/>
                <w:lang w:val="zh-CN" w:eastAsia="zh-CN"/>
              </w:rPr>
              <w:t>缺陷或有瑕疵</w:t>
            </w:r>
            <w:r>
              <w:rPr>
                <w:rFonts w:hint="eastAsia" w:ascii="宋体" w:hAnsi="宋体" w:eastAsia="宋体" w:cs="宋体"/>
                <w:color w:val="auto"/>
                <w:highlight w:val="none"/>
                <w:lang w:val="en-US" w:eastAsia="zh-CN"/>
              </w:rPr>
              <w:t>的，每个方案</w:t>
            </w:r>
            <w:r>
              <w:rPr>
                <w:rFonts w:hint="eastAsia" w:ascii="宋体" w:hAnsi="宋体" w:eastAsia="宋体" w:cs="宋体"/>
                <w:color w:val="auto"/>
                <w:highlight w:val="none"/>
                <w:lang w:val="zh-CN" w:eastAsia="zh-CN"/>
              </w:rPr>
              <w:t>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zh-CN" w:eastAsia="zh-CN"/>
              </w:rPr>
              <w:t>分；②</w:t>
            </w:r>
            <w:r>
              <w:rPr>
                <w:rFonts w:hint="eastAsia" w:ascii="宋体" w:hAnsi="宋体" w:eastAsia="宋体" w:cs="宋体"/>
                <w:color w:val="auto"/>
                <w:highlight w:val="none"/>
                <w:lang w:val="en-US" w:eastAsia="zh-CN"/>
              </w:rPr>
              <w:t>如每个方案</w:t>
            </w:r>
            <w:r>
              <w:rPr>
                <w:rFonts w:hint="eastAsia" w:ascii="宋体" w:hAnsi="宋体" w:eastAsia="宋体" w:cs="宋体"/>
                <w:color w:val="auto"/>
                <w:highlight w:val="none"/>
                <w:lang w:val="zh-CN" w:eastAsia="zh-CN"/>
              </w:rPr>
              <w:t>条理结构</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清晰，内容</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详尽、准确</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响应的，有缺陷或瑕疵的，</w:t>
            </w:r>
            <w:r>
              <w:rPr>
                <w:rFonts w:hint="eastAsia" w:ascii="宋体" w:hAnsi="宋体" w:eastAsia="宋体" w:cs="宋体"/>
                <w:color w:val="auto"/>
                <w:highlight w:val="none"/>
                <w:lang w:val="en-US" w:eastAsia="zh-CN"/>
              </w:rPr>
              <w:t>每个方案得1</w:t>
            </w:r>
            <w:r>
              <w:rPr>
                <w:rFonts w:hint="eastAsia" w:ascii="宋体" w:hAnsi="宋体" w:eastAsia="宋体" w:cs="宋体"/>
                <w:color w:val="auto"/>
                <w:highlight w:val="none"/>
                <w:lang w:val="zh-CN" w:eastAsia="zh-CN"/>
              </w:rPr>
              <w:t>分；③每缺少一项的</w:t>
            </w:r>
            <w:r>
              <w:rPr>
                <w:rFonts w:hint="eastAsia" w:ascii="宋体" w:hAnsi="宋体" w:eastAsia="宋体" w:cs="宋体"/>
                <w:color w:val="auto"/>
                <w:highlight w:val="none"/>
                <w:lang w:val="en-US" w:eastAsia="zh-CN"/>
              </w:rPr>
              <w:t>得0</w:t>
            </w:r>
            <w:r>
              <w:rPr>
                <w:rFonts w:hint="eastAsia" w:ascii="宋体" w:hAnsi="宋体" w:eastAsia="宋体" w:cs="宋体"/>
                <w:color w:val="auto"/>
                <w:highlight w:val="none"/>
                <w:lang w:val="zh-CN" w:eastAsia="zh-CN"/>
              </w:rPr>
              <w:t>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9CACD2">
            <w:pPr>
              <w:autoSpaceDE w:val="0"/>
              <w:autoSpaceDN w:val="0"/>
              <w:adjustRightInd w:val="0"/>
              <w:snapToGrid w:val="0"/>
              <w:spacing w:line="340" w:lineRule="exact"/>
              <w:ind w:left="-36" w:leftChars="-17" w:firstLine="17" w:firstLineChars="0"/>
              <w:jc w:val="center"/>
              <w:rPr>
                <w:rFonts w:hint="default" w:hAnsi="宋体" w:cs="宋体" w:asciiTheme="minorHAnsi" w:eastAsiaTheme="minorEastAsia"/>
                <w:color w:val="auto"/>
                <w:kern w:val="2"/>
                <w:sz w:val="24"/>
                <w:szCs w:val="24"/>
                <w:highlight w:val="none"/>
                <w:lang w:val="en-US" w:eastAsia="zh-CN" w:bidi="ar-SA"/>
              </w:rPr>
            </w:pPr>
            <w:r>
              <w:rPr>
                <w:rFonts w:hint="eastAsia" w:hAnsi="宋体" w:cs="宋体"/>
                <w:color w:val="auto"/>
                <w:sz w:val="24"/>
                <w:szCs w:val="24"/>
                <w:highlight w:val="none"/>
                <w:lang w:val="en-US" w:eastAsia="zh-CN"/>
              </w:rPr>
              <w:t>8分</w:t>
            </w:r>
          </w:p>
        </w:tc>
      </w:tr>
      <w:tr w14:paraId="4262848A">
        <w:tblPrEx>
          <w:tblCellMar>
            <w:top w:w="15" w:type="dxa"/>
            <w:left w:w="15" w:type="dxa"/>
            <w:bottom w:w="15" w:type="dxa"/>
            <w:right w:w="15" w:type="dxa"/>
          </w:tblCellMar>
        </w:tblPrEx>
        <w:trPr>
          <w:cantSplit/>
          <w:trHeight w:val="232" w:hRule="atLeast"/>
          <w:jc w:val="center"/>
        </w:trPr>
        <w:tc>
          <w:tcPr>
            <w:tcW w:w="882" w:type="dxa"/>
            <w:vMerge w:val="restart"/>
            <w:tcBorders>
              <w:top w:val="single" w:color="auto" w:sz="4" w:space="0"/>
              <w:left w:val="single" w:color="auto" w:sz="4" w:space="0"/>
              <w:right w:val="single" w:color="auto" w:sz="4" w:space="0"/>
            </w:tcBorders>
            <w:noWrap w:val="0"/>
            <w:vAlign w:val="center"/>
          </w:tcPr>
          <w:p w14:paraId="2FC4D9E9">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综合部分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rPr>
              <w:t>分）</w:t>
            </w:r>
          </w:p>
        </w:tc>
        <w:tc>
          <w:tcPr>
            <w:tcW w:w="996" w:type="dxa"/>
            <w:vMerge w:val="restart"/>
            <w:tcBorders>
              <w:top w:val="single" w:color="auto" w:sz="4" w:space="0"/>
              <w:left w:val="single" w:color="auto" w:sz="4" w:space="0"/>
              <w:right w:val="single" w:color="auto" w:sz="4" w:space="0"/>
            </w:tcBorders>
            <w:shd w:val="clear" w:color="auto" w:fill="auto"/>
            <w:noWrap w:val="0"/>
            <w:vAlign w:val="center"/>
          </w:tcPr>
          <w:p w14:paraId="6AABA3B4">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en-US" w:eastAsia="zh-CN"/>
              </w:rPr>
              <w:t>过保后延伸服务</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D72EA1">
            <w:pPr>
              <w:pStyle w:val="54"/>
              <w:spacing w:before="37" w:line="251" w:lineRule="auto"/>
              <w:ind w:left="12" w:leftChars="0" w:right="126" w:hanging="12" w:hangingChars="6"/>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zh-CN" w:eastAsia="zh-CN" w:bidi="ar-SA"/>
              </w:rPr>
              <w:t>在满足招标人要求的质保期</w:t>
            </w:r>
            <w:r>
              <w:rPr>
                <w:rFonts w:hint="eastAsia" w:ascii="宋体" w:hAnsi="宋体" w:eastAsia="宋体" w:cs="宋体"/>
                <w:b w:val="0"/>
                <w:bCs w:val="0"/>
                <w:color w:val="auto"/>
                <w:kern w:val="2"/>
                <w:sz w:val="21"/>
                <w:szCs w:val="22"/>
                <w:highlight w:val="none"/>
                <w:lang w:val="en-US" w:eastAsia="zh-CN" w:bidi="ar-SA"/>
              </w:rPr>
              <w:t>基础上</w:t>
            </w:r>
            <w:r>
              <w:rPr>
                <w:rFonts w:hint="eastAsia" w:ascii="宋体" w:hAnsi="宋体" w:eastAsia="宋体" w:cs="宋体"/>
                <w:b w:val="0"/>
                <w:bCs w:val="0"/>
                <w:color w:val="auto"/>
                <w:kern w:val="2"/>
                <w:sz w:val="21"/>
                <w:szCs w:val="22"/>
                <w:highlight w:val="none"/>
                <w:lang w:val="zh-CN" w:eastAsia="zh-CN" w:bidi="ar-SA"/>
              </w:rPr>
              <w:t>，每延长1年，得</w:t>
            </w:r>
            <w:r>
              <w:rPr>
                <w:rFonts w:hint="eastAsia" w:ascii="宋体" w:hAnsi="宋体" w:eastAsia="宋体" w:cs="宋体"/>
                <w:b w:val="0"/>
                <w:bCs w:val="0"/>
                <w:color w:val="auto"/>
                <w:kern w:val="2"/>
                <w:sz w:val="21"/>
                <w:szCs w:val="22"/>
                <w:highlight w:val="none"/>
                <w:lang w:val="en-US" w:eastAsia="zh-CN" w:bidi="ar-SA"/>
              </w:rPr>
              <w:t>0.5</w:t>
            </w:r>
            <w:r>
              <w:rPr>
                <w:rFonts w:hint="eastAsia" w:ascii="宋体" w:hAnsi="宋体" w:eastAsia="宋体" w:cs="宋体"/>
                <w:b w:val="0"/>
                <w:bCs w:val="0"/>
                <w:color w:val="auto"/>
                <w:kern w:val="2"/>
                <w:sz w:val="21"/>
                <w:szCs w:val="22"/>
                <w:highlight w:val="none"/>
                <w:lang w:val="zh-CN" w:eastAsia="zh-CN" w:bidi="ar-SA"/>
              </w:rPr>
              <w:t>分，最高得</w:t>
            </w:r>
            <w:r>
              <w:rPr>
                <w:rFonts w:hint="eastAsia" w:ascii="宋体" w:hAnsi="宋体" w:eastAsia="宋体" w:cs="宋体"/>
                <w:b w:val="0"/>
                <w:bCs w:val="0"/>
                <w:color w:val="auto"/>
                <w:kern w:val="2"/>
                <w:sz w:val="21"/>
                <w:szCs w:val="22"/>
                <w:highlight w:val="none"/>
                <w:lang w:val="en-US" w:eastAsia="zh-CN" w:bidi="ar-SA"/>
              </w:rPr>
              <w:t>1</w:t>
            </w:r>
            <w:r>
              <w:rPr>
                <w:rFonts w:hint="eastAsia" w:ascii="宋体" w:hAnsi="宋体" w:eastAsia="宋体" w:cs="宋体"/>
                <w:b w:val="0"/>
                <w:bCs w:val="0"/>
                <w:color w:val="auto"/>
                <w:kern w:val="2"/>
                <w:sz w:val="21"/>
                <w:szCs w:val="22"/>
                <w:highlight w:val="none"/>
                <w:lang w:val="zh-CN" w:eastAsia="zh-CN" w:bidi="ar-SA"/>
              </w:rPr>
              <w:t>分，未延长的不得分；</w:t>
            </w:r>
            <w:r>
              <w:rPr>
                <w:rFonts w:hint="eastAsia" w:ascii="宋体" w:hAnsi="宋体" w:eastAsia="宋体" w:cs="宋体"/>
                <w:b/>
                <w:bCs/>
                <w:color w:val="auto"/>
                <w:kern w:val="2"/>
                <w:sz w:val="21"/>
                <w:szCs w:val="22"/>
                <w:highlight w:val="none"/>
                <w:lang w:val="zh-CN" w:eastAsia="zh-CN" w:bidi="ar-SA"/>
              </w:rPr>
              <w:t>（</w:t>
            </w:r>
            <w:r>
              <w:rPr>
                <w:rFonts w:hint="eastAsia" w:ascii="宋体" w:hAnsi="宋体" w:eastAsia="宋体" w:cs="宋体"/>
                <w:b/>
                <w:bCs/>
                <w:color w:val="auto"/>
                <w:kern w:val="2"/>
                <w:sz w:val="21"/>
                <w:szCs w:val="22"/>
                <w:highlight w:val="none"/>
                <w:lang w:val="en-US" w:eastAsia="zh-CN" w:bidi="ar-SA"/>
              </w:rPr>
              <w:t>提供承诺函</w:t>
            </w:r>
            <w:r>
              <w:rPr>
                <w:rFonts w:hint="eastAsia" w:ascii="宋体" w:hAnsi="宋体" w:eastAsia="宋体" w:cs="宋体"/>
                <w:b/>
                <w:bCs/>
                <w:color w:val="auto"/>
                <w:kern w:val="2"/>
                <w:sz w:val="21"/>
                <w:szCs w:val="22"/>
                <w:highlight w:val="none"/>
                <w:lang w:val="zh-CN" w:eastAsia="zh-CN" w:bidi="ar-SA"/>
              </w:rPr>
              <w:t>）</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7EB59F">
            <w:pPr>
              <w:widowControl/>
              <w:spacing w:line="288" w:lineRule="auto"/>
              <w:ind w:left="-36" w:leftChars="-17" w:firstLine="17" w:firstLineChars="0"/>
              <w:jc w:val="center"/>
              <w:textAlignment w:val="center"/>
              <w:rPr>
                <w:rFonts w:hint="eastAsia" w:hAnsi="宋体" w:cs="宋体" w:asciiTheme="minorHAnsi" w:eastAsiaTheme="minorEastAsia"/>
                <w:color w:val="auto"/>
                <w:kern w:val="2"/>
                <w:sz w:val="24"/>
                <w:szCs w:val="24"/>
                <w:lang w:val="en-US" w:eastAsia="zh-CN" w:bidi="ar-SA"/>
              </w:rPr>
            </w:pPr>
            <w:r>
              <w:rPr>
                <w:rFonts w:hint="eastAsia" w:hAnsi="宋体" w:cs="宋体"/>
                <w:color w:val="auto"/>
                <w:sz w:val="24"/>
                <w:szCs w:val="24"/>
                <w:lang w:val="en-US" w:eastAsia="zh-CN"/>
              </w:rPr>
              <w:t>1分</w:t>
            </w:r>
          </w:p>
        </w:tc>
      </w:tr>
      <w:tr w14:paraId="7AFE8A43">
        <w:tblPrEx>
          <w:tblCellMar>
            <w:top w:w="15" w:type="dxa"/>
            <w:left w:w="15" w:type="dxa"/>
            <w:bottom w:w="15" w:type="dxa"/>
            <w:right w:w="15" w:type="dxa"/>
          </w:tblCellMar>
        </w:tblPrEx>
        <w:trPr>
          <w:cantSplit/>
          <w:trHeight w:val="795" w:hRule="atLeast"/>
          <w:jc w:val="center"/>
        </w:trPr>
        <w:tc>
          <w:tcPr>
            <w:tcW w:w="882" w:type="dxa"/>
            <w:vMerge w:val="continue"/>
            <w:tcBorders>
              <w:left w:val="single" w:color="auto" w:sz="4" w:space="0"/>
              <w:right w:val="single" w:color="auto" w:sz="4" w:space="0"/>
            </w:tcBorders>
            <w:noWrap w:val="0"/>
            <w:vAlign w:val="center"/>
          </w:tcPr>
          <w:p w14:paraId="20861A91">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vMerge w:val="continue"/>
            <w:tcBorders>
              <w:left w:val="single" w:color="auto" w:sz="4" w:space="0"/>
              <w:right w:val="single" w:color="auto" w:sz="4" w:space="0"/>
            </w:tcBorders>
            <w:shd w:val="clear" w:color="auto" w:fill="auto"/>
            <w:noWrap w:val="0"/>
            <w:vAlign w:val="center"/>
          </w:tcPr>
          <w:p w14:paraId="1744CCCA">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kern w:val="2"/>
                <w:sz w:val="21"/>
                <w:szCs w:val="22"/>
                <w:highlight w:val="none"/>
                <w:lang w:val="en-US" w:eastAsia="zh-CN" w:bidi="ar-SA"/>
              </w:rPr>
            </w:pP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FB8FF8">
            <w:pPr>
              <w:pStyle w:val="54"/>
              <w:keepNext w:val="0"/>
              <w:keepLines w:val="0"/>
              <w:pageBreakBefore w:val="0"/>
              <w:widowControl w:val="0"/>
              <w:kinsoku/>
              <w:wordWrap w:val="0"/>
              <w:overflowPunct/>
              <w:topLinePunct w:val="0"/>
              <w:autoSpaceDE/>
              <w:autoSpaceDN/>
              <w:bidi w:val="0"/>
              <w:adjustRightInd/>
              <w:snapToGrid/>
              <w:spacing w:before="37" w:line="252" w:lineRule="auto"/>
              <w:ind w:left="12" w:leftChars="0" w:right="125" w:hanging="12" w:hangingChars="6"/>
              <w:textAlignment w:val="auto"/>
              <w:rPr>
                <w:rFonts w:hint="eastAsia" w:ascii="宋体" w:hAnsi="宋体" w:eastAsia="宋体" w:cs="宋体"/>
                <w:color w:val="auto"/>
                <w:kern w:val="2"/>
                <w:sz w:val="21"/>
                <w:szCs w:val="22"/>
                <w:highlight w:val="none"/>
                <w:lang w:val="zh-CN" w:eastAsia="zh-CN" w:bidi="ar-SA"/>
              </w:rPr>
            </w:pPr>
            <w:r>
              <w:rPr>
                <w:rFonts w:hint="eastAsia" w:ascii="宋体" w:hAnsi="宋体" w:eastAsia="宋体" w:cs="宋体"/>
                <w:color w:val="auto"/>
                <w:highlight w:val="none"/>
                <w:lang w:val="zh-CN" w:eastAsia="zh-CN"/>
              </w:rPr>
              <w:t>磋商小组根据各磋商供应商</w:t>
            </w:r>
            <w:r>
              <w:rPr>
                <w:rFonts w:hint="eastAsia" w:ascii="宋体" w:hAnsi="宋体" w:eastAsia="宋体" w:cs="宋体"/>
                <w:color w:val="auto"/>
                <w:highlight w:val="none"/>
                <w:lang w:val="en-US" w:eastAsia="zh-CN"/>
              </w:rPr>
              <w:t>提供的延保服务方案进行综合评审，包含但不限于：①服务人员配置方案；②服务计划方案；③响应机制方案等方面内容。依据</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方案内容与项目需求基本不一致或缺少关键点；方案内容与实际实施存在差异或不适用本项目特征、套用其他项目内容；方案内容表述前后矛盾；内容存在凭空编造、逻辑漏洞、常识错误；涉及的规范及标准错误；只是简单的复制采购需求内容而没有具体详细阐述；非专门针对本项目制定；存在现有技术条件下不可能出现的情形</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等</w:t>
            </w:r>
            <w:r>
              <w:rPr>
                <w:rFonts w:hint="eastAsia" w:ascii="宋体" w:hAnsi="宋体" w:eastAsia="宋体" w:cs="宋体"/>
                <w:color w:val="auto"/>
                <w:highlight w:val="none"/>
                <w:lang w:val="zh-CN" w:eastAsia="zh-CN"/>
              </w:rPr>
              <w:t>情形</w:t>
            </w:r>
            <w:r>
              <w:rPr>
                <w:rFonts w:hint="eastAsia" w:ascii="宋体" w:hAnsi="宋体" w:eastAsia="宋体" w:cs="宋体"/>
                <w:color w:val="auto"/>
                <w:highlight w:val="none"/>
                <w:lang w:val="en-US" w:eastAsia="zh-CN"/>
              </w:rPr>
              <w:t>判断：①如每个方案</w:t>
            </w:r>
            <w:r>
              <w:rPr>
                <w:rFonts w:hint="eastAsia" w:ascii="宋体" w:hAnsi="宋体" w:eastAsia="宋体" w:cs="宋体"/>
                <w:color w:val="auto"/>
                <w:highlight w:val="none"/>
                <w:lang w:val="zh-CN" w:eastAsia="zh-CN"/>
              </w:rPr>
              <w:t>条理结构清晰，内容详尽、准确响应的，</w:t>
            </w:r>
            <w:r>
              <w:rPr>
                <w:rFonts w:hint="eastAsia" w:ascii="宋体" w:hAnsi="宋体" w:eastAsia="宋体" w:cs="宋体"/>
                <w:color w:val="auto"/>
                <w:highlight w:val="none"/>
                <w:lang w:val="en-US" w:eastAsia="zh-CN"/>
              </w:rPr>
              <w:t>没有上述</w:t>
            </w:r>
            <w:r>
              <w:rPr>
                <w:rFonts w:hint="eastAsia" w:ascii="宋体" w:hAnsi="宋体" w:eastAsia="宋体" w:cs="宋体"/>
                <w:color w:val="auto"/>
                <w:highlight w:val="none"/>
                <w:lang w:val="zh-CN" w:eastAsia="zh-CN"/>
              </w:rPr>
              <w:t>缺陷或有瑕疵</w:t>
            </w:r>
            <w:r>
              <w:rPr>
                <w:rFonts w:hint="eastAsia" w:ascii="宋体" w:hAnsi="宋体" w:eastAsia="宋体" w:cs="宋体"/>
                <w:color w:val="auto"/>
                <w:highlight w:val="none"/>
                <w:lang w:val="en-US" w:eastAsia="zh-CN"/>
              </w:rPr>
              <w:t>的，每个方案</w:t>
            </w:r>
            <w:r>
              <w:rPr>
                <w:rFonts w:hint="eastAsia" w:ascii="宋体" w:hAnsi="宋体" w:eastAsia="宋体" w:cs="宋体"/>
                <w:color w:val="auto"/>
                <w:highlight w:val="none"/>
                <w:lang w:val="zh-CN" w:eastAsia="zh-CN"/>
              </w:rPr>
              <w:t>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zh-CN" w:eastAsia="zh-CN"/>
              </w:rPr>
              <w:t>分；②</w:t>
            </w:r>
            <w:r>
              <w:rPr>
                <w:rFonts w:hint="eastAsia" w:ascii="宋体" w:hAnsi="宋体" w:eastAsia="宋体" w:cs="宋体"/>
                <w:color w:val="auto"/>
                <w:highlight w:val="none"/>
                <w:lang w:val="en-US" w:eastAsia="zh-CN"/>
              </w:rPr>
              <w:t>如每个方案</w:t>
            </w:r>
            <w:r>
              <w:rPr>
                <w:rFonts w:hint="eastAsia" w:ascii="宋体" w:hAnsi="宋体" w:eastAsia="宋体" w:cs="宋体"/>
                <w:color w:val="auto"/>
                <w:highlight w:val="none"/>
                <w:lang w:val="zh-CN" w:eastAsia="zh-CN"/>
              </w:rPr>
              <w:t>条理结构</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清晰，内容</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详尽、准确</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响应的，有缺陷或瑕疵的，</w:t>
            </w:r>
            <w:r>
              <w:rPr>
                <w:rFonts w:hint="eastAsia" w:ascii="宋体" w:hAnsi="宋体" w:eastAsia="宋体" w:cs="宋体"/>
                <w:color w:val="auto"/>
                <w:highlight w:val="none"/>
                <w:lang w:val="en-US" w:eastAsia="zh-CN"/>
              </w:rPr>
              <w:t>每个方案得1</w:t>
            </w:r>
            <w:r>
              <w:rPr>
                <w:rFonts w:hint="eastAsia" w:ascii="宋体" w:hAnsi="宋体" w:eastAsia="宋体" w:cs="宋体"/>
                <w:color w:val="auto"/>
                <w:highlight w:val="none"/>
                <w:lang w:val="zh-CN" w:eastAsia="zh-CN"/>
              </w:rPr>
              <w:t>分；③每缺少一项的</w:t>
            </w:r>
            <w:r>
              <w:rPr>
                <w:rFonts w:hint="eastAsia" w:ascii="宋体" w:hAnsi="宋体" w:eastAsia="宋体" w:cs="宋体"/>
                <w:color w:val="auto"/>
                <w:highlight w:val="none"/>
                <w:lang w:val="en-US" w:eastAsia="zh-CN"/>
              </w:rPr>
              <w:t>得0</w:t>
            </w:r>
            <w:r>
              <w:rPr>
                <w:rFonts w:hint="eastAsia" w:ascii="宋体" w:hAnsi="宋体" w:eastAsia="宋体" w:cs="宋体"/>
                <w:color w:val="auto"/>
                <w:highlight w:val="none"/>
                <w:lang w:val="zh-CN" w:eastAsia="zh-CN"/>
              </w:rPr>
              <w:t>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0E14BC">
            <w:pPr>
              <w:widowControl/>
              <w:spacing w:line="288" w:lineRule="auto"/>
              <w:ind w:left="-36" w:leftChars="-17" w:firstLine="17" w:firstLineChars="0"/>
              <w:jc w:val="center"/>
              <w:textAlignment w:val="center"/>
              <w:rPr>
                <w:rFonts w:hint="eastAsia" w:hAnsi="宋体" w:cs="宋体" w:asciiTheme="minorHAnsi" w:eastAsiaTheme="minorEastAsia"/>
                <w:color w:val="auto"/>
                <w:kern w:val="2"/>
                <w:sz w:val="24"/>
                <w:szCs w:val="24"/>
                <w:lang w:val="en-US" w:eastAsia="zh-CN" w:bidi="ar-SA"/>
              </w:rPr>
            </w:pPr>
            <w:r>
              <w:rPr>
                <w:rFonts w:hint="eastAsia" w:hAnsi="宋体" w:cs="宋体"/>
                <w:color w:val="auto"/>
                <w:sz w:val="24"/>
                <w:szCs w:val="24"/>
                <w:lang w:val="en-US" w:eastAsia="zh-CN"/>
              </w:rPr>
              <w:t>6分</w:t>
            </w:r>
          </w:p>
        </w:tc>
      </w:tr>
      <w:tr w14:paraId="5F721303">
        <w:tblPrEx>
          <w:tblCellMar>
            <w:top w:w="15" w:type="dxa"/>
            <w:left w:w="15" w:type="dxa"/>
            <w:bottom w:w="15" w:type="dxa"/>
            <w:right w:w="15" w:type="dxa"/>
          </w:tblCellMar>
        </w:tblPrEx>
        <w:trPr>
          <w:cantSplit/>
          <w:trHeight w:val="795" w:hRule="atLeast"/>
          <w:jc w:val="center"/>
        </w:trPr>
        <w:tc>
          <w:tcPr>
            <w:tcW w:w="882" w:type="dxa"/>
            <w:vMerge w:val="continue"/>
            <w:tcBorders>
              <w:left w:val="single" w:color="auto" w:sz="4" w:space="0"/>
              <w:right w:val="single" w:color="auto" w:sz="4" w:space="0"/>
            </w:tcBorders>
            <w:noWrap w:val="0"/>
            <w:vAlign w:val="center"/>
          </w:tcPr>
          <w:p w14:paraId="4155124C">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right w:val="single" w:color="auto" w:sz="4" w:space="0"/>
            </w:tcBorders>
            <w:shd w:val="clear" w:color="auto" w:fill="auto"/>
            <w:noWrap w:val="0"/>
            <w:vAlign w:val="center"/>
          </w:tcPr>
          <w:p w14:paraId="74041585">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en-US" w:eastAsia="zh-CN"/>
              </w:rPr>
              <w:t>企业业绩</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811502">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en-US" w:eastAsia="zh-CN"/>
              </w:rPr>
              <w:t>供应商或制造商近三年（2023年1月1日以来）以来承接过类似特种车辆项目业绩的，每提供一份得2分，本项最高得6分。</w:t>
            </w:r>
            <w:r>
              <w:rPr>
                <w:rFonts w:hint="eastAsia" w:ascii="宋体" w:hAnsi="宋体" w:eastAsia="宋体" w:cs="宋体"/>
                <w:b/>
                <w:bCs/>
                <w:color w:val="auto"/>
                <w:highlight w:val="none"/>
                <w:lang w:val="en-US" w:eastAsia="zh-CN"/>
              </w:rPr>
              <w:t>（投标文件中附合同协议书原件的扫描件，时间以合同签订日期为准，未提供或提供不全不得分）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667B21">
            <w:pPr>
              <w:widowControl/>
              <w:spacing w:line="288" w:lineRule="auto"/>
              <w:ind w:left="-36" w:leftChars="-17" w:firstLine="17" w:firstLineChars="0"/>
              <w:jc w:val="center"/>
              <w:textAlignment w:val="center"/>
              <w:rPr>
                <w:rFonts w:hint="eastAsia" w:hAnsi="宋体" w:cs="宋体" w:asciiTheme="minorHAnsi" w:eastAsiaTheme="minorEastAsia"/>
                <w:color w:val="auto"/>
                <w:kern w:val="2"/>
                <w:sz w:val="24"/>
                <w:szCs w:val="24"/>
                <w:lang w:val="en-US" w:eastAsia="zh-CN" w:bidi="ar-SA"/>
              </w:rPr>
            </w:pPr>
            <w:r>
              <w:rPr>
                <w:rFonts w:hint="eastAsia" w:hAnsi="宋体" w:cs="宋体"/>
                <w:color w:val="auto"/>
                <w:sz w:val="24"/>
                <w:szCs w:val="24"/>
                <w:lang w:val="en-US" w:eastAsia="zh-CN"/>
              </w:rPr>
              <w:t>6分</w:t>
            </w:r>
          </w:p>
        </w:tc>
      </w:tr>
      <w:tr w14:paraId="77D13135">
        <w:tblPrEx>
          <w:tblCellMar>
            <w:top w:w="15" w:type="dxa"/>
            <w:left w:w="15" w:type="dxa"/>
            <w:bottom w:w="15" w:type="dxa"/>
            <w:right w:w="15" w:type="dxa"/>
          </w:tblCellMar>
        </w:tblPrEx>
        <w:trPr>
          <w:cantSplit/>
          <w:trHeight w:val="795" w:hRule="atLeast"/>
          <w:jc w:val="center"/>
        </w:trPr>
        <w:tc>
          <w:tcPr>
            <w:tcW w:w="882" w:type="dxa"/>
            <w:vMerge w:val="continue"/>
            <w:tcBorders>
              <w:left w:val="single" w:color="auto" w:sz="4" w:space="0"/>
              <w:bottom w:val="single" w:color="auto" w:sz="4" w:space="0"/>
              <w:right w:val="single" w:color="auto" w:sz="4" w:space="0"/>
            </w:tcBorders>
            <w:noWrap w:val="0"/>
            <w:vAlign w:val="center"/>
          </w:tcPr>
          <w:p w14:paraId="494FA1C1">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F0BD6">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综合性能 评价</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03A576">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en-US" w:eastAsia="zh-CN"/>
              </w:rPr>
              <w:t>对供应商提供设备的综合性能，方案的制定、标书的规范情况进行综合评价，完善、合理、可行性较好的得4分，一般得2分，较差得1分。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D86ED">
            <w:pPr>
              <w:adjustRightInd w:val="0"/>
              <w:snapToGrid w:val="0"/>
              <w:spacing w:line="288" w:lineRule="auto"/>
              <w:ind w:left="-36" w:leftChars="-17" w:firstLine="17" w:firstLineChars="0"/>
              <w:jc w:val="center"/>
              <w:rPr>
                <w:rFonts w:hint="eastAsia" w:hAnsi="宋体" w:cs="宋体" w:asciiTheme="minorHAnsi" w:eastAsiaTheme="minorEastAsia"/>
                <w:color w:val="auto"/>
                <w:kern w:val="2"/>
                <w:sz w:val="24"/>
                <w:szCs w:val="24"/>
                <w:highlight w:val="none"/>
                <w:lang w:val="en-US" w:eastAsia="zh-CN" w:bidi="ar-SA"/>
              </w:rPr>
            </w:pPr>
            <w:r>
              <w:rPr>
                <w:rFonts w:hint="eastAsia" w:hAnsi="宋体" w:cs="宋体"/>
                <w:color w:val="auto"/>
                <w:sz w:val="24"/>
                <w:szCs w:val="24"/>
                <w:highlight w:val="none"/>
                <w:lang w:val="en-US" w:eastAsia="zh-CN"/>
              </w:rPr>
              <w:t>4</w:t>
            </w:r>
            <w:r>
              <w:rPr>
                <w:rFonts w:hint="eastAsia" w:hAnsi="宋体" w:cs="宋体"/>
                <w:color w:val="auto"/>
                <w:sz w:val="24"/>
                <w:szCs w:val="24"/>
                <w:highlight w:val="none"/>
              </w:rPr>
              <w:t>分</w:t>
            </w:r>
          </w:p>
        </w:tc>
      </w:tr>
    </w:tbl>
    <w:p w14:paraId="58DD2250">
      <w:pPr>
        <w:wordWrap w:val="0"/>
        <w:spacing w:line="360" w:lineRule="auto"/>
        <w:ind w:firstLine="422" w:firstLineChars="200"/>
        <w:rPr>
          <w:rFonts w:hint="eastAsia" w:ascii="宋体" w:hAnsi="宋体" w:eastAsia="宋体" w:cs="宋体"/>
          <w:b/>
          <w:bCs/>
          <w:color w:val="C00000"/>
          <w:highlight w:val="none"/>
          <w:lang w:val="en-US" w:eastAsia="zh-CN"/>
        </w:rPr>
      </w:pPr>
    </w:p>
    <w:p w14:paraId="7247E956">
      <w:pPr>
        <w:wordWrap w:val="0"/>
        <w:spacing w:line="360" w:lineRule="auto"/>
        <w:ind w:firstLine="422" w:firstLineChars="200"/>
        <w:rPr>
          <w:rFonts w:hint="eastAsia" w:ascii="宋体" w:hAnsi="宋体" w:cs="宋体"/>
          <w:color w:val="auto"/>
          <w:sz w:val="24"/>
          <w:szCs w:val="24"/>
          <w:lang w:val="en-US" w:eastAsia="zh-CN"/>
        </w:rPr>
      </w:pPr>
      <w:r>
        <w:rPr>
          <w:rFonts w:hint="eastAsia" w:ascii="宋体" w:hAnsi="宋体" w:eastAsia="宋体" w:cs="宋体"/>
          <w:b/>
          <w:bCs/>
          <w:color w:val="auto"/>
          <w:highlight w:val="none"/>
          <w:lang w:val="en-US" w:eastAsia="zh-CN"/>
        </w:rPr>
        <w:t>注：供应商在招投标活动中提供的相关资料和证件等应真实、有效，中标后业主有对中标候选人进行调查的权利，如发现弄虚作假、有违法违规现象，一经查实，将取消中标资格并报经行政主管部门给予不良行为记录等处理。</w:t>
      </w:r>
    </w:p>
    <w:p w14:paraId="32348163">
      <w:pPr>
        <w:wordWrap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评审方法</w:t>
      </w:r>
      <w:bookmarkEnd w:id="754"/>
      <w:bookmarkEnd w:id="755"/>
    </w:p>
    <w:p w14:paraId="5D969F2C">
      <w:pPr>
        <w:wordWrap w:val="0"/>
        <w:spacing w:line="360" w:lineRule="auto"/>
        <w:ind w:firstLine="480" w:firstLineChars="200"/>
        <w:rPr>
          <w:rFonts w:ascii="宋体" w:hAnsi="宋体" w:cs="宋体"/>
          <w:sz w:val="24"/>
          <w:szCs w:val="24"/>
        </w:rPr>
      </w:pPr>
      <w:r>
        <w:rPr>
          <w:rFonts w:hint="eastAsia" w:ascii="宋体" w:hAnsi="宋体" w:cs="宋体"/>
          <w:sz w:val="24"/>
          <w:szCs w:val="24"/>
        </w:rPr>
        <w:t>本次评审采用综合评分法。磋商小组对满足竞争性磋商文件实质性要求的响应文件，按照本章规定的评分标准进行打分，并按得分由高到低顺序推荐成交候选人，综合评分相等时，以报价得分高的优先；报价得分相等的，以技术得分高的优先，技术得分也相等的，采取随机抽取方式确定中标候选人排序。</w:t>
      </w:r>
      <w:bookmarkStart w:id="757" w:name="_Toc29362"/>
      <w:bookmarkStart w:id="758" w:name="_Toc152042378"/>
      <w:bookmarkStart w:id="759" w:name="_Toc455080157"/>
      <w:bookmarkStart w:id="760" w:name="_Toc6612"/>
      <w:bookmarkStart w:id="761" w:name="_Toc466298140"/>
      <w:bookmarkStart w:id="762" w:name="_Toc24936"/>
      <w:bookmarkStart w:id="763" w:name="_Toc318450723"/>
      <w:bookmarkStart w:id="764" w:name="_Toc26131"/>
      <w:bookmarkStart w:id="765" w:name="_Toc455867817"/>
      <w:bookmarkStart w:id="766" w:name="_Toc20837"/>
      <w:bookmarkStart w:id="767" w:name="_Toc144974568"/>
      <w:bookmarkStart w:id="768" w:name="_Toc152045601"/>
      <w:bookmarkStart w:id="769" w:name="_Toc490667876"/>
      <w:bookmarkStart w:id="770" w:name="_Toc281405529"/>
    </w:p>
    <w:p w14:paraId="05C3142D">
      <w:pPr>
        <w:wordWrap w:val="0"/>
        <w:spacing w:line="360" w:lineRule="auto"/>
        <w:ind w:firstLine="480" w:firstLineChars="200"/>
        <w:rPr>
          <w:rFonts w:ascii="宋体" w:hAnsi="宋体" w:cs="宋体"/>
          <w:sz w:val="24"/>
          <w:szCs w:val="24"/>
        </w:rPr>
      </w:pPr>
      <w:bookmarkStart w:id="771" w:name="_Toc14678"/>
      <w:bookmarkStart w:id="772" w:name="_Toc15287"/>
      <w:r>
        <w:rPr>
          <w:rFonts w:hint="eastAsia" w:ascii="宋体" w:hAnsi="宋体" w:cs="宋体"/>
          <w:sz w:val="24"/>
          <w:szCs w:val="24"/>
        </w:rPr>
        <w:t>2. 评审标准</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Start w:id="773" w:name="_Toc152042379"/>
      <w:bookmarkStart w:id="774" w:name="_Toc6711"/>
      <w:bookmarkStart w:id="775" w:name="_Toc281405530"/>
      <w:bookmarkStart w:id="776" w:name="_Toc21120"/>
      <w:bookmarkStart w:id="777" w:name="_Toc24558"/>
      <w:bookmarkStart w:id="778" w:name="_Toc31037"/>
      <w:bookmarkStart w:id="779" w:name="_Toc455080158"/>
      <w:bookmarkStart w:id="780" w:name="_Toc11223"/>
      <w:bookmarkStart w:id="781" w:name="_Toc2867"/>
      <w:bookmarkStart w:id="782" w:name="_Toc15813"/>
      <w:bookmarkStart w:id="783" w:name="_Toc455867818"/>
      <w:bookmarkStart w:id="784" w:name="_Toc318450724"/>
      <w:bookmarkStart w:id="785" w:name="_Toc466298141"/>
      <w:bookmarkStart w:id="786" w:name="_Toc152045602"/>
      <w:bookmarkStart w:id="787" w:name="_Toc19934"/>
      <w:bookmarkStart w:id="788" w:name="_Toc25637"/>
      <w:bookmarkStart w:id="789" w:name="_Toc490667877"/>
      <w:bookmarkStart w:id="790" w:name="_Toc144974569"/>
    </w:p>
    <w:p w14:paraId="2D747DD7">
      <w:pPr>
        <w:wordWrap w:val="0"/>
        <w:spacing w:line="360" w:lineRule="auto"/>
        <w:ind w:firstLine="480" w:firstLineChars="200"/>
        <w:rPr>
          <w:rFonts w:ascii="宋体" w:hAnsi="宋体" w:cs="宋体"/>
          <w:sz w:val="24"/>
          <w:szCs w:val="24"/>
        </w:rPr>
      </w:pPr>
      <w:bookmarkStart w:id="791" w:name="_Toc26567"/>
      <w:r>
        <w:rPr>
          <w:rFonts w:hint="eastAsia" w:ascii="宋体" w:hAnsi="宋体" w:cs="宋体"/>
          <w:sz w:val="24"/>
          <w:szCs w:val="24"/>
        </w:rPr>
        <w:t>2.1 初步评审标准</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72FF6233">
      <w:pPr>
        <w:wordWrap w:val="0"/>
        <w:spacing w:line="360" w:lineRule="auto"/>
        <w:ind w:firstLine="480" w:firstLineChars="200"/>
        <w:rPr>
          <w:rFonts w:ascii="宋体" w:hAnsi="宋体" w:cs="宋体"/>
          <w:sz w:val="24"/>
          <w:szCs w:val="24"/>
        </w:rPr>
      </w:pPr>
      <w:r>
        <w:rPr>
          <w:rFonts w:hint="eastAsia" w:ascii="宋体" w:hAnsi="宋体" w:cs="宋体"/>
          <w:sz w:val="24"/>
          <w:szCs w:val="24"/>
        </w:rPr>
        <w:t>2.1.1 资格检查评审标准：见评审办法前附表。</w:t>
      </w:r>
    </w:p>
    <w:p w14:paraId="77108B71">
      <w:pPr>
        <w:wordWrap w:val="0"/>
        <w:spacing w:line="360" w:lineRule="auto"/>
        <w:ind w:firstLine="480" w:firstLineChars="200"/>
        <w:rPr>
          <w:rFonts w:ascii="宋体" w:hAnsi="宋体" w:cs="宋体"/>
          <w:sz w:val="24"/>
          <w:szCs w:val="24"/>
        </w:rPr>
      </w:pPr>
      <w:r>
        <w:rPr>
          <w:rFonts w:hint="eastAsia" w:ascii="宋体" w:hAnsi="宋体" w:cs="宋体"/>
          <w:sz w:val="24"/>
          <w:szCs w:val="24"/>
        </w:rPr>
        <w:t>2.1.2 符合性检查评审标准：见评审办法前附表。</w:t>
      </w:r>
    </w:p>
    <w:p w14:paraId="1E24991F">
      <w:pPr>
        <w:wordWrap w:val="0"/>
        <w:spacing w:line="360" w:lineRule="auto"/>
        <w:ind w:firstLine="480" w:firstLineChars="200"/>
        <w:rPr>
          <w:rFonts w:ascii="宋体" w:hAnsi="宋体" w:cs="宋体"/>
          <w:sz w:val="24"/>
          <w:szCs w:val="24"/>
        </w:rPr>
      </w:pPr>
      <w:bookmarkStart w:id="792" w:name="_Toc25492"/>
      <w:bookmarkStart w:id="793" w:name="_Toc30189"/>
      <w:bookmarkStart w:id="794" w:name="_Toc281405531"/>
      <w:bookmarkStart w:id="795" w:name="_Toc466298142"/>
      <w:bookmarkStart w:id="796" w:name="_Toc455080159"/>
      <w:bookmarkStart w:id="797" w:name="_Toc28765"/>
      <w:bookmarkStart w:id="798" w:name="_Toc12013"/>
      <w:bookmarkStart w:id="799" w:name="_Toc152042380"/>
      <w:bookmarkStart w:id="800" w:name="_Toc22439"/>
      <w:bookmarkStart w:id="801" w:name="_Toc11061"/>
      <w:bookmarkStart w:id="802" w:name="_Toc152045603"/>
      <w:bookmarkStart w:id="803" w:name="_Toc7284"/>
      <w:bookmarkStart w:id="804" w:name="_Toc24825"/>
      <w:bookmarkStart w:id="805" w:name="_Toc144974570"/>
      <w:bookmarkStart w:id="806" w:name="_Toc318450725"/>
      <w:bookmarkStart w:id="807" w:name="_Toc26179"/>
      <w:bookmarkStart w:id="808" w:name="_Toc455867819"/>
      <w:bookmarkStart w:id="809" w:name="_Toc21970"/>
      <w:bookmarkStart w:id="810" w:name="_Toc490667878"/>
      <w:r>
        <w:rPr>
          <w:rFonts w:hint="eastAsia" w:ascii="宋体" w:hAnsi="宋体" w:cs="宋体"/>
          <w:sz w:val="24"/>
          <w:szCs w:val="24"/>
        </w:rPr>
        <w:t>2.2 分值构成与评分标准</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0A749119">
      <w:pPr>
        <w:wordWrap w:val="0"/>
        <w:spacing w:line="360" w:lineRule="auto"/>
        <w:ind w:firstLine="480" w:firstLineChars="200"/>
        <w:rPr>
          <w:rFonts w:ascii="宋体" w:hAnsi="宋体" w:cs="宋体"/>
          <w:sz w:val="24"/>
          <w:szCs w:val="24"/>
        </w:rPr>
      </w:pPr>
      <w:r>
        <w:rPr>
          <w:rFonts w:hint="eastAsia" w:ascii="宋体" w:hAnsi="宋体" w:cs="宋体"/>
          <w:sz w:val="24"/>
          <w:szCs w:val="24"/>
        </w:rPr>
        <w:t>（1）商务标：见评审办法前附表；</w:t>
      </w:r>
    </w:p>
    <w:p w14:paraId="21B138A3">
      <w:pPr>
        <w:wordWrap w:val="0"/>
        <w:spacing w:line="360" w:lineRule="auto"/>
        <w:ind w:firstLine="480" w:firstLineChars="200"/>
        <w:rPr>
          <w:rFonts w:ascii="宋体" w:hAnsi="宋体" w:cs="宋体"/>
          <w:sz w:val="24"/>
          <w:szCs w:val="24"/>
        </w:rPr>
      </w:pPr>
      <w:r>
        <w:rPr>
          <w:rFonts w:hint="eastAsia" w:ascii="宋体" w:hAnsi="宋体" w:cs="宋体"/>
          <w:sz w:val="24"/>
          <w:szCs w:val="24"/>
        </w:rPr>
        <w:t>（2）技术标：见评审办法前附表；</w:t>
      </w:r>
    </w:p>
    <w:p w14:paraId="24FC8F3F">
      <w:pPr>
        <w:wordWrap w:val="0"/>
        <w:spacing w:line="360" w:lineRule="auto"/>
        <w:ind w:firstLine="480" w:firstLineChars="200"/>
        <w:rPr>
          <w:rFonts w:ascii="宋体" w:hAnsi="宋体" w:cs="宋体"/>
          <w:sz w:val="24"/>
          <w:szCs w:val="24"/>
        </w:rPr>
      </w:pPr>
      <w:r>
        <w:rPr>
          <w:rFonts w:hint="eastAsia" w:ascii="宋体" w:hAnsi="宋体" w:cs="宋体"/>
          <w:sz w:val="24"/>
          <w:szCs w:val="24"/>
        </w:rPr>
        <w:t>（3）综合标：见评审办法前附表。</w:t>
      </w:r>
    </w:p>
    <w:p w14:paraId="20032B5F">
      <w:pPr>
        <w:wordWrap w:val="0"/>
        <w:spacing w:line="360" w:lineRule="auto"/>
        <w:ind w:firstLine="480" w:firstLineChars="200"/>
        <w:rPr>
          <w:rFonts w:ascii="宋体" w:hAnsi="宋体" w:cs="宋体"/>
          <w:sz w:val="24"/>
          <w:szCs w:val="24"/>
        </w:rPr>
      </w:pPr>
      <w:bookmarkStart w:id="811" w:name="_Toc29882"/>
      <w:bookmarkStart w:id="812" w:name="_Toc27018"/>
      <w:bookmarkStart w:id="813" w:name="_Toc29297"/>
      <w:bookmarkStart w:id="814" w:name="_Toc318450726"/>
      <w:bookmarkStart w:id="815" w:name="_Toc16479"/>
      <w:bookmarkStart w:id="816" w:name="_Toc455867820"/>
      <w:bookmarkStart w:id="817" w:name="_Toc281405532"/>
      <w:bookmarkStart w:id="818" w:name="_Toc466298143"/>
      <w:bookmarkStart w:id="819" w:name="_Toc32314"/>
      <w:bookmarkStart w:id="820" w:name="_Toc490667879"/>
      <w:bookmarkStart w:id="821" w:name="_Toc18127"/>
      <w:bookmarkStart w:id="822" w:name="_Toc17308"/>
      <w:bookmarkStart w:id="823" w:name="_Toc455080160"/>
      <w:r>
        <w:rPr>
          <w:rFonts w:hint="eastAsia" w:ascii="宋体" w:hAnsi="宋体" w:cs="宋体"/>
          <w:sz w:val="24"/>
          <w:szCs w:val="24"/>
        </w:rPr>
        <w:t>3. 评审程序</w:t>
      </w:r>
      <w:bookmarkEnd w:id="811"/>
      <w:bookmarkEnd w:id="812"/>
      <w:bookmarkEnd w:id="813"/>
      <w:bookmarkEnd w:id="814"/>
      <w:bookmarkEnd w:id="815"/>
      <w:bookmarkEnd w:id="816"/>
      <w:bookmarkEnd w:id="817"/>
      <w:bookmarkEnd w:id="818"/>
      <w:bookmarkEnd w:id="819"/>
      <w:bookmarkEnd w:id="820"/>
      <w:bookmarkEnd w:id="821"/>
      <w:bookmarkEnd w:id="822"/>
      <w:bookmarkEnd w:id="823"/>
    </w:p>
    <w:p w14:paraId="48EFE30C">
      <w:pPr>
        <w:wordWrap w:val="0"/>
        <w:spacing w:line="360" w:lineRule="auto"/>
        <w:ind w:firstLine="480" w:firstLineChars="200"/>
        <w:rPr>
          <w:rFonts w:ascii="宋体" w:hAnsi="宋体" w:cs="宋体"/>
          <w:sz w:val="24"/>
          <w:szCs w:val="24"/>
        </w:rPr>
      </w:pPr>
      <w:bookmarkStart w:id="824" w:name="_Toc455080161"/>
      <w:bookmarkStart w:id="825" w:name="_Toc281405533"/>
      <w:bookmarkStart w:id="826" w:name="_Toc466298144"/>
      <w:bookmarkStart w:id="827" w:name="_Toc318450727"/>
      <w:bookmarkStart w:id="828" w:name="_Toc14633"/>
      <w:bookmarkStart w:id="829" w:name="_Toc9433"/>
      <w:bookmarkStart w:id="830" w:name="_Toc5427"/>
      <w:bookmarkStart w:id="831" w:name="_Toc490667880"/>
      <w:bookmarkStart w:id="832" w:name="_Toc7272"/>
      <w:bookmarkStart w:id="833" w:name="_Toc2410"/>
      <w:bookmarkStart w:id="834" w:name="_Toc29092"/>
      <w:bookmarkStart w:id="835" w:name="_Toc455867821"/>
      <w:bookmarkStart w:id="836" w:name="_Toc18886"/>
      <w:bookmarkStart w:id="837" w:name="_Toc29614"/>
      <w:bookmarkStart w:id="838" w:name="_Toc16892"/>
      <w:bookmarkStart w:id="839" w:name="_Toc30986"/>
      <w:bookmarkStart w:id="840" w:name="_Toc32763"/>
      <w:r>
        <w:rPr>
          <w:rFonts w:hint="eastAsia" w:ascii="宋体" w:hAnsi="宋体" w:cs="宋体"/>
          <w:sz w:val="24"/>
          <w:szCs w:val="24"/>
        </w:rPr>
        <w:t>3.1 初步评审</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2CFE13C3">
      <w:pPr>
        <w:wordWrap w:val="0"/>
        <w:spacing w:line="360" w:lineRule="auto"/>
        <w:ind w:firstLine="480" w:firstLineChars="200"/>
        <w:rPr>
          <w:rFonts w:ascii="宋体" w:hAnsi="宋体" w:cs="宋体"/>
          <w:sz w:val="24"/>
          <w:szCs w:val="24"/>
        </w:rPr>
      </w:pPr>
      <w:bookmarkStart w:id="841" w:name="_Toc466298145"/>
      <w:bookmarkStart w:id="842" w:name="_Toc490667881"/>
      <w:bookmarkStart w:id="843" w:name="_Toc21032"/>
      <w:bookmarkStart w:id="844" w:name="_Toc21570"/>
      <w:bookmarkStart w:id="845" w:name="_Toc281405534"/>
      <w:bookmarkStart w:id="846" w:name="_Toc26049"/>
      <w:bookmarkStart w:id="847" w:name="_Toc13386"/>
      <w:bookmarkStart w:id="848" w:name="_Toc455080162"/>
      <w:bookmarkStart w:id="849" w:name="_Toc10692"/>
      <w:bookmarkStart w:id="850" w:name="_Toc7121"/>
      <w:bookmarkStart w:id="851" w:name="_Toc26280"/>
      <w:bookmarkStart w:id="852" w:name="_Toc455867822"/>
      <w:bookmarkStart w:id="853" w:name="_Toc318450728"/>
      <w:bookmarkStart w:id="854" w:name="_Toc12406"/>
      <w:bookmarkStart w:id="855" w:name="_Toc22101"/>
      <w:bookmarkStart w:id="856" w:name="_Toc16964"/>
      <w:r>
        <w:rPr>
          <w:rFonts w:hint="eastAsia" w:ascii="宋体" w:hAnsi="宋体" w:cs="宋体"/>
          <w:sz w:val="24"/>
          <w:szCs w:val="24"/>
        </w:rPr>
        <w:t>3.1.1 只有通过资格审查的供应商才能进入符合性评审。磋商小组依据2.1.2规定的内容和标准对响应文件进行符合性审查。有一项不符合评审标准的，其相应文件做无效处理，不得进入详细评审。</w:t>
      </w:r>
    </w:p>
    <w:p w14:paraId="3F3EBC65">
      <w:pPr>
        <w:wordWrap w:val="0"/>
        <w:spacing w:line="360" w:lineRule="auto"/>
        <w:ind w:firstLine="480" w:firstLineChars="200"/>
        <w:rPr>
          <w:rFonts w:ascii="宋体" w:hAnsi="宋体" w:cs="宋体"/>
          <w:sz w:val="24"/>
          <w:szCs w:val="24"/>
        </w:rPr>
      </w:pPr>
      <w:r>
        <w:rPr>
          <w:rFonts w:hint="eastAsia" w:ascii="宋体" w:hAnsi="宋体" w:cs="宋体"/>
          <w:sz w:val="24"/>
          <w:szCs w:val="24"/>
        </w:rPr>
        <w:t>3.1.2 供应商有以下情形之一的，其响应文件作无效处理：</w:t>
      </w:r>
    </w:p>
    <w:p w14:paraId="24FCC51C">
      <w:pPr>
        <w:wordWrap w:val="0"/>
        <w:spacing w:line="360" w:lineRule="auto"/>
        <w:ind w:firstLine="480" w:firstLineChars="200"/>
        <w:rPr>
          <w:rFonts w:ascii="宋体" w:hAnsi="宋体" w:cs="宋体"/>
          <w:sz w:val="24"/>
          <w:szCs w:val="24"/>
        </w:rPr>
      </w:pPr>
      <w:r>
        <w:rPr>
          <w:rFonts w:hint="eastAsia" w:ascii="宋体" w:hAnsi="宋体" w:cs="宋体"/>
          <w:sz w:val="24"/>
          <w:szCs w:val="24"/>
        </w:rPr>
        <w:t>（1）串通或弄虚作假或有其他违法行为的；</w:t>
      </w:r>
    </w:p>
    <w:p w14:paraId="350CEA38">
      <w:pPr>
        <w:wordWrap w:val="0"/>
        <w:spacing w:line="360" w:lineRule="auto"/>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64A8A5A6">
      <w:pPr>
        <w:wordWrap w:val="0"/>
        <w:spacing w:line="360" w:lineRule="auto"/>
        <w:ind w:firstLine="480" w:firstLineChars="200"/>
        <w:rPr>
          <w:rFonts w:ascii="宋体" w:hAnsi="宋体" w:cs="宋体"/>
          <w:sz w:val="24"/>
          <w:szCs w:val="24"/>
        </w:rPr>
      </w:pPr>
      <w:r>
        <w:rPr>
          <w:rFonts w:hint="eastAsia" w:ascii="宋体" w:hAnsi="宋体" w:cs="宋体"/>
          <w:sz w:val="24"/>
          <w:szCs w:val="24"/>
        </w:rPr>
        <w:t>（3）未按规定格式填写、内容不全或关键字迹模糊、无法辨认的；</w:t>
      </w:r>
    </w:p>
    <w:p w14:paraId="426928FE">
      <w:pPr>
        <w:wordWrap w:val="0"/>
        <w:spacing w:line="360" w:lineRule="auto"/>
        <w:ind w:firstLine="480" w:firstLineChars="200"/>
        <w:rPr>
          <w:rFonts w:ascii="宋体" w:hAnsi="宋体" w:cs="宋体"/>
          <w:sz w:val="24"/>
          <w:szCs w:val="24"/>
        </w:rPr>
      </w:pPr>
      <w:r>
        <w:rPr>
          <w:rFonts w:hint="eastAsia" w:ascii="宋体" w:hAnsi="宋体" w:cs="宋体"/>
          <w:sz w:val="24"/>
          <w:szCs w:val="24"/>
        </w:rPr>
        <w:t>（4）响应文件附有采购人不能接受的条件；</w:t>
      </w:r>
    </w:p>
    <w:p w14:paraId="227856F1">
      <w:pPr>
        <w:wordWrap w:val="0"/>
        <w:spacing w:line="360" w:lineRule="auto"/>
        <w:ind w:firstLine="480" w:firstLineChars="200"/>
        <w:rPr>
          <w:rFonts w:ascii="宋体" w:hAnsi="宋体" w:cs="宋体"/>
          <w:sz w:val="24"/>
          <w:szCs w:val="24"/>
        </w:rPr>
      </w:pPr>
      <w:r>
        <w:rPr>
          <w:rFonts w:hint="eastAsia" w:ascii="宋体" w:hAnsi="宋体" w:cs="宋体"/>
          <w:sz w:val="24"/>
          <w:szCs w:val="24"/>
        </w:rPr>
        <w:t>（5）不符合竞争性磋商文件规定的其他实质性要求。</w:t>
      </w:r>
    </w:p>
    <w:p w14:paraId="52FF62B4">
      <w:pPr>
        <w:wordWrap w:val="0"/>
        <w:spacing w:line="360" w:lineRule="auto"/>
        <w:ind w:firstLine="480" w:firstLineChars="200"/>
        <w:rPr>
          <w:rFonts w:ascii="宋体" w:hAnsi="宋体" w:cs="宋体"/>
          <w:sz w:val="24"/>
          <w:szCs w:val="24"/>
        </w:rPr>
      </w:pPr>
      <w:bookmarkStart w:id="857" w:name="_Toc32028"/>
      <w:r>
        <w:rPr>
          <w:rFonts w:hint="eastAsia" w:ascii="宋体" w:hAnsi="宋体" w:cs="宋体"/>
          <w:sz w:val="24"/>
          <w:szCs w:val="24"/>
        </w:rPr>
        <w:t>3.2 详细评审</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278BDD35">
      <w:pPr>
        <w:wordWrap w:val="0"/>
        <w:spacing w:line="360" w:lineRule="auto"/>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磋商小组按本章第2.2款规定的量化因素和分值进行打分，并计算出综合评分得分。</w:t>
      </w:r>
    </w:p>
    <w:p w14:paraId="5BDE5109">
      <w:pPr>
        <w:wordWrap w:val="0"/>
        <w:spacing w:line="360" w:lineRule="auto"/>
        <w:ind w:firstLine="480" w:firstLineChars="200"/>
        <w:rPr>
          <w:rFonts w:ascii="宋体" w:hAnsi="宋体" w:cs="宋体"/>
          <w:sz w:val="24"/>
          <w:szCs w:val="24"/>
        </w:rPr>
      </w:pPr>
      <w:r>
        <w:rPr>
          <w:rFonts w:hint="eastAsia" w:ascii="宋体" w:hAnsi="宋体" w:cs="宋体"/>
          <w:sz w:val="24"/>
          <w:szCs w:val="24"/>
        </w:rPr>
        <w:t>3.2.2 评分分值计算保留小数点后两位，小数点后第三位“四舍五入”。</w:t>
      </w:r>
    </w:p>
    <w:p w14:paraId="05D1B549">
      <w:pPr>
        <w:wordWrap w:val="0"/>
        <w:spacing w:line="360" w:lineRule="auto"/>
        <w:ind w:firstLine="480" w:firstLineChars="200"/>
        <w:rPr>
          <w:rFonts w:ascii="宋体" w:hAnsi="宋体" w:cs="宋体"/>
          <w:sz w:val="24"/>
          <w:szCs w:val="24"/>
        </w:rPr>
      </w:pPr>
      <w:r>
        <w:rPr>
          <w:rFonts w:hint="eastAsia" w:ascii="宋体" w:hAnsi="宋体" w:cs="宋体"/>
          <w:sz w:val="24"/>
          <w:szCs w:val="24"/>
        </w:rPr>
        <w:t>3.2.3 供应商的最终得分以全部小组成员打分的算术平均值为准，作为该供应商的最终得分。</w:t>
      </w:r>
    </w:p>
    <w:p w14:paraId="1D95037B">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3.2.4 在磋商过程中，凡遇到竞争性磋商文件中无界定或界定不清、前后不一致使磋商小组意见有分歧且又难以协商一致的问题，均由磋商小组予以表决，获半数以上同意的即为通过，未获半数同意的即为否决。</w:t>
      </w:r>
    </w:p>
    <w:p w14:paraId="7CD9BCAA">
      <w:pPr>
        <w:autoSpaceDE w:val="0"/>
        <w:autoSpaceDN w:val="0"/>
        <w:adjustRightInd w:val="0"/>
        <w:spacing w:line="336" w:lineRule="auto"/>
        <w:ind w:firstLine="482" w:firstLineChars="200"/>
        <w:jc w:val="left"/>
        <w:rPr>
          <w:rFonts w:hint="eastAsia" w:ascii="宋体" w:hAnsi="宋体" w:cs="宋体"/>
          <w:b/>
          <w:bCs/>
          <w:spacing w:val="1"/>
          <w:kern w:val="0"/>
          <w:sz w:val="24"/>
          <w:szCs w:val="24"/>
        </w:rPr>
      </w:pPr>
      <w:r>
        <w:rPr>
          <w:rFonts w:hint="eastAsia" w:ascii="宋体" w:hAnsi="宋体" w:eastAsia="宋体" w:cs="宋体"/>
          <w:b/>
          <w:bCs/>
          <w:color w:val="auto"/>
          <w:sz w:val="24"/>
          <w:szCs w:val="24"/>
          <w:lang w:val="en-US" w:eastAsia="zh-CN"/>
        </w:rPr>
        <w:t>3.2.5</w:t>
      </w:r>
      <w:r>
        <w:rPr>
          <w:rFonts w:hint="eastAsia" w:ascii="宋体" w:hAnsi="宋体" w:cs="宋体"/>
          <w:b/>
          <w:bCs/>
          <w:color w:val="auto"/>
          <w:sz w:val="24"/>
          <w:szCs w:val="24"/>
          <w:lang w:val="en-US" w:eastAsia="zh-CN"/>
        </w:rPr>
        <w:t xml:space="preserve"> </w:t>
      </w:r>
      <w:r>
        <w:rPr>
          <w:rFonts w:hint="eastAsia" w:ascii="宋体" w:hAnsi="宋体" w:cs="宋体"/>
          <w:b/>
          <w:bCs/>
          <w:spacing w:val="1"/>
          <w:kern w:val="0"/>
          <w:sz w:val="24"/>
          <w:szCs w:val="24"/>
        </w:rPr>
        <w:t>关于小微企业、监狱企业、残疾人福利性单位产品</w:t>
      </w:r>
      <w:r>
        <w:rPr>
          <w:rFonts w:hint="eastAsia" w:ascii="宋体" w:hAnsi="宋体" w:cs="宋体"/>
          <w:b/>
          <w:bCs/>
          <w:spacing w:val="1"/>
          <w:kern w:val="0"/>
          <w:sz w:val="24"/>
          <w:szCs w:val="24"/>
          <w:lang w:val="en-US" w:eastAsia="zh-CN"/>
        </w:rPr>
        <w:t>及本国产品</w:t>
      </w:r>
      <w:r>
        <w:rPr>
          <w:rFonts w:hint="eastAsia" w:ascii="宋体" w:hAnsi="宋体" w:cs="宋体"/>
          <w:b/>
          <w:bCs/>
          <w:spacing w:val="1"/>
          <w:kern w:val="0"/>
          <w:sz w:val="24"/>
          <w:szCs w:val="24"/>
        </w:rPr>
        <w:t>价格扣除</w:t>
      </w:r>
    </w:p>
    <w:p w14:paraId="57375C2F">
      <w:pPr>
        <w:wordWrap w:val="0"/>
        <w:spacing w:line="360" w:lineRule="auto"/>
        <w:ind w:firstLine="480" w:firstLineChars="200"/>
        <w:rPr>
          <w:rFonts w:hint="eastAsia" w:asciiTheme="minorEastAsia" w:hAnsiTheme="minorEastAsia" w:eastAsiaTheme="minorEastAsia" w:cstheme="minorEastAsia"/>
          <w:sz w:val="24"/>
          <w:szCs w:val="24"/>
          <w:lang w:eastAsia="zh-CN"/>
        </w:rPr>
      </w:pPr>
    </w:p>
    <w:p w14:paraId="6B064338">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1、小型微型企业认定及评标价格评审</w:t>
      </w:r>
    </w:p>
    <w:tbl>
      <w:tblPr>
        <w:tblStyle w:val="48"/>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469"/>
        <w:gridCol w:w="1397"/>
        <w:gridCol w:w="2131"/>
        <w:gridCol w:w="2326"/>
      </w:tblGrid>
      <w:tr w14:paraId="7CF6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95" w:type="dxa"/>
            <w:tcBorders>
              <w:top w:val="single" w:color="000000" w:sz="2" w:space="0"/>
              <w:bottom w:val="single" w:color="000000" w:sz="2" w:space="0"/>
            </w:tcBorders>
            <w:vAlign w:val="center"/>
          </w:tcPr>
          <w:p w14:paraId="273F4E9C">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1469" w:type="dxa"/>
            <w:tcBorders>
              <w:top w:val="single" w:color="000000" w:sz="2" w:space="0"/>
              <w:bottom w:val="single" w:color="000000" w:sz="2" w:space="0"/>
            </w:tcBorders>
            <w:vAlign w:val="center"/>
          </w:tcPr>
          <w:p w14:paraId="0CA13A67">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大型企业</w:t>
            </w:r>
          </w:p>
        </w:tc>
        <w:tc>
          <w:tcPr>
            <w:tcW w:w="1397" w:type="dxa"/>
            <w:tcBorders>
              <w:top w:val="single" w:color="000000" w:sz="2" w:space="0"/>
              <w:bottom w:val="single" w:color="000000" w:sz="2" w:space="0"/>
            </w:tcBorders>
            <w:vAlign w:val="center"/>
          </w:tcPr>
          <w:p w14:paraId="68CBB7E7">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中型企业</w:t>
            </w:r>
          </w:p>
        </w:tc>
        <w:tc>
          <w:tcPr>
            <w:tcW w:w="2131" w:type="dxa"/>
            <w:tcBorders>
              <w:top w:val="single" w:color="000000" w:sz="2" w:space="0"/>
              <w:bottom w:val="single" w:color="000000" w:sz="2" w:space="0"/>
            </w:tcBorders>
            <w:vAlign w:val="center"/>
          </w:tcPr>
          <w:p w14:paraId="03D588A3">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小型企业</w:t>
            </w:r>
          </w:p>
        </w:tc>
        <w:tc>
          <w:tcPr>
            <w:tcW w:w="2326" w:type="dxa"/>
            <w:tcBorders>
              <w:top w:val="single" w:color="000000" w:sz="2" w:space="0"/>
              <w:bottom w:val="single" w:color="000000" w:sz="2" w:space="0"/>
            </w:tcBorders>
            <w:vAlign w:val="center"/>
          </w:tcPr>
          <w:p w14:paraId="3023C123">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微型企业</w:t>
            </w:r>
          </w:p>
        </w:tc>
      </w:tr>
      <w:tr w14:paraId="3296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995" w:type="dxa"/>
            <w:tcBorders>
              <w:top w:val="single" w:color="000000" w:sz="2" w:space="0"/>
              <w:bottom w:val="single" w:color="000000" w:sz="2" w:space="0"/>
            </w:tcBorders>
            <w:vAlign w:val="center"/>
          </w:tcPr>
          <w:p w14:paraId="0213AE34">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投标价格=</w:t>
            </w:r>
          </w:p>
        </w:tc>
        <w:tc>
          <w:tcPr>
            <w:tcW w:w="1469" w:type="dxa"/>
            <w:tcBorders>
              <w:top w:val="single" w:color="000000" w:sz="2" w:space="0"/>
              <w:bottom w:val="single" w:color="000000" w:sz="2" w:space="0"/>
            </w:tcBorders>
            <w:vAlign w:val="center"/>
          </w:tcPr>
          <w:p w14:paraId="7E2C436D">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397" w:type="dxa"/>
            <w:tcBorders>
              <w:top w:val="single" w:color="000000" w:sz="2" w:space="0"/>
              <w:bottom w:val="single" w:color="000000" w:sz="2" w:space="0"/>
            </w:tcBorders>
            <w:vAlign w:val="center"/>
          </w:tcPr>
          <w:p w14:paraId="606985B8">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131" w:type="dxa"/>
            <w:tcBorders>
              <w:top w:val="single" w:color="000000" w:sz="2" w:space="0"/>
              <w:bottom w:val="single" w:color="000000" w:sz="2" w:space="0"/>
            </w:tcBorders>
            <w:vAlign w:val="center"/>
          </w:tcPr>
          <w:p w14:paraId="489B5B77">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2326" w:type="dxa"/>
            <w:tcBorders>
              <w:top w:val="single" w:color="000000" w:sz="2" w:space="0"/>
              <w:bottom w:val="single" w:color="000000" w:sz="2" w:space="0"/>
            </w:tcBorders>
            <w:vAlign w:val="center"/>
          </w:tcPr>
          <w:p w14:paraId="2DE65952">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r>
    </w:tbl>
    <w:p w14:paraId="22094014">
      <w:pPr>
        <w:spacing w:line="240" w:lineRule="auto"/>
        <w:ind w:firstLine="420"/>
        <w:rPr>
          <w:rFonts w:hint="eastAsia" w:asciiTheme="minorEastAsia" w:hAnsiTheme="minorEastAsia" w:eastAsiaTheme="minorEastAsia" w:cstheme="minorEastAsia"/>
          <w:sz w:val="24"/>
          <w:szCs w:val="24"/>
          <w:lang w:val="en-US" w:eastAsia="zh-CN"/>
        </w:rPr>
      </w:pPr>
    </w:p>
    <w:p w14:paraId="6C204506">
      <w:pPr>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根据《政府采购促进中小企业发展管理办法》(财库[2020]46号) 、财政部《关于进一步加大政府采购支持中小企业力度的通知》（财库〔2022〕19号）的规定</w:t>
      </w:r>
      <w:r>
        <w:rPr>
          <w:rFonts w:hint="eastAsia" w:asciiTheme="minorEastAsia" w:hAnsiTheme="minorEastAsia" w:eastAsiaTheme="minorEastAsia" w:cstheme="minorEastAsia"/>
          <w:sz w:val="24"/>
          <w:szCs w:val="24"/>
          <w:lang w:val="en-US" w:eastAsia="zh-CN"/>
        </w:rPr>
        <w:t>以及</w:t>
      </w:r>
      <w:r>
        <w:rPr>
          <w:rFonts w:hint="eastAsia" w:asciiTheme="minorEastAsia" w:hAnsiTheme="minorEastAsia" w:eastAsiaTheme="minorEastAsia" w:cstheme="minorEastAsia"/>
          <w:sz w:val="24"/>
          <w:szCs w:val="24"/>
          <w:lang w:eastAsia="zh-CN"/>
        </w:rPr>
        <w:t>《工业和信息化部、国家统计局、国家发展和改革委员会、财政部关于印发中小企业划型标准规定的通知》(工信部联企业[2011]300 号)文件</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lang w:eastAsia="zh-CN"/>
        </w:rPr>
        <w:t>，对小型和微型企业的价格给予</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lang w:eastAsia="zh-CN"/>
        </w:rPr>
        <w:t>%的扣除，用扣除后的价格参与评审。</w:t>
      </w:r>
    </w:p>
    <w:p w14:paraId="22998091">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3、根据财政部、司法部联合印发《关于政府采购支持监狱企业发展有关问题的通知》(财库[201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]68 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 出具的属于监狱企业的证明文件，否则评审时不予价格扣除优惠。</w:t>
      </w:r>
    </w:p>
    <w:p w14:paraId="15412BF7">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 (见响应文件格式),并对声明的真实性负责。</w:t>
      </w:r>
    </w:p>
    <w:p w14:paraId="0548718F">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根据(财政部国家环保总局联合印发《关于环境标志产品政府采购实施的意见》的通知) （财库[20</w:t>
      </w: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lang w:eastAsia="zh-CN"/>
        </w:rPr>
        <w:t>]90号）文件的有关要求，投标人本次投标活动中， 如果所投设备属于最新发布“环境标志产品政府采购清单”中的品目时，在性能、技术、服务等指标同等条件下，将优先采购清单中的产品。</w:t>
      </w:r>
    </w:p>
    <w:p w14:paraId="7E2DE0FF">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根据(财政部国家发展改革委关于印发《节能产品政府采购实施意见》的通知) （财库[20</w:t>
      </w:r>
      <w:r>
        <w:rPr>
          <w:rFonts w:hint="eastAsia" w:asciiTheme="minorEastAsia" w:hAnsiTheme="minorEastAsia" w:eastAsiaTheme="minorEastAsia" w:cstheme="minorEastAsia"/>
          <w:sz w:val="24"/>
          <w:szCs w:val="24"/>
          <w:lang w:val="en-US" w:eastAsia="zh-CN"/>
        </w:rPr>
        <w:t>04</w:t>
      </w:r>
      <w:r>
        <w:rPr>
          <w:rFonts w:hint="eastAsia" w:asciiTheme="minorEastAsia" w:hAnsiTheme="minorEastAsia" w:eastAsiaTheme="minorEastAsia" w:cstheme="minorEastAsia"/>
          <w:sz w:val="24"/>
          <w:szCs w:val="24"/>
          <w:lang w:eastAsia="zh-CN"/>
        </w:rPr>
        <w:t>]185号）文件的有关要求，投标人本次投标活动中， 如果所投设备属于最新发布“节能产品政府采购清单”中的品目时，在性能、技术、服务等指标同等条件下，将优先采购清单中的产品。</w:t>
      </w:r>
    </w:p>
    <w:p w14:paraId="1F638955">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根据《国务院办公厅关于在政府采购中实施本国产品标准及相关政策的通知》（国办发〔2025〕34号）文件的有关</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lang w:eastAsia="zh-CN"/>
        </w:rPr>
        <w:t>，投标人本次投标活动中所投设备属于本国产品</w:t>
      </w:r>
      <w:r>
        <w:rPr>
          <w:rFonts w:hint="eastAsia" w:asciiTheme="minorEastAsia" w:hAnsiTheme="minorEastAsia" w:eastAsiaTheme="minorEastAsia" w:cstheme="minorEastAsia"/>
          <w:sz w:val="24"/>
          <w:szCs w:val="24"/>
          <w:lang w:val="en-US" w:eastAsia="zh-CN"/>
        </w:rPr>
        <w:t>参与竞争，同时供应商出具</w:t>
      </w:r>
      <w:r>
        <w:rPr>
          <w:rFonts w:hint="eastAsia" w:asciiTheme="minorEastAsia" w:hAnsiTheme="minorEastAsia" w:eastAsiaTheme="minorEastAsia" w:cstheme="minorEastAsia"/>
          <w:sz w:val="24"/>
          <w:szCs w:val="24"/>
          <w:lang w:eastAsia="zh-CN"/>
        </w:rPr>
        <w:t>《关于符合本国产品标准的声明函》</w:t>
      </w:r>
      <w:r>
        <w:rPr>
          <w:rFonts w:hint="eastAsia" w:asciiTheme="minorEastAsia" w:hAnsiTheme="minorEastAsia" w:eastAsiaTheme="minorEastAsia" w:cstheme="minorEastAsia"/>
          <w:sz w:val="24"/>
          <w:szCs w:val="24"/>
          <w:lang w:val="en-US" w:eastAsia="zh-CN"/>
        </w:rPr>
        <w:t>时</w:t>
      </w:r>
      <w:r>
        <w:rPr>
          <w:rFonts w:hint="eastAsia" w:asciiTheme="minorEastAsia" w:hAnsiTheme="minorEastAsia" w:eastAsiaTheme="minorEastAsia" w:cstheme="minorEastAsia"/>
          <w:sz w:val="24"/>
          <w:szCs w:val="24"/>
          <w:lang w:eastAsia="zh-CN"/>
        </w:rPr>
        <w:t>，该产品视为本国产品，依法对本国产品给予价格评审优惠，对本国产品的报价给予20%的价格扣除，用扣除后的价格参与评审。</w:t>
      </w:r>
    </w:p>
    <w:p w14:paraId="4462CEDF">
      <w:pPr>
        <w:wordWrap w:val="0"/>
        <w:spacing w:line="360" w:lineRule="auto"/>
        <w:ind w:firstLine="486" w:firstLineChars="200"/>
        <w:rPr>
          <w:rFonts w:hint="eastAsia" w:ascii="宋体" w:hAnsi="宋体" w:cs="宋体"/>
          <w:b/>
          <w:bCs/>
          <w:spacing w:val="1"/>
          <w:kern w:val="0"/>
          <w:sz w:val="24"/>
          <w:szCs w:val="24"/>
        </w:rPr>
      </w:pPr>
      <w:r>
        <w:rPr>
          <w:rFonts w:hint="eastAsia" w:ascii="宋体" w:hAnsi="宋体" w:cs="宋体"/>
          <w:b/>
          <w:bCs/>
          <w:spacing w:val="1"/>
          <w:kern w:val="0"/>
          <w:sz w:val="24"/>
          <w:szCs w:val="24"/>
          <w:lang w:val="en-US" w:eastAsia="zh-CN"/>
        </w:rPr>
        <w:t>3.2.6</w:t>
      </w:r>
      <w:r>
        <w:rPr>
          <w:rFonts w:hint="eastAsia" w:ascii="宋体" w:hAnsi="宋体" w:cs="宋体"/>
          <w:b/>
          <w:bCs/>
          <w:spacing w:val="1"/>
          <w:kern w:val="0"/>
          <w:sz w:val="24"/>
          <w:szCs w:val="24"/>
        </w:rPr>
        <w:t xml:space="preserve"> 相同品牌产品投标的规定</w:t>
      </w:r>
    </w:p>
    <w:p w14:paraId="5440A31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val="en-US" w:eastAsia="zh-CN"/>
        </w:rPr>
        <w:t>1、</w:t>
      </w:r>
      <w:r>
        <w:rPr>
          <w:rFonts w:hint="eastAsia" w:ascii="宋体" w:hAnsi="宋体" w:eastAsia="宋体" w:cs="宋体"/>
          <w:spacing w:val="1"/>
          <w:kern w:val="0"/>
          <w:sz w:val="24"/>
          <w:szCs w:val="24"/>
        </w:rPr>
        <w:t>采用最</w:t>
      </w:r>
      <w:r>
        <w:rPr>
          <w:rFonts w:hint="eastAsia" w:ascii="宋体" w:hAnsi="宋体" w:cs="宋体"/>
          <w:spacing w:val="1"/>
          <w:kern w:val="0"/>
          <w:sz w:val="24"/>
          <w:szCs w:val="24"/>
        </w:rPr>
        <w:t>低评标价法的采购项目，提供相同品牌产品的不同投标人参加同一合同项下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14:paraId="2A37DBD8">
      <w:pPr>
        <w:autoSpaceDE w:val="0"/>
        <w:autoSpaceDN w:val="0"/>
        <w:adjustRightInd w:val="0"/>
        <w:spacing w:line="360" w:lineRule="auto"/>
        <w:ind w:firstLine="484" w:firstLineChars="200"/>
        <w:jc w:val="left"/>
        <w:rPr>
          <w:rFonts w:hint="eastAsia" w:ascii="宋体" w:hAnsi="宋体" w:eastAsia="宋体" w:cs="宋体"/>
          <w:b/>
          <w:bCs/>
          <w:color w:val="auto"/>
          <w:sz w:val="24"/>
          <w:szCs w:val="24"/>
        </w:rPr>
      </w:pPr>
      <w:r>
        <w:rPr>
          <w:rFonts w:hint="eastAsia" w:ascii="宋体" w:hAnsi="宋体" w:cs="宋体"/>
          <w:spacing w:val="1"/>
          <w:kern w:val="0"/>
          <w:sz w:val="24"/>
          <w:szCs w:val="24"/>
          <w:lang w:val="en-US" w:eastAsia="zh-CN"/>
        </w:rPr>
        <w:t xml:space="preserve">2、 </w:t>
      </w:r>
      <w:r>
        <w:rPr>
          <w:rFonts w:hint="eastAsia" w:ascii="宋体" w:hAnsi="宋体" w:cs="宋体"/>
          <w:spacing w:val="1"/>
          <w:kern w:val="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33239F60">
      <w:pPr>
        <w:wordWrap w:val="0"/>
        <w:spacing w:line="360" w:lineRule="auto"/>
        <w:ind w:firstLine="480" w:firstLineChars="200"/>
        <w:rPr>
          <w:rFonts w:ascii="宋体" w:hAnsi="宋体" w:cs="宋体"/>
          <w:sz w:val="24"/>
          <w:szCs w:val="24"/>
        </w:rPr>
      </w:pPr>
      <w:bookmarkStart w:id="858" w:name="_Toc455867823"/>
      <w:bookmarkStart w:id="859" w:name="_Toc12374"/>
      <w:bookmarkStart w:id="860" w:name="_Toc466298146"/>
      <w:bookmarkStart w:id="861" w:name="_Toc11958"/>
      <w:bookmarkStart w:id="862" w:name="_Toc10153"/>
      <w:bookmarkStart w:id="863" w:name="_Toc318450729"/>
      <w:bookmarkStart w:id="864" w:name="_Toc24862"/>
      <w:bookmarkStart w:id="865" w:name="_Toc331"/>
      <w:bookmarkStart w:id="866" w:name="_Toc455080163"/>
      <w:bookmarkStart w:id="867" w:name="_Toc281405535"/>
      <w:bookmarkStart w:id="868" w:name="_Toc490667882"/>
      <w:bookmarkStart w:id="869" w:name="_Toc8813"/>
      <w:bookmarkStart w:id="870" w:name="_Toc8342"/>
      <w:bookmarkStart w:id="871" w:name="_Toc28633"/>
      <w:bookmarkStart w:id="872" w:name="_Toc22084"/>
      <w:bookmarkStart w:id="873" w:name="_Toc2657"/>
      <w:bookmarkStart w:id="874" w:name="_Toc12603"/>
      <w:r>
        <w:rPr>
          <w:rFonts w:hint="eastAsia" w:ascii="宋体" w:hAnsi="宋体" w:cs="宋体"/>
          <w:sz w:val="24"/>
          <w:szCs w:val="24"/>
          <w:lang w:val="en-US" w:eastAsia="zh-CN"/>
        </w:rPr>
        <w:t>3、</w:t>
      </w:r>
      <w:r>
        <w:rPr>
          <w:rFonts w:hint="eastAsia" w:ascii="宋体" w:hAnsi="宋体" w:cs="宋体"/>
          <w:sz w:val="24"/>
          <w:szCs w:val="24"/>
        </w:rPr>
        <w:t>响应文件的澄清和补正</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494E25B8">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①</w:t>
      </w:r>
      <w:r>
        <w:rPr>
          <w:rFonts w:hint="eastAsia" w:ascii="宋体" w:hAnsi="宋体" w:cs="宋体"/>
          <w:sz w:val="24"/>
          <w:szCs w:val="24"/>
        </w:rPr>
        <w:t xml:space="preserve"> 在磋商过程中，磋商小组可以书面形式要求供应商对所提交的响应文件中不明确的内容进行书面澄清或说明，或者对细微偏离进行补正。磋商小组不接受供应商主动提出的澄清、说明或补正。</w:t>
      </w:r>
    </w:p>
    <w:p w14:paraId="42434468">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②</w:t>
      </w:r>
      <w:r>
        <w:rPr>
          <w:rFonts w:hint="eastAsia" w:ascii="宋体" w:hAnsi="宋体" w:cs="宋体"/>
          <w:sz w:val="24"/>
          <w:szCs w:val="24"/>
        </w:rPr>
        <w:t xml:space="preserve"> 澄清、说明和补正不得超出响应文件的范围或者改变响应文件的实质性内容（算术性错误修正的除外）。供应商的书面澄清、说明和补正属于响应文件的组成部分。</w:t>
      </w:r>
    </w:p>
    <w:p w14:paraId="073683E9">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③</w:t>
      </w:r>
      <w:r>
        <w:rPr>
          <w:rFonts w:hint="eastAsia" w:ascii="宋体" w:hAnsi="宋体" w:cs="宋体"/>
          <w:sz w:val="24"/>
          <w:szCs w:val="24"/>
        </w:rPr>
        <w:t xml:space="preserve"> 磋商小组对供应商提交的澄清、说明或补正有疑问的，可以要求供应商进一步澄清、说明或补正，直至满足磋商小组的要求。</w:t>
      </w:r>
    </w:p>
    <w:p w14:paraId="13843EAA">
      <w:pPr>
        <w:wordWrap w:val="0"/>
        <w:spacing w:line="360" w:lineRule="auto"/>
        <w:ind w:firstLine="480" w:firstLineChars="200"/>
        <w:rPr>
          <w:rFonts w:ascii="宋体" w:hAnsi="宋体" w:cs="宋体"/>
          <w:sz w:val="24"/>
          <w:szCs w:val="24"/>
        </w:rPr>
      </w:pPr>
      <w:bookmarkStart w:id="875" w:name="_Toc32183"/>
      <w:bookmarkStart w:id="876" w:name="_Toc490667883"/>
      <w:bookmarkStart w:id="877" w:name="_Toc30053"/>
      <w:bookmarkStart w:id="878" w:name="_Toc455080164"/>
      <w:bookmarkStart w:id="879" w:name="_Toc19938"/>
      <w:bookmarkStart w:id="880" w:name="_Toc19453"/>
      <w:bookmarkStart w:id="881" w:name="_Toc466298147"/>
      <w:bookmarkStart w:id="882" w:name="_Toc5903"/>
      <w:bookmarkStart w:id="883" w:name="_Toc318450730"/>
      <w:bookmarkStart w:id="884" w:name="_Toc281405536"/>
      <w:bookmarkStart w:id="885" w:name="_Toc1857"/>
      <w:bookmarkStart w:id="886" w:name="_Toc14789"/>
      <w:bookmarkStart w:id="887" w:name="_Toc22986"/>
      <w:bookmarkStart w:id="888" w:name="_Toc22682"/>
      <w:bookmarkStart w:id="889" w:name="_Toc26894"/>
      <w:bookmarkStart w:id="890" w:name="_Toc22049"/>
      <w:bookmarkStart w:id="891" w:name="_Toc455867824"/>
      <w:r>
        <w:rPr>
          <w:rFonts w:hint="eastAsia" w:ascii="宋体" w:hAnsi="宋体" w:cs="宋体"/>
          <w:sz w:val="24"/>
          <w:szCs w:val="24"/>
          <w:lang w:val="en-US" w:eastAsia="zh-CN"/>
        </w:rPr>
        <w:t>4、</w:t>
      </w:r>
      <w:r>
        <w:rPr>
          <w:rFonts w:hint="eastAsia" w:ascii="宋体" w:hAnsi="宋体" w:cs="宋体"/>
          <w:sz w:val="24"/>
          <w:szCs w:val="24"/>
        </w:rPr>
        <w:t xml:space="preserve"> 评审结果</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3DD049C8">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①</w:t>
      </w:r>
      <w:r>
        <w:rPr>
          <w:rFonts w:hint="eastAsia" w:ascii="宋体" w:hAnsi="宋体" w:cs="宋体"/>
          <w:sz w:val="24"/>
          <w:szCs w:val="24"/>
        </w:rPr>
        <w:t xml:space="preserve"> 除第二章“供应商须知”前附表授权直接确定成交人外，磋商小组按照得分由高到低的顺序推荐成交候选人。</w:t>
      </w:r>
    </w:p>
    <w:p w14:paraId="6D85693E">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②</w:t>
      </w:r>
      <w:r>
        <w:rPr>
          <w:rFonts w:hint="eastAsia" w:ascii="宋体" w:hAnsi="宋体" w:cs="宋体"/>
          <w:sz w:val="24"/>
          <w:szCs w:val="24"/>
        </w:rPr>
        <w:t xml:space="preserve"> 磋商小组完成评审后，应当向采购人提交书面评审报告。</w:t>
      </w:r>
    </w:p>
    <w:p w14:paraId="5BDFD7E5">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③</w:t>
      </w:r>
      <w:r>
        <w:rPr>
          <w:rFonts w:hint="eastAsia" w:ascii="宋体" w:hAnsi="宋体" w:cs="宋体"/>
          <w:sz w:val="24"/>
          <w:szCs w:val="24"/>
        </w:rPr>
        <w:t>评标结果在发布招标公告的同一媒介上公示。</w:t>
      </w:r>
      <w:bookmarkStart w:id="892" w:name="_Toc30580"/>
    </w:p>
    <w:p w14:paraId="40976505">
      <w:pPr>
        <w:wordWrap w:val="0"/>
        <w:spacing w:line="360" w:lineRule="auto"/>
        <w:ind w:firstLine="482" w:firstLineChars="200"/>
        <w:rPr>
          <w:rFonts w:hint="eastAsia" w:ascii="宋体" w:hAnsi="宋体" w:cs="宋体"/>
          <w:b/>
          <w:sz w:val="24"/>
          <w:szCs w:val="24"/>
        </w:rPr>
      </w:pPr>
      <w:bookmarkStart w:id="893" w:name="_Toc25046"/>
      <w:bookmarkStart w:id="894" w:name="_Toc14521"/>
      <w:bookmarkStart w:id="895" w:name="_Toc18565"/>
      <w:bookmarkStart w:id="896" w:name="_Toc11613"/>
      <w:bookmarkStart w:id="897" w:name="_Toc16109"/>
      <w:bookmarkStart w:id="898" w:name="_Toc29937"/>
      <w:r>
        <w:rPr>
          <w:rFonts w:hint="eastAsia" w:ascii="宋体" w:hAnsi="宋体" w:cs="宋体"/>
          <w:b/>
          <w:sz w:val="24"/>
          <w:szCs w:val="24"/>
        </w:rPr>
        <w:t>附件：废标条件</w:t>
      </w:r>
      <w:bookmarkEnd w:id="892"/>
      <w:bookmarkEnd w:id="893"/>
      <w:bookmarkEnd w:id="894"/>
      <w:bookmarkEnd w:id="895"/>
      <w:bookmarkEnd w:id="896"/>
      <w:bookmarkEnd w:id="897"/>
      <w:bookmarkEnd w:id="898"/>
    </w:p>
    <w:p w14:paraId="1C138B5C">
      <w:pPr>
        <w:wordWrap w:val="0"/>
        <w:spacing w:line="360" w:lineRule="auto"/>
        <w:ind w:firstLine="482" w:firstLineChars="200"/>
        <w:rPr>
          <w:rFonts w:ascii="宋体" w:hAnsi="宋体" w:cs="宋体"/>
          <w:b/>
          <w:sz w:val="24"/>
          <w:szCs w:val="24"/>
        </w:rPr>
      </w:pPr>
      <w:r>
        <w:rPr>
          <w:rFonts w:hint="eastAsia" w:ascii="宋体" w:hAnsi="宋体" w:cs="宋体"/>
          <w:b/>
          <w:sz w:val="24"/>
          <w:szCs w:val="24"/>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20129F28">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1.未通过第三章评标办法资格评审、符合性评审的；</w:t>
      </w:r>
    </w:p>
    <w:p w14:paraId="13BA08A4">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2.不按磋商小组要求澄清、说明或补正的；</w:t>
      </w:r>
    </w:p>
    <w:p w14:paraId="6CA8C6D8">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3.磋商报价有算术性错误，供应商不接受修正价格的；</w:t>
      </w:r>
    </w:p>
    <w:p w14:paraId="0144080D">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4.以他人的名义投标、以行贿手段谋取中标或者以其他弄虚作假方式投标的；</w:t>
      </w:r>
    </w:p>
    <w:p w14:paraId="748A3221">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5.属于串（围）标行为的；</w:t>
      </w:r>
    </w:p>
    <w:p w14:paraId="52E83AD4">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6</w:t>
      </w:r>
      <w:r>
        <w:rPr>
          <w:rFonts w:hint="eastAsia" w:ascii="宋体" w:hAnsi="宋体" w:cs="宋体"/>
          <w:b/>
          <w:sz w:val="24"/>
          <w:szCs w:val="24"/>
        </w:rPr>
        <w:t>.明显不符合技术规范、技术标准的要求；</w:t>
      </w:r>
    </w:p>
    <w:p w14:paraId="17D284B4">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7</w:t>
      </w:r>
      <w:r>
        <w:rPr>
          <w:rFonts w:hint="eastAsia" w:ascii="宋体" w:hAnsi="宋体" w:cs="宋体"/>
          <w:b/>
          <w:sz w:val="24"/>
          <w:szCs w:val="24"/>
        </w:rPr>
        <w:t>.文件制作机器码、文件创建标识码有相同的；</w:t>
      </w:r>
    </w:p>
    <w:p w14:paraId="11FCEB12">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8</w:t>
      </w:r>
      <w:r>
        <w:rPr>
          <w:rFonts w:hint="eastAsia" w:ascii="宋体" w:hAnsi="宋体" w:cs="宋体"/>
          <w:b/>
          <w:sz w:val="24"/>
          <w:szCs w:val="24"/>
        </w:rPr>
        <w:t>.不符合竞争性磋商文件规定的其他实质性要求及相关法律、法规或规章规定可以废标的其他情形；</w:t>
      </w:r>
    </w:p>
    <w:bookmarkEnd w:id="756"/>
    <w:p w14:paraId="75CB1A16">
      <w:pPr>
        <w:rPr>
          <w:rFonts w:hint="eastAsia" w:ascii="宋体" w:hAnsi="宋体" w:cs="宋体"/>
          <w:b/>
          <w:bCs/>
          <w:kern w:val="44"/>
          <w:sz w:val="44"/>
          <w:szCs w:val="44"/>
        </w:rPr>
      </w:pPr>
      <w:bookmarkStart w:id="899" w:name="_Toc26853"/>
      <w:bookmarkStart w:id="900" w:name="_Toc19439"/>
      <w:bookmarkStart w:id="901" w:name="_Toc2311"/>
      <w:bookmarkStart w:id="902" w:name="_Toc9407"/>
      <w:r>
        <w:rPr>
          <w:rFonts w:hint="eastAsia" w:ascii="宋体" w:hAnsi="宋体" w:cs="宋体"/>
          <w:b/>
          <w:bCs/>
          <w:kern w:val="44"/>
          <w:sz w:val="44"/>
          <w:szCs w:val="44"/>
        </w:rPr>
        <w:br w:type="page"/>
      </w:r>
    </w:p>
    <w:p w14:paraId="3AF45B9C">
      <w:pPr>
        <w:wordWrap w:val="0"/>
        <w:autoSpaceDE w:val="0"/>
        <w:autoSpaceDN w:val="0"/>
        <w:adjustRightInd w:val="0"/>
        <w:snapToGrid w:val="0"/>
        <w:spacing w:after="120" w:afterLines="50"/>
        <w:jc w:val="center"/>
        <w:outlineLvl w:val="0"/>
        <w:rPr>
          <w:rFonts w:ascii="宋体" w:hAnsi="宋体" w:cs="宋体"/>
          <w:b/>
          <w:bCs/>
          <w:kern w:val="44"/>
          <w:sz w:val="44"/>
          <w:szCs w:val="44"/>
        </w:rPr>
      </w:pPr>
      <w:r>
        <w:rPr>
          <w:rFonts w:hint="eastAsia" w:ascii="宋体" w:hAnsi="宋体" w:cs="宋体"/>
          <w:b/>
          <w:bCs/>
          <w:kern w:val="44"/>
          <w:sz w:val="44"/>
          <w:szCs w:val="44"/>
        </w:rPr>
        <w:t>第四章 河南省政府采购合同（参考文本）</w:t>
      </w:r>
      <w:bookmarkEnd w:id="899"/>
      <w:bookmarkEnd w:id="900"/>
      <w:bookmarkEnd w:id="901"/>
      <w:bookmarkEnd w:id="902"/>
      <w:bookmarkStart w:id="903" w:name="_Toc486587369"/>
    </w:p>
    <w:p w14:paraId="712AB68E">
      <w:pPr>
        <w:bidi w:val="0"/>
      </w:pPr>
    </w:p>
    <w:p w14:paraId="6F75E62B">
      <w:pPr>
        <w:spacing w:before="104" w:line="221" w:lineRule="auto"/>
        <w:rPr>
          <w:rFonts w:ascii="黑体" w:hAnsi="黑体" w:eastAsia="黑体" w:cs="黑体"/>
          <w:sz w:val="32"/>
          <w:szCs w:val="32"/>
        </w:rPr>
      </w:pPr>
      <w:r>
        <w:rPr>
          <w:rFonts w:ascii="黑体" w:hAnsi="黑体" w:eastAsia="黑体" w:cs="黑体"/>
          <w:sz w:val="32"/>
          <w:szCs w:val="32"/>
        </w:rPr>
        <w:t>附件</w:t>
      </w:r>
      <w:r>
        <w:rPr>
          <w:rFonts w:ascii="黑体" w:hAnsi="黑体" w:eastAsia="黑体" w:cs="黑体"/>
          <w:spacing w:val="-1"/>
          <w:sz w:val="32"/>
          <w:szCs w:val="32"/>
        </w:rPr>
        <w:t xml:space="preserve"> </w:t>
      </w:r>
      <w:r>
        <w:rPr>
          <w:rFonts w:ascii="黑体" w:hAnsi="黑体" w:eastAsia="黑体" w:cs="黑体"/>
          <w:sz w:val="32"/>
          <w:szCs w:val="32"/>
        </w:rPr>
        <w:t>1-1</w:t>
      </w:r>
      <w:r>
        <w:rPr>
          <w:rFonts w:ascii="黑体" w:hAnsi="黑体" w:eastAsia="黑体" w:cs="黑体"/>
          <w:spacing w:val="-104"/>
          <w:sz w:val="32"/>
          <w:szCs w:val="32"/>
        </w:rPr>
        <w:t>：</w:t>
      </w:r>
      <w:r>
        <w:rPr>
          <w:rFonts w:ascii="黑体" w:hAnsi="黑体" w:eastAsia="黑体" w:cs="黑体"/>
          <w:sz w:val="32"/>
          <w:szCs w:val="32"/>
        </w:rPr>
        <w:t>货物类</w:t>
      </w:r>
    </w:p>
    <w:p w14:paraId="6478EDF3">
      <w:pPr>
        <w:spacing w:line="244" w:lineRule="auto"/>
        <w:rPr>
          <w:rFonts w:ascii="Arial"/>
          <w:sz w:val="21"/>
        </w:rPr>
      </w:pPr>
    </w:p>
    <w:p w14:paraId="0B485EA0">
      <w:pPr>
        <w:spacing w:line="244" w:lineRule="auto"/>
        <w:rPr>
          <w:rFonts w:ascii="Arial"/>
          <w:sz w:val="21"/>
        </w:rPr>
      </w:pPr>
    </w:p>
    <w:p w14:paraId="46F8E6B0">
      <w:pPr>
        <w:spacing w:line="244" w:lineRule="auto"/>
        <w:rPr>
          <w:rFonts w:ascii="Arial"/>
          <w:sz w:val="21"/>
        </w:rPr>
      </w:pPr>
    </w:p>
    <w:p w14:paraId="2051AAAE">
      <w:pPr>
        <w:spacing w:line="245" w:lineRule="auto"/>
        <w:rPr>
          <w:rFonts w:ascii="Arial"/>
          <w:sz w:val="21"/>
        </w:rPr>
      </w:pPr>
    </w:p>
    <w:p w14:paraId="5B51F87A">
      <w:pPr>
        <w:spacing w:before="234" w:line="220" w:lineRule="auto"/>
        <w:ind w:left="0" w:leftChars="0" w:firstLine="0" w:firstLineChars="0"/>
        <w:jc w:val="center"/>
        <w:rPr>
          <w:rFonts w:ascii="宋体" w:hAnsi="宋体" w:eastAsia="宋体" w:cs="宋体"/>
          <w:sz w:val="72"/>
          <w:szCs w:val="72"/>
        </w:rPr>
      </w:pPr>
      <w:r>
        <w:rPr>
          <w:rFonts w:ascii="宋体" w:hAnsi="宋体" w:eastAsia="宋体" w:cs="宋体"/>
          <w:spacing w:val="-2"/>
          <w:sz w:val="72"/>
          <w:szCs w:val="72"/>
        </w:rPr>
        <w:t>政府采购合同</w:t>
      </w:r>
    </w:p>
    <w:p w14:paraId="59234215">
      <w:pPr>
        <w:spacing w:line="249" w:lineRule="auto"/>
        <w:rPr>
          <w:rFonts w:ascii="Arial"/>
          <w:sz w:val="21"/>
        </w:rPr>
      </w:pPr>
    </w:p>
    <w:p w14:paraId="24FBF2B3">
      <w:pPr>
        <w:spacing w:line="249" w:lineRule="auto"/>
        <w:rPr>
          <w:rFonts w:ascii="Arial"/>
          <w:sz w:val="21"/>
        </w:rPr>
      </w:pPr>
    </w:p>
    <w:p w14:paraId="1F141A89">
      <w:pPr>
        <w:spacing w:line="250" w:lineRule="auto"/>
        <w:rPr>
          <w:rFonts w:ascii="Arial"/>
          <w:sz w:val="21"/>
        </w:rPr>
      </w:pPr>
    </w:p>
    <w:p w14:paraId="4ADF22D1">
      <w:pPr>
        <w:spacing w:line="250" w:lineRule="auto"/>
        <w:rPr>
          <w:rFonts w:ascii="Arial"/>
          <w:sz w:val="21"/>
        </w:rPr>
      </w:pPr>
    </w:p>
    <w:p w14:paraId="56D38BB0">
      <w:pPr>
        <w:spacing w:line="250" w:lineRule="auto"/>
        <w:rPr>
          <w:rFonts w:ascii="Arial"/>
          <w:sz w:val="21"/>
        </w:rPr>
      </w:pPr>
    </w:p>
    <w:p w14:paraId="0CB7BF47">
      <w:pPr>
        <w:spacing w:line="250" w:lineRule="auto"/>
        <w:rPr>
          <w:rFonts w:ascii="Arial"/>
          <w:sz w:val="21"/>
        </w:rPr>
      </w:pPr>
    </w:p>
    <w:p w14:paraId="48919000">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项目名称：</w:t>
      </w:r>
      <w:r>
        <w:rPr>
          <w:rFonts w:hint="eastAsia" w:ascii="宋体" w:hAnsi="宋体" w:eastAsia="宋体" w:cs="宋体"/>
          <w:spacing w:val="-5"/>
          <w:sz w:val="32"/>
          <w:szCs w:val="32"/>
          <w:u w:val="single" w:color="auto"/>
        </w:rPr>
        <w:t xml:space="preserve">                                   </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5A5FD4A7">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招标采购文件编号</w:t>
      </w:r>
      <w:r>
        <w:rPr>
          <w:rFonts w:hint="eastAsia" w:ascii="宋体" w:hAnsi="宋体" w:eastAsia="宋体" w:cs="宋体"/>
          <w:spacing w:val="-11"/>
          <w:sz w:val="32"/>
          <w:szCs w:val="32"/>
        </w:rPr>
        <w:t>：</w:t>
      </w:r>
      <w:r>
        <w:rPr>
          <w:rFonts w:hint="eastAsia" w:ascii="宋体" w:hAnsi="宋体" w:eastAsia="宋体" w:cs="宋体"/>
          <w:spacing w:val="-6"/>
          <w:sz w:val="32"/>
          <w:szCs w:val="32"/>
          <w:u w:val="single" w:color="auto"/>
        </w:rPr>
        <w:t xml:space="preserve">                            </w:t>
      </w:r>
      <w:r>
        <w:rPr>
          <w:rFonts w:hint="eastAsia" w:ascii="宋体" w:hAnsi="宋体" w:eastAsia="宋体" w:cs="宋体"/>
          <w:sz w:val="32"/>
          <w:szCs w:val="32"/>
        </w:rPr>
        <w:t xml:space="preserve"> </w:t>
      </w:r>
    </w:p>
    <w:p w14:paraId="0C23EC18">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甲方合同编号</w:t>
      </w:r>
      <w:r>
        <w:rPr>
          <w:rFonts w:hint="eastAsia" w:ascii="宋体" w:hAnsi="宋体" w:eastAsia="宋体" w:cs="宋体"/>
          <w:spacing w:val="-19"/>
          <w:sz w:val="32"/>
          <w:szCs w:val="32"/>
        </w:rPr>
        <w:t>：</w:t>
      </w:r>
      <w:r>
        <w:rPr>
          <w:rFonts w:hint="eastAsia" w:ascii="宋体" w:hAnsi="宋体" w:eastAsia="宋体" w:cs="宋体"/>
          <w:spacing w:val="-5"/>
          <w:sz w:val="32"/>
          <w:szCs w:val="32"/>
          <w:u w:val="single" w:color="auto"/>
        </w:rPr>
        <w:t xml:space="preserve">                                </w:t>
      </w:r>
      <w:r>
        <w:rPr>
          <w:rFonts w:hint="eastAsia" w:ascii="宋体" w:hAnsi="宋体" w:eastAsia="宋体" w:cs="宋体"/>
          <w:sz w:val="32"/>
          <w:szCs w:val="32"/>
        </w:rPr>
        <w:t xml:space="preserve"> </w:t>
      </w:r>
    </w:p>
    <w:p w14:paraId="03DADE66">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甲方</w:t>
      </w:r>
      <w:r>
        <w:rPr>
          <w:rFonts w:hint="eastAsia" w:ascii="宋体" w:hAnsi="宋体" w:eastAsia="宋体" w:cs="宋体"/>
          <w:spacing w:val="-21"/>
          <w:sz w:val="32"/>
          <w:szCs w:val="32"/>
        </w:rPr>
        <w:t>：</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266B4BE3">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乙方</w:t>
      </w:r>
      <w:r>
        <w:rPr>
          <w:rFonts w:hint="eastAsia" w:ascii="宋体" w:hAnsi="宋体" w:eastAsia="宋体" w:cs="宋体"/>
          <w:spacing w:val="-21"/>
          <w:sz w:val="32"/>
          <w:szCs w:val="32"/>
        </w:rPr>
        <w:t>：</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02CC487E">
      <w:pPr>
        <w:spacing w:before="104" w:line="363" w:lineRule="auto"/>
        <w:ind w:left="626" w:right="578" w:hanging="1"/>
        <w:rPr>
          <w:rFonts w:ascii="仿宋" w:hAnsi="仿宋" w:eastAsia="仿宋" w:cs="仿宋"/>
          <w:sz w:val="32"/>
          <w:szCs w:val="32"/>
        </w:rPr>
      </w:pPr>
      <w:r>
        <w:rPr>
          <w:rFonts w:hint="eastAsia" w:ascii="宋体" w:hAnsi="宋体" w:eastAsia="宋体" w:cs="宋体"/>
          <w:spacing w:val="-10"/>
          <w:sz w:val="32"/>
          <w:szCs w:val="32"/>
        </w:rPr>
        <w:t>甲</w:t>
      </w:r>
      <w:r>
        <w:rPr>
          <w:rFonts w:hint="eastAsia" w:ascii="宋体" w:hAnsi="宋体" w:eastAsia="宋体" w:cs="宋体"/>
          <w:spacing w:val="-9"/>
          <w:sz w:val="32"/>
          <w:szCs w:val="32"/>
        </w:rPr>
        <w:t>方合同法律审核部门</w:t>
      </w:r>
      <w:r>
        <w:rPr>
          <w:rFonts w:hint="eastAsia" w:ascii="宋体" w:hAnsi="宋体" w:eastAsia="宋体" w:cs="宋体"/>
          <w:spacing w:val="-171"/>
          <w:sz w:val="32"/>
          <w:szCs w:val="32"/>
        </w:rPr>
        <w:t>：</w:t>
      </w:r>
      <w:r>
        <w:rPr>
          <w:rFonts w:hint="eastAsia" w:ascii="宋体" w:hAnsi="宋体" w:eastAsia="宋体" w:cs="宋体"/>
          <w:sz w:val="32"/>
          <w:szCs w:val="32"/>
          <w:u w:val="single" w:color="auto"/>
        </w:rPr>
        <w:t xml:space="preserve">      </w:t>
      </w:r>
      <w:r>
        <w:rPr>
          <w:rFonts w:ascii="仿宋" w:hAnsi="仿宋" w:eastAsia="仿宋" w:cs="仿宋"/>
          <w:sz w:val="32"/>
          <w:szCs w:val="32"/>
          <w:u w:val="single" w:color="auto"/>
        </w:rPr>
        <w:t xml:space="preserve">                  </w:t>
      </w:r>
    </w:p>
    <w:p w14:paraId="77C70537"/>
    <w:p w14:paraId="57C1F614"/>
    <w:p w14:paraId="45CFA72D"/>
    <w:p w14:paraId="735FF7E4">
      <w:pPr>
        <w:pStyle w:val="21"/>
      </w:pPr>
    </w:p>
    <w:p w14:paraId="5BE795E9"/>
    <w:p w14:paraId="06545721">
      <w:pPr>
        <w:spacing w:line="91" w:lineRule="exact"/>
      </w:pPr>
    </w:p>
    <w:p w14:paraId="4C23D4BF">
      <w:pPr>
        <w:sectPr>
          <w:headerReference r:id="rId8" w:type="default"/>
          <w:footerReference r:id="rId9" w:type="default"/>
          <w:pgSz w:w="11905" w:h="16840"/>
          <w:pgMar w:top="1134" w:right="1134" w:bottom="1134" w:left="1417" w:header="0" w:footer="567" w:gutter="0"/>
          <w:pgNumType w:fmt="numberInDash"/>
          <w:cols w:space="720" w:num="1"/>
          <w:rtlGutter w:val="0"/>
        </w:sectPr>
      </w:pPr>
    </w:p>
    <w:p w14:paraId="772998DD">
      <w:pPr>
        <w:spacing w:before="64" w:line="184" w:lineRule="auto"/>
        <w:ind w:firstLine="1845"/>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pacing w:val="-86"/>
          <w:sz w:val="32"/>
          <w:szCs w:val="32"/>
        </w:rPr>
        <w:t>：</w:t>
      </w:r>
    </w:p>
    <w:p w14:paraId="738F1531">
      <w:pPr>
        <w:spacing w:line="14" w:lineRule="auto"/>
        <w:rPr>
          <w:rFonts w:hint="eastAsia" w:ascii="宋体" w:hAnsi="宋体" w:eastAsia="宋体" w:cs="宋体"/>
          <w:sz w:val="2"/>
        </w:rPr>
      </w:pPr>
      <w:r>
        <w:rPr>
          <w:rFonts w:hint="eastAsia" w:ascii="宋体" w:hAnsi="宋体" w:eastAsia="宋体" w:cs="宋体"/>
          <w:sz w:val="2"/>
          <w:szCs w:val="2"/>
        </w:rPr>
        <w:br w:type="column"/>
      </w:r>
    </w:p>
    <w:p w14:paraId="2A42A687">
      <w:pPr>
        <w:spacing w:before="62" w:line="184" w:lineRule="auto"/>
        <w:rPr>
          <w:rFonts w:hint="eastAsia" w:ascii="宋体" w:hAnsi="宋体" w:eastAsia="宋体" w:cs="宋体"/>
          <w:sz w:val="32"/>
          <w:szCs w:val="32"/>
        </w:rPr>
      </w:pPr>
      <w:r>
        <w:rPr>
          <w:rFonts w:hint="eastAsia" w:ascii="宋体" w:hAnsi="宋体" w:eastAsia="宋体" w:cs="宋体"/>
          <w:spacing w:val="4"/>
          <w:sz w:val="32"/>
          <w:szCs w:val="32"/>
        </w:rPr>
        <w:t>年</w:t>
      </w:r>
      <w:r>
        <w:rPr>
          <w:rFonts w:hint="eastAsia" w:ascii="宋体" w:hAnsi="宋体" w:eastAsia="宋体" w:cs="宋体"/>
          <w:spacing w:val="6"/>
          <w:sz w:val="32"/>
          <w:szCs w:val="32"/>
        </w:rPr>
        <w:t xml:space="preserve">   </w:t>
      </w:r>
      <w:r>
        <w:rPr>
          <w:rFonts w:hint="eastAsia" w:ascii="宋体" w:hAnsi="宋体" w:eastAsia="宋体" w:cs="宋体"/>
          <w:spacing w:val="5"/>
          <w:sz w:val="32"/>
          <w:szCs w:val="32"/>
        </w:rPr>
        <w:t xml:space="preserve"> </w:t>
      </w:r>
      <w:r>
        <w:rPr>
          <w:rFonts w:hint="eastAsia" w:ascii="宋体" w:hAnsi="宋体" w:eastAsia="宋体" w:cs="宋体"/>
          <w:spacing w:val="4"/>
          <w:sz w:val="32"/>
          <w:szCs w:val="32"/>
        </w:rPr>
        <w:t>月</w:t>
      </w:r>
      <w:r>
        <w:rPr>
          <w:rFonts w:hint="eastAsia" w:ascii="宋体" w:hAnsi="宋体" w:eastAsia="宋体" w:cs="宋体"/>
          <w:spacing w:val="5"/>
          <w:sz w:val="32"/>
          <w:szCs w:val="32"/>
        </w:rPr>
        <w:t xml:space="preserve">    </w:t>
      </w:r>
      <w:r>
        <w:rPr>
          <w:rFonts w:hint="eastAsia" w:ascii="宋体" w:hAnsi="宋体" w:eastAsia="宋体" w:cs="宋体"/>
          <w:spacing w:val="4"/>
          <w:sz w:val="32"/>
          <w:szCs w:val="32"/>
        </w:rPr>
        <w:t>日</w:t>
      </w:r>
    </w:p>
    <w:p w14:paraId="3E3A9F6F">
      <w:pPr>
        <w:sectPr>
          <w:type w:val="continuous"/>
          <w:pgSz w:w="11905" w:h="16840"/>
          <w:pgMar w:top="1134" w:right="1134" w:bottom="1134" w:left="1417" w:header="0" w:footer="0" w:gutter="0"/>
          <w:pgNumType w:fmt="numberInDash"/>
          <w:cols w:equalWidth="0" w:num="2">
            <w:col w:w="4613" w:space="100"/>
            <w:col w:w="4640"/>
          </w:cols>
          <w:rtlGutter w:val="0"/>
        </w:sectPr>
      </w:pPr>
    </w:p>
    <w:p w14:paraId="411692FC">
      <w:pPr>
        <w:spacing w:line="265" w:lineRule="auto"/>
        <w:rPr>
          <w:rFonts w:ascii="Arial"/>
          <w:sz w:val="21"/>
        </w:rPr>
      </w:pPr>
    </w:p>
    <w:p w14:paraId="15D70F3A">
      <w:pPr>
        <w:spacing w:line="266" w:lineRule="auto"/>
        <w:rPr>
          <w:rFonts w:ascii="Arial"/>
          <w:sz w:val="21"/>
        </w:rPr>
      </w:pPr>
    </w:p>
    <w:p w14:paraId="448CD68E">
      <w:pPr>
        <w:spacing w:before="78" w:line="360" w:lineRule="auto"/>
        <w:ind w:left="18" w:right="75" w:firstLine="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pacing w:val="-3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委托（代理机构名称</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进行了政府采购</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按照评委会评 审推荐</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甲方确定乙方为中标单位</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现甲乙双方协商同意签订本合同</w:t>
      </w:r>
      <w:r>
        <w:rPr>
          <w:rFonts w:hint="eastAsia" w:asciiTheme="minorEastAsia" w:hAnsiTheme="minorEastAsia" w:eastAsiaTheme="minorEastAsia" w:cstheme="minorEastAsia"/>
          <w:spacing w:val="-24"/>
          <w:sz w:val="24"/>
          <w:szCs w:val="24"/>
        </w:rPr>
        <w:t>。</w:t>
      </w:r>
    </w:p>
    <w:p w14:paraId="5B406811">
      <w:pPr>
        <w:spacing w:line="217" w:lineRule="auto"/>
        <w:ind w:firstLine="495"/>
        <w:rPr>
          <w:rFonts w:hint="eastAsia" w:asciiTheme="minorEastAsia" w:hAnsiTheme="minorEastAsia" w:eastAsiaTheme="minorEastAsia" w:cstheme="minorEastAsia"/>
          <w:spacing w:val="4"/>
          <w:sz w:val="24"/>
          <w:szCs w:val="24"/>
        </w:rPr>
      </w:pPr>
    </w:p>
    <w:p w14:paraId="07CE043D">
      <w:pPr>
        <w:spacing w:line="217"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第一条</w:t>
      </w:r>
      <w:r>
        <w:rPr>
          <w:rFonts w:hint="eastAsia" w:asciiTheme="minorEastAsia" w:hAnsiTheme="minorEastAsia" w:eastAsiaTheme="minorEastAsia" w:cstheme="minorEastAsia"/>
          <w:spacing w:val="3"/>
          <w:sz w:val="24"/>
          <w:szCs w:val="24"/>
        </w:rPr>
        <w:t xml:space="preserve">  合同文件</w:t>
      </w:r>
    </w:p>
    <w:p w14:paraId="307AD10D">
      <w:pPr>
        <w:spacing w:before="185" w:line="360" w:lineRule="auto"/>
        <w:ind w:left="5" w:right="72"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下列与本次采购活动有关的文件及附件是本</w:t>
      </w:r>
      <w:r>
        <w:rPr>
          <w:rFonts w:hint="eastAsia" w:asciiTheme="minorEastAsia" w:hAnsiTheme="minorEastAsia" w:eastAsiaTheme="minorEastAsia" w:cstheme="minorEastAsia"/>
          <w:spacing w:val="2"/>
          <w:sz w:val="24"/>
          <w:szCs w:val="24"/>
        </w:rPr>
        <w:t>合同不可分割的组成部分</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与本</w:t>
      </w:r>
      <w:r>
        <w:rPr>
          <w:rFonts w:hint="eastAsia" w:asciiTheme="minorEastAsia" w:hAnsiTheme="minorEastAsia" w:eastAsiaTheme="minorEastAsia" w:cstheme="minorEastAsia"/>
          <w:sz w:val="24"/>
          <w:szCs w:val="24"/>
        </w:rPr>
        <w:t xml:space="preserve"> 合同具有同等法律效力</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z w:val="24"/>
          <w:szCs w:val="24"/>
        </w:rPr>
        <w:t>这些文件包括但不限于</w:t>
      </w:r>
      <w:r>
        <w:rPr>
          <w:rFonts w:hint="eastAsia" w:asciiTheme="minorEastAsia" w:hAnsiTheme="minorEastAsia" w:eastAsiaTheme="minorEastAsia" w:cstheme="minorEastAsia"/>
          <w:spacing w:val="-36"/>
          <w:sz w:val="24"/>
          <w:szCs w:val="24"/>
        </w:rPr>
        <w:t>：</w:t>
      </w:r>
    </w:p>
    <w:p w14:paraId="50CB8B32">
      <w:pPr>
        <w:spacing w:line="468" w:lineRule="exact"/>
        <w:ind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1.（××号</w:t>
      </w:r>
      <w:r>
        <w:rPr>
          <w:rFonts w:hint="eastAsia" w:asciiTheme="minorEastAsia" w:hAnsiTheme="minorEastAsia" w:eastAsiaTheme="minorEastAsia" w:cstheme="minorEastAsia"/>
          <w:spacing w:val="-23"/>
          <w:position w:val="17"/>
          <w:sz w:val="24"/>
          <w:szCs w:val="24"/>
        </w:rPr>
        <w:t>）</w:t>
      </w:r>
      <w:r>
        <w:rPr>
          <w:rFonts w:hint="eastAsia" w:asciiTheme="minorEastAsia" w:hAnsiTheme="minorEastAsia" w:eastAsiaTheme="minorEastAsia" w:cstheme="minorEastAsia"/>
          <w:position w:val="17"/>
          <w:sz w:val="24"/>
          <w:szCs w:val="24"/>
        </w:rPr>
        <w:t>招标采购文件</w:t>
      </w:r>
    </w:p>
    <w:p w14:paraId="2A57B106">
      <w:pPr>
        <w:spacing w:line="217" w:lineRule="auto"/>
        <w:ind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3"/>
          <w:sz w:val="24"/>
          <w:szCs w:val="24"/>
        </w:rPr>
        <w:t>投标文件</w:t>
      </w:r>
    </w:p>
    <w:p w14:paraId="5F008481">
      <w:pPr>
        <w:spacing w:before="186" w:line="214" w:lineRule="auto"/>
        <w:ind w:firstLine="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3.乙方在投标时的书面承诺</w:t>
      </w:r>
    </w:p>
    <w:p w14:paraId="489F7CB5">
      <w:pPr>
        <w:spacing w:before="189" w:line="217" w:lineRule="auto"/>
        <w:ind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4.（××号</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中标通知书</w:t>
      </w:r>
    </w:p>
    <w:p w14:paraId="402CF731">
      <w:pPr>
        <w:spacing w:before="185" w:line="217"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w:t>
      </w:r>
      <w:r>
        <w:rPr>
          <w:rFonts w:hint="eastAsia" w:asciiTheme="minorEastAsia" w:hAnsiTheme="minorEastAsia" w:eastAsiaTheme="minorEastAsia" w:cstheme="minorEastAsia"/>
          <w:spacing w:val="-2"/>
          <w:sz w:val="24"/>
          <w:szCs w:val="24"/>
        </w:rPr>
        <w:t>合同补充条款或说明</w:t>
      </w:r>
    </w:p>
    <w:p w14:paraId="13214442">
      <w:pPr>
        <w:spacing w:before="186" w:line="216"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
          <w:sz w:val="24"/>
          <w:szCs w:val="24"/>
        </w:rPr>
        <w:t>保</w:t>
      </w:r>
      <w:r>
        <w:rPr>
          <w:rFonts w:hint="eastAsia" w:asciiTheme="minorEastAsia" w:hAnsiTheme="minorEastAsia" w:eastAsiaTheme="minorEastAsia" w:cstheme="minorEastAsia"/>
          <w:spacing w:val="-2"/>
          <w:sz w:val="24"/>
          <w:szCs w:val="24"/>
        </w:rPr>
        <w:t>密协议或条款</w:t>
      </w:r>
    </w:p>
    <w:p w14:paraId="6761CBE4">
      <w:pPr>
        <w:spacing w:before="187"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7.相关附件</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图纸</w:t>
      </w:r>
    </w:p>
    <w:p w14:paraId="29DDA48B">
      <w:pPr>
        <w:spacing w:before="187" w:line="217" w:lineRule="auto"/>
        <w:ind w:firstLine="497"/>
        <w:rPr>
          <w:rFonts w:hint="eastAsia" w:asciiTheme="minorEastAsia" w:hAnsiTheme="minorEastAsia" w:eastAsiaTheme="minorEastAsia" w:cstheme="minorEastAsia"/>
          <w:spacing w:val="-1"/>
          <w:sz w:val="24"/>
          <w:szCs w:val="24"/>
        </w:rPr>
      </w:pPr>
    </w:p>
    <w:p w14:paraId="2159148F">
      <w:pPr>
        <w:spacing w:before="187"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第二条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合同标的</w:t>
      </w:r>
    </w:p>
    <w:p w14:paraId="7E3119BC">
      <w:pPr>
        <w:spacing w:before="185" w:line="360" w:lineRule="auto"/>
        <w:ind w:left="10" w:right="72" w:firstLine="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乙方根据甲方需求提供下列货物</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货物名称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规格及数</w:t>
      </w:r>
      <w:r>
        <w:rPr>
          <w:rFonts w:hint="eastAsia" w:asciiTheme="minorEastAsia" w:hAnsiTheme="minorEastAsia" w:eastAsiaTheme="minorEastAsia" w:cstheme="minorEastAsia"/>
          <w:spacing w:val="1"/>
          <w:sz w:val="24"/>
          <w:szCs w:val="24"/>
        </w:rPr>
        <w:t>量</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备件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易损件和</w:t>
      </w:r>
      <w:r>
        <w:rPr>
          <w:rFonts w:hint="eastAsia" w:asciiTheme="minorEastAsia" w:hAnsiTheme="minorEastAsia" w:eastAsiaTheme="minorEastAsia" w:cstheme="minorEastAsia"/>
          <w:sz w:val="24"/>
          <w:szCs w:val="24"/>
        </w:rPr>
        <w:t xml:space="preserve"> 专用工具等（详见《供货一览表》</w:t>
      </w:r>
      <w:r>
        <w:rPr>
          <w:rFonts w:hint="eastAsia" w:asciiTheme="minorEastAsia" w:hAnsiTheme="minorEastAsia" w:eastAsiaTheme="minorEastAsia" w:cstheme="minorEastAsia"/>
          <w:spacing w:val="-116"/>
          <w:sz w:val="24"/>
          <w:szCs w:val="24"/>
        </w:rPr>
        <w:t>）</w:t>
      </w:r>
      <w:r>
        <w:rPr>
          <w:rFonts w:hint="eastAsia" w:asciiTheme="minorEastAsia" w:hAnsiTheme="minorEastAsia" w:eastAsiaTheme="minorEastAsia" w:cstheme="minorEastAsia"/>
          <w:spacing w:val="-115"/>
          <w:sz w:val="24"/>
          <w:szCs w:val="24"/>
        </w:rPr>
        <w:t>。</w:t>
      </w:r>
    </w:p>
    <w:p w14:paraId="31E7E819">
      <w:pPr>
        <w:spacing w:before="1" w:line="217" w:lineRule="auto"/>
        <w:ind w:firstLine="497"/>
        <w:rPr>
          <w:rFonts w:hint="eastAsia" w:asciiTheme="minorEastAsia" w:hAnsiTheme="minorEastAsia" w:eastAsiaTheme="minorEastAsia" w:cstheme="minorEastAsia"/>
          <w:spacing w:val="-1"/>
          <w:sz w:val="24"/>
          <w:szCs w:val="24"/>
        </w:rPr>
      </w:pPr>
    </w:p>
    <w:p w14:paraId="3C1AB7D8">
      <w:pPr>
        <w:spacing w:before="1"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第三条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合同总金额</w:t>
      </w:r>
    </w:p>
    <w:p w14:paraId="6E802AB8">
      <w:pPr>
        <w:spacing w:before="185" w:line="360" w:lineRule="auto"/>
        <w:ind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z w:val="24"/>
          <w:szCs w:val="24"/>
        </w:rPr>
        <w:t>元。</w:t>
      </w:r>
    </w:p>
    <w:p w14:paraId="054CE74A">
      <w:pPr>
        <w:spacing w:before="1" w:line="215"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本合同项下货物总金额</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pacing w:val="-12"/>
          <w:sz w:val="24"/>
          <w:szCs w:val="24"/>
        </w:rPr>
        <w:t>。</w:t>
      </w:r>
    </w:p>
    <w:p w14:paraId="1A3415F3">
      <w:pPr>
        <w:spacing w:before="188" w:line="214"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分项价款在《供货一览表》中有明确规定</w:t>
      </w:r>
      <w:r>
        <w:rPr>
          <w:rFonts w:hint="eastAsia" w:asciiTheme="minorEastAsia" w:hAnsiTheme="minorEastAsia" w:eastAsiaTheme="minorEastAsia" w:cstheme="minorEastAsia"/>
          <w:spacing w:val="-57"/>
          <w:sz w:val="24"/>
          <w:szCs w:val="24"/>
        </w:rPr>
        <w:t>。</w:t>
      </w:r>
    </w:p>
    <w:p w14:paraId="64C0E6A1">
      <w:pPr>
        <w:spacing w:before="190"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本合同总价款包括货物</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软件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标准附件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备品备件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专用工具</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图纸资料</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技术服务，包装、运输、装卸、保险、</w:t>
      </w:r>
      <w:r>
        <w:rPr>
          <w:rFonts w:hint="eastAsia" w:asciiTheme="minorEastAsia" w:hAnsiTheme="minorEastAsia" w:eastAsiaTheme="minorEastAsia" w:cstheme="minorEastAsia"/>
          <w:spacing w:val="1"/>
          <w:sz w:val="24"/>
          <w:szCs w:val="24"/>
        </w:rPr>
        <w:t>税金</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货到就位以及安装</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调试</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培训</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 xml:space="preserve"> 保修等验收合格之前和质保期内的售后服务一切税金和费用</w:t>
      </w:r>
      <w:r>
        <w:rPr>
          <w:rFonts w:hint="eastAsia" w:asciiTheme="minorEastAsia" w:hAnsiTheme="minorEastAsia" w:eastAsiaTheme="minorEastAsia" w:cstheme="minorEastAsia"/>
          <w:spacing w:val="-54"/>
          <w:sz w:val="24"/>
          <w:szCs w:val="24"/>
        </w:rPr>
        <w:t>。</w:t>
      </w:r>
    </w:p>
    <w:p w14:paraId="49DEAEB7">
      <w:pPr>
        <w:spacing w:before="1" w:line="215"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本合同执行期间合同总价款不变</w:t>
      </w:r>
      <w:r>
        <w:rPr>
          <w:rFonts w:hint="eastAsia" w:asciiTheme="minorEastAsia" w:hAnsiTheme="minorEastAsia" w:eastAsiaTheme="minorEastAsia" w:cstheme="minorEastAsia"/>
          <w:spacing w:val="-55"/>
          <w:sz w:val="24"/>
          <w:szCs w:val="24"/>
        </w:rPr>
        <w:t>。</w:t>
      </w:r>
    </w:p>
    <w:p w14:paraId="04D850F9">
      <w:pPr>
        <w:spacing w:before="187" w:line="216" w:lineRule="auto"/>
        <w:ind w:firstLine="497"/>
        <w:rPr>
          <w:rFonts w:hint="eastAsia" w:asciiTheme="minorEastAsia" w:hAnsiTheme="minorEastAsia" w:eastAsiaTheme="minorEastAsia" w:cstheme="minorEastAsia"/>
          <w:spacing w:val="-1"/>
          <w:sz w:val="24"/>
          <w:szCs w:val="24"/>
        </w:rPr>
      </w:pPr>
    </w:p>
    <w:p w14:paraId="328FB66C">
      <w:pPr>
        <w:spacing w:before="187" w:line="216"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第四条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权利和质量保证</w:t>
      </w:r>
    </w:p>
    <w:p w14:paraId="6EC4E321">
      <w:pPr>
        <w:spacing w:before="187" w:line="360" w:lineRule="auto"/>
        <w:ind w:right="71" w:firstLine="498"/>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乙方应保证甲方在使用该货物</w:t>
      </w:r>
      <w:r>
        <w:rPr>
          <w:rFonts w:hint="eastAsia" w:asciiTheme="minorEastAsia" w:hAnsiTheme="minorEastAsia" w:eastAsiaTheme="minorEastAsia" w:cstheme="minorEastAsia"/>
          <w:spacing w:val="2"/>
          <w:sz w:val="24"/>
          <w:szCs w:val="24"/>
        </w:rPr>
        <w:t>或其任何一部分时不受第三方提出侵犯其专</w:t>
      </w:r>
      <w:r>
        <w:rPr>
          <w:rFonts w:hint="eastAsia" w:asciiTheme="minorEastAsia" w:hAnsiTheme="minorEastAsia" w:eastAsiaTheme="minorEastAsia" w:cstheme="minorEastAsia"/>
          <w:sz w:val="24"/>
          <w:szCs w:val="24"/>
        </w:rPr>
        <w:t xml:space="preserve"> 利权</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版权、商标权或其他权利的起诉。</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z w:val="24"/>
          <w:szCs w:val="24"/>
        </w:rPr>
        <w:t>一旦出现侵权，索赔或诉讼，乙方应承 担全部责任</w:t>
      </w:r>
      <w:r>
        <w:rPr>
          <w:rFonts w:hint="eastAsia" w:asciiTheme="minorEastAsia" w:hAnsiTheme="minorEastAsia" w:eastAsiaTheme="minorEastAsia" w:cstheme="minorEastAsia"/>
          <w:spacing w:val="-46"/>
          <w:sz w:val="24"/>
          <w:szCs w:val="24"/>
        </w:rPr>
        <w:t>。</w:t>
      </w:r>
    </w:p>
    <w:p w14:paraId="2280A915">
      <w:pPr>
        <w:spacing w:before="187" w:line="240" w:lineRule="auto"/>
        <w:ind w:right="71" w:firstLine="498"/>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2.乙方保证货物是全新的、未使用过的，完全符合国家规范及甲乙双方确认</w:t>
      </w:r>
    </w:p>
    <w:p w14:paraId="6B19EB57">
      <w:pPr>
        <w:spacing w:before="187" w:line="240" w:lineRule="auto"/>
        <w:ind w:left="0" w:leftChars="0" w:right="71"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的投标文件、本合同关于货物数量、质量的要求。货物符合实行国家“三包”</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定的</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应执行“三包”规定</w:t>
      </w:r>
      <w:r>
        <w:rPr>
          <w:rFonts w:hint="eastAsia" w:asciiTheme="minorEastAsia" w:hAnsiTheme="minorEastAsia" w:eastAsiaTheme="minorEastAsia" w:cstheme="minorEastAsia"/>
          <w:spacing w:val="-28"/>
          <w:sz w:val="24"/>
          <w:szCs w:val="24"/>
        </w:rPr>
        <w:t>。</w:t>
      </w:r>
    </w:p>
    <w:p w14:paraId="00FE25D7">
      <w:pPr>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本项目质保期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保修期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年</w:t>
      </w:r>
      <w:r>
        <w:rPr>
          <w:rFonts w:hint="eastAsia" w:asciiTheme="minorEastAsia" w:hAnsiTheme="minorEastAsia" w:eastAsiaTheme="minorEastAsia" w:cstheme="minorEastAsia"/>
          <w:spacing w:val="-14"/>
          <w:sz w:val="24"/>
          <w:szCs w:val="24"/>
        </w:rPr>
        <w:t>。</w:t>
      </w:r>
    </w:p>
    <w:p w14:paraId="25F1104D">
      <w:pPr>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3.乙方提交的货物应符合投标文件中所记载的详细配置、技术参数、参数及 性能，并应附有此类货物完整、详细的技术资料和说明文件。</w:t>
      </w:r>
    </w:p>
    <w:p w14:paraId="61ADBC43">
      <w:pPr>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4.乙方提交的货物必须按照招标采购文件的要求和中标人投标文件的承诺， 以约定标准进行制造、安装；经政府采购管理部门批准采购的进口产品应执行原 产地国家有关部门最新颁布的相应正式标准并提供国家商检、海关报关等手续。</w:t>
      </w:r>
    </w:p>
    <w:p w14:paraId="7798EB5D">
      <w:pPr>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5.乙方应保证将货物按照国家或专业标准包装、确保货物安全无损运抵合同 规定的交货地点，并进行安装、试运行。</w:t>
      </w:r>
    </w:p>
    <w:p w14:paraId="58B37BF0">
      <w:pPr>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6、乙方保证货物不存在危及人身及财产安全的产品缺陷， 否则应承担全部法</w:t>
      </w:r>
    </w:p>
    <w:p w14:paraId="060972E5">
      <w:pPr>
        <w:spacing w:before="190" w:line="240"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律责任。</w:t>
      </w:r>
    </w:p>
    <w:p w14:paraId="389D0BB4">
      <w:pPr>
        <w:spacing w:before="134" w:line="240" w:lineRule="auto"/>
        <w:ind w:firstLine="497"/>
        <w:rPr>
          <w:rFonts w:hint="eastAsia" w:asciiTheme="minorEastAsia" w:hAnsiTheme="minorEastAsia" w:eastAsiaTheme="minorEastAsia" w:cstheme="minorEastAsia"/>
          <w:spacing w:val="-1"/>
          <w:sz w:val="24"/>
          <w:szCs w:val="24"/>
        </w:rPr>
      </w:pPr>
    </w:p>
    <w:p w14:paraId="3436E113">
      <w:pPr>
        <w:spacing w:before="134" w:line="240"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付款方式</w:t>
      </w:r>
    </w:p>
    <w:p w14:paraId="26824E3B">
      <w:pPr>
        <w:spacing w:before="183" w:line="240" w:lineRule="auto"/>
        <w:ind w:right="94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1.本合同项下所有款项均以人民币支付</w:t>
      </w:r>
      <w:r>
        <w:rPr>
          <w:rFonts w:hint="eastAsia" w:asciiTheme="minorEastAsia" w:hAnsiTheme="minorEastAsia" w:eastAsiaTheme="minorEastAsia" w:cstheme="minorEastAsia"/>
          <w:spacing w:val="-74"/>
          <w:sz w:val="24"/>
          <w:szCs w:val="24"/>
        </w:rPr>
        <w:t>。</w:t>
      </w:r>
      <w:r>
        <w:rPr>
          <w:rFonts w:hint="eastAsia" w:asciiTheme="minorEastAsia" w:hAnsiTheme="minorEastAsia" w:eastAsiaTheme="minorEastAsia" w:cstheme="minorEastAsia"/>
          <w:sz w:val="24"/>
          <w:szCs w:val="24"/>
        </w:rPr>
        <w:t xml:space="preserve">                        </w:t>
      </w:r>
    </w:p>
    <w:p w14:paraId="4E26A3A3">
      <w:pPr>
        <w:spacing w:before="183" w:line="361" w:lineRule="auto"/>
        <w:ind w:right="94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2.乙方向甲方提交下列文件材料</w:t>
      </w:r>
      <w:r>
        <w:rPr>
          <w:rFonts w:hint="eastAsia" w:asciiTheme="minorEastAsia" w:hAnsiTheme="minorEastAsia" w:eastAsiaTheme="minorEastAsia" w:cstheme="minorEastAsia"/>
          <w:spacing w:val="-42"/>
          <w:sz w:val="24"/>
          <w:szCs w:val="24"/>
        </w:rPr>
        <w:t>，</w:t>
      </w:r>
      <w:r>
        <w:rPr>
          <w:rFonts w:hint="eastAsia" w:asciiTheme="minorEastAsia" w:hAnsiTheme="minorEastAsia" w:eastAsiaTheme="minorEastAsia" w:cstheme="minorEastAsia"/>
          <w:sz w:val="24"/>
          <w:szCs w:val="24"/>
        </w:rPr>
        <w:t>经甲方审核无误后支付采购资金</w:t>
      </w:r>
      <w:r>
        <w:rPr>
          <w:rFonts w:hint="eastAsia" w:asciiTheme="minorEastAsia" w:hAnsiTheme="minorEastAsia" w:eastAsiaTheme="minorEastAsia" w:cstheme="minorEastAsia"/>
          <w:spacing w:val="-41"/>
          <w:sz w:val="24"/>
          <w:szCs w:val="24"/>
        </w:rPr>
        <w:t>：</w:t>
      </w:r>
    </w:p>
    <w:p w14:paraId="7D8A6FC1">
      <w:pPr>
        <w:spacing w:line="217"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经甲方确认的发票</w:t>
      </w:r>
      <w:r>
        <w:rPr>
          <w:rFonts w:hint="eastAsia" w:asciiTheme="minorEastAsia" w:hAnsiTheme="minorEastAsia" w:eastAsiaTheme="minorEastAsia" w:cstheme="minorEastAsia"/>
          <w:spacing w:val="-29"/>
          <w:sz w:val="24"/>
          <w:szCs w:val="24"/>
        </w:rPr>
        <w:t>；</w:t>
      </w:r>
    </w:p>
    <w:p w14:paraId="13300328">
      <w:pPr>
        <w:spacing w:before="186" w:line="215"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5"/>
          <w:sz w:val="24"/>
          <w:szCs w:val="24"/>
        </w:rPr>
        <w:t>2</w:t>
      </w:r>
      <w:r>
        <w:rPr>
          <w:rFonts w:hint="eastAsia" w:asciiTheme="minorEastAsia" w:hAnsiTheme="minorEastAsia" w:eastAsiaTheme="minorEastAsia" w:cstheme="minorEastAsia"/>
          <w:spacing w:val="-129"/>
          <w:sz w:val="24"/>
          <w:szCs w:val="24"/>
        </w:rPr>
        <w:t>）</w:t>
      </w:r>
      <w:r>
        <w:rPr>
          <w:rFonts w:hint="eastAsia" w:asciiTheme="minorEastAsia" w:hAnsiTheme="minorEastAsia" w:eastAsiaTheme="minorEastAsia" w:cstheme="minorEastAsia"/>
          <w:spacing w:val="-9"/>
          <w:sz w:val="24"/>
          <w:szCs w:val="24"/>
        </w:rPr>
        <w:t>经甲乙双方确认签署的《验收报告》（或按项目</w:t>
      </w:r>
      <w:r>
        <w:rPr>
          <w:rFonts w:hint="eastAsia" w:asciiTheme="minorEastAsia" w:hAnsiTheme="minorEastAsia" w:eastAsiaTheme="minorEastAsia" w:cstheme="minorEastAsia"/>
          <w:spacing w:val="-8"/>
          <w:sz w:val="24"/>
          <w:szCs w:val="24"/>
        </w:rPr>
        <w:t>进度阶段性《验收报告》</w:t>
      </w:r>
      <w:r>
        <w:rPr>
          <w:rFonts w:hint="eastAsia" w:asciiTheme="minorEastAsia" w:hAnsiTheme="minorEastAsia" w:eastAsiaTheme="minorEastAsia" w:cstheme="minorEastAsia"/>
          <w:spacing w:val="-129"/>
          <w:sz w:val="24"/>
          <w:szCs w:val="24"/>
        </w:rPr>
        <w:t>）；</w:t>
      </w:r>
    </w:p>
    <w:p w14:paraId="08EDA0F7">
      <w:pPr>
        <w:spacing w:before="188" w:line="215"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其他材料</w:t>
      </w:r>
      <w:r>
        <w:rPr>
          <w:rFonts w:hint="eastAsia" w:asciiTheme="minorEastAsia" w:hAnsiTheme="minorEastAsia" w:eastAsiaTheme="minorEastAsia" w:cstheme="minorEastAsia"/>
          <w:spacing w:val="-21"/>
          <w:sz w:val="24"/>
          <w:szCs w:val="24"/>
        </w:rPr>
        <w:t>。</w:t>
      </w:r>
    </w:p>
    <w:p w14:paraId="7EBD734B">
      <w:pPr>
        <w:spacing w:before="186" w:line="361" w:lineRule="auto"/>
        <w:ind w:left="1" w:right="56"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款项的支付进度以</w:t>
      </w:r>
      <w:r>
        <w:rPr>
          <w:rFonts w:hint="eastAsia" w:asciiTheme="minorEastAsia" w:hAnsiTheme="minorEastAsia" w:eastAsiaTheme="minorEastAsia" w:cstheme="minorEastAsia"/>
          <w:spacing w:val="2"/>
          <w:sz w:val="24"/>
          <w:szCs w:val="24"/>
        </w:rPr>
        <w:t>招标采购文件的有关规定为准</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如招标采购文件未作特</w:t>
      </w:r>
      <w:r>
        <w:rPr>
          <w:rFonts w:hint="eastAsia" w:asciiTheme="minorEastAsia" w:hAnsiTheme="minorEastAsia" w:eastAsiaTheme="minorEastAsia" w:cstheme="minorEastAsia"/>
          <w:sz w:val="24"/>
          <w:szCs w:val="24"/>
        </w:rPr>
        <w:t xml:space="preserve"> 别规定</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则付款进度应符合如下约定</w:t>
      </w:r>
      <w:r>
        <w:rPr>
          <w:rFonts w:hint="eastAsia" w:asciiTheme="minorEastAsia" w:hAnsiTheme="minorEastAsia" w:eastAsiaTheme="minorEastAsia" w:cstheme="minorEastAsia"/>
          <w:spacing w:val="-34"/>
          <w:sz w:val="24"/>
          <w:szCs w:val="24"/>
        </w:rPr>
        <w:t>：</w:t>
      </w:r>
    </w:p>
    <w:p w14:paraId="01950C45">
      <w:pPr>
        <w:spacing w:before="3" w:line="359" w:lineRule="auto"/>
        <w:ind w:left="8" w:right="58" w:firstLine="4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货到初验合格后支付至合同总价的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货到安装调试合格后支付至合同 总价的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运行正常后支付至合同总价的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余款</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％作为质量保 </w:t>
      </w:r>
      <w:r>
        <w:rPr>
          <w:rFonts w:hint="eastAsia" w:asciiTheme="minorEastAsia" w:hAnsiTheme="minorEastAsia" w:eastAsiaTheme="minorEastAsia" w:cstheme="minorEastAsia"/>
          <w:spacing w:val="3"/>
          <w:sz w:val="24"/>
          <w:szCs w:val="24"/>
        </w:rPr>
        <w:t>证金于货物或系</w:t>
      </w:r>
      <w:r>
        <w:rPr>
          <w:rFonts w:hint="eastAsia" w:asciiTheme="minorEastAsia" w:hAnsiTheme="minorEastAsia" w:eastAsiaTheme="minorEastAsia" w:cstheme="minorEastAsia"/>
          <w:spacing w:val="2"/>
          <w:sz w:val="24"/>
          <w:szCs w:val="24"/>
        </w:rPr>
        <w:t>统运行满</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月（年</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并经甲乙双方复验合格后的</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w:t>
      </w:r>
      <w:r>
        <w:rPr>
          <w:rFonts w:hint="eastAsia" w:asciiTheme="minorEastAsia" w:hAnsiTheme="minorEastAsia" w:eastAsiaTheme="minorEastAsia" w:cstheme="minorEastAsia"/>
          <w:sz w:val="24"/>
          <w:szCs w:val="24"/>
        </w:rPr>
        <w:t xml:space="preserve"> 工作日内付清</w:t>
      </w:r>
      <w:r>
        <w:rPr>
          <w:rFonts w:hint="eastAsia" w:asciiTheme="minorEastAsia" w:hAnsiTheme="minorEastAsia" w:eastAsiaTheme="minorEastAsia" w:cstheme="minorEastAsia"/>
          <w:spacing w:val="-55"/>
          <w:sz w:val="24"/>
          <w:szCs w:val="24"/>
        </w:rPr>
        <w:t>。</w:t>
      </w:r>
    </w:p>
    <w:p w14:paraId="5E190BD4">
      <w:pPr>
        <w:spacing w:before="2" w:line="360" w:lineRule="auto"/>
        <w:ind w:left="497" w:right="56"/>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7F59AD9">
      <w:pPr>
        <w:spacing w:before="2" w:line="360" w:lineRule="auto"/>
        <w:ind w:right="5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第六条  履约保证金 （为减少企业负担</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非特殊需要</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不建议采购人收取履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约保证</w:t>
      </w:r>
      <w:r>
        <w:rPr>
          <w:rFonts w:hint="eastAsia" w:asciiTheme="minorEastAsia" w:hAnsiTheme="minorEastAsia" w:eastAsiaTheme="minorEastAsia" w:cstheme="minorEastAsia"/>
          <w:color w:val="000000" w:themeColor="text1"/>
          <w:sz w:val="24"/>
          <w:szCs w:val="24"/>
          <w14:textFill>
            <w14:solidFill>
              <w14:schemeClr w14:val="tx1"/>
            </w14:solidFill>
          </w14:textFill>
        </w:rPr>
        <w:t>金</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未能按合同履行合同的</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可报财政部门</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进行失信行为记录</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p>
    <w:p w14:paraId="7F245506">
      <w:pPr>
        <w:spacing w:before="1" w:line="367" w:lineRule="auto"/>
        <w:ind w:right="1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1.乙方在签订本合同之日</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向甲方提交合同履约保证金</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元 （履约保证金的数额不得超过政府采购合同金额的 10%</w:t>
      </w:r>
      <w:r>
        <w:rPr>
          <w:rFonts w:hint="eastAsia" w:asciiTheme="minorEastAsia" w:hAnsiTheme="minorEastAsia" w:eastAsiaTheme="minorEastAsia" w:cstheme="minorEastAsia"/>
          <w:spacing w:val="-77"/>
          <w:sz w:val="24"/>
          <w:szCs w:val="24"/>
        </w:rPr>
        <w:t>）。</w:t>
      </w:r>
    </w:p>
    <w:p w14:paraId="01AF70B5">
      <w:pPr>
        <w:spacing w:before="78" w:line="360" w:lineRule="auto"/>
        <w:ind w:left="16" w:right="121"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2.履约保证金有效期为甲乙双方最终验收后</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个月内</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到期后</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甲方向乙方无息退还</w:t>
      </w:r>
      <w:r>
        <w:rPr>
          <w:rFonts w:hint="eastAsia" w:asciiTheme="minorEastAsia" w:hAnsiTheme="minorEastAsia" w:eastAsiaTheme="minorEastAsia" w:cstheme="minorEastAsia"/>
          <w:spacing w:val="-53"/>
          <w:sz w:val="24"/>
          <w:szCs w:val="24"/>
        </w:rPr>
        <w:t>。</w:t>
      </w:r>
    </w:p>
    <w:p w14:paraId="3979B4BC">
      <w:pPr>
        <w:spacing w:line="360" w:lineRule="auto"/>
        <w:ind w:left="11" w:right="118"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如乙方未能履行、</w:t>
      </w:r>
      <w:r>
        <w:rPr>
          <w:rFonts w:hint="eastAsia" w:asciiTheme="minorEastAsia" w:hAnsiTheme="minorEastAsia" w:eastAsiaTheme="minorEastAsia" w:cstheme="minorEastAsia"/>
          <w:spacing w:val="2"/>
          <w:sz w:val="24"/>
          <w:szCs w:val="24"/>
        </w:rPr>
        <w:t>或未能完全履行合同规定的义务</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甲方有权从履约保证</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金中取得补偿。履约保证金扣除甲方应</w:t>
      </w:r>
      <w:r>
        <w:rPr>
          <w:rFonts w:hint="eastAsia" w:asciiTheme="minorEastAsia" w:hAnsiTheme="minorEastAsia" w:eastAsiaTheme="minorEastAsia" w:cstheme="minorEastAsia"/>
          <w:spacing w:val="2"/>
          <w:sz w:val="24"/>
          <w:szCs w:val="24"/>
        </w:rPr>
        <w:t>得的补偿后的余额在合同期满后</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天</w:t>
      </w:r>
      <w:r>
        <w:rPr>
          <w:rFonts w:hint="eastAsia" w:asciiTheme="minorEastAsia" w:hAnsiTheme="minorEastAsia" w:eastAsiaTheme="minorEastAsia" w:cstheme="minorEastAsia"/>
          <w:sz w:val="24"/>
          <w:szCs w:val="24"/>
        </w:rPr>
        <w:t xml:space="preserve"> 内无息退还乙方</w:t>
      </w:r>
      <w:r>
        <w:rPr>
          <w:rFonts w:hint="eastAsia" w:asciiTheme="minorEastAsia" w:hAnsiTheme="minorEastAsia" w:eastAsiaTheme="minorEastAsia" w:cstheme="minorEastAsia"/>
          <w:spacing w:val="-53"/>
          <w:sz w:val="24"/>
          <w:szCs w:val="24"/>
        </w:rPr>
        <w:t>。</w:t>
      </w:r>
    </w:p>
    <w:p w14:paraId="0586EDFC">
      <w:pPr>
        <w:spacing w:line="217" w:lineRule="auto"/>
        <w:ind w:firstLine="503"/>
        <w:rPr>
          <w:rFonts w:hint="eastAsia" w:asciiTheme="minorEastAsia" w:hAnsiTheme="minorEastAsia" w:eastAsiaTheme="minorEastAsia" w:cstheme="minorEastAsia"/>
          <w:spacing w:val="-1"/>
          <w:sz w:val="24"/>
          <w:szCs w:val="24"/>
        </w:rPr>
      </w:pPr>
    </w:p>
    <w:p w14:paraId="7A777C2F">
      <w:pPr>
        <w:spacing w:line="217" w:lineRule="auto"/>
        <w:ind w:firstLine="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第七条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
          <w:sz w:val="24"/>
          <w:szCs w:val="24"/>
        </w:rPr>
        <w:t>交</w:t>
      </w:r>
      <w:r>
        <w:rPr>
          <w:rFonts w:hint="eastAsia" w:asciiTheme="minorEastAsia" w:hAnsiTheme="minorEastAsia" w:eastAsiaTheme="minorEastAsia" w:cstheme="minorEastAsia"/>
          <w:sz w:val="24"/>
          <w:szCs w:val="24"/>
        </w:rPr>
        <w:t>货和验收</w:t>
      </w:r>
    </w:p>
    <w:p w14:paraId="2A2E70FC">
      <w:pPr>
        <w:spacing w:before="186" w:line="359" w:lineRule="auto"/>
        <w:ind w:right="1593"/>
        <w:jc w:val="both"/>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z w:val="24"/>
          <w:szCs w:val="24"/>
        </w:rPr>
        <w:t>1.交货时间</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3"/>
          <w:sz w:val="24"/>
          <w:szCs w:val="24"/>
        </w:rPr>
        <w:t>。</w:t>
      </w:r>
    </w:p>
    <w:p w14:paraId="54914260">
      <w:pPr>
        <w:spacing w:before="186" w:line="359" w:lineRule="auto"/>
        <w:ind w:right="159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交货地点</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 xml:space="preserve"> </w:t>
      </w:r>
    </w:p>
    <w:p w14:paraId="3286541D">
      <w:pPr>
        <w:spacing w:before="186" w:line="359" w:lineRule="auto"/>
        <w:ind w:right="159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安装调试时间：</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p>
    <w:p w14:paraId="6D39D2B0">
      <w:pPr>
        <w:spacing w:before="2" w:line="360" w:lineRule="auto"/>
        <w:ind w:left="6" w:right="121"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乙方应对提供的货物作出全面自查和整理</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并列出清单</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作为甲方验收和 使用的技术条件依据</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清单应随提供的验收资料交给甲方</w:t>
      </w:r>
      <w:r>
        <w:rPr>
          <w:rFonts w:hint="eastAsia" w:asciiTheme="minorEastAsia" w:hAnsiTheme="minorEastAsia" w:eastAsiaTheme="minorEastAsia" w:cstheme="minorEastAsia"/>
          <w:spacing w:val="-27"/>
          <w:sz w:val="24"/>
          <w:szCs w:val="24"/>
        </w:rPr>
        <w:t>。</w:t>
      </w:r>
    </w:p>
    <w:p w14:paraId="5257F4D9">
      <w:pPr>
        <w:spacing w:line="359" w:lineRule="auto"/>
        <w:ind w:right="121" w:firstLine="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3.乙方提供的货物应包括本合</w:t>
      </w:r>
      <w:r>
        <w:rPr>
          <w:rFonts w:hint="eastAsia" w:asciiTheme="minorEastAsia" w:hAnsiTheme="minorEastAsia" w:eastAsiaTheme="minorEastAsia" w:cstheme="minorEastAsia"/>
          <w:sz w:val="24"/>
          <w:szCs w:val="24"/>
        </w:rPr>
        <w:t>同“第一条</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合同文件”规定的全部货物及其附 （辅</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资料</w:t>
      </w:r>
      <w:r>
        <w:rPr>
          <w:rFonts w:hint="eastAsia" w:asciiTheme="minorEastAsia" w:hAnsiTheme="minorEastAsia" w:eastAsiaTheme="minorEastAsia" w:cstheme="minorEastAsia"/>
          <w:spacing w:val="-14"/>
          <w:sz w:val="24"/>
          <w:szCs w:val="24"/>
        </w:rPr>
        <w:t>。</w:t>
      </w:r>
    </w:p>
    <w:p w14:paraId="2686707F">
      <w:pPr>
        <w:spacing w:line="360" w:lineRule="auto"/>
        <w:ind w:left="8" w:right="116"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4.甲方应当在到货后的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个工作日内对货物进行验收</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货物验收时</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 xml:space="preserve">甲乙 </w:t>
      </w:r>
      <w:r>
        <w:rPr>
          <w:rFonts w:hint="eastAsia" w:asciiTheme="minorEastAsia" w:hAnsiTheme="minorEastAsia" w:eastAsiaTheme="minorEastAsia" w:cstheme="minorEastAsia"/>
          <w:spacing w:val="3"/>
          <w:sz w:val="24"/>
          <w:szCs w:val="24"/>
        </w:rPr>
        <w:t>双方必须同时在场</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双方共同确认货物与本合同规定的</w:t>
      </w:r>
      <w:r>
        <w:rPr>
          <w:rFonts w:hint="eastAsia" w:asciiTheme="minorEastAsia" w:hAnsiTheme="minorEastAsia" w:eastAsiaTheme="minorEastAsia" w:cstheme="minorEastAsia"/>
          <w:spacing w:val="2"/>
          <w:sz w:val="24"/>
          <w:szCs w:val="24"/>
        </w:rPr>
        <w:t>生产厂家产地</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品牌</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格型号</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数量</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质量</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技术参数和性能等是否一致</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w:t>
      </w:r>
      <w:r>
        <w:rPr>
          <w:rFonts w:hint="eastAsia" w:asciiTheme="minorEastAsia" w:hAnsiTheme="minorEastAsia" w:eastAsiaTheme="minorEastAsia" w:cstheme="minorEastAsia"/>
          <w:spacing w:val="2"/>
          <w:sz w:val="24"/>
          <w:szCs w:val="24"/>
        </w:rPr>
        <w:t>所交付的货物不符合合</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同规定的</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甲方有权拒收</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乙方应及时按本合同规定和甲方要</w:t>
      </w:r>
      <w:r>
        <w:rPr>
          <w:rFonts w:hint="eastAsia" w:asciiTheme="minorEastAsia" w:hAnsiTheme="minorEastAsia" w:eastAsiaTheme="minorEastAsia" w:cstheme="minorEastAsia"/>
          <w:spacing w:val="2"/>
          <w:sz w:val="24"/>
          <w:szCs w:val="24"/>
        </w:rPr>
        <w:t>求免费对拒收货物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采取更换或其他必要的补救措施</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直至验收合格</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方视为乙方</w:t>
      </w:r>
      <w:r>
        <w:rPr>
          <w:rFonts w:hint="eastAsia" w:asciiTheme="minorEastAsia" w:hAnsiTheme="minorEastAsia" w:eastAsiaTheme="minorEastAsia" w:cstheme="minorEastAsia"/>
          <w:spacing w:val="2"/>
          <w:sz w:val="24"/>
          <w:szCs w:val="24"/>
        </w:rPr>
        <w:t>按本合同规定完成</w:t>
      </w:r>
      <w:r>
        <w:rPr>
          <w:rFonts w:hint="eastAsia" w:asciiTheme="minorEastAsia" w:hAnsiTheme="minorEastAsia" w:eastAsiaTheme="minorEastAsia" w:cstheme="minorEastAsia"/>
          <w:sz w:val="24"/>
          <w:szCs w:val="24"/>
        </w:rPr>
        <w:t xml:space="preserve"> 交货</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验收合格的</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由双方共同签署《验收报告》</w:t>
      </w:r>
      <w:r>
        <w:rPr>
          <w:rFonts w:hint="eastAsia" w:asciiTheme="minorEastAsia" w:hAnsiTheme="minorEastAsia" w:eastAsiaTheme="minorEastAsia" w:cstheme="minorEastAsia"/>
          <w:spacing w:val="-43"/>
          <w:sz w:val="24"/>
          <w:szCs w:val="24"/>
        </w:rPr>
        <w:t>。</w:t>
      </w:r>
    </w:p>
    <w:p w14:paraId="29712D05">
      <w:pPr>
        <w:spacing w:before="2" w:line="360" w:lineRule="auto"/>
        <w:ind w:left="4"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3"/>
          <w:sz w:val="24"/>
          <w:szCs w:val="24"/>
        </w:rPr>
        <w:t>需要乙方对货物（包括软件）或系</w:t>
      </w:r>
      <w:r>
        <w:rPr>
          <w:rFonts w:hint="eastAsia" w:asciiTheme="minorEastAsia" w:hAnsiTheme="minorEastAsia" w:eastAsiaTheme="minorEastAsia" w:cstheme="minorEastAsia"/>
          <w:spacing w:val="2"/>
          <w:sz w:val="24"/>
          <w:szCs w:val="24"/>
        </w:rPr>
        <w:t>统进行安装调试的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甲乙双方应在货物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安装调试完</w:t>
      </w:r>
      <w:r>
        <w:rPr>
          <w:rFonts w:hint="eastAsia" w:asciiTheme="minorEastAsia" w:hAnsiTheme="minorEastAsia" w:eastAsiaTheme="minorEastAsia" w:cstheme="minorEastAsia"/>
          <w:spacing w:val="2"/>
          <w:sz w:val="24"/>
          <w:szCs w:val="24"/>
        </w:rPr>
        <w:t>毕后的</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个工作日内进行运行效果验收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在验收之前</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乙方需提前</w:t>
      </w:r>
      <w:r>
        <w:rPr>
          <w:rFonts w:hint="eastAsia" w:asciiTheme="minorEastAsia" w:hAnsiTheme="minorEastAsia" w:eastAsiaTheme="minorEastAsia" w:cstheme="minorEastAsia"/>
          <w:sz w:val="24"/>
          <w:szCs w:val="24"/>
        </w:rPr>
        <w:t xml:space="preserve"> 提交相应的调试计划（包括调试程序</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环境</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内容和检验标准</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调试时间安排等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供甲方确认</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乙方还应对所有检验验收调试的结果</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步骤</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原始数</w:t>
      </w:r>
      <w:r>
        <w:rPr>
          <w:rFonts w:hint="eastAsia" w:asciiTheme="minorEastAsia" w:hAnsiTheme="minorEastAsia" w:eastAsiaTheme="minorEastAsia" w:cstheme="minorEastAsia"/>
          <w:spacing w:val="2"/>
          <w:sz w:val="24"/>
          <w:szCs w:val="24"/>
        </w:rPr>
        <w:t>据等作妥善记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录</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如甲方要求</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乙方应将记录提供给甲方</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调试检验出现全部或</w:t>
      </w:r>
      <w:r>
        <w:rPr>
          <w:rFonts w:hint="eastAsia" w:asciiTheme="minorEastAsia" w:hAnsiTheme="minorEastAsia" w:eastAsiaTheme="minorEastAsia" w:cstheme="minorEastAsia"/>
          <w:spacing w:val="2"/>
          <w:sz w:val="24"/>
          <w:szCs w:val="24"/>
        </w:rPr>
        <w:t>部分未达到本</w:t>
      </w:r>
      <w:r>
        <w:rPr>
          <w:rFonts w:hint="eastAsia" w:asciiTheme="minorEastAsia" w:hAnsiTheme="minorEastAsia" w:eastAsiaTheme="minorEastAsia" w:cstheme="minorEastAsia"/>
          <w:sz w:val="24"/>
          <w:szCs w:val="24"/>
        </w:rPr>
        <w:t xml:space="preserve"> 合同所约定的技术指标</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甲方有权选择下列任一处理方式</w:t>
      </w:r>
      <w:r>
        <w:rPr>
          <w:rFonts w:hint="eastAsia" w:asciiTheme="minorEastAsia" w:hAnsiTheme="minorEastAsia" w:eastAsiaTheme="minorEastAsia" w:cstheme="minorEastAsia"/>
          <w:spacing w:val="-33"/>
          <w:sz w:val="24"/>
          <w:szCs w:val="24"/>
        </w:rPr>
        <w:t>：</w:t>
      </w:r>
    </w:p>
    <w:p w14:paraId="3007AFDC">
      <w:pPr>
        <w:spacing w:before="1" w:line="217" w:lineRule="auto"/>
        <w:ind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a.重新调试直至合格为止</w:t>
      </w:r>
      <w:r>
        <w:rPr>
          <w:rFonts w:hint="eastAsia" w:asciiTheme="minorEastAsia" w:hAnsiTheme="minorEastAsia" w:eastAsiaTheme="minorEastAsia" w:cstheme="minorEastAsia"/>
          <w:spacing w:val="-70"/>
          <w:sz w:val="24"/>
          <w:szCs w:val="24"/>
        </w:rPr>
        <w:t>；</w:t>
      </w:r>
    </w:p>
    <w:p w14:paraId="2E2F61F4">
      <w:pPr>
        <w:spacing w:before="182" w:line="370" w:lineRule="auto"/>
        <w:ind w:right="1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b.要求乙方对货物进行免费更换</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然后重新调试直至合格为止</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 xml:space="preserve"> 甲方因乙方原因所产生的所有费用均由乙方负担</w:t>
      </w:r>
      <w:r>
        <w:rPr>
          <w:rFonts w:hint="eastAsia" w:asciiTheme="minorEastAsia" w:hAnsiTheme="minorEastAsia" w:eastAsiaTheme="minorEastAsia" w:cstheme="minorEastAsia"/>
          <w:spacing w:val="-89"/>
          <w:sz w:val="24"/>
          <w:szCs w:val="24"/>
        </w:rPr>
        <w:t>。</w:t>
      </w:r>
    </w:p>
    <w:p w14:paraId="22DA8C34">
      <w:pPr>
        <w:spacing w:before="78"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6.验收合格的</w:t>
      </w:r>
      <w:r>
        <w:rPr>
          <w:rFonts w:hint="eastAsia" w:asciiTheme="minorEastAsia" w:hAnsiTheme="minorEastAsia" w:eastAsiaTheme="minorEastAsia" w:cstheme="minorEastAsia"/>
          <w:spacing w:val="-71"/>
          <w:sz w:val="24"/>
          <w:szCs w:val="24"/>
        </w:rPr>
        <w:t>，</w:t>
      </w:r>
      <w:r>
        <w:rPr>
          <w:rFonts w:hint="eastAsia" w:asciiTheme="minorEastAsia" w:hAnsiTheme="minorEastAsia" w:eastAsiaTheme="minorEastAsia" w:cstheme="minorEastAsia"/>
          <w:sz w:val="24"/>
          <w:szCs w:val="24"/>
        </w:rPr>
        <w:t>由双方共同签署《验收报告》</w:t>
      </w:r>
      <w:r>
        <w:rPr>
          <w:rFonts w:hint="eastAsia" w:asciiTheme="minorEastAsia" w:hAnsiTheme="minorEastAsia" w:eastAsiaTheme="minorEastAsia" w:cstheme="minorEastAsia"/>
          <w:spacing w:val="-70"/>
          <w:sz w:val="24"/>
          <w:szCs w:val="24"/>
        </w:rPr>
        <w:t>。</w:t>
      </w:r>
    </w:p>
    <w:p w14:paraId="78552214">
      <w:pPr>
        <w:spacing w:before="104" w:line="367" w:lineRule="auto"/>
        <w:ind w:left="35" w:right="4" w:firstLine="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7.甲方可以视项目规模或复杂情况聘请专业人员参与验收</w:t>
      </w:r>
      <w:r>
        <w:rPr>
          <w:rFonts w:hint="eastAsia" w:asciiTheme="minorEastAsia" w:hAnsiTheme="minorEastAsia" w:eastAsiaTheme="minorEastAsia" w:cstheme="minorEastAsia"/>
          <w:spacing w:val="-4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大型或复杂项目</w:t>
      </w:r>
      <w:r>
        <w:rPr>
          <w:rFonts w:hint="eastAsia" w:asciiTheme="minorEastAsia" w:hAnsiTheme="minorEastAsia" w:eastAsiaTheme="minorEastAsia" w:cstheme="minorEastAsia"/>
          <w:spacing w:val="-47"/>
          <w:sz w:val="24"/>
          <w:szCs w:val="24"/>
        </w:rPr>
        <w:t>，</w:t>
      </w:r>
      <w:r>
        <w:rPr>
          <w:rFonts w:hint="eastAsia" w:asciiTheme="minorEastAsia" w:hAnsiTheme="minorEastAsia" w:eastAsiaTheme="minorEastAsia" w:cstheme="minorEastAsia"/>
          <w:sz w:val="24"/>
          <w:szCs w:val="24"/>
        </w:rPr>
        <w:t xml:space="preserve"> 以及特种货物应当邀请国家认可的第三方质量检测机构参与验收</w:t>
      </w:r>
      <w:r>
        <w:rPr>
          <w:rFonts w:hint="eastAsia" w:asciiTheme="minorEastAsia" w:hAnsiTheme="minorEastAsia" w:eastAsiaTheme="minorEastAsia" w:cstheme="minorEastAsia"/>
          <w:spacing w:val="-88"/>
          <w:sz w:val="24"/>
          <w:szCs w:val="24"/>
        </w:rPr>
        <w:t>。</w:t>
      </w:r>
    </w:p>
    <w:p w14:paraId="29DB941A">
      <w:pPr>
        <w:spacing w:before="60" w:line="360" w:lineRule="auto"/>
        <w:ind w:right="67"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w:t>
      </w:r>
      <w:r>
        <w:rPr>
          <w:rFonts w:hint="eastAsia" w:asciiTheme="minorEastAsia" w:hAnsiTheme="minorEastAsia" w:eastAsiaTheme="minorEastAsia" w:cstheme="minorEastAsia"/>
          <w:spacing w:val="3"/>
          <w:sz w:val="24"/>
          <w:szCs w:val="24"/>
        </w:rPr>
        <w:t>货物验收包括：货物包装是否</w:t>
      </w:r>
      <w:r>
        <w:rPr>
          <w:rFonts w:hint="eastAsia" w:asciiTheme="minorEastAsia" w:hAnsiTheme="minorEastAsia" w:eastAsiaTheme="minorEastAsia" w:cstheme="minorEastAsia"/>
          <w:spacing w:val="2"/>
          <w:sz w:val="24"/>
          <w:szCs w:val="24"/>
        </w:rPr>
        <w:t>完好</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产地生产厂家名称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品牌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型号</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格</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数量、外观质量、配置、内在质量，</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z w:val="24"/>
          <w:szCs w:val="24"/>
        </w:rPr>
        <w:t xml:space="preserve">以及调试运行是否达到“第一条合同文 </w:t>
      </w:r>
      <w:r>
        <w:rPr>
          <w:rFonts w:hint="eastAsia" w:asciiTheme="minorEastAsia" w:hAnsiTheme="minorEastAsia" w:eastAsiaTheme="minorEastAsia" w:cstheme="minorEastAsia"/>
          <w:spacing w:val="3"/>
          <w:sz w:val="24"/>
          <w:szCs w:val="24"/>
        </w:rPr>
        <w:t>件”规定的效果</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乙方应将所提供货物的装箱清单</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产</w:t>
      </w:r>
      <w:r>
        <w:rPr>
          <w:rFonts w:hint="eastAsia" w:asciiTheme="minorEastAsia" w:hAnsiTheme="minorEastAsia" w:eastAsiaTheme="minorEastAsia" w:cstheme="minorEastAsia"/>
          <w:spacing w:val="2"/>
          <w:sz w:val="24"/>
          <w:szCs w:val="24"/>
        </w:rPr>
        <w:t>品合格证</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甲方手册</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原</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厂保修卡、</w:t>
      </w:r>
      <w:r>
        <w:rPr>
          <w:rFonts w:hint="eastAsia" w:asciiTheme="minorEastAsia" w:hAnsiTheme="minorEastAsia" w:eastAsiaTheme="minorEastAsia" w:cstheme="minorEastAsia"/>
          <w:spacing w:val="2"/>
          <w:sz w:val="24"/>
          <w:szCs w:val="24"/>
        </w:rPr>
        <w:t>随机资料及备品备件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易损件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专用工具等交付给甲方</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乙方不能完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整交付货物</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附（辅</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件和资料的</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视为未按合同约</w:t>
      </w:r>
      <w:r>
        <w:rPr>
          <w:rFonts w:hint="eastAsia" w:asciiTheme="minorEastAsia" w:hAnsiTheme="minorEastAsia" w:eastAsiaTheme="minorEastAsia" w:cstheme="minorEastAsia"/>
          <w:spacing w:val="2"/>
          <w:sz w:val="24"/>
          <w:szCs w:val="24"/>
        </w:rPr>
        <w:t>定交货</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乙方负责补齐</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因</w:t>
      </w:r>
      <w:r>
        <w:rPr>
          <w:rFonts w:hint="eastAsia" w:asciiTheme="minorEastAsia" w:hAnsiTheme="minorEastAsia" w:eastAsiaTheme="minorEastAsia" w:cstheme="minorEastAsia"/>
          <w:sz w:val="24"/>
          <w:szCs w:val="24"/>
        </w:rPr>
        <w:t xml:space="preserve"> 此导致逾期交付的</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由乙方承担相关的违约责任</w:t>
      </w:r>
      <w:r>
        <w:rPr>
          <w:rFonts w:hint="eastAsia" w:asciiTheme="minorEastAsia" w:hAnsiTheme="minorEastAsia" w:eastAsiaTheme="minorEastAsia" w:cstheme="minorEastAsia"/>
          <w:spacing w:val="-26"/>
          <w:sz w:val="24"/>
          <w:szCs w:val="24"/>
        </w:rPr>
        <w:t>。</w:t>
      </w:r>
    </w:p>
    <w:p w14:paraId="683F5F6E">
      <w:pPr>
        <w:spacing w:line="359" w:lineRule="auto"/>
        <w:ind w:left="37" w:right="3" w:firstLine="4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9.货物达不到本合同“第一条合同文件”规定的数量</w:t>
      </w:r>
      <w:r>
        <w:rPr>
          <w:rFonts w:hint="eastAsia" w:asciiTheme="minorEastAsia" w:hAnsiTheme="minorEastAsia" w:eastAsiaTheme="minorEastAsia" w:cstheme="minorEastAsia"/>
          <w:spacing w:val="-45"/>
          <w:sz w:val="24"/>
          <w:szCs w:val="24"/>
        </w:rPr>
        <w:t>、</w:t>
      </w:r>
      <w:r>
        <w:rPr>
          <w:rFonts w:hint="eastAsia" w:asciiTheme="minorEastAsia" w:hAnsiTheme="minorEastAsia" w:eastAsiaTheme="minorEastAsia" w:cstheme="minorEastAsia"/>
          <w:sz w:val="24"/>
          <w:szCs w:val="24"/>
        </w:rPr>
        <w:t>质量要求和运行效果</w:t>
      </w:r>
      <w:r>
        <w:rPr>
          <w:rFonts w:hint="eastAsia" w:asciiTheme="minorEastAsia" w:hAnsiTheme="minorEastAsia" w:eastAsiaTheme="minorEastAsia" w:cstheme="minorEastAsia"/>
          <w:spacing w:val="-45"/>
          <w:sz w:val="24"/>
          <w:szCs w:val="24"/>
        </w:rPr>
        <w:t>，</w:t>
      </w:r>
      <w:r>
        <w:rPr>
          <w:rFonts w:hint="eastAsia" w:asciiTheme="minorEastAsia" w:hAnsiTheme="minorEastAsia" w:eastAsiaTheme="minorEastAsia" w:cstheme="minorEastAsia"/>
          <w:sz w:val="24"/>
          <w:szCs w:val="24"/>
        </w:rPr>
        <w:t xml:space="preserve"> 甲方有权拒收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并可以解除合同</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由此引起甲方损失及赔偿责任由乙方承担</w:t>
      </w:r>
      <w:r>
        <w:rPr>
          <w:rFonts w:hint="eastAsia" w:asciiTheme="minorEastAsia" w:hAnsiTheme="minorEastAsia" w:eastAsiaTheme="minorEastAsia" w:cstheme="minorEastAsia"/>
          <w:spacing w:val="-30"/>
          <w:sz w:val="24"/>
          <w:szCs w:val="24"/>
        </w:rPr>
        <w:t>。</w:t>
      </w:r>
    </w:p>
    <w:p w14:paraId="16C06BD0">
      <w:pPr>
        <w:spacing w:before="2" w:line="360" w:lineRule="auto"/>
        <w:ind w:left="6" w:right="68"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10.如果合同双方对《验收报告》有分歧</w:t>
      </w:r>
      <w:r>
        <w:rPr>
          <w:rFonts w:hint="eastAsia" w:asciiTheme="minorEastAsia" w:hAnsiTheme="minorEastAsia" w:eastAsiaTheme="minorEastAsia" w:cstheme="minorEastAsia"/>
          <w:spacing w:val="-39"/>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双方须于出现分歧后</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天内给对 方书面声明</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以陈述己方的理由及要求</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并附有关证据</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分歧应通过协商解决</w:t>
      </w:r>
      <w:r>
        <w:rPr>
          <w:rFonts w:hint="eastAsia" w:asciiTheme="minorEastAsia" w:hAnsiTheme="minorEastAsia" w:eastAsiaTheme="minorEastAsia" w:cstheme="minorEastAsia"/>
          <w:spacing w:val="-15"/>
          <w:sz w:val="24"/>
          <w:szCs w:val="24"/>
        </w:rPr>
        <w:t>。</w:t>
      </w:r>
    </w:p>
    <w:p w14:paraId="6CEF0D18">
      <w:pPr>
        <w:spacing w:line="217" w:lineRule="auto"/>
        <w:ind w:firstLine="497"/>
        <w:rPr>
          <w:rFonts w:hint="eastAsia" w:asciiTheme="minorEastAsia" w:hAnsiTheme="minorEastAsia" w:eastAsiaTheme="minorEastAsia" w:cstheme="minorEastAsia"/>
          <w:spacing w:val="-1"/>
          <w:sz w:val="24"/>
          <w:szCs w:val="24"/>
        </w:rPr>
      </w:pPr>
    </w:p>
    <w:p w14:paraId="589762B8">
      <w:pPr>
        <w:spacing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第八</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项目管理服务</w:t>
      </w:r>
    </w:p>
    <w:p w14:paraId="6F3D7F64">
      <w:pPr>
        <w:spacing w:before="185" w:line="468" w:lineRule="exact"/>
        <w:ind w:firstLine="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乙方应指定不少于一人全权全程负责本项目的商务服务，以及货物安</w:t>
      </w:r>
      <w:r>
        <w:rPr>
          <w:rFonts w:hint="eastAsia" w:asciiTheme="minorEastAsia" w:hAnsiTheme="minorEastAsia" w:eastAsiaTheme="minorEastAsia" w:cstheme="minorEastAsia"/>
          <w:spacing w:val="1"/>
          <w:position w:val="17"/>
          <w:sz w:val="24"/>
          <w:szCs w:val="24"/>
        </w:rPr>
        <w:t>装</w:t>
      </w:r>
      <w:r>
        <w:rPr>
          <w:rFonts w:hint="eastAsia" w:asciiTheme="minorEastAsia" w:hAnsiTheme="minorEastAsia" w:eastAsiaTheme="minorEastAsia" w:cstheme="minorEastAsia"/>
          <w:spacing w:val="2"/>
          <w:position w:val="17"/>
          <w:sz w:val="24"/>
          <w:szCs w:val="24"/>
        </w:rPr>
        <w:t>、</w:t>
      </w:r>
      <w:r>
        <w:rPr>
          <w:rFonts w:hint="eastAsia" w:asciiTheme="minorEastAsia" w:hAnsiTheme="minorEastAsia" w:eastAsiaTheme="minorEastAsia" w:cstheme="minorEastAsia"/>
          <w:position w:val="17"/>
          <w:sz w:val="24"/>
          <w:szCs w:val="24"/>
        </w:rPr>
        <w:t>调</w:t>
      </w:r>
    </w:p>
    <w:p w14:paraId="60E734E9">
      <w:pPr>
        <w:spacing w:line="215"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rPr>
        <w:t>咨询</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rPr>
        <w:t>培训和售后等技术服务工作</w:t>
      </w:r>
      <w:r>
        <w:rPr>
          <w:rFonts w:hint="eastAsia" w:asciiTheme="minorEastAsia" w:hAnsiTheme="minorEastAsia" w:eastAsiaTheme="minorEastAsia" w:cstheme="minorEastAsia"/>
          <w:spacing w:val="-18"/>
          <w:sz w:val="24"/>
          <w:szCs w:val="24"/>
        </w:rPr>
        <w:t>。</w:t>
      </w:r>
    </w:p>
    <w:p w14:paraId="506D56C7">
      <w:pPr>
        <w:spacing w:before="110" w:line="217" w:lineRule="auto"/>
        <w:ind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项目负责人姓名</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7"/>
          <w:sz w:val="24"/>
          <w:szCs w:val="24"/>
        </w:rPr>
        <w:t>。</w:t>
      </w:r>
    </w:p>
    <w:p w14:paraId="5A4C8D72">
      <w:pPr>
        <w:spacing w:before="263" w:line="216"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第九条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
          <w:sz w:val="24"/>
          <w:szCs w:val="24"/>
        </w:rPr>
        <w:t>售</w:t>
      </w:r>
      <w:r>
        <w:rPr>
          <w:rFonts w:hint="eastAsia" w:asciiTheme="minorEastAsia" w:hAnsiTheme="minorEastAsia" w:eastAsiaTheme="minorEastAsia" w:cstheme="minorEastAsia"/>
          <w:sz w:val="24"/>
          <w:szCs w:val="24"/>
        </w:rPr>
        <w:t>后服务</w:t>
      </w:r>
    </w:p>
    <w:p w14:paraId="266DA01E">
      <w:pPr>
        <w:spacing w:before="187" w:line="359" w:lineRule="auto"/>
        <w:ind w:left="3" w:right="68"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质量保证期为自货</w:t>
      </w:r>
      <w:r>
        <w:rPr>
          <w:rFonts w:hint="eastAsia" w:asciiTheme="minorEastAsia" w:hAnsiTheme="minorEastAsia" w:eastAsiaTheme="minorEastAsia" w:cstheme="minorEastAsia"/>
          <w:spacing w:val="2"/>
          <w:sz w:val="24"/>
          <w:szCs w:val="24"/>
        </w:rPr>
        <w:t>物通过最终验收之日起</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个月</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若国家有明确规定的</w:t>
      </w:r>
      <w:r>
        <w:rPr>
          <w:rFonts w:hint="eastAsia" w:asciiTheme="minorEastAsia" w:hAnsiTheme="minorEastAsia" w:eastAsiaTheme="minorEastAsia" w:cstheme="minorEastAsia"/>
          <w:sz w:val="24"/>
          <w:szCs w:val="24"/>
        </w:rPr>
        <w:t xml:space="preserve"> 质量保证期高于此质量保证期的</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执行国家规定</w:t>
      </w:r>
      <w:r>
        <w:rPr>
          <w:rFonts w:hint="eastAsia" w:asciiTheme="minorEastAsia" w:hAnsiTheme="minorEastAsia" w:eastAsiaTheme="minorEastAsia" w:cstheme="minorEastAsia"/>
          <w:spacing w:val="-28"/>
          <w:sz w:val="24"/>
          <w:szCs w:val="24"/>
        </w:rPr>
        <w:t>。</w:t>
      </w:r>
    </w:p>
    <w:p w14:paraId="6E733606">
      <w:pPr>
        <w:spacing w:line="360" w:lineRule="auto"/>
        <w:ind w:left="6" w:right="86"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2.在货物质保期内</w:t>
      </w:r>
      <w:r>
        <w:rPr>
          <w:rFonts w:hint="eastAsia" w:asciiTheme="minorEastAsia" w:hAnsiTheme="minorEastAsia" w:eastAsiaTheme="minorEastAsia" w:cstheme="minorEastAsia"/>
          <w:spacing w:val="-3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乙方应对由于设计</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工艺</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质量（含环保节能要求</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材 料和的缺陷而发生的任何不足或故障负责</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并解决存在的问题</w:t>
      </w:r>
      <w:r>
        <w:rPr>
          <w:rFonts w:hint="eastAsia" w:asciiTheme="minorEastAsia" w:hAnsiTheme="minorEastAsia" w:eastAsiaTheme="minorEastAsia" w:cstheme="minorEastAsia"/>
          <w:spacing w:val="-30"/>
          <w:sz w:val="24"/>
          <w:szCs w:val="24"/>
        </w:rPr>
        <w:t>。</w:t>
      </w:r>
    </w:p>
    <w:p w14:paraId="78839D6C">
      <w:pPr>
        <w:spacing w:line="360" w:lineRule="auto"/>
        <w:ind w:left="10" w:right="68"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对不符合本合同第</w:t>
      </w:r>
      <w:r>
        <w:rPr>
          <w:rFonts w:hint="eastAsia" w:asciiTheme="minorEastAsia" w:hAnsiTheme="minorEastAsia" w:eastAsiaTheme="minorEastAsia" w:cstheme="minorEastAsia"/>
          <w:spacing w:val="2"/>
          <w:sz w:val="24"/>
          <w:szCs w:val="24"/>
        </w:rPr>
        <w:t>四条规定要求的货物应立即进行调换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调换本身并不影</w:t>
      </w:r>
      <w:r>
        <w:rPr>
          <w:rFonts w:hint="eastAsia" w:asciiTheme="minorEastAsia" w:hAnsiTheme="minorEastAsia" w:eastAsiaTheme="minorEastAsia" w:cstheme="minorEastAsia"/>
          <w:sz w:val="24"/>
          <w:szCs w:val="24"/>
        </w:rPr>
        <w:t xml:space="preserve"> 响甲方就其损失向乙方索赔的权利</w:t>
      </w:r>
      <w:r>
        <w:rPr>
          <w:rFonts w:hint="eastAsia" w:asciiTheme="minorEastAsia" w:hAnsiTheme="minorEastAsia" w:eastAsiaTheme="minorEastAsia" w:cstheme="minorEastAsia"/>
          <w:spacing w:val="-62"/>
          <w:sz w:val="24"/>
          <w:szCs w:val="24"/>
        </w:rPr>
        <w:t>。</w:t>
      </w:r>
    </w:p>
    <w:p w14:paraId="6DED05AB">
      <w:pPr>
        <w:spacing w:before="3" w:line="363" w:lineRule="auto"/>
        <w:ind w:left="6" w:right="67"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w:t>
      </w:r>
      <w:r>
        <w:rPr>
          <w:rFonts w:hint="eastAsia" w:asciiTheme="minorEastAsia" w:hAnsiTheme="minorEastAsia" w:eastAsiaTheme="minorEastAsia" w:cstheme="minorEastAsia"/>
          <w:spacing w:val="3"/>
          <w:sz w:val="24"/>
          <w:szCs w:val="24"/>
        </w:rPr>
        <w:t>货物安装调试完成后，乙方应继续向甲方提</w:t>
      </w:r>
      <w:r>
        <w:rPr>
          <w:rFonts w:hint="eastAsia" w:asciiTheme="minorEastAsia" w:hAnsiTheme="minorEastAsia" w:eastAsiaTheme="minorEastAsia" w:cstheme="minorEastAsia"/>
          <w:spacing w:val="2"/>
          <w:sz w:val="24"/>
          <w:szCs w:val="24"/>
        </w:rPr>
        <w:t>供良好的技术支持</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应当由专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门队伍从事此项工作，并提供全天候的热线技术支持</w:t>
      </w:r>
      <w:r>
        <w:rPr>
          <w:rFonts w:hint="eastAsia" w:asciiTheme="minorEastAsia" w:hAnsiTheme="minorEastAsia" w:eastAsiaTheme="minorEastAsia" w:cstheme="minorEastAsia"/>
          <w:spacing w:val="2"/>
          <w:sz w:val="24"/>
          <w:szCs w:val="24"/>
        </w:rPr>
        <w:t>服务</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应当对甲方所反映的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任何问题在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3"/>
          <w:sz w:val="24"/>
          <w:szCs w:val="24"/>
        </w:rPr>
        <w:t>日（</w:t>
      </w:r>
      <w:r>
        <w:rPr>
          <w:rFonts w:hint="eastAsia" w:asciiTheme="minorEastAsia" w:hAnsiTheme="minorEastAsia" w:eastAsiaTheme="minorEastAsia" w:cstheme="minorEastAsia"/>
          <w:spacing w:val="2"/>
          <w:sz w:val="24"/>
          <w:szCs w:val="24"/>
        </w:rPr>
        <w:t>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之内做出及时响应</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日（小时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之内赶到现场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实地解决问题。若问题、故障</w:t>
      </w:r>
      <w:r>
        <w:rPr>
          <w:rFonts w:hint="eastAsia" w:asciiTheme="minorEastAsia" w:hAnsiTheme="minorEastAsia" w:eastAsiaTheme="minorEastAsia" w:cstheme="minorEastAsia"/>
          <w:spacing w:val="2"/>
          <w:sz w:val="24"/>
          <w:szCs w:val="24"/>
        </w:rPr>
        <w:t>在检修</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工作日（小时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后仍无法解决</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乙方应</w:t>
      </w:r>
    </w:p>
    <w:p w14:paraId="1E4A207F">
      <w:pPr>
        <w:spacing w:before="78" w:line="360" w:lineRule="auto"/>
        <w:ind w:left="0" w:leftChars="0" w:right="64"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日（小时</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内免费提供不低于故障货物规格型号档次的备用货物供甲方使 用</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直至故障货物修复</w:t>
      </w:r>
      <w:r>
        <w:rPr>
          <w:rFonts w:hint="eastAsia" w:asciiTheme="minorEastAsia" w:hAnsiTheme="minorEastAsia" w:eastAsiaTheme="minorEastAsia" w:cstheme="minorEastAsia"/>
          <w:spacing w:val="-26"/>
          <w:sz w:val="24"/>
          <w:szCs w:val="24"/>
        </w:rPr>
        <w:t>。</w:t>
      </w:r>
    </w:p>
    <w:p w14:paraId="793A7455">
      <w:pPr>
        <w:spacing w:before="1" w:line="359" w:lineRule="auto"/>
        <w:ind w:left="2" w:right="61"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3"/>
          <w:sz w:val="24"/>
          <w:szCs w:val="24"/>
        </w:rPr>
        <w:t>乙方应当建立健全售后服务体系，</w:t>
      </w:r>
      <w:r>
        <w:rPr>
          <w:rFonts w:hint="eastAsia" w:asciiTheme="minorEastAsia" w:hAnsiTheme="minorEastAsia" w:eastAsiaTheme="minorEastAsia" w:cstheme="minorEastAsia"/>
          <w:spacing w:val="2"/>
          <w:sz w:val="24"/>
          <w:szCs w:val="24"/>
        </w:rPr>
        <w:t>确保货物正常运行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乙方应当遵守甲方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的有关管理制度、操作规程。对于乙方违规操作造成甲</w:t>
      </w:r>
      <w:r>
        <w:rPr>
          <w:rFonts w:hint="eastAsia" w:asciiTheme="minorEastAsia" w:hAnsiTheme="minorEastAsia" w:eastAsiaTheme="minorEastAsia" w:cstheme="minorEastAsia"/>
          <w:spacing w:val="2"/>
          <w:sz w:val="24"/>
          <w:szCs w:val="24"/>
        </w:rPr>
        <w:t>方损失的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由乙方按照本</w:t>
      </w:r>
      <w:r>
        <w:rPr>
          <w:rFonts w:hint="eastAsia" w:asciiTheme="minorEastAsia" w:hAnsiTheme="minorEastAsia" w:eastAsiaTheme="minorEastAsia" w:cstheme="minorEastAsia"/>
          <w:sz w:val="24"/>
          <w:szCs w:val="24"/>
        </w:rPr>
        <w:t xml:space="preserve"> 合同第十二条的约定承担赔偿责任</w:t>
      </w:r>
      <w:r>
        <w:rPr>
          <w:rFonts w:hint="eastAsia" w:asciiTheme="minorEastAsia" w:hAnsiTheme="minorEastAsia" w:eastAsiaTheme="minorEastAsia" w:cstheme="minorEastAsia"/>
          <w:spacing w:val="-58"/>
          <w:sz w:val="24"/>
          <w:szCs w:val="24"/>
        </w:rPr>
        <w:t>。</w:t>
      </w:r>
    </w:p>
    <w:p w14:paraId="743C3229">
      <w:pPr>
        <w:spacing w:before="2" w:line="360" w:lineRule="auto"/>
        <w:ind w:left="7" w:right="61"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
          <w:sz w:val="24"/>
          <w:szCs w:val="24"/>
        </w:rPr>
        <w:t>乙方</w:t>
      </w:r>
      <w:r>
        <w:rPr>
          <w:rFonts w:hint="eastAsia" w:asciiTheme="minorEastAsia" w:hAnsiTheme="minorEastAsia" w:eastAsiaTheme="minorEastAsia" w:cstheme="minorEastAsia"/>
          <w:spacing w:val="2"/>
          <w:sz w:val="24"/>
          <w:szCs w:val="24"/>
        </w:rPr>
        <w:t>应负责货物及主要部件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配件维修更换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质保期内</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乙方对货物（人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为故意损坏除外）提供全免费保修或免费</w:t>
      </w:r>
      <w:r>
        <w:rPr>
          <w:rFonts w:hint="eastAsia" w:asciiTheme="minorEastAsia" w:hAnsiTheme="minorEastAsia" w:eastAsiaTheme="minorEastAsia" w:cstheme="minorEastAsia"/>
          <w:spacing w:val="2"/>
          <w:sz w:val="24"/>
          <w:szCs w:val="24"/>
        </w:rPr>
        <w:t>更换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质保期后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收取维修成本费（备</w:t>
      </w:r>
      <w:r>
        <w:rPr>
          <w:rFonts w:hint="eastAsia" w:asciiTheme="minorEastAsia" w:hAnsiTheme="minorEastAsia" w:eastAsiaTheme="minorEastAsia" w:cstheme="minorEastAsia"/>
          <w:sz w:val="24"/>
          <w:szCs w:val="24"/>
        </w:rPr>
        <w:t xml:space="preserve"> 品备件乙方应以投标文件承诺的优惠价格提供</w:t>
      </w:r>
      <w:r>
        <w:rPr>
          <w:rFonts w:hint="eastAsia" w:asciiTheme="minorEastAsia" w:hAnsiTheme="minorEastAsia" w:eastAsiaTheme="minorEastAsia" w:cstheme="minorEastAsia"/>
          <w:spacing w:val="-69"/>
          <w:sz w:val="24"/>
          <w:szCs w:val="24"/>
        </w:rPr>
        <w:t>）</w:t>
      </w:r>
      <w:r>
        <w:rPr>
          <w:rFonts w:hint="eastAsia" w:asciiTheme="minorEastAsia" w:hAnsiTheme="minorEastAsia" w:eastAsiaTheme="minorEastAsia" w:cstheme="minorEastAsia"/>
          <w:spacing w:val="-68"/>
          <w:sz w:val="24"/>
          <w:szCs w:val="24"/>
        </w:rPr>
        <w:t>。</w:t>
      </w:r>
    </w:p>
    <w:p w14:paraId="5CCDEB42">
      <w:pPr>
        <w:spacing w:line="217" w:lineRule="auto"/>
        <w:ind w:firstLine="494"/>
        <w:rPr>
          <w:rFonts w:hint="eastAsia" w:asciiTheme="minorEastAsia" w:hAnsiTheme="minorEastAsia" w:eastAsiaTheme="minorEastAsia" w:cstheme="minorEastAsia"/>
          <w:spacing w:val="-1"/>
          <w:sz w:val="24"/>
          <w:szCs w:val="24"/>
        </w:rPr>
      </w:pPr>
    </w:p>
    <w:p w14:paraId="215B4141">
      <w:pPr>
        <w:spacing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分包</w:t>
      </w:r>
    </w:p>
    <w:p w14:paraId="0CA80C16">
      <w:pPr>
        <w:spacing w:before="185" w:line="360" w:lineRule="auto"/>
        <w:ind w:right="80"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除招标采购文件事先说明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且经甲方事先书面同意外</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乙方不得</w:t>
      </w:r>
      <w:r>
        <w:rPr>
          <w:rFonts w:hint="eastAsia" w:asciiTheme="minorEastAsia" w:hAnsiTheme="minorEastAsia" w:eastAsiaTheme="minorEastAsia" w:cstheme="minorEastAsia"/>
          <w:spacing w:val="1"/>
          <w:sz w:val="24"/>
          <w:szCs w:val="24"/>
        </w:rPr>
        <w:t>分包其应履</w:t>
      </w:r>
      <w:r>
        <w:rPr>
          <w:rFonts w:hint="eastAsia" w:asciiTheme="minorEastAsia" w:hAnsiTheme="minorEastAsia" w:eastAsiaTheme="minorEastAsia" w:cstheme="minorEastAsia"/>
          <w:sz w:val="24"/>
          <w:szCs w:val="24"/>
        </w:rPr>
        <w:t xml:space="preserve"> 行的合同义务</w:t>
      </w:r>
      <w:r>
        <w:rPr>
          <w:rFonts w:hint="eastAsia" w:asciiTheme="minorEastAsia" w:hAnsiTheme="minorEastAsia" w:eastAsiaTheme="minorEastAsia" w:cstheme="minorEastAsia"/>
          <w:spacing w:val="-50"/>
          <w:sz w:val="24"/>
          <w:szCs w:val="24"/>
        </w:rPr>
        <w:t>。</w:t>
      </w:r>
    </w:p>
    <w:p w14:paraId="1DEA6C93">
      <w:pPr>
        <w:spacing w:line="217" w:lineRule="auto"/>
        <w:ind w:firstLine="494"/>
        <w:rPr>
          <w:rFonts w:hint="eastAsia" w:asciiTheme="minorEastAsia" w:hAnsiTheme="minorEastAsia" w:eastAsiaTheme="minorEastAsia" w:cstheme="minorEastAsia"/>
          <w:spacing w:val="-1"/>
          <w:sz w:val="24"/>
          <w:szCs w:val="24"/>
        </w:rPr>
      </w:pPr>
    </w:p>
    <w:p w14:paraId="63806489">
      <w:pPr>
        <w:spacing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第十一条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合同的生效</w:t>
      </w:r>
    </w:p>
    <w:p w14:paraId="712D8654">
      <w:pPr>
        <w:spacing w:before="186" w:line="215"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1.本合同经甲乙双方授权代表签订并加盖公章或合同专用章后生效</w:t>
      </w:r>
      <w:r>
        <w:rPr>
          <w:rFonts w:hint="eastAsia" w:asciiTheme="minorEastAsia" w:hAnsiTheme="minorEastAsia" w:eastAsiaTheme="minorEastAsia" w:cstheme="minorEastAsia"/>
          <w:spacing w:val="-71"/>
          <w:sz w:val="24"/>
          <w:szCs w:val="24"/>
        </w:rPr>
        <w:t>。</w:t>
      </w:r>
    </w:p>
    <w:p w14:paraId="77692FBC">
      <w:pPr>
        <w:spacing w:before="188" w:line="360" w:lineRule="auto"/>
        <w:ind w:left="2" w:right="65"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2.生效后</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除《政府采购法》第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49</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50 条第二款规定的情形外</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甲乙 双方不得擅自变更</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中止或终止合同</w:t>
      </w:r>
      <w:r>
        <w:rPr>
          <w:rFonts w:hint="eastAsia" w:asciiTheme="minorEastAsia" w:hAnsiTheme="minorEastAsia" w:eastAsiaTheme="minorEastAsia" w:cstheme="minorEastAsia"/>
          <w:spacing w:val="-29"/>
          <w:sz w:val="24"/>
          <w:szCs w:val="24"/>
        </w:rPr>
        <w:t>。</w:t>
      </w:r>
    </w:p>
    <w:p w14:paraId="6D6CFF5C">
      <w:pPr>
        <w:spacing w:before="1"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w:t>
      </w:r>
      <w:r>
        <w:rPr>
          <w:rFonts w:hint="eastAsia" w:asciiTheme="minorEastAsia" w:hAnsiTheme="minorEastAsia" w:eastAsiaTheme="minorEastAsia" w:cstheme="minorEastAsia"/>
          <w:sz w:val="24"/>
          <w:szCs w:val="24"/>
        </w:rPr>
        <w:t>二条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违约责任</w:t>
      </w:r>
    </w:p>
    <w:p w14:paraId="6C9790D9">
      <w:pPr>
        <w:spacing w:before="185" w:line="360" w:lineRule="auto"/>
        <w:ind w:right="61"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乙方所交付的货物不符合</w:t>
      </w:r>
      <w:r>
        <w:rPr>
          <w:rFonts w:hint="eastAsia" w:asciiTheme="minorEastAsia" w:hAnsiTheme="minorEastAsia" w:eastAsiaTheme="minorEastAsia" w:cstheme="minorEastAsia"/>
          <w:spacing w:val="2"/>
          <w:sz w:val="24"/>
          <w:szCs w:val="24"/>
        </w:rPr>
        <w:t>本合同规定的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甲方有权拒收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乙方在得到甲方</w:t>
      </w:r>
      <w:r>
        <w:rPr>
          <w:rFonts w:hint="eastAsia" w:asciiTheme="minorEastAsia" w:hAnsiTheme="minorEastAsia" w:eastAsiaTheme="minorEastAsia" w:cstheme="minorEastAsia"/>
          <w:sz w:val="24"/>
          <w:szCs w:val="24"/>
        </w:rPr>
        <w:t xml:space="preserve"> 通知之日起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个工作日内采取补救措施</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逾期仍未采取有效措施的</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 xml:space="preserve">甲方有权 </w:t>
      </w:r>
      <w:r>
        <w:rPr>
          <w:rFonts w:hint="eastAsia" w:asciiTheme="minorEastAsia" w:hAnsiTheme="minorEastAsia" w:eastAsiaTheme="minorEastAsia" w:cstheme="minorEastAsia"/>
          <w:spacing w:val="3"/>
          <w:sz w:val="24"/>
          <w:szCs w:val="24"/>
        </w:rPr>
        <w:t>要求乙方赔偿因此造成的损失或扣留履约保证金</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同时乙方应</w:t>
      </w:r>
      <w:r>
        <w:rPr>
          <w:rFonts w:hint="eastAsia" w:asciiTheme="minorEastAsia" w:hAnsiTheme="minorEastAsia" w:eastAsiaTheme="minorEastAsia" w:cstheme="minorEastAsia"/>
          <w:spacing w:val="2"/>
          <w:sz w:val="24"/>
          <w:szCs w:val="24"/>
        </w:rPr>
        <w:t>向甲方支付合同总</w:t>
      </w:r>
      <w:r>
        <w:rPr>
          <w:rFonts w:hint="eastAsia" w:asciiTheme="minorEastAsia" w:hAnsiTheme="minorEastAsia" w:eastAsiaTheme="minorEastAsia" w:cstheme="minorEastAsia"/>
          <w:sz w:val="24"/>
          <w:szCs w:val="24"/>
        </w:rPr>
        <w:t xml:space="preserve"> 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％的违约金</w:t>
      </w:r>
      <w:r>
        <w:rPr>
          <w:rFonts w:hint="eastAsia" w:asciiTheme="minorEastAsia" w:hAnsiTheme="minorEastAsia" w:eastAsiaTheme="minorEastAsia" w:cstheme="minorEastAsia"/>
          <w:spacing w:val="-41"/>
          <w:sz w:val="24"/>
          <w:szCs w:val="24"/>
        </w:rPr>
        <w:t>。</w:t>
      </w:r>
    </w:p>
    <w:p w14:paraId="44489C20">
      <w:pPr>
        <w:spacing w:line="359" w:lineRule="auto"/>
        <w:ind w:left="20" w:right="118" w:firstLine="4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2.甲方无正当理由拒收货物</w:t>
      </w:r>
      <w:r>
        <w:rPr>
          <w:rFonts w:hint="eastAsia" w:asciiTheme="minorEastAsia" w:hAnsiTheme="minorEastAsia" w:eastAsiaTheme="minorEastAsia" w:cstheme="minorEastAsia"/>
          <w:spacing w:val="-10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拒付货款的</w:t>
      </w:r>
      <w:r>
        <w:rPr>
          <w:rFonts w:hint="eastAsia" w:asciiTheme="minorEastAsia" w:hAnsiTheme="minorEastAsia" w:eastAsiaTheme="minorEastAsia" w:cstheme="minorEastAsia"/>
          <w:spacing w:val="-10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甲方应向乙方偿付拒付货款</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的违约金</w:t>
      </w:r>
      <w:r>
        <w:rPr>
          <w:rFonts w:hint="eastAsia" w:asciiTheme="minorEastAsia" w:hAnsiTheme="minorEastAsia" w:eastAsiaTheme="minorEastAsia" w:cstheme="minorEastAsia"/>
          <w:spacing w:val="-63"/>
          <w:sz w:val="24"/>
          <w:szCs w:val="24"/>
        </w:rPr>
        <w:t>。</w:t>
      </w:r>
    </w:p>
    <w:p w14:paraId="25CEC3F5">
      <w:pPr>
        <w:spacing w:before="5" w:line="359" w:lineRule="auto"/>
        <w:ind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3.乙方无正当理由逾期交付货物的</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每逾期</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天</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乙方向甲方偿付逾期交货 部分货款总额的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‰的违约金</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如乙方逾期交货达</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天</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甲方有权解除合同</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 xml:space="preserve"> 甲方解除合同的通知自到达乙方时生效。</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z w:val="24"/>
          <w:szCs w:val="24"/>
        </w:rPr>
        <w:t>在此情况下，乙方给甲方造成的实际损 失高于违约金的</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z w:val="24"/>
          <w:szCs w:val="24"/>
        </w:rPr>
        <w:t>对高出违约金的部分乙方应予以赔偿</w:t>
      </w:r>
      <w:r>
        <w:rPr>
          <w:rFonts w:hint="eastAsia" w:asciiTheme="minorEastAsia" w:hAnsiTheme="minorEastAsia" w:eastAsiaTheme="minorEastAsia" w:cstheme="minorEastAsia"/>
          <w:spacing w:val="-28"/>
          <w:sz w:val="24"/>
          <w:szCs w:val="24"/>
        </w:rPr>
        <w:t>。</w:t>
      </w:r>
    </w:p>
    <w:p w14:paraId="2C571AAB">
      <w:pPr>
        <w:spacing w:before="2" w:line="368" w:lineRule="auto"/>
        <w:ind w:left="12" w:right="65"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4.甲方未按合同规定的期限向乙方支付货款的</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每逾期</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天甲方向乙方偿付 欠款总额的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‰违约金</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z w:val="24"/>
          <w:szCs w:val="24"/>
        </w:rPr>
        <w:t>但累计违约金总额不超过欠款总额的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w:t>
      </w:r>
    </w:p>
    <w:p w14:paraId="5BA2E9CD">
      <w:pPr>
        <w:spacing w:before="78" w:line="360" w:lineRule="auto"/>
        <w:ind w:left="8" w:right="61"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5.在乙方承诺的或国家规定的质量保证期内（取两者中最长的期限</w:t>
      </w:r>
      <w:r>
        <w:rPr>
          <w:rFonts w:hint="eastAsia" w:asciiTheme="minorEastAsia" w:hAnsiTheme="minorEastAsia" w:eastAsiaTheme="minorEastAsia" w:cstheme="minorEastAsia"/>
          <w:spacing w:val="-80"/>
          <w:sz w:val="24"/>
          <w:szCs w:val="24"/>
        </w:rPr>
        <w:t>）</w:t>
      </w:r>
      <w:r>
        <w:rPr>
          <w:rFonts w:hint="eastAsia" w:asciiTheme="minorEastAsia" w:hAnsiTheme="minorEastAsia" w:eastAsiaTheme="minorEastAsia" w:cstheme="minorEastAsia"/>
          <w:spacing w:val="-79"/>
          <w:sz w:val="24"/>
          <w:szCs w:val="24"/>
        </w:rPr>
        <w:t>，</w:t>
      </w:r>
      <w:r>
        <w:rPr>
          <w:rFonts w:hint="eastAsia" w:asciiTheme="minorEastAsia" w:hAnsiTheme="minorEastAsia" w:eastAsiaTheme="minorEastAsia" w:cstheme="minorEastAsia"/>
          <w:sz w:val="24"/>
          <w:szCs w:val="24"/>
        </w:rPr>
        <w:t xml:space="preserve">如经乙 </w:t>
      </w:r>
      <w:r>
        <w:rPr>
          <w:rFonts w:hint="eastAsia" w:asciiTheme="minorEastAsia" w:hAnsiTheme="minorEastAsia" w:eastAsiaTheme="minorEastAsia" w:cstheme="minorEastAsia"/>
          <w:spacing w:val="3"/>
          <w:sz w:val="24"/>
          <w:szCs w:val="24"/>
        </w:rPr>
        <w:t>方两次维修，货物仍不能达到合同约定的质量标准、</w:t>
      </w:r>
      <w:r>
        <w:rPr>
          <w:rFonts w:hint="eastAsia" w:asciiTheme="minorEastAsia" w:hAnsiTheme="minorEastAsia" w:eastAsiaTheme="minorEastAsia" w:cstheme="minorEastAsia"/>
          <w:spacing w:val="2"/>
          <w:sz w:val="24"/>
          <w:szCs w:val="24"/>
        </w:rPr>
        <w:t>运行效果的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甲方有权要求</w:t>
      </w:r>
      <w:r>
        <w:rPr>
          <w:rFonts w:hint="eastAsia" w:asciiTheme="minorEastAsia" w:hAnsiTheme="minorEastAsia" w:eastAsiaTheme="minorEastAsia" w:cstheme="minorEastAsia"/>
          <w:sz w:val="24"/>
          <w:szCs w:val="24"/>
        </w:rPr>
        <w:t xml:space="preserve"> 乙方更换为全新合格货物并按本条第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款处理</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同时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乙方还须赔偿甲方因此遭 受的损失</w:t>
      </w:r>
      <w:r>
        <w:rPr>
          <w:rFonts w:hint="eastAsia" w:asciiTheme="minorEastAsia" w:hAnsiTheme="minorEastAsia" w:eastAsiaTheme="minorEastAsia" w:cstheme="minorEastAsia"/>
          <w:spacing w:val="-50"/>
          <w:sz w:val="24"/>
          <w:szCs w:val="24"/>
        </w:rPr>
        <w:t>。</w:t>
      </w:r>
    </w:p>
    <w:p w14:paraId="5917ECED">
      <w:pPr>
        <w:spacing w:line="360" w:lineRule="auto"/>
        <w:ind w:left="11"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6.其它未尽事宜</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以《合同法》和《政府采购法》等有关法律法规规定为准</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z w:val="24"/>
          <w:szCs w:val="24"/>
        </w:rPr>
        <w:t xml:space="preserve"> 无相关规定的</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双方协商解决</w:t>
      </w:r>
      <w:r>
        <w:rPr>
          <w:rFonts w:hint="eastAsia" w:asciiTheme="minorEastAsia" w:hAnsiTheme="minorEastAsia" w:eastAsiaTheme="minorEastAsia" w:cstheme="minorEastAsia"/>
          <w:spacing w:val="-30"/>
          <w:sz w:val="24"/>
          <w:szCs w:val="24"/>
        </w:rPr>
        <w:t>。</w:t>
      </w:r>
    </w:p>
    <w:p w14:paraId="153EC7B9">
      <w:pPr>
        <w:spacing w:line="217" w:lineRule="auto"/>
        <w:ind w:firstLine="499"/>
        <w:rPr>
          <w:rFonts w:hint="eastAsia" w:asciiTheme="minorEastAsia" w:hAnsiTheme="minorEastAsia" w:eastAsiaTheme="minorEastAsia" w:cstheme="minorEastAsia"/>
          <w:spacing w:val="-1"/>
          <w:sz w:val="24"/>
          <w:szCs w:val="24"/>
        </w:rPr>
      </w:pPr>
    </w:p>
    <w:p w14:paraId="3870BD73">
      <w:pPr>
        <w:spacing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第十三条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不可抗力</w:t>
      </w:r>
    </w:p>
    <w:p w14:paraId="6C2AB40F">
      <w:pPr>
        <w:spacing w:before="185" w:line="360" w:lineRule="auto"/>
        <w:ind w:right="61"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甲</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乙方中任何一方</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因不可抗力不能按时或完全履行</w:t>
      </w:r>
      <w:r>
        <w:rPr>
          <w:rFonts w:hint="eastAsia" w:asciiTheme="minorEastAsia" w:hAnsiTheme="minorEastAsia" w:eastAsiaTheme="minorEastAsia" w:cstheme="minorEastAsia"/>
          <w:spacing w:val="1"/>
          <w:sz w:val="24"/>
          <w:szCs w:val="24"/>
        </w:rPr>
        <w:t>合同的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应及时通知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对方，并在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3"/>
          <w:sz w:val="24"/>
          <w:szCs w:val="24"/>
        </w:rPr>
        <w:t>个工作日内提供相应证明。未履行完合同</w:t>
      </w:r>
      <w:r>
        <w:rPr>
          <w:rFonts w:hint="eastAsia" w:asciiTheme="minorEastAsia" w:hAnsiTheme="minorEastAsia" w:eastAsiaTheme="minorEastAsia" w:cstheme="minorEastAsia"/>
          <w:spacing w:val="2"/>
          <w:sz w:val="24"/>
          <w:szCs w:val="24"/>
        </w:rPr>
        <w:t>部分是否继续履行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如</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何履行等问题</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可由双方初步协商</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并向主管部门和政府采购管</w:t>
      </w:r>
      <w:r>
        <w:rPr>
          <w:rFonts w:hint="eastAsia" w:asciiTheme="minorEastAsia" w:hAnsiTheme="minorEastAsia" w:eastAsiaTheme="minorEastAsia" w:cstheme="minorEastAsia"/>
          <w:spacing w:val="2"/>
          <w:sz w:val="24"/>
          <w:szCs w:val="24"/>
        </w:rPr>
        <w:t>理部门报告</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确</w:t>
      </w:r>
      <w:r>
        <w:rPr>
          <w:rFonts w:hint="eastAsia" w:asciiTheme="minorEastAsia" w:hAnsiTheme="minorEastAsia" w:eastAsiaTheme="minorEastAsia" w:cstheme="minorEastAsia"/>
          <w:sz w:val="24"/>
          <w:szCs w:val="24"/>
        </w:rPr>
        <w:t xml:space="preserve"> 定为不可抗力原因造成的损失</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rPr>
        <w:t>免予承担责任</w:t>
      </w:r>
      <w:r>
        <w:rPr>
          <w:rFonts w:hint="eastAsia" w:asciiTheme="minorEastAsia" w:hAnsiTheme="minorEastAsia" w:eastAsiaTheme="minorEastAsia" w:cstheme="minorEastAsia"/>
          <w:spacing w:val="-25"/>
          <w:sz w:val="24"/>
          <w:szCs w:val="24"/>
        </w:rPr>
        <w:t>。</w:t>
      </w:r>
    </w:p>
    <w:p w14:paraId="2511A37E">
      <w:pPr>
        <w:spacing w:line="217" w:lineRule="auto"/>
        <w:ind w:firstLine="499"/>
        <w:rPr>
          <w:rFonts w:hint="eastAsia" w:asciiTheme="minorEastAsia" w:hAnsiTheme="minorEastAsia" w:eastAsiaTheme="minorEastAsia" w:cstheme="minorEastAsia"/>
          <w:spacing w:val="-1"/>
          <w:sz w:val="24"/>
          <w:szCs w:val="24"/>
        </w:rPr>
      </w:pPr>
    </w:p>
    <w:p w14:paraId="03D7F001">
      <w:pPr>
        <w:spacing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w:t>
      </w:r>
      <w:r>
        <w:rPr>
          <w:rFonts w:hint="eastAsia" w:asciiTheme="minorEastAsia" w:hAnsiTheme="minorEastAsia" w:eastAsiaTheme="minorEastAsia" w:cstheme="minorEastAsia"/>
          <w:sz w:val="24"/>
          <w:szCs w:val="24"/>
        </w:rPr>
        <w:t>四条</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z w:val="24"/>
          <w:szCs w:val="24"/>
        </w:rPr>
        <w:t>争议的解决方式</w:t>
      </w:r>
    </w:p>
    <w:p w14:paraId="7F985E8D">
      <w:pPr>
        <w:spacing w:before="181" w:line="361" w:lineRule="auto"/>
        <w:ind w:left="5" w:right="62"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因货物的质量问题发生争议</w:t>
      </w:r>
      <w:r>
        <w:rPr>
          <w:rFonts w:hint="eastAsia" w:asciiTheme="minorEastAsia" w:hAnsiTheme="minorEastAsia" w:eastAsiaTheme="minorEastAsia" w:cstheme="minorEastAsia"/>
          <w:spacing w:val="2"/>
          <w:sz w:val="24"/>
          <w:szCs w:val="24"/>
        </w:rPr>
        <w:t>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应当邀请国家认可的质量检测机构对货物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质量进</w:t>
      </w:r>
      <w:r>
        <w:rPr>
          <w:rFonts w:hint="eastAsia" w:asciiTheme="minorEastAsia" w:hAnsiTheme="minorEastAsia" w:eastAsiaTheme="minorEastAsia" w:cstheme="minorEastAsia"/>
          <w:spacing w:val="1"/>
          <w:sz w:val="24"/>
          <w:szCs w:val="24"/>
        </w:rPr>
        <w:t>行鉴定</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货物符合标准的</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鉴定费由甲方承担</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货物不符合质量标准的</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 xml:space="preserve"> 鉴定费由乙方承担</w:t>
      </w:r>
      <w:r>
        <w:rPr>
          <w:rFonts w:hint="eastAsia" w:asciiTheme="minorEastAsia" w:hAnsiTheme="minorEastAsia" w:eastAsiaTheme="minorEastAsia" w:cstheme="minorEastAsia"/>
          <w:spacing w:val="-53"/>
          <w:sz w:val="24"/>
          <w:szCs w:val="24"/>
        </w:rPr>
        <w:t>。</w:t>
      </w:r>
    </w:p>
    <w:p w14:paraId="288987BA">
      <w:pPr>
        <w:spacing w:before="2" w:line="382" w:lineRule="auto"/>
        <w:ind w:right="2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2.在解释或者执行本合同的过程中发生争议时</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双方应通过协商方式解决</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 xml:space="preserve"> </w:t>
      </w:r>
    </w:p>
    <w:p w14:paraId="1FA3C170">
      <w:pPr>
        <w:spacing w:before="2" w:line="382" w:lineRule="auto"/>
        <w:ind w:right="2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3.经协商不能解决的争议</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双方可选择以下第</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种方式解决</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 xml:space="preserve">           </w:t>
      </w:r>
    </w:p>
    <w:p w14:paraId="110772F8">
      <w:pPr>
        <w:spacing w:before="2" w:line="382" w:lineRule="auto"/>
        <w:ind w:right="2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①向</w:t>
      </w:r>
      <w:r>
        <w:rPr>
          <w:rFonts w:hint="eastAsia" w:asciiTheme="minorEastAsia" w:hAnsiTheme="minorEastAsia" w:eastAsiaTheme="minorEastAsia" w:cstheme="minorEastAsia"/>
          <w:sz w:val="24"/>
          <w:szCs w:val="24"/>
          <w:lang w:val="en-US" w:eastAsia="zh-CN"/>
        </w:rPr>
        <w:t>项目所在地</w:t>
      </w:r>
      <w:r>
        <w:rPr>
          <w:rFonts w:hint="eastAsia" w:asciiTheme="minorEastAsia" w:hAnsiTheme="minorEastAsia" w:eastAsiaTheme="minorEastAsia" w:cstheme="minorEastAsia"/>
          <w:sz w:val="24"/>
          <w:szCs w:val="24"/>
        </w:rPr>
        <w:t>有管辖权的法院提起诉讼</w:t>
      </w:r>
      <w:r>
        <w:rPr>
          <w:rFonts w:hint="eastAsia" w:asciiTheme="minorEastAsia" w:hAnsiTheme="minorEastAsia" w:eastAsiaTheme="minorEastAsia" w:cstheme="minorEastAsia"/>
          <w:spacing w:val="-81"/>
          <w:sz w:val="24"/>
          <w:szCs w:val="24"/>
        </w:rPr>
        <w:t>；</w:t>
      </w:r>
    </w:p>
    <w:p w14:paraId="226DD8F1">
      <w:pPr>
        <w:spacing w:line="369" w:lineRule="auto"/>
        <w:ind w:right="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②向</w:t>
      </w:r>
      <w:r>
        <w:rPr>
          <w:rFonts w:hint="eastAsia" w:asciiTheme="minorEastAsia" w:hAnsiTheme="minorEastAsia" w:eastAsiaTheme="minorEastAsia" w:cstheme="minorEastAsia"/>
          <w:sz w:val="24"/>
          <w:szCs w:val="24"/>
          <w:lang w:val="en-US" w:eastAsia="zh-CN"/>
        </w:rPr>
        <w:t>项目所在地</w:t>
      </w:r>
      <w:r>
        <w:rPr>
          <w:rFonts w:hint="eastAsia" w:asciiTheme="minorEastAsia" w:hAnsiTheme="minorEastAsia" w:eastAsiaTheme="minorEastAsia" w:cstheme="minorEastAsia"/>
          <w:sz w:val="24"/>
          <w:szCs w:val="24"/>
        </w:rPr>
        <w:t>仲裁委员会提出仲裁</w:t>
      </w:r>
      <w:r>
        <w:rPr>
          <w:rFonts w:hint="eastAsia" w:asciiTheme="minorEastAsia" w:hAnsiTheme="minorEastAsia" w:eastAsiaTheme="minorEastAsia" w:cstheme="minorEastAsia"/>
          <w:spacing w:val="-71"/>
          <w:sz w:val="24"/>
          <w:szCs w:val="24"/>
        </w:rPr>
        <w:t>。</w:t>
      </w:r>
      <w:r>
        <w:rPr>
          <w:rFonts w:hint="eastAsia" w:asciiTheme="minorEastAsia" w:hAnsiTheme="minorEastAsia" w:eastAsiaTheme="minorEastAsia" w:cstheme="minorEastAsia"/>
          <w:sz w:val="24"/>
          <w:szCs w:val="24"/>
        </w:rPr>
        <w:t xml:space="preserve">                           </w:t>
      </w:r>
    </w:p>
    <w:p w14:paraId="36A97E5F">
      <w:pPr>
        <w:spacing w:line="369" w:lineRule="auto"/>
        <w:ind w:right="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.在法院审理和仲裁期间</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除有争议部分外，</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本合同其他部分可以履行的仍</w:t>
      </w:r>
    </w:p>
    <w:p w14:paraId="50FA1B78">
      <w:pPr>
        <w:spacing w:before="1" w:line="215"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应按合同条款继续履行</w:t>
      </w:r>
      <w:r>
        <w:rPr>
          <w:rFonts w:hint="eastAsia" w:asciiTheme="minorEastAsia" w:hAnsiTheme="minorEastAsia" w:eastAsiaTheme="minorEastAsia" w:cstheme="minorEastAsia"/>
          <w:spacing w:val="-59"/>
          <w:sz w:val="24"/>
          <w:szCs w:val="24"/>
        </w:rPr>
        <w:t>。</w:t>
      </w:r>
    </w:p>
    <w:p w14:paraId="6600871E">
      <w:pPr>
        <w:spacing w:before="136" w:line="217" w:lineRule="auto"/>
        <w:ind w:firstLine="499"/>
        <w:rPr>
          <w:rFonts w:hint="eastAsia" w:asciiTheme="minorEastAsia" w:hAnsiTheme="minorEastAsia" w:eastAsiaTheme="minorEastAsia" w:cstheme="minorEastAsia"/>
          <w:spacing w:val="-1"/>
          <w:sz w:val="24"/>
          <w:szCs w:val="24"/>
        </w:rPr>
      </w:pPr>
    </w:p>
    <w:p w14:paraId="336DD63C">
      <w:pPr>
        <w:spacing w:before="136"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第十五</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其他</w:t>
      </w:r>
    </w:p>
    <w:p w14:paraId="0557ABF5">
      <w:pPr>
        <w:spacing w:before="186" w:line="360" w:lineRule="auto"/>
        <w:ind w:left="11" w:right="65"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符合《政府采购法》第 49 条规定的</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经双方协商</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办理政府采购手续后</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可 签订补充合同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z w:val="24"/>
          <w:szCs w:val="24"/>
        </w:rPr>
        <w:t>所签订的补充合同与本合同具有同等法律效力</w:t>
      </w:r>
      <w:r>
        <w:rPr>
          <w:rFonts w:hint="eastAsia" w:asciiTheme="minorEastAsia" w:hAnsiTheme="minorEastAsia" w:eastAsiaTheme="minorEastAsia" w:cstheme="minorEastAsia"/>
          <w:spacing w:val="-32"/>
          <w:sz w:val="24"/>
          <w:szCs w:val="24"/>
        </w:rPr>
        <w:t>。</w:t>
      </w:r>
    </w:p>
    <w:p w14:paraId="771E942B">
      <w:pPr>
        <w:spacing w:line="217"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甲</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乙双方各执</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份</w:t>
      </w:r>
      <w:r>
        <w:rPr>
          <w:rFonts w:hint="eastAsia" w:asciiTheme="minorEastAsia" w:hAnsiTheme="minorEastAsia" w:eastAsiaTheme="minorEastAsia" w:cstheme="minorEastAsia"/>
          <w:spacing w:val="-10"/>
          <w:sz w:val="24"/>
          <w:szCs w:val="24"/>
        </w:rPr>
        <w:t>。</w:t>
      </w:r>
    </w:p>
    <w:p w14:paraId="76030BF0">
      <w:pPr>
        <w:spacing w:before="48" w:line="217" w:lineRule="auto"/>
        <w:ind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方</w:t>
      </w:r>
      <w:r>
        <w:rPr>
          <w:rFonts w:hint="eastAsia" w:asciiTheme="minorEastAsia" w:hAnsiTheme="minorEastAsia" w:eastAsiaTheme="minorEastAsia" w:cstheme="minorEastAsia"/>
          <w:spacing w:val="-69"/>
          <w:sz w:val="24"/>
          <w:szCs w:val="24"/>
        </w:rPr>
        <w:t>：</w:t>
      </w:r>
      <w:r>
        <w:rPr>
          <w:rFonts w:hint="eastAsia" w:asciiTheme="minorEastAsia" w:hAnsiTheme="minorEastAsia" w:cstheme="minorEastAsia"/>
          <w:spacing w:val="-69"/>
          <w:sz w:val="24"/>
          <w:szCs w:val="24"/>
          <w:lang w:val="en-US" w:eastAsia="zh-CN"/>
        </w:rPr>
        <w:t xml:space="preserve">               </w:t>
      </w:r>
      <w:r>
        <w:rPr>
          <w:rFonts w:hint="eastAsia" w:asciiTheme="minorEastAsia" w:hAnsiTheme="minorEastAsia" w:eastAsiaTheme="minorEastAsia" w:cstheme="minorEastAsia"/>
          <w:sz w:val="24"/>
          <w:szCs w:val="24"/>
        </w:rPr>
        <w:t>乙   方：</w:t>
      </w:r>
    </w:p>
    <w:p w14:paraId="21BD7DE9">
      <w:pPr>
        <w:spacing w:before="48" w:line="217" w:lineRule="auto"/>
        <w:ind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 （盖章）</w:t>
      </w:r>
    </w:p>
    <w:p w14:paraId="0280BBF7">
      <w:pPr>
        <w:spacing w:before="48" w:line="217" w:lineRule="auto"/>
        <w:ind w:firstLine="519"/>
        <w:rPr>
          <w:rFonts w:hint="eastAsia" w:asciiTheme="minorEastAsia" w:hAnsiTheme="minorEastAsia" w:eastAsiaTheme="minorEastAsia" w:cstheme="minorEastAsia"/>
          <w:sz w:val="24"/>
          <w:szCs w:val="24"/>
        </w:rPr>
      </w:pPr>
    </w:p>
    <w:p w14:paraId="28A4C544">
      <w:pPr>
        <w:spacing w:before="48" w:line="217" w:lineRule="auto"/>
        <w:ind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pacing w:val="-48"/>
          <w:sz w:val="24"/>
          <w:szCs w:val="24"/>
        </w:rPr>
        <w:t>）</w:t>
      </w:r>
    </w:p>
    <w:p w14:paraId="6B7203F4">
      <w:pPr>
        <w:spacing w:line="161" w:lineRule="exact"/>
        <w:rPr>
          <w:rFonts w:hint="eastAsia" w:asciiTheme="minorEastAsia" w:hAnsiTheme="minorEastAsia" w:eastAsiaTheme="minorEastAsia" w:cstheme="minorEastAsia"/>
          <w:sz w:val="24"/>
          <w:szCs w:val="24"/>
        </w:rPr>
      </w:pPr>
    </w:p>
    <w:p w14:paraId="3B2CA042">
      <w:pPr>
        <w:rPr>
          <w:rFonts w:hint="eastAsia" w:asciiTheme="minorEastAsia" w:hAnsiTheme="minorEastAsia" w:eastAsiaTheme="minorEastAsia" w:cstheme="minorEastAsia"/>
          <w:sz w:val="24"/>
          <w:szCs w:val="24"/>
        </w:rPr>
        <w:sectPr>
          <w:pgSz w:w="11905" w:h="16840"/>
          <w:pgMar w:top="1134" w:right="1134" w:bottom="1134" w:left="1417" w:header="0" w:footer="0" w:gutter="0"/>
          <w:pgNumType w:fmt="numberInDash"/>
          <w:cols w:space="720" w:num="1"/>
          <w:rtlGutter w:val="0"/>
        </w:sectPr>
      </w:pPr>
    </w:p>
    <w:p w14:paraId="7A26354D">
      <w:pPr>
        <w:spacing w:before="47" w:line="227"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pacing w:val="-48"/>
          <w:sz w:val="24"/>
          <w:szCs w:val="24"/>
        </w:rPr>
        <w:t>：</w:t>
      </w:r>
    </w:p>
    <w:p w14:paraId="4C24D8ED">
      <w:pPr>
        <w:spacing w:before="172" w:line="468" w:lineRule="exact"/>
        <w:ind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法定代表人（签字</w:t>
      </w:r>
      <w:r>
        <w:rPr>
          <w:rFonts w:hint="eastAsia" w:asciiTheme="minorEastAsia" w:hAnsiTheme="minorEastAsia" w:eastAsiaTheme="minorEastAsia" w:cstheme="minorEastAsia"/>
          <w:spacing w:val="-69"/>
          <w:position w:val="17"/>
          <w:sz w:val="24"/>
          <w:szCs w:val="24"/>
        </w:rPr>
        <w:t>）：</w:t>
      </w:r>
    </w:p>
    <w:p w14:paraId="7CE0718F">
      <w:pPr>
        <w:spacing w:line="217"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r>
        <w:rPr>
          <w:rFonts w:hint="eastAsia" w:asciiTheme="minorEastAsia" w:hAnsiTheme="minorEastAsia" w:eastAsiaTheme="minorEastAsia" w:cstheme="minorEastAsia"/>
          <w:spacing w:val="-64"/>
          <w:sz w:val="24"/>
          <w:szCs w:val="24"/>
        </w:rPr>
        <w:t>）：</w:t>
      </w:r>
    </w:p>
    <w:p w14:paraId="45221FEA">
      <w:pPr>
        <w:spacing w:before="185" w:line="216" w:lineRule="auto"/>
        <w:ind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pacing w:val="-65"/>
          <w:sz w:val="24"/>
          <w:szCs w:val="24"/>
        </w:rPr>
        <w:t>：</w:t>
      </w:r>
    </w:p>
    <w:p w14:paraId="44186003">
      <w:pPr>
        <w:spacing w:before="187" w:line="216"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pacing w:val="-58"/>
          <w:sz w:val="24"/>
          <w:szCs w:val="24"/>
        </w:rPr>
        <w:t>：</w:t>
      </w:r>
    </w:p>
    <w:p w14:paraId="5E2E4130">
      <w:pPr>
        <w:spacing w:before="187" w:line="184"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合同法律审核（盖章</w:t>
      </w:r>
      <w:r>
        <w:rPr>
          <w:rFonts w:hint="eastAsia" w:asciiTheme="minorEastAsia" w:hAnsiTheme="minorEastAsia" w:eastAsiaTheme="minorEastAsia" w:cstheme="minorEastAsia"/>
          <w:spacing w:val="-67"/>
          <w:sz w:val="24"/>
          <w:szCs w:val="24"/>
        </w:rPr>
        <w:t>）</w:t>
      </w:r>
      <w:r>
        <w:rPr>
          <w:rFonts w:hint="eastAsia" w:asciiTheme="minorEastAsia" w:hAnsiTheme="minorEastAsia" w:eastAsiaTheme="minorEastAsia" w:cstheme="minorEastAsia"/>
          <w:spacing w:val="-66"/>
          <w:sz w:val="24"/>
          <w:szCs w:val="24"/>
        </w:rPr>
        <w:t>：</w:t>
      </w:r>
    </w:p>
    <w:p w14:paraId="7B7F9B77">
      <w:pPr>
        <w:spacing w:line="1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column"/>
      </w:r>
    </w:p>
    <w:p w14:paraId="0FA97ED7">
      <w:pPr>
        <w:spacing w:before="46" w:line="22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pacing w:val="-48"/>
          <w:sz w:val="24"/>
          <w:szCs w:val="24"/>
        </w:rPr>
        <w:t>：</w:t>
      </w:r>
    </w:p>
    <w:p w14:paraId="439694C5">
      <w:pPr>
        <w:spacing w:before="172" w:line="468" w:lineRule="exact"/>
        <w:ind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法定代表人（签字</w:t>
      </w:r>
      <w:r>
        <w:rPr>
          <w:rFonts w:hint="eastAsia" w:asciiTheme="minorEastAsia" w:hAnsiTheme="minorEastAsia" w:eastAsiaTheme="minorEastAsia" w:cstheme="minorEastAsia"/>
          <w:spacing w:val="-69"/>
          <w:position w:val="17"/>
          <w:sz w:val="24"/>
          <w:szCs w:val="24"/>
        </w:rPr>
        <w:t>）：</w:t>
      </w:r>
    </w:p>
    <w:p w14:paraId="26C859A1">
      <w:pPr>
        <w:spacing w:line="21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r>
        <w:rPr>
          <w:rFonts w:hint="eastAsia" w:asciiTheme="minorEastAsia" w:hAnsiTheme="minorEastAsia" w:eastAsiaTheme="minorEastAsia" w:cstheme="minorEastAsia"/>
          <w:spacing w:val="-64"/>
          <w:sz w:val="24"/>
          <w:szCs w:val="24"/>
        </w:rPr>
        <w:t>）：</w:t>
      </w:r>
    </w:p>
    <w:p w14:paraId="1C61FAF7">
      <w:pPr>
        <w:spacing w:before="185" w:line="216" w:lineRule="auto"/>
        <w:ind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pacing w:val="-65"/>
          <w:sz w:val="24"/>
          <w:szCs w:val="24"/>
        </w:rPr>
        <w:t>：</w:t>
      </w:r>
    </w:p>
    <w:p w14:paraId="44B24788">
      <w:pPr>
        <w:spacing w:before="187" w:line="21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pacing w:val="-58"/>
          <w:sz w:val="24"/>
          <w:szCs w:val="24"/>
        </w:rPr>
        <w:t>：</w:t>
      </w:r>
    </w:p>
    <w:p w14:paraId="6A0755B3">
      <w:pPr>
        <w:rPr>
          <w:rFonts w:hint="eastAsia" w:asciiTheme="minorEastAsia" w:hAnsiTheme="minorEastAsia" w:eastAsiaTheme="minorEastAsia" w:cstheme="minorEastAsia"/>
          <w:sz w:val="24"/>
          <w:szCs w:val="24"/>
        </w:rPr>
        <w:sectPr>
          <w:type w:val="continuous"/>
          <w:pgSz w:w="11905" w:h="16840"/>
          <w:pgMar w:top="1134" w:right="1134" w:bottom="1134" w:left="1417" w:header="0" w:footer="0" w:gutter="0"/>
          <w:pgNumType w:fmt="numberInDash"/>
          <w:cols w:equalWidth="0" w:num="2">
            <w:col w:w="4632" w:space="100"/>
            <w:col w:w="4621"/>
          </w:cols>
          <w:rtlGutter w:val="0"/>
        </w:sectPr>
      </w:pPr>
    </w:p>
    <w:p w14:paraId="3E2D3018">
      <w:pPr>
        <w:spacing w:before="229" w:line="217" w:lineRule="auto"/>
        <w:ind w:firstLine="5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间</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z w:val="24"/>
          <w:szCs w:val="24"/>
        </w:rPr>
        <w:t>年     月     日</w:t>
      </w:r>
    </w:p>
    <w:p w14:paraId="18C8A895">
      <w:pPr>
        <w:spacing w:before="199" w:line="220" w:lineRule="auto"/>
        <w:ind w:firstLine="42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特别说明</w:t>
      </w:r>
      <w:r>
        <w:rPr>
          <w:rFonts w:hint="eastAsia" w:asciiTheme="minorEastAsia" w:hAnsiTheme="minorEastAsia" w:eastAsiaTheme="minorEastAsia" w:cstheme="minorEastAsia"/>
          <w:color w:val="auto"/>
          <w:spacing w:val="-5"/>
          <w:sz w:val="24"/>
          <w:szCs w:val="24"/>
        </w:rPr>
        <w:t>：</w:t>
      </w:r>
    </w:p>
    <w:p w14:paraId="67EA1C59">
      <w:pPr>
        <w:spacing w:before="218" w:line="411" w:lineRule="auto"/>
        <w:ind w:right="44" w:firstLine="43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1.本范本根据《政府采购法》</w:t>
      </w:r>
      <w:r>
        <w:rPr>
          <w:rFonts w:hint="eastAsia" w:asciiTheme="minorEastAsia" w:hAnsiTheme="minorEastAsia" w:eastAsiaTheme="minorEastAsia" w:cstheme="minorEastAsia"/>
          <w:color w:val="auto"/>
          <w:spacing w:val="-60"/>
          <w:sz w:val="24"/>
          <w:szCs w:val="24"/>
        </w:rPr>
        <w:t>、</w:t>
      </w:r>
      <w:r>
        <w:rPr>
          <w:rFonts w:hint="eastAsia" w:asciiTheme="minorEastAsia" w:hAnsiTheme="minorEastAsia" w:eastAsiaTheme="minorEastAsia" w:cstheme="minorEastAsia"/>
          <w:color w:val="auto"/>
          <w:sz w:val="24"/>
          <w:szCs w:val="24"/>
        </w:rPr>
        <w:t>《合同法》等法律法规制定</w:t>
      </w:r>
      <w:r>
        <w:rPr>
          <w:rFonts w:hint="eastAsia" w:asciiTheme="minorEastAsia" w:hAnsiTheme="minorEastAsia" w:eastAsiaTheme="minorEastAsia" w:cstheme="minorEastAsia"/>
          <w:color w:val="auto"/>
          <w:spacing w:val="-59"/>
          <w:sz w:val="24"/>
          <w:szCs w:val="24"/>
        </w:rPr>
        <w:t>。</w:t>
      </w:r>
      <w:r>
        <w:rPr>
          <w:rFonts w:hint="eastAsia" w:asciiTheme="minorEastAsia" w:hAnsiTheme="minorEastAsia" w:eastAsiaTheme="minorEastAsia" w:cstheme="minorEastAsia"/>
          <w:color w:val="auto"/>
          <w:sz w:val="24"/>
          <w:szCs w:val="24"/>
        </w:rPr>
        <w:t>具体项目的采购合同条款</w:t>
      </w:r>
      <w:r>
        <w:rPr>
          <w:rFonts w:hint="eastAsia" w:asciiTheme="minorEastAsia" w:hAnsiTheme="minorEastAsia" w:eastAsiaTheme="minorEastAsia" w:cstheme="minorEastAsia"/>
          <w:color w:val="auto"/>
          <w:spacing w:val="-59"/>
          <w:sz w:val="24"/>
          <w:szCs w:val="24"/>
        </w:rPr>
        <w:t>，</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在本范本框架内由</w:t>
      </w:r>
      <w:r>
        <w:rPr>
          <w:rFonts w:hint="eastAsia" w:asciiTheme="minorEastAsia" w:hAnsiTheme="minorEastAsia" w:eastAsiaTheme="minorEastAsia" w:cstheme="minorEastAsia"/>
          <w:color w:val="auto"/>
          <w:sz w:val="24"/>
          <w:szCs w:val="24"/>
        </w:rPr>
        <w:t>甲乙双方协商一致签订</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z w:val="24"/>
          <w:szCs w:val="24"/>
        </w:rPr>
        <w:t>空格处划横线</w:t>
      </w:r>
      <w:r>
        <w:rPr>
          <w:rFonts w:hint="eastAsia" w:asciiTheme="minorEastAsia" w:hAnsiTheme="minorEastAsia" w:eastAsiaTheme="minorEastAsia" w:cstheme="minorEastAsia"/>
          <w:color w:val="auto"/>
          <w:spacing w:val="1"/>
          <w:sz w:val="24"/>
          <w:szCs w:val="24"/>
        </w:rPr>
        <w:t>。</w:t>
      </w:r>
    </w:p>
    <w:p w14:paraId="2481350C">
      <w:pPr>
        <w:spacing w:before="1" w:line="411" w:lineRule="auto"/>
        <w:ind w:firstLine="4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w:t>
      </w:r>
      <w:r>
        <w:rPr>
          <w:rFonts w:hint="eastAsia" w:asciiTheme="minorEastAsia" w:hAnsiTheme="minorEastAsia" w:eastAsiaTheme="minorEastAsia" w:cstheme="minorEastAsia"/>
          <w:color w:val="auto"/>
          <w:spacing w:val="3"/>
          <w:sz w:val="24"/>
          <w:szCs w:val="24"/>
        </w:rPr>
        <w:t>收款单位名称应与本</w:t>
      </w:r>
      <w:r>
        <w:rPr>
          <w:rFonts w:hint="eastAsia" w:asciiTheme="minorEastAsia" w:hAnsiTheme="minorEastAsia" w:eastAsiaTheme="minorEastAsia" w:cstheme="minorEastAsia"/>
          <w:color w:val="auto"/>
          <w:spacing w:val="2"/>
          <w:sz w:val="24"/>
          <w:szCs w:val="24"/>
        </w:rPr>
        <w:t>合同乙方单位名称</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2"/>
          <w:sz w:val="24"/>
          <w:szCs w:val="24"/>
        </w:rPr>
        <w:t>项目中标单位名称</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2"/>
          <w:sz w:val="24"/>
          <w:szCs w:val="24"/>
        </w:rPr>
        <w:t>开具发票单位名称相一</w:t>
      </w: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pacing w:val="-19"/>
          <w:sz w:val="24"/>
          <w:szCs w:val="24"/>
        </w:rPr>
        <w:t>。</w:t>
      </w:r>
    </w:p>
    <w:p w14:paraId="5C059E10">
      <w:pPr>
        <w:spacing w:before="1" w:line="411" w:lineRule="auto"/>
        <w:ind w:left="1" w:firstLine="4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3.甲方（采购单位</w:t>
      </w:r>
      <w:r>
        <w:rPr>
          <w:rFonts w:hint="eastAsia" w:asciiTheme="minorEastAsia" w:hAnsiTheme="minorEastAsia" w:eastAsiaTheme="minorEastAsia" w:cstheme="minorEastAsia"/>
          <w:color w:val="auto"/>
          <w:spacing w:val="-41"/>
          <w:sz w:val="24"/>
          <w:szCs w:val="24"/>
        </w:rPr>
        <w:t>）</w:t>
      </w:r>
      <w:r>
        <w:rPr>
          <w:rFonts w:hint="eastAsia" w:asciiTheme="minorEastAsia" w:hAnsiTheme="minorEastAsia" w:eastAsiaTheme="minorEastAsia" w:cstheme="minorEastAsia"/>
          <w:color w:val="auto"/>
          <w:sz w:val="24"/>
          <w:szCs w:val="24"/>
        </w:rPr>
        <w:t>应盖本单位公章（不允许盖内设科室章</w:t>
      </w:r>
      <w:r>
        <w:rPr>
          <w:rFonts w:hint="eastAsia" w:asciiTheme="minorEastAsia" w:hAnsiTheme="minorEastAsia" w:eastAsiaTheme="minorEastAsia" w:cstheme="minorEastAsia"/>
          <w:color w:val="auto"/>
          <w:spacing w:val="-41"/>
          <w:sz w:val="24"/>
          <w:szCs w:val="24"/>
        </w:rPr>
        <w:t>）</w:t>
      </w:r>
      <w:r>
        <w:rPr>
          <w:rFonts w:hint="eastAsia" w:asciiTheme="minorEastAsia" w:hAnsiTheme="minorEastAsia" w:eastAsiaTheme="minorEastAsia" w:cstheme="minorEastAsia"/>
          <w:color w:val="auto"/>
          <w:spacing w:val="-40"/>
          <w:sz w:val="24"/>
          <w:szCs w:val="24"/>
        </w:rPr>
        <w:t>，</w:t>
      </w:r>
      <w:r>
        <w:rPr>
          <w:rFonts w:hint="eastAsia" w:asciiTheme="minorEastAsia" w:hAnsiTheme="minorEastAsia" w:eastAsiaTheme="minorEastAsia" w:cstheme="minorEastAsia"/>
          <w:color w:val="auto"/>
          <w:sz w:val="24"/>
          <w:szCs w:val="24"/>
        </w:rPr>
        <w:t>乙方应盖单位公章或合同 专用章</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z w:val="24"/>
          <w:szCs w:val="24"/>
        </w:rPr>
        <w:t>合同双方应盖骑缝章</w:t>
      </w:r>
      <w:r>
        <w:rPr>
          <w:rFonts w:hint="eastAsia" w:asciiTheme="minorEastAsia" w:hAnsiTheme="minorEastAsia" w:eastAsiaTheme="minorEastAsia" w:cstheme="minorEastAsia"/>
          <w:color w:val="auto"/>
          <w:spacing w:val="-11"/>
          <w:sz w:val="24"/>
          <w:szCs w:val="24"/>
        </w:rPr>
        <w:t>。</w:t>
      </w:r>
    </w:p>
    <w:p w14:paraId="6F14876D">
      <w:pPr>
        <w:spacing w:before="1" w:line="411" w:lineRule="auto"/>
        <w:ind w:left="1"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rPr>
        <w:t>除涉密项目外</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z w:val="24"/>
          <w:szCs w:val="24"/>
        </w:rPr>
        <w:t>根据《政府采购法实施条例》第</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rPr>
        <w:t>50 条规定</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z w:val="24"/>
          <w:szCs w:val="24"/>
        </w:rPr>
        <w:t>采购人应当自政府采购 合同签订之日起 2 个工作日内</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z w:val="24"/>
          <w:szCs w:val="24"/>
        </w:rPr>
        <w:t>将政府采购合同在省级以上人民政府财政部门指定的媒体上公告</w:t>
      </w:r>
      <w:r>
        <w:rPr>
          <w:rFonts w:hint="eastAsia" w:asciiTheme="minorEastAsia" w:hAnsiTheme="minorEastAsia" w:eastAsiaTheme="minorEastAsia" w:cstheme="minorEastAsia"/>
          <w:color w:val="auto"/>
          <w:spacing w:val="-28"/>
          <w:sz w:val="24"/>
          <w:szCs w:val="24"/>
        </w:rPr>
        <w:t>。</w:t>
      </w:r>
    </w:p>
    <w:p w14:paraId="59BCC829">
      <w:pPr>
        <w:rPr>
          <w:rFonts w:hint="eastAsia" w:asciiTheme="minorEastAsia" w:hAnsiTheme="minorEastAsia" w:eastAsiaTheme="minorEastAsia" w:cstheme="minorEastAsia"/>
          <w:sz w:val="24"/>
          <w:szCs w:val="24"/>
        </w:rPr>
        <w:sectPr>
          <w:type w:val="continuous"/>
          <w:pgSz w:w="11905" w:h="16840"/>
          <w:pgMar w:top="1134" w:right="1134" w:bottom="1134" w:left="1417" w:header="0" w:footer="0" w:gutter="0"/>
          <w:pgNumType w:fmt="numberInDash"/>
          <w:cols w:space="720" w:num="1"/>
          <w:rtlGutter w:val="0"/>
        </w:sectPr>
      </w:pPr>
    </w:p>
    <w:p w14:paraId="25D0AB41">
      <w:pPr>
        <w:spacing w:before="137" w:line="164" w:lineRule="auto"/>
        <w:ind w:firstLine="745"/>
        <w:rPr>
          <w:rFonts w:ascii="微软雅黑" w:hAnsi="微软雅黑" w:eastAsia="微软雅黑" w:cs="微软雅黑"/>
          <w:sz w:val="32"/>
          <w:szCs w:val="32"/>
        </w:rPr>
      </w:pPr>
      <w:r>
        <w:rPr>
          <w:rFonts w:ascii="微软雅黑" w:hAnsi="微软雅黑" w:eastAsia="微软雅黑" w:cs="微软雅黑"/>
          <w:spacing w:val="-10"/>
          <w:sz w:val="32"/>
          <w:szCs w:val="32"/>
        </w:rPr>
        <w:t>附</w:t>
      </w:r>
      <w:r>
        <w:rPr>
          <w:rFonts w:ascii="微软雅黑" w:hAnsi="微软雅黑" w:eastAsia="微软雅黑" w:cs="微软雅黑"/>
          <w:spacing w:val="-9"/>
          <w:sz w:val="32"/>
          <w:szCs w:val="32"/>
        </w:rPr>
        <w:t>件</w:t>
      </w:r>
    </w:p>
    <w:p w14:paraId="3E958D48">
      <w:pPr>
        <w:spacing w:line="221" w:lineRule="auto"/>
        <w:ind w:firstLine="2997"/>
        <w:jc w:val="center"/>
        <w:rPr>
          <w:rFonts w:ascii="黑体" w:hAnsi="黑体" w:eastAsia="黑体" w:cs="黑体"/>
          <w:sz w:val="44"/>
          <w:szCs w:val="44"/>
        </w:rPr>
      </w:pPr>
      <w:r>
        <w:rPr>
          <w:rFonts w:ascii="黑体" w:hAnsi="黑体" w:eastAsia="黑体" w:cs="黑体"/>
          <w:spacing w:val="-2"/>
          <w:sz w:val="44"/>
          <w:szCs w:val="44"/>
        </w:rPr>
        <w:t>供货明细项</w:t>
      </w:r>
      <w:r>
        <w:rPr>
          <w:rFonts w:ascii="黑体" w:hAnsi="黑体" w:eastAsia="黑体" w:cs="黑体"/>
          <w:spacing w:val="-1"/>
          <w:sz w:val="44"/>
          <w:szCs w:val="44"/>
        </w:rPr>
        <w:t>目一览表</w:t>
      </w:r>
    </w:p>
    <w:p w14:paraId="4202BA06"/>
    <w:p w14:paraId="2E8A4A47">
      <w:pPr>
        <w:spacing w:line="186" w:lineRule="exact"/>
      </w:pPr>
    </w:p>
    <w:tbl>
      <w:tblPr>
        <w:tblStyle w:val="48"/>
        <w:tblW w:w="9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1486"/>
        <w:gridCol w:w="2822"/>
        <w:gridCol w:w="787"/>
        <w:gridCol w:w="548"/>
        <w:gridCol w:w="985"/>
        <w:gridCol w:w="1043"/>
        <w:gridCol w:w="1444"/>
      </w:tblGrid>
      <w:tr w14:paraId="6812C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1" w:type="dxa"/>
            <w:noWrap w:val="0"/>
            <w:vAlign w:val="top"/>
          </w:tcPr>
          <w:p w14:paraId="47CE3D33">
            <w:pPr>
              <w:spacing w:line="402" w:lineRule="auto"/>
              <w:rPr>
                <w:rFonts w:hint="eastAsia" w:asciiTheme="minorEastAsia" w:hAnsiTheme="minorEastAsia" w:eastAsiaTheme="minorEastAsia" w:cstheme="minorEastAsia"/>
                <w:sz w:val="24"/>
                <w:szCs w:val="24"/>
              </w:rPr>
            </w:pPr>
          </w:p>
          <w:p w14:paraId="697A19B3">
            <w:pPr>
              <w:spacing w:before="103" w:line="185"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1486" w:type="dxa"/>
            <w:noWrap w:val="0"/>
            <w:vAlign w:val="top"/>
          </w:tcPr>
          <w:p w14:paraId="1A5D85F6">
            <w:pPr>
              <w:spacing w:line="403" w:lineRule="auto"/>
              <w:rPr>
                <w:rFonts w:hint="eastAsia" w:asciiTheme="minorEastAsia" w:hAnsiTheme="minorEastAsia" w:eastAsiaTheme="minorEastAsia" w:cstheme="minorEastAsia"/>
                <w:sz w:val="24"/>
                <w:szCs w:val="24"/>
              </w:rPr>
            </w:pPr>
          </w:p>
          <w:p w14:paraId="12E0B029">
            <w:pPr>
              <w:spacing w:before="103" w:line="184"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货</w:t>
            </w:r>
            <w:r>
              <w:rPr>
                <w:rFonts w:hint="eastAsia" w:asciiTheme="minorEastAsia" w:hAnsiTheme="minorEastAsia" w:eastAsiaTheme="minorEastAsia" w:cstheme="minorEastAsia"/>
                <w:spacing w:val="-4"/>
                <w:sz w:val="24"/>
                <w:szCs w:val="24"/>
              </w:rPr>
              <w:t>物名称</w:t>
            </w:r>
          </w:p>
        </w:tc>
        <w:tc>
          <w:tcPr>
            <w:tcW w:w="2822" w:type="dxa"/>
            <w:noWrap w:val="0"/>
            <w:vAlign w:val="top"/>
          </w:tcPr>
          <w:p w14:paraId="707AB4C0">
            <w:pPr>
              <w:spacing w:line="247" w:lineRule="auto"/>
              <w:rPr>
                <w:rFonts w:hint="eastAsia" w:asciiTheme="minorEastAsia" w:hAnsiTheme="minorEastAsia" w:eastAsiaTheme="minorEastAsia" w:cstheme="minorEastAsia"/>
                <w:sz w:val="24"/>
                <w:szCs w:val="24"/>
              </w:rPr>
            </w:pPr>
          </w:p>
          <w:p w14:paraId="5C02AEF6">
            <w:pPr>
              <w:spacing w:before="103" w:line="182"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品牌型号规格</w:t>
            </w:r>
            <w:r>
              <w:rPr>
                <w:rFonts w:hint="eastAsia" w:asciiTheme="minorEastAsia" w:hAnsiTheme="minorEastAsia" w:eastAsiaTheme="minorEastAsia" w:cstheme="minorEastAsia"/>
                <w:spacing w:val="-4"/>
                <w:sz w:val="24"/>
                <w:szCs w:val="24"/>
              </w:rPr>
              <w:t>及</w:t>
            </w:r>
            <w:r>
              <w:rPr>
                <w:rFonts w:hint="eastAsia" w:asciiTheme="minorEastAsia" w:hAnsiTheme="minorEastAsia" w:eastAsiaTheme="minorEastAsia" w:cstheme="minorEastAsia"/>
                <w:spacing w:val="-3"/>
                <w:sz w:val="24"/>
                <w:szCs w:val="24"/>
              </w:rPr>
              <w:t>主要技术参</w:t>
            </w:r>
            <w:r>
              <w:rPr>
                <w:rFonts w:hint="eastAsia" w:asciiTheme="minorEastAsia" w:hAnsiTheme="minorEastAsia" w:eastAsiaTheme="minorEastAsia" w:cstheme="minorEastAsia"/>
                <w:spacing w:val="-2"/>
                <w:sz w:val="24"/>
                <w:szCs w:val="24"/>
              </w:rPr>
              <w:t>数</w:t>
            </w:r>
          </w:p>
        </w:tc>
        <w:tc>
          <w:tcPr>
            <w:tcW w:w="787" w:type="dxa"/>
            <w:noWrap w:val="0"/>
            <w:textDirection w:val="tbRlV"/>
            <w:vAlign w:val="top"/>
          </w:tcPr>
          <w:p w14:paraId="5189D433">
            <w:pPr>
              <w:spacing w:before="151" w:line="179" w:lineRule="auto"/>
              <w:ind w:firstLine="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w:t>
            </w:r>
            <w:r>
              <w:rPr>
                <w:rFonts w:hint="eastAsia" w:asciiTheme="minorEastAsia" w:hAnsiTheme="minorEastAsia" w:eastAsiaTheme="minorEastAsia" w:cstheme="minorEastAsia"/>
                <w:spacing w:val="-4"/>
                <w:sz w:val="24"/>
                <w:szCs w:val="24"/>
              </w:rPr>
              <w:t>量 单</w:t>
            </w:r>
            <w:r>
              <w:rPr>
                <w:rFonts w:hint="eastAsia" w:asciiTheme="minorEastAsia" w:hAnsiTheme="minorEastAsia" w:eastAsiaTheme="minorEastAsia" w:cstheme="minorEastAsia"/>
                <w:sz w:val="24"/>
                <w:szCs w:val="24"/>
              </w:rPr>
              <w:t xml:space="preserve"> 位</w:t>
            </w:r>
          </w:p>
        </w:tc>
        <w:tc>
          <w:tcPr>
            <w:tcW w:w="548" w:type="dxa"/>
            <w:noWrap w:val="0"/>
            <w:textDirection w:val="tbRlV"/>
            <w:vAlign w:val="top"/>
          </w:tcPr>
          <w:p w14:paraId="44AD3730">
            <w:pPr>
              <w:spacing w:before="152" w:line="172" w:lineRule="auto"/>
              <w:ind w:firstLine="3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 量</w:t>
            </w:r>
          </w:p>
        </w:tc>
        <w:tc>
          <w:tcPr>
            <w:tcW w:w="985" w:type="dxa"/>
            <w:noWrap w:val="0"/>
            <w:vAlign w:val="top"/>
          </w:tcPr>
          <w:p w14:paraId="097CD50C">
            <w:pPr>
              <w:spacing w:line="247" w:lineRule="auto"/>
              <w:rPr>
                <w:rFonts w:hint="eastAsia" w:asciiTheme="minorEastAsia" w:hAnsiTheme="minorEastAsia" w:eastAsiaTheme="minorEastAsia" w:cstheme="minorEastAsia"/>
                <w:sz w:val="24"/>
                <w:szCs w:val="24"/>
              </w:rPr>
            </w:pPr>
          </w:p>
          <w:p w14:paraId="60CFE625">
            <w:pPr>
              <w:spacing w:before="103" w:line="200" w:lineRule="auto"/>
              <w:ind w:left="0" w:leftChars="0" w:right="129"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单</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4"/>
                <w:sz w:val="24"/>
                <w:szCs w:val="24"/>
              </w:rPr>
              <w:t>价</w:t>
            </w:r>
            <w:r>
              <w:rPr>
                <w:rFonts w:hint="eastAsia" w:asciiTheme="minorEastAsia" w:hAnsiTheme="minorEastAsia" w:eastAsiaTheme="minorEastAsia" w:cstheme="minorEastAsia"/>
                <w:sz w:val="24"/>
                <w:szCs w:val="24"/>
              </w:rPr>
              <w:t xml:space="preserve"> （元）</w:t>
            </w:r>
          </w:p>
        </w:tc>
        <w:tc>
          <w:tcPr>
            <w:tcW w:w="1043" w:type="dxa"/>
            <w:noWrap w:val="0"/>
            <w:vAlign w:val="top"/>
          </w:tcPr>
          <w:p w14:paraId="10873BC0">
            <w:pPr>
              <w:spacing w:line="247" w:lineRule="auto"/>
              <w:rPr>
                <w:rFonts w:hint="eastAsia" w:asciiTheme="minorEastAsia" w:hAnsiTheme="minorEastAsia" w:eastAsiaTheme="minorEastAsia" w:cstheme="minorEastAsia"/>
                <w:sz w:val="24"/>
                <w:szCs w:val="24"/>
              </w:rPr>
            </w:pPr>
          </w:p>
          <w:p w14:paraId="604BA90F">
            <w:pPr>
              <w:spacing w:before="103" w:line="200" w:lineRule="auto"/>
              <w:ind w:left="0" w:leftChars="0" w:right="158"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总</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9"/>
                <w:sz w:val="24"/>
                <w:szCs w:val="24"/>
              </w:rPr>
              <w:t>价</w:t>
            </w:r>
            <w:r>
              <w:rPr>
                <w:rFonts w:hint="eastAsia" w:asciiTheme="minorEastAsia" w:hAnsiTheme="minorEastAsia" w:eastAsiaTheme="minorEastAsia" w:cstheme="minorEastAsia"/>
                <w:sz w:val="24"/>
                <w:szCs w:val="24"/>
              </w:rPr>
              <w:t xml:space="preserve"> （元）</w:t>
            </w:r>
          </w:p>
        </w:tc>
        <w:tc>
          <w:tcPr>
            <w:tcW w:w="1444" w:type="dxa"/>
            <w:noWrap w:val="0"/>
            <w:vAlign w:val="top"/>
          </w:tcPr>
          <w:p w14:paraId="2FFA83E1">
            <w:pPr>
              <w:spacing w:line="249" w:lineRule="auto"/>
              <w:rPr>
                <w:rFonts w:hint="eastAsia" w:asciiTheme="minorEastAsia" w:hAnsiTheme="minorEastAsia" w:eastAsiaTheme="minorEastAsia" w:cstheme="minorEastAsia"/>
                <w:sz w:val="24"/>
                <w:szCs w:val="24"/>
              </w:rPr>
            </w:pPr>
          </w:p>
          <w:p w14:paraId="08E5C5B4">
            <w:pPr>
              <w:spacing w:before="103" w:line="202" w:lineRule="auto"/>
              <w:ind w:left="0" w:leftChars="0" w:right="24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产地</w:t>
            </w:r>
            <w:r>
              <w:rPr>
                <w:rFonts w:hint="eastAsia" w:asciiTheme="minorEastAsia" w:hAnsiTheme="minorEastAsia" w:eastAsiaTheme="minorEastAsia" w:cstheme="minorEastAsia"/>
                <w:spacing w:val="-2"/>
                <w:sz w:val="24"/>
                <w:szCs w:val="24"/>
              </w:rPr>
              <w:t>生产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厂商名称</w:t>
            </w:r>
          </w:p>
        </w:tc>
      </w:tr>
      <w:tr w14:paraId="3A1AD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18625DB">
            <w:pPr>
              <w:rPr>
                <w:rFonts w:hint="eastAsia" w:asciiTheme="minorEastAsia" w:hAnsiTheme="minorEastAsia" w:eastAsiaTheme="minorEastAsia" w:cstheme="minorEastAsia"/>
                <w:sz w:val="24"/>
                <w:szCs w:val="24"/>
              </w:rPr>
            </w:pPr>
          </w:p>
        </w:tc>
        <w:tc>
          <w:tcPr>
            <w:tcW w:w="1486" w:type="dxa"/>
            <w:noWrap w:val="0"/>
            <w:vAlign w:val="top"/>
          </w:tcPr>
          <w:p w14:paraId="0FF91F94">
            <w:pPr>
              <w:rPr>
                <w:rFonts w:hint="eastAsia" w:asciiTheme="minorEastAsia" w:hAnsiTheme="minorEastAsia" w:eastAsiaTheme="minorEastAsia" w:cstheme="minorEastAsia"/>
                <w:sz w:val="24"/>
                <w:szCs w:val="24"/>
              </w:rPr>
            </w:pPr>
          </w:p>
        </w:tc>
        <w:tc>
          <w:tcPr>
            <w:tcW w:w="2822" w:type="dxa"/>
            <w:noWrap w:val="0"/>
            <w:vAlign w:val="top"/>
          </w:tcPr>
          <w:p w14:paraId="50EA1D33">
            <w:pPr>
              <w:spacing w:before="114" w:line="180" w:lineRule="auto"/>
              <w:ind w:firstLine="1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（视明细项目加行）</w:t>
            </w:r>
          </w:p>
        </w:tc>
        <w:tc>
          <w:tcPr>
            <w:tcW w:w="787" w:type="dxa"/>
            <w:noWrap w:val="0"/>
            <w:vAlign w:val="top"/>
          </w:tcPr>
          <w:p w14:paraId="3A4AFC12">
            <w:pPr>
              <w:rPr>
                <w:rFonts w:hint="eastAsia" w:asciiTheme="minorEastAsia" w:hAnsiTheme="minorEastAsia" w:eastAsiaTheme="minorEastAsia" w:cstheme="minorEastAsia"/>
                <w:sz w:val="24"/>
                <w:szCs w:val="24"/>
              </w:rPr>
            </w:pPr>
          </w:p>
        </w:tc>
        <w:tc>
          <w:tcPr>
            <w:tcW w:w="548" w:type="dxa"/>
            <w:noWrap w:val="0"/>
            <w:vAlign w:val="top"/>
          </w:tcPr>
          <w:p w14:paraId="0EE6C130">
            <w:pPr>
              <w:rPr>
                <w:rFonts w:hint="eastAsia" w:asciiTheme="minorEastAsia" w:hAnsiTheme="minorEastAsia" w:eastAsiaTheme="minorEastAsia" w:cstheme="minorEastAsia"/>
                <w:sz w:val="24"/>
                <w:szCs w:val="24"/>
              </w:rPr>
            </w:pPr>
          </w:p>
        </w:tc>
        <w:tc>
          <w:tcPr>
            <w:tcW w:w="985" w:type="dxa"/>
            <w:noWrap w:val="0"/>
            <w:vAlign w:val="top"/>
          </w:tcPr>
          <w:p w14:paraId="43A726BD">
            <w:pPr>
              <w:rPr>
                <w:rFonts w:hint="eastAsia" w:asciiTheme="minorEastAsia" w:hAnsiTheme="minorEastAsia" w:eastAsiaTheme="minorEastAsia" w:cstheme="minorEastAsia"/>
                <w:sz w:val="24"/>
                <w:szCs w:val="24"/>
              </w:rPr>
            </w:pPr>
          </w:p>
        </w:tc>
        <w:tc>
          <w:tcPr>
            <w:tcW w:w="1043" w:type="dxa"/>
            <w:noWrap w:val="0"/>
            <w:vAlign w:val="top"/>
          </w:tcPr>
          <w:p w14:paraId="7FC16E0C">
            <w:pPr>
              <w:rPr>
                <w:rFonts w:hint="eastAsia" w:asciiTheme="minorEastAsia" w:hAnsiTheme="minorEastAsia" w:eastAsiaTheme="minorEastAsia" w:cstheme="minorEastAsia"/>
                <w:sz w:val="24"/>
                <w:szCs w:val="24"/>
              </w:rPr>
            </w:pPr>
          </w:p>
        </w:tc>
        <w:tc>
          <w:tcPr>
            <w:tcW w:w="1444" w:type="dxa"/>
            <w:noWrap w:val="0"/>
            <w:vAlign w:val="top"/>
          </w:tcPr>
          <w:p w14:paraId="248D58A2">
            <w:pPr>
              <w:rPr>
                <w:rFonts w:hint="eastAsia" w:asciiTheme="minorEastAsia" w:hAnsiTheme="minorEastAsia" w:eastAsiaTheme="minorEastAsia" w:cstheme="minorEastAsia"/>
                <w:sz w:val="24"/>
                <w:szCs w:val="24"/>
              </w:rPr>
            </w:pPr>
          </w:p>
        </w:tc>
      </w:tr>
      <w:tr w14:paraId="1777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29FF8EAA">
            <w:pPr>
              <w:rPr>
                <w:rFonts w:hint="eastAsia" w:asciiTheme="minorEastAsia" w:hAnsiTheme="minorEastAsia" w:eastAsiaTheme="minorEastAsia" w:cstheme="minorEastAsia"/>
                <w:sz w:val="24"/>
                <w:szCs w:val="24"/>
              </w:rPr>
            </w:pPr>
          </w:p>
        </w:tc>
        <w:tc>
          <w:tcPr>
            <w:tcW w:w="1486" w:type="dxa"/>
            <w:noWrap w:val="0"/>
            <w:vAlign w:val="top"/>
          </w:tcPr>
          <w:p w14:paraId="0F673E83">
            <w:pPr>
              <w:rPr>
                <w:rFonts w:hint="eastAsia" w:asciiTheme="minorEastAsia" w:hAnsiTheme="minorEastAsia" w:eastAsiaTheme="minorEastAsia" w:cstheme="minorEastAsia"/>
                <w:sz w:val="24"/>
                <w:szCs w:val="24"/>
              </w:rPr>
            </w:pPr>
          </w:p>
        </w:tc>
        <w:tc>
          <w:tcPr>
            <w:tcW w:w="2822" w:type="dxa"/>
            <w:noWrap w:val="0"/>
            <w:vAlign w:val="top"/>
          </w:tcPr>
          <w:p w14:paraId="2D63B063">
            <w:pPr>
              <w:rPr>
                <w:rFonts w:hint="eastAsia" w:asciiTheme="minorEastAsia" w:hAnsiTheme="minorEastAsia" w:eastAsiaTheme="minorEastAsia" w:cstheme="minorEastAsia"/>
                <w:sz w:val="24"/>
                <w:szCs w:val="24"/>
              </w:rPr>
            </w:pPr>
          </w:p>
        </w:tc>
        <w:tc>
          <w:tcPr>
            <w:tcW w:w="787" w:type="dxa"/>
            <w:noWrap w:val="0"/>
            <w:vAlign w:val="top"/>
          </w:tcPr>
          <w:p w14:paraId="4D3460C3">
            <w:pPr>
              <w:rPr>
                <w:rFonts w:hint="eastAsia" w:asciiTheme="minorEastAsia" w:hAnsiTheme="minorEastAsia" w:eastAsiaTheme="minorEastAsia" w:cstheme="minorEastAsia"/>
                <w:sz w:val="24"/>
                <w:szCs w:val="24"/>
              </w:rPr>
            </w:pPr>
          </w:p>
        </w:tc>
        <w:tc>
          <w:tcPr>
            <w:tcW w:w="548" w:type="dxa"/>
            <w:noWrap w:val="0"/>
            <w:vAlign w:val="top"/>
          </w:tcPr>
          <w:p w14:paraId="4E204A4E">
            <w:pPr>
              <w:rPr>
                <w:rFonts w:hint="eastAsia" w:asciiTheme="minorEastAsia" w:hAnsiTheme="minorEastAsia" w:eastAsiaTheme="minorEastAsia" w:cstheme="minorEastAsia"/>
                <w:sz w:val="24"/>
                <w:szCs w:val="24"/>
              </w:rPr>
            </w:pPr>
          </w:p>
        </w:tc>
        <w:tc>
          <w:tcPr>
            <w:tcW w:w="985" w:type="dxa"/>
            <w:noWrap w:val="0"/>
            <w:vAlign w:val="top"/>
          </w:tcPr>
          <w:p w14:paraId="57EDF321">
            <w:pPr>
              <w:rPr>
                <w:rFonts w:hint="eastAsia" w:asciiTheme="minorEastAsia" w:hAnsiTheme="minorEastAsia" w:eastAsiaTheme="minorEastAsia" w:cstheme="minorEastAsia"/>
                <w:sz w:val="24"/>
                <w:szCs w:val="24"/>
              </w:rPr>
            </w:pPr>
          </w:p>
        </w:tc>
        <w:tc>
          <w:tcPr>
            <w:tcW w:w="1043" w:type="dxa"/>
            <w:noWrap w:val="0"/>
            <w:vAlign w:val="top"/>
          </w:tcPr>
          <w:p w14:paraId="34852632">
            <w:pPr>
              <w:rPr>
                <w:rFonts w:hint="eastAsia" w:asciiTheme="minorEastAsia" w:hAnsiTheme="minorEastAsia" w:eastAsiaTheme="minorEastAsia" w:cstheme="minorEastAsia"/>
                <w:sz w:val="24"/>
                <w:szCs w:val="24"/>
              </w:rPr>
            </w:pPr>
          </w:p>
        </w:tc>
        <w:tc>
          <w:tcPr>
            <w:tcW w:w="1444" w:type="dxa"/>
            <w:noWrap w:val="0"/>
            <w:vAlign w:val="top"/>
          </w:tcPr>
          <w:p w14:paraId="617000F4">
            <w:pPr>
              <w:rPr>
                <w:rFonts w:hint="eastAsia" w:asciiTheme="minorEastAsia" w:hAnsiTheme="minorEastAsia" w:eastAsiaTheme="minorEastAsia" w:cstheme="minorEastAsia"/>
                <w:sz w:val="24"/>
                <w:szCs w:val="24"/>
              </w:rPr>
            </w:pPr>
          </w:p>
        </w:tc>
      </w:tr>
      <w:tr w14:paraId="769E4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1C58E22">
            <w:pPr>
              <w:rPr>
                <w:rFonts w:hint="eastAsia" w:asciiTheme="minorEastAsia" w:hAnsiTheme="minorEastAsia" w:eastAsiaTheme="minorEastAsia" w:cstheme="minorEastAsia"/>
                <w:sz w:val="24"/>
                <w:szCs w:val="24"/>
              </w:rPr>
            </w:pPr>
          </w:p>
        </w:tc>
        <w:tc>
          <w:tcPr>
            <w:tcW w:w="1486" w:type="dxa"/>
            <w:noWrap w:val="0"/>
            <w:vAlign w:val="top"/>
          </w:tcPr>
          <w:p w14:paraId="1C1D188C">
            <w:pPr>
              <w:rPr>
                <w:rFonts w:hint="eastAsia" w:asciiTheme="minorEastAsia" w:hAnsiTheme="minorEastAsia" w:eastAsiaTheme="minorEastAsia" w:cstheme="minorEastAsia"/>
                <w:sz w:val="24"/>
                <w:szCs w:val="24"/>
              </w:rPr>
            </w:pPr>
          </w:p>
        </w:tc>
        <w:tc>
          <w:tcPr>
            <w:tcW w:w="2822" w:type="dxa"/>
            <w:noWrap w:val="0"/>
            <w:vAlign w:val="top"/>
          </w:tcPr>
          <w:p w14:paraId="465BBB5D">
            <w:pPr>
              <w:rPr>
                <w:rFonts w:hint="eastAsia" w:asciiTheme="minorEastAsia" w:hAnsiTheme="minorEastAsia" w:eastAsiaTheme="minorEastAsia" w:cstheme="minorEastAsia"/>
                <w:sz w:val="24"/>
                <w:szCs w:val="24"/>
              </w:rPr>
            </w:pPr>
          </w:p>
        </w:tc>
        <w:tc>
          <w:tcPr>
            <w:tcW w:w="787" w:type="dxa"/>
            <w:noWrap w:val="0"/>
            <w:vAlign w:val="top"/>
          </w:tcPr>
          <w:p w14:paraId="11AE3CD4">
            <w:pPr>
              <w:rPr>
                <w:rFonts w:hint="eastAsia" w:asciiTheme="minorEastAsia" w:hAnsiTheme="minorEastAsia" w:eastAsiaTheme="minorEastAsia" w:cstheme="minorEastAsia"/>
                <w:sz w:val="24"/>
                <w:szCs w:val="24"/>
              </w:rPr>
            </w:pPr>
          </w:p>
        </w:tc>
        <w:tc>
          <w:tcPr>
            <w:tcW w:w="548" w:type="dxa"/>
            <w:noWrap w:val="0"/>
            <w:vAlign w:val="top"/>
          </w:tcPr>
          <w:p w14:paraId="78E0563F">
            <w:pPr>
              <w:rPr>
                <w:rFonts w:hint="eastAsia" w:asciiTheme="minorEastAsia" w:hAnsiTheme="minorEastAsia" w:eastAsiaTheme="minorEastAsia" w:cstheme="minorEastAsia"/>
                <w:sz w:val="24"/>
                <w:szCs w:val="24"/>
              </w:rPr>
            </w:pPr>
          </w:p>
        </w:tc>
        <w:tc>
          <w:tcPr>
            <w:tcW w:w="985" w:type="dxa"/>
            <w:noWrap w:val="0"/>
            <w:vAlign w:val="top"/>
          </w:tcPr>
          <w:p w14:paraId="45410336">
            <w:pPr>
              <w:rPr>
                <w:rFonts w:hint="eastAsia" w:asciiTheme="minorEastAsia" w:hAnsiTheme="minorEastAsia" w:eastAsiaTheme="minorEastAsia" w:cstheme="minorEastAsia"/>
                <w:sz w:val="24"/>
                <w:szCs w:val="24"/>
              </w:rPr>
            </w:pPr>
          </w:p>
        </w:tc>
        <w:tc>
          <w:tcPr>
            <w:tcW w:w="1043" w:type="dxa"/>
            <w:noWrap w:val="0"/>
            <w:vAlign w:val="top"/>
          </w:tcPr>
          <w:p w14:paraId="304848FA">
            <w:pPr>
              <w:rPr>
                <w:rFonts w:hint="eastAsia" w:asciiTheme="minorEastAsia" w:hAnsiTheme="minorEastAsia" w:eastAsiaTheme="minorEastAsia" w:cstheme="minorEastAsia"/>
                <w:sz w:val="24"/>
                <w:szCs w:val="24"/>
              </w:rPr>
            </w:pPr>
          </w:p>
        </w:tc>
        <w:tc>
          <w:tcPr>
            <w:tcW w:w="1444" w:type="dxa"/>
            <w:noWrap w:val="0"/>
            <w:vAlign w:val="top"/>
          </w:tcPr>
          <w:p w14:paraId="771D51AC">
            <w:pPr>
              <w:rPr>
                <w:rFonts w:hint="eastAsia" w:asciiTheme="minorEastAsia" w:hAnsiTheme="minorEastAsia" w:eastAsiaTheme="minorEastAsia" w:cstheme="minorEastAsia"/>
                <w:sz w:val="24"/>
                <w:szCs w:val="24"/>
              </w:rPr>
            </w:pPr>
          </w:p>
        </w:tc>
      </w:tr>
      <w:tr w14:paraId="73FE9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518A6B35">
            <w:pPr>
              <w:rPr>
                <w:rFonts w:hint="eastAsia" w:asciiTheme="minorEastAsia" w:hAnsiTheme="minorEastAsia" w:eastAsiaTheme="minorEastAsia" w:cstheme="minorEastAsia"/>
                <w:sz w:val="24"/>
                <w:szCs w:val="24"/>
              </w:rPr>
            </w:pPr>
          </w:p>
        </w:tc>
        <w:tc>
          <w:tcPr>
            <w:tcW w:w="1486" w:type="dxa"/>
            <w:noWrap w:val="0"/>
            <w:vAlign w:val="top"/>
          </w:tcPr>
          <w:p w14:paraId="6FB56780">
            <w:pPr>
              <w:rPr>
                <w:rFonts w:hint="eastAsia" w:asciiTheme="minorEastAsia" w:hAnsiTheme="minorEastAsia" w:eastAsiaTheme="minorEastAsia" w:cstheme="minorEastAsia"/>
                <w:sz w:val="24"/>
                <w:szCs w:val="24"/>
              </w:rPr>
            </w:pPr>
          </w:p>
        </w:tc>
        <w:tc>
          <w:tcPr>
            <w:tcW w:w="2822" w:type="dxa"/>
            <w:noWrap w:val="0"/>
            <w:vAlign w:val="top"/>
          </w:tcPr>
          <w:p w14:paraId="54F5B882">
            <w:pPr>
              <w:rPr>
                <w:rFonts w:hint="eastAsia" w:asciiTheme="minorEastAsia" w:hAnsiTheme="minorEastAsia" w:eastAsiaTheme="minorEastAsia" w:cstheme="minorEastAsia"/>
                <w:sz w:val="24"/>
                <w:szCs w:val="24"/>
              </w:rPr>
            </w:pPr>
          </w:p>
        </w:tc>
        <w:tc>
          <w:tcPr>
            <w:tcW w:w="787" w:type="dxa"/>
            <w:noWrap w:val="0"/>
            <w:vAlign w:val="top"/>
          </w:tcPr>
          <w:p w14:paraId="52300961">
            <w:pPr>
              <w:rPr>
                <w:rFonts w:hint="eastAsia" w:asciiTheme="minorEastAsia" w:hAnsiTheme="minorEastAsia" w:eastAsiaTheme="minorEastAsia" w:cstheme="minorEastAsia"/>
                <w:sz w:val="24"/>
                <w:szCs w:val="24"/>
              </w:rPr>
            </w:pPr>
          </w:p>
        </w:tc>
        <w:tc>
          <w:tcPr>
            <w:tcW w:w="548" w:type="dxa"/>
            <w:noWrap w:val="0"/>
            <w:vAlign w:val="top"/>
          </w:tcPr>
          <w:p w14:paraId="2A5C38DA">
            <w:pPr>
              <w:rPr>
                <w:rFonts w:hint="eastAsia" w:asciiTheme="minorEastAsia" w:hAnsiTheme="minorEastAsia" w:eastAsiaTheme="minorEastAsia" w:cstheme="minorEastAsia"/>
                <w:sz w:val="24"/>
                <w:szCs w:val="24"/>
              </w:rPr>
            </w:pPr>
          </w:p>
        </w:tc>
        <w:tc>
          <w:tcPr>
            <w:tcW w:w="985" w:type="dxa"/>
            <w:noWrap w:val="0"/>
            <w:vAlign w:val="top"/>
          </w:tcPr>
          <w:p w14:paraId="5EC022B1">
            <w:pPr>
              <w:rPr>
                <w:rFonts w:hint="eastAsia" w:asciiTheme="minorEastAsia" w:hAnsiTheme="minorEastAsia" w:eastAsiaTheme="minorEastAsia" w:cstheme="minorEastAsia"/>
                <w:sz w:val="24"/>
                <w:szCs w:val="24"/>
              </w:rPr>
            </w:pPr>
          </w:p>
        </w:tc>
        <w:tc>
          <w:tcPr>
            <w:tcW w:w="1043" w:type="dxa"/>
            <w:noWrap w:val="0"/>
            <w:vAlign w:val="top"/>
          </w:tcPr>
          <w:p w14:paraId="4A1B1D30">
            <w:pPr>
              <w:rPr>
                <w:rFonts w:hint="eastAsia" w:asciiTheme="minorEastAsia" w:hAnsiTheme="minorEastAsia" w:eastAsiaTheme="minorEastAsia" w:cstheme="minorEastAsia"/>
                <w:sz w:val="24"/>
                <w:szCs w:val="24"/>
              </w:rPr>
            </w:pPr>
          </w:p>
        </w:tc>
        <w:tc>
          <w:tcPr>
            <w:tcW w:w="1444" w:type="dxa"/>
            <w:noWrap w:val="0"/>
            <w:vAlign w:val="top"/>
          </w:tcPr>
          <w:p w14:paraId="0E841928">
            <w:pPr>
              <w:rPr>
                <w:rFonts w:hint="eastAsia" w:asciiTheme="minorEastAsia" w:hAnsiTheme="minorEastAsia" w:eastAsiaTheme="minorEastAsia" w:cstheme="minorEastAsia"/>
                <w:sz w:val="24"/>
                <w:szCs w:val="24"/>
              </w:rPr>
            </w:pPr>
          </w:p>
        </w:tc>
      </w:tr>
      <w:tr w14:paraId="185E3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19DDBE72">
            <w:pPr>
              <w:rPr>
                <w:rFonts w:hint="eastAsia" w:asciiTheme="minorEastAsia" w:hAnsiTheme="minorEastAsia" w:eastAsiaTheme="minorEastAsia" w:cstheme="minorEastAsia"/>
                <w:sz w:val="24"/>
                <w:szCs w:val="24"/>
              </w:rPr>
            </w:pPr>
          </w:p>
        </w:tc>
        <w:tc>
          <w:tcPr>
            <w:tcW w:w="1486" w:type="dxa"/>
            <w:noWrap w:val="0"/>
            <w:vAlign w:val="top"/>
          </w:tcPr>
          <w:p w14:paraId="5C7D5E1F">
            <w:pPr>
              <w:rPr>
                <w:rFonts w:hint="eastAsia" w:asciiTheme="minorEastAsia" w:hAnsiTheme="minorEastAsia" w:eastAsiaTheme="minorEastAsia" w:cstheme="minorEastAsia"/>
                <w:sz w:val="24"/>
                <w:szCs w:val="24"/>
              </w:rPr>
            </w:pPr>
          </w:p>
        </w:tc>
        <w:tc>
          <w:tcPr>
            <w:tcW w:w="2822" w:type="dxa"/>
            <w:noWrap w:val="0"/>
            <w:vAlign w:val="top"/>
          </w:tcPr>
          <w:p w14:paraId="24589B16">
            <w:pPr>
              <w:rPr>
                <w:rFonts w:hint="eastAsia" w:asciiTheme="minorEastAsia" w:hAnsiTheme="minorEastAsia" w:eastAsiaTheme="minorEastAsia" w:cstheme="minorEastAsia"/>
                <w:sz w:val="24"/>
                <w:szCs w:val="24"/>
              </w:rPr>
            </w:pPr>
          </w:p>
        </w:tc>
        <w:tc>
          <w:tcPr>
            <w:tcW w:w="787" w:type="dxa"/>
            <w:noWrap w:val="0"/>
            <w:vAlign w:val="top"/>
          </w:tcPr>
          <w:p w14:paraId="2AB8B886">
            <w:pPr>
              <w:rPr>
                <w:rFonts w:hint="eastAsia" w:asciiTheme="minorEastAsia" w:hAnsiTheme="minorEastAsia" w:eastAsiaTheme="minorEastAsia" w:cstheme="minorEastAsia"/>
                <w:sz w:val="24"/>
                <w:szCs w:val="24"/>
              </w:rPr>
            </w:pPr>
          </w:p>
        </w:tc>
        <w:tc>
          <w:tcPr>
            <w:tcW w:w="548" w:type="dxa"/>
            <w:noWrap w:val="0"/>
            <w:vAlign w:val="top"/>
          </w:tcPr>
          <w:p w14:paraId="40FFE3FB">
            <w:pPr>
              <w:rPr>
                <w:rFonts w:hint="eastAsia" w:asciiTheme="minorEastAsia" w:hAnsiTheme="minorEastAsia" w:eastAsiaTheme="minorEastAsia" w:cstheme="minorEastAsia"/>
                <w:sz w:val="24"/>
                <w:szCs w:val="24"/>
              </w:rPr>
            </w:pPr>
          </w:p>
        </w:tc>
        <w:tc>
          <w:tcPr>
            <w:tcW w:w="985" w:type="dxa"/>
            <w:noWrap w:val="0"/>
            <w:vAlign w:val="top"/>
          </w:tcPr>
          <w:p w14:paraId="40E1C55B">
            <w:pPr>
              <w:rPr>
                <w:rFonts w:hint="eastAsia" w:asciiTheme="minorEastAsia" w:hAnsiTheme="minorEastAsia" w:eastAsiaTheme="minorEastAsia" w:cstheme="minorEastAsia"/>
                <w:sz w:val="24"/>
                <w:szCs w:val="24"/>
              </w:rPr>
            </w:pPr>
          </w:p>
        </w:tc>
        <w:tc>
          <w:tcPr>
            <w:tcW w:w="1043" w:type="dxa"/>
            <w:noWrap w:val="0"/>
            <w:vAlign w:val="top"/>
          </w:tcPr>
          <w:p w14:paraId="0F8B19B8">
            <w:pPr>
              <w:rPr>
                <w:rFonts w:hint="eastAsia" w:asciiTheme="minorEastAsia" w:hAnsiTheme="minorEastAsia" w:eastAsiaTheme="minorEastAsia" w:cstheme="minorEastAsia"/>
                <w:sz w:val="24"/>
                <w:szCs w:val="24"/>
              </w:rPr>
            </w:pPr>
          </w:p>
        </w:tc>
        <w:tc>
          <w:tcPr>
            <w:tcW w:w="1444" w:type="dxa"/>
            <w:noWrap w:val="0"/>
            <w:vAlign w:val="top"/>
          </w:tcPr>
          <w:p w14:paraId="74FB8C64">
            <w:pPr>
              <w:rPr>
                <w:rFonts w:hint="eastAsia" w:asciiTheme="minorEastAsia" w:hAnsiTheme="minorEastAsia" w:eastAsiaTheme="minorEastAsia" w:cstheme="minorEastAsia"/>
                <w:sz w:val="24"/>
                <w:szCs w:val="24"/>
              </w:rPr>
            </w:pPr>
          </w:p>
        </w:tc>
      </w:tr>
      <w:tr w14:paraId="6A849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1F1F6C3E">
            <w:pPr>
              <w:rPr>
                <w:rFonts w:hint="eastAsia" w:asciiTheme="minorEastAsia" w:hAnsiTheme="minorEastAsia" w:eastAsiaTheme="minorEastAsia" w:cstheme="minorEastAsia"/>
                <w:sz w:val="24"/>
                <w:szCs w:val="24"/>
              </w:rPr>
            </w:pPr>
          </w:p>
        </w:tc>
        <w:tc>
          <w:tcPr>
            <w:tcW w:w="1486" w:type="dxa"/>
            <w:noWrap w:val="0"/>
            <w:vAlign w:val="top"/>
          </w:tcPr>
          <w:p w14:paraId="26AF2C2D">
            <w:pPr>
              <w:rPr>
                <w:rFonts w:hint="eastAsia" w:asciiTheme="minorEastAsia" w:hAnsiTheme="minorEastAsia" w:eastAsiaTheme="minorEastAsia" w:cstheme="minorEastAsia"/>
                <w:sz w:val="24"/>
                <w:szCs w:val="24"/>
              </w:rPr>
            </w:pPr>
          </w:p>
        </w:tc>
        <w:tc>
          <w:tcPr>
            <w:tcW w:w="2822" w:type="dxa"/>
            <w:noWrap w:val="0"/>
            <w:vAlign w:val="top"/>
          </w:tcPr>
          <w:p w14:paraId="155843A5">
            <w:pPr>
              <w:rPr>
                <w:rFonts w:hint="eastAsia" w:asciiTheme="minorEastAsia" w:hAnsiTheme="minorEastAsia" w:eastAsiaTheme="minorEastAsia" w:cstheme="minorEastAsia"/>
                <w:sz w:val="24"/>
                <w:szCs w:val="24"/>
              </w:rPr>
            </w:pPr>
          </w:p>
        </w:tc>
        <w:tc>
          <w:tcPr>
            <w:tcW w:w="787" w:type="dxa"/>
            <w:noWrap w:val="0"/>
            <w:vAlign w:val="top"/>
          </w:tcPr>
          <w:p w14:paraId="66E33FFD">
            <w:pPr>
              <w:rPr>
                <w:rFonts w:hint="eastAsia" w:asciiTheme="minorEastAsia" w:hAnsiTheme="minorEastAsia" w:eastAsiaTheme="minorEastAsia" w:cstheme="minorEastAsia"/>
                <w:sz w:val="24"/>
                <w:szCs w:val="24"/>
              </w:rPr>
            </w:pPr>
          </w:p>
        </w:tc>
        <w:tc>
          <w:tcPr>
            <w:tcW w:w="548" w:type="dxa"/>
            <w:noWrap w:val="0"/>
            <w:vAlign w:val="top"/>
          </w:tcPr>
          <w:p w14:paraId="4A93242E">
            <w:pPr>
              <w:rPr>
                <w:rFonts w:hint="eastAsia" w:asciiTheme="minorEastAsia" w:hAnsiTheme="minorEastAsia" w:eastAsiaTheme="minorEastAsia" w:cstheme="minorEastAsia"/>
                <w:sz w:val="24"/>
                <w:szCs w:val="24"/>
              </w:rPr>
            </w:pPr>
          </w:p>
        </w:tc>
        <w:tc>
          <w:tcPr>
            <w:tcW w:w="985" w:type="dxa"/>
            <w:noWrap w:val="0"/>
            <w:vAlign w:val="top"/>
          </w:tcPr>
          <w:p w14:paraId="7B2824A5">
            <w:pPr>
              <w:rPr>
                <w:rFonts w:hint="eastAsia" w:asciiTheme="minorEastAsia" w:hAnsiTheme="minorEastAsia" w:eastAsiaTheme="minorEastAsia" w:cstheme="minorEastAsia"/>
                <w:sz w:val="24"/>
                <w:szCs w:val="24"/>
              </w:rPr>
            </w:pPr>
          </w:p>
        </w:tc>
        <w:tc>
          <w:tcPr>
            <w:tcW w:w="1043" w:type="dxa"/>
            <w:noWrap w:val="0"/>
            <w:vAlign w:val="top"/>
          </w:tcPr>
          <w:p w14:paraId="042FEC57">
            <w:pPr>
              <w:rPr>
                <w:rFonts w:hint="eastAsia" w:asciiTheme="minorEastAsia" w:hAnsiTheme="minorEastAsia" w:eastAsiaTheme="minorEastAsia" w:cstheme="minorEastAsia"/>
                <w:sz w:val="24"/>
                <w:szCs w:val="24"/>
              </w:rPr>
            </w:pPr>
          </w:p>
        </w:tc>
        <w:tc>
          <w:tcPr>
            <w:tcW w:w="1444" w:type="dxa"/>
            <w:noWrap w:val="0"/>
            <w:vAlign w:val="top"/>
          </w:tcPr>
          <w:p w14:paraId="01C9AA9E">
            <w:pPr>
              <w:rPr>
                <w:rFonts w:hint="eastAsia" w:asciiTheme="minorEastAsia" w:hAnsiTheme="minorEastAsia" w:eastAsiaTheme="minorEastAsia" w:cstheme="minorEastAsia"/>
                <w:sz w:val="24"/>
                <w:szCs w:val="24"/>
              </w:rPr>
            </w:pPr>
          </w:p>
        </w:tc>
      </w:tr>
      <w:tr w14:paraId="0BD45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2C26F18">
            <w:pPr>
              <w:rPr>
                <w:rFonts w:hint="eastAsia" w:asciiTheme="minorEastAsia" w:hAnsiTheme="minorEastAsia" w:eastAsiaTheme="minorEastAsia" w:cstheme="minorEastAsia"/>
                <w:sz w:val="24"/>
                <w:szCs w:val="24"/>
              </w:rPr>
            </w:pPr>
          </w:p>
        </w:tc>
        <w:tc>
          <w:tcPr>
            <w:tcW w:w="1486" w:type="dxa"/>
            <w:noWrap w:val="0"/>
            <w:vAlign w:val="top"/>
          </w:tcPr>
          <w:p w14:paraId="194EAABC">
            <w:pPr>
              <w:rPr>
                <w:rFonts w:hint="eastAsia" w:asciiTheme="minorEastAsia" w:hAnsiTheme="minorEastAsia" w:eastAsiaTheme="minorEastAsia" w:cstheme="minorEastAsia"/>
                <w:sz w:val="24"/>
                <w:szCs w:val="24"/>
              </w:rPr>
            </w:pPr>
          </w:p>
        </w:tc>
        <w:tc>
          <w:tcPr>
            <w:tcW w:w="2822" w:type="dxa"/>
            <w:noWrap w:val="0"/>
            <w:vAlign w:val="top"/>
          </w:tcPr>
          <w:p w14:paraId="49782BB0">
            <w:pPr>
              <w:rPr>
                <w:rFonts w:hint="eastAsia" w:asciiTheme="minorEastAsia" w:hAnsiTheme="minorEastAsia" w:eastAsiaTheme="minorEastAsia" w:cstheme="minorEastAsia"/>
                <w:sz w:val="24"/>
                <w:szCs w:val="24"/>
              </w:rPr>
            </w:pPr>
          </w:p>
        </w:tc>
        <w:tc>
          <w:tcPr>
            <w:tcW w:w="787" w:type="dxa"/>
            <w:noWrap w:val="0"/>
            <w:vAlign w:val="top"/>
          </w:tcPr>
          <w:p w14:paraId="020E1E15">
            <w:pPr>
              <w:rPr>
                <w:rFonts w:hint="eastAsia" w:asciiTheme="minorEastAsia" w:hAnsiTheme="minorEastAsia" w:eastAsiaTheme="minorEastAsia" w:cstheme="minorEastAsia"/>
                <w:sz w:val="24"/>
                <w:szCs w:val="24"/>
              </w:rPr>
            </w:pPr>
          </w:p>
        </w:tc>
        <w:tc>
          <w:tcPr>
            <w:tcW w:w="548" w:type="dxa"/>
            <w:noWrap w:val="0"/>
            <w:vAlign w:val="top"/>
          </w:tcPr>
          <w:p w14:paraId="648AFD4F">
            <w:pPr>
              <w:rPr>
                <w:rFonts w:hint="eastAsia" w:asciiTheme="minorEastAsia" w:hAnsiTheme="minorEastAsia" w:eastAsiaTheme="minorEastAsia" w:cstheme="minorEastAsia"/>
                <w:sz w:val="24"/>
                <w:szCs w:val="24"/>
              </w:rPr>
            </w:pPr>
          </w:p>
        </w:tc>
        <w:tc>
          <w:tcPr>
            <w:tcW w:w="985" w:type="dxa"/>
            <w:noWrap w:val="0"/>
            <w:vAlign w:val="top"/>
          </w:tcPr>
          <w:p w14:paraId="1F98F3C8">
            <w:pPr>
              <w:rPr>
                <w:rFonts w:hint="eastAsia" w:asciiTheme="minorEastAsia" w:hAnsiTheme="minorEastAsia" w:eastAsiaTheme="minorEastAsia" w:cstheme="minorEastAsia"/>
                <w:sz w:val="24"/>
                <w:szCs w:val="24"/>
              </w:rPr>
            </w:pPr>
          </w:p>
        </w:tc>
        <w:tc>
          <w:tcPr>
            <w:tcW w:w="1043" w:type="dxa"/>
            <w:noWrap w:val="0"/>
            <w:vAlign w:val="top"/>
          </w:tcPr>
          <w:p w14:paraId="526D9403">
            <w:pPr>
              <w:rPr>
                <w:rFonts w:hint="eastAsia" w:asciiTheme="minorEastAsia" w:hAnsiTheme="minorEastAsia" w:eastAsiaTheme="minorEastAsia" w:cstheme="minorEastAsia"/>
                <w:sz w:val="24"/>
                <w:szCs w:val="24"/>
              </w:rPr>
            </w:pPr>
          </w:p>
        </w:tc>
        <w:tc>
          <w:tcPr>
            <w:tcW w:w="1444" w:type="dxa"/>
            <w:noWrap w:val="0"/>
            <w:vAlign w:val="top"/>
          </w:tcPr>
          <w:p w14:paraId="5703E7C7">
            <w:pPr>
              <w:rPr>
                <w:rFonts w:hint="eastAsia" w:asciiTheme="minorEastAsia" w:hAnsiTheme="minorEastAsia" w:eastAsiaTheme="minorEastAsia" w:cstheme="minorEastAsia"/>
                <w:sz w:val="24"/>
                <w:szCs w:val="24"/>
              </w:rPr>
            </w:pPr>
          </w:p>
        </w:tc>
      </w:tr>
      <w:tr w14:paraId="2F0BC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790FC326">
            <w:pPr>
              <w:rPr>
                <w:rFonts w:hint="eastAsia" w:asciiTheme="minorEastAsia" w:hAnsiTheme="minorEastAsia" w:eastAsiaTheme="minorEastAsia" w:cstheme="minorEastAsia"/>
                <w:sz w:val="24"/>
                <w:szCs w:val="24"/>
              </w:rPr>
            </w:pPr>
          </w:p>
        </w:tc>
        <w:tc>
          <w:tcPr>
            <w:tcW w:w="1486" w:type="dxa"/>
            <w:noWrap w:val="0"/>
            <w:vAlign w:val="top"/>
          </w:tcPr>
          <w:p w14:paraId="02432EF7">
            <w:pPr>
              <w:rPr>
                <w:rFonts w:hint="eastAsia" w:asciiTheme="minorEastAsia" w:hAnsiTheme="minorEastAsia" w:eastAsiaTheme="minorEastAsia" w:cstheme="minorEastAsia"/>
                <w:sz w:val="24"/>
                <w:szCs w:val="24"/>
              </w:rPr>
            </w:pPr>
          </w:p>
        </w:tc>
        <w:tc>
          <w:tcPr>
            <w:tcW w:w="2822" w:type="dxa"/>
            <w:noWrap w:val="0"/>
            <w:vAlign w:val="top"/>
          </w:tcPr>
          <w:p w14:paraId="5FC6C959">
            <w:pPr>
              <w:rPr>
                <w:rFonts w:hint="eastAsia" w:asciiTheme="minorEastAsia" w:hAnsiTheme="minorEastAsia" w:eastAsiaTheme="minorEastAsia" w:cstheme="minorEastAsia"/>
                <w:sz w:val="24"/>
                <w:szCs w:val="24"/>
              </w:rPr>
            </w:pPr>
          </w:p>
        </w:tc>
        <w:tc>
          <w:tcPr>
            <w:tcW w:w="787" w:type="dxa"/>
            <w:noWrap w:val="0"/>
            <w:vAlign w:val="top"/>
          </w:tcPr>
          <w:p w14:paraId="3C2572BE">
            <w:pPr>
              <w:rPr>
                <w:rFonts w:hint="eastAsia" w:asciiTheme="minorEastAsia" w:hAnsiTheme="minorEastAsia" w:eastAsiaTheme="minorEastAsia" w:cstheme="minorEastAsia"/>
                <w:sz w:val="24"/>
                <w:szCs w:val="24"/>
              </w:rPr>
            </w:pPr>
          </w:p>
        </w:tc>
        <w:tc>
          <w:tcPr>
            <w:tcW w:w="548" w:type="dxa"/>
            <w:noWrap w:val="0"/>
            <w:vAlign w:val="top"/>
          </w:tcPr>
          <w:p w14:paraId="4A72E9E2">
            <w:pPr>
              <w:rPr>
                <w:rFonts w:hint="eastAsia" w:asciiTheme="minorEastAsia" w:hAnsiTheme="minorEastAsia" w:eastAsiaTheme="minorEastAsia" w:cstheme="minorEastAsia"/>
                <w:sz w:val="24"/>
                <w:szCs w:val="24"/>
              </w:rPr>
            </w:pPr>
          </w:p>
        </w:tc>
        <w:tc>
          <w:tcPr>
            <w:tcW w:w="985" w:type="dxa"/>
            <w:noWrap w:val="0"/>
            <w:vAlign w:val="top"/>
          </w:tcPr>
          <w:p w14:paraId="44225779">
            <w:pPr>
              <w:rPr>
                <w:rFonts w:hint="eastAsia" w:asciiTheme="minorEastAsia" w:hAnsiTheme="minorEastAsia" w:eastAsiaTheme="minorEastAsia" w:cstheme="minorEastAsia"/>
                <w:sz w:val="24"/>
                <w:szCs w:val="24"/>
              </w:rPr>
            </w:pPr>
          </w:p>
        </w:tc>
        <w:tc>
          <w:tcPr>
            <w:tcW w:w="1043" w:type="dxa"/>
            <w:noWrap w:val="0"/>
            <w:vAlign w:val="top"/>
          </w:tcPr>
          <w:p w14:paraId="53690581">
            <w:pPr>
              <w:rPr>
                <w:rFonts w:hint="eastAsia" w:asciiTheme="minorEastAsia" w:hAnsiTheme="minorEastAsia" w:eastAsiaTheme="minorEastAsia" w:cstheme="minorEastAsia"/>
                <w:sz w:val="24"/>
                <w:szCs w:val="24"/>
              </w:rPr>
            </w:pPr>
          </w:p>
        </w:tc>
        <w:tc>
          <w:tcPr>
            <w:tcW w:w="1444" w:type="dxa"/>
            <w:noWrap w:val="0"/>
            <w:vAlign w:val="top"/>
          </w:tcPr>
          <w:p w14:paraId="4C15936A">
            <w:pPr>
              <w:rPr>
                <w:rFonts w:hint="eastAsia" w:asciiTheme="minorEastAsia" w:hAnsiTheme="minorEastAsia" w:eastAsiaTheme="minorEastAsia" w:cstheme="minorEastAsia"/>
                <w:sz w:val="24"/>
                <w:szCs w:val="24"/>
              </w:rPr>
            </w:pPr>
          </w:p>
        </w:tc>
      </w:tr>
      <w:tr w14:paraId="7C1B2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A4034CC">
            <w:pPr>
              <w:rPr>
                <w:rFonts w:hint="eastAsia" w:asciiTheme="minorEastAsia" w:hAnsiTheme="minorEastAsia" w:eastAsiaTheme="minorEastAsia" w:cstheme="minorEastAsia"/>
                <w:sz w:val="24"/>
                <w:szCs w:val="24"/>
              </w:rPr>
            </w:pPr>
          </w:p>
        </w:tc>
        <w:tc>
          <w:tcPr>
            <w:tcW w:w="1486" w:type="dxa"/>
            <w:noWrap w:val="0"/>
            <w:vAlign w:val="top"/>
          </w:tcPr>
          <w:p w14:paraId="550CC9D1">
            <w:pPr>
              <w:rPr>
                <w:rFonts w:hint="eastAsia" w:asciiTheme="minorEastAsia" w:hAnsiTheme="minorEastAsia" w:eastAsiaTheme="minorEastAsia" w:cstheme="minorEastAsia"/>
                <w:sz w:val="24"/>
                <w:szCs w:val="24"/>
              </w:rPr>
            </w:pPr>
          </w:p>
        </w:tc>
        <w:tc>
          <w:tcPr>
            <w:tcW w:w="2822" w:type="dxa"/>
            <w:noWrap w:val="0"/>
            <w:vAlign w:val="top"/>
          </w:tcPr>
          <w:p w14:paraId="7FFB988F">
            <w:pPr>
              <w:rPr>
                <w:rFonts w:hint="eastAsia" w:asciiTheme="minorEastAsia" w:hAnsiTheme="minorEastAsia" w:eastAsiaTheme="minorEastAsia" w:cstheme="minorEastAsia"/>
                <w:sz w:val="24"/>
                <w:szCs w:val="24"/>
              </w:rPr>
            </w:pPr>
          </w:p>
        </w:tc>
        <w:tc>
          <w:tcPr>
            <w:tcW w:w="787" w:type="dxa"/>
            <w:noWrap w:val="0"/>
            <w:vAlign w:val="top"/>
          </w:tcPr>
          <w:p w14:paraId="1E5A70EA">
            <w:pPr>
              <w:rPr>
                <w:rFonts w:hint="eastAsia" w:asciiTheme="minorEastAsia" w:hAnsiTheme="minorEastAsia" w:eastAsiaTheme="minorEastAsia" w:cstheme="minorEastAsia"/>
                <w:sz w:val="24"/>
                <w:szCs w:val="24"/>
              </w:rPr>
            </w:pPr>
          </w:p>
        </w:tc>
        <w:tc>
          <w:tcPr>
            <w:tcW w:w="548" w:type="dxa"/>
            <w:noWrap w:val="0"/>
            <w:vAlign w:val="top"/>
          </w:tcPr>
          <w:p w14:paraId="002D54E6">
            <w:pPr>
              <w:rPr>
                <w:rFonts w:hint="eastAsia" w:asciiTheme="minorEastAsia" w:hAnsiTheme="minorEastAsia" w:eastAsiaTheme="minorEastAsia" w:cstheme="minorEastAsia"/>
                <w:sz w:val="24"/>
                <w:szCs w:val="24"/>
              </w:rPr>
            </w:pPr>
          </w:p>
        </w:tc>
        <w:tc>
          <w:tcPr>
            <w:tcW w:w="985" w:type="dxa"/>
            <w:noWrap w:val="0"/>
            <w:vAlign w:val="top"/>
          </w:tcPr>
          <w:p w14:paraId="2A3F621E">
            <w:pPr>
              <w:rPr>
                <w:rFonts w:hint="eastAsia" w:asciiTheme="minorEastAsia" w:hAnsiTheme="minorEastAsia" w:eastAsiaTheme="minorEastAsia" w:cstheme="minorEastAsia"/>
                <w:sz w:val="24"/>
                <w:szCs w:val="24"/>
              </w:rPr>
            </w:pPr>
          </w:p>
        </w:tc>
        <w:tc>
          <w:tcPr>
            <w:tcW w:w="1043" w:type="dxa"/>
            <w:noWrap w:val="0"/>
            <w:vAlign w:val="top"/>
          </w:tcPr>
          <w:p w14:paraId="04733E17">
            <w:pPr>
              <w:rPr>
                <w:rFonts w:hint="eastAsia" w:asciiTheme="minorEastAsia" w:hAnsiTheme="minorEastAsia" w:eastAsiaTheme="minorEastAsia" w:cstheme="minorEastAsia"/>
                <w:sz w:val="24"/>
                <w:szCs w:val="24"/>
              </w:rPr>
            </w:pPr>
          </w:p>
        </w:tc>
        <w:tc>
          <w:tcPr>
            <w:tcW w:w="1444" w:type="dxa"/>
            <w:noWrap w:val="0"/>
            <w:vAlign w:val="top"/>
          </w:tcPr>
          <w:p w14:paraId="49B29396">
            <w:pPr>
              <w:rPr>
                <w:rFonts w:hint="eastAsia" w:asciiTheme="minorEastAsia" w:hAnsiTheme="minorEastAsia" w:eastAsiaTheme="minorEastAsia" w:cstheme="minorEastAsia"/>
                <w:sz w:val="24"/>
                <w:szCs w:val="24"/>
              </w:rPr>
            </w:pPr>
          </w:p>
        </w:tc>
      </w:tr>
      <w:tr w14:paraId="48F4E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4ED0A6EB">
            <w:pPr>
              <w:rPr>
                <w:rFonts w:hint="eastAsia" w:asciiTheme="minorEastAsia" w:hAnsiTheme="minorEastAsia" w:eastAsiaTheme="minorEastAsia" w:cstheme="minorEastAsia"/>
                <w:sz w:val="24"/>
                <w:szCs w:val="24"/>
              </w:rPr>
            </w:pPr>
          </w:p>
        </w:tc>
        <w:tc>
          <w:tcPr>
            <w:tcW w:w="1486" w:type="dxa"/>
            <w:noWrap w:val="0"/>
            <w:vAlign w:val="top"/>
          </w:tcPr>
          <w:p w14:paraId="4EBAAE21">
            <w:pPr>
              <w:rPr>
                <w:rFonts w:hint="eastAsia" w:asciiTheme="minorEastAsia" w:hAnsiTheme="minorEastAsia" w:eastAsiaTheme="minorEastAsia" w:cstheme="minorEastAsia"/>
                <w:sz w:val="24"/>
                <w:szCs w:val="24"/>
              </w:rPr>
            </w:pPr>
          </w:p>
        </w:tc>
        <w:tc>
          <w:tcPr>
            <w:tcW w:w="2822" w:type="dxa"/>
            <w:noWrap w:val="0"/>
            <w:vAlign w:val="top"/>
          </w:tcPr>
          <w:p w14:paraId="0167ECFC">
            <w:pPr>
              <w:rPr>
                <w:rFonts w:hint="eastAsia" w:asciiTheme="minorEastAsia" w:hAnsiTheme="minorEastAsia" w:eastAsiaTheme="minorEastAsia" w:cstheme="minorEastAsia"/>
                <w:sz w:val="24"/>
                <w:szCs w:val="24"/>
              </w:rPr>
            </w:pPr>
          </w:p>
        </w:tc>
        <w:tc>
          <w:tcPr>
            <w:tcW w:w="787" w:type="dxa"/>
            <w:noWrap w:val="0"/>
            <w:vAlign w:val="top"/>
          </w:tcPr>
          <w:p w14:paraId="4A26F425">
            <w:pPr>
              <w:rPr>
                <w:rFonts w:hint="eastAsia" w:asciiTheme="minorEastAsia" w:hAnsiTheme="minorEastAsia" w:eastAsiaTheme="minorEastAsia" w:cstheme="minorEastAsia"/>
                <w:sz w:val="24"/>
                <w:szCs w:val="24"/>
              </w:rPr>
            </w:pPr>
          </w:p>
        </w:tc>
        <w:tc>
          <w:tcPr>
            <w:tcW w:w="548" w:type="dxa"/>
            <w:noWrap w:val="0"/>
            <w:vAlign w:val="top"/>
          </w:tcPr>
          <w:p w14:paraId="214CF8A3">
            <w:pPr>
              <w:rPr>
                <w:rFonts w:hint="eastAsia" w:asciiTheme="minorEastAsia" w:hAnsiTheme="minorEastAsia" w:eastAsiaTheme="minorEastAsia" w:cstheme="minorEastAsia"/>
                <w:sz w:val="24"/>
                <w:szCs w:val="24"/>
              </w:rPr>
            </w:pPr>
          </w:p>
        </w:tc>
        <w:tc>
          <w:tcPr>
            <w:tcW w:w="985" w:type="dxa"/>
            <w:noWrap w:val="0"/>
            <w:vAlign w:val="top"/>
          </w:tcPr>
          <w:p w14:paraId="318F433E">
            <w:pPr>
              <w:rPr>
                <w:rFonts w:hint="eastAsia" w:asciiTheme="minorEastAsia" w:hAnsiTheme="minorEastAsia" w:eastAsiaTheme="minorEastAsia" w:cstheme="minorEastAsia"/>
                <w:sz w:val="24"/>
                <w:szCs w:val="24"/>
              </w:rPr>
            </w:pPr>
          </w:p>
        </w:tc>
        <w:tc>
          <w:tcPr>
            <w:tcW w:w="1043" w:type="dxa"/>
            <w:noWrap w:val="0"/>
            <w:vAlign w:val="top"/>
          </w:tcPr>
          <w:p w14:paraId="1360F4CE">
            <w:pPr>
              <w:rPr>
                <w:rFonts w:hint="eastAsia" w:asciiTheme="minorEastAsia" w:hAnsiTheme="minorEastAsia" w:eastAsiaTheme="minorEastAsia" w:cstheme="minorEastAsia"/>
                <w:sz w:val="24"/>
                <w:szCs w:val="24"/>
              </w:rPr>
            </w:pPr>
          </w:p>
        </w:tc>
        <w:tc>
          <w:tcPr>
            <w:tcW w:w="1444" w:type="dxa"/>
            <w:noWrap w:val="0"/>
            <w:vAlign w:val="top"/>
          </w:tcPr>
          <w:p w14:paraId="34760252">
            <w:pPr>
              <w:rPr>
                <w:rFonts w:hint="eastAsia" w:asciiTheme="minorEastAsia" w:hAnsiTheme="minorEastAsia" w:eastAsiaTheme="minorEastAsia" w:cstheme="minorEastAsia"/>
                <w:sz w:val="24"/>
                <w:szCs w:val="24"/>
              </w:rPr>
            </w:pPr>
          </w:p>
        </w:tc>
      </w:tr>
      <w:tr w14:paraId="270D3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61B85DA5">
            <w:pPr>
              <w:rPr>
                <w:rFonts w:hint="eastAsia" w:asciiTheme="minorEastAsia" w:hAnsiTheme="minorEastAsia" w:eastAsiaTheme="minorEastAsia" w:cstheme="minorEastAsia"/>
                <w:sz w:val="24"/>
                <w:szCs w:val="24"/>
              </w:rPr>
            </w:pPr>
          </w:p>
        </w:tc>
        <w:tc>
          <w:tcPr>
            <w:tcW w:w="1486" w:type="dxa"/>
            <w:noWrap w:val="0"/>
            <w:vAlign w:val="top"/>
          </w:tcPr>
          <w:p w14:paraId="1957A588">
            <w:pPr>
              <w:rPr>
                <w:rFonts w:hint="eastAsia" w:asciiTheme="minorEastAsia" w:hAnsiTheme="minorEastAsia" w:eastAsiaTheme="minorEastAsia" w:cstheme="minorEastAsia"/>
                <w:sz w:val="24"/>
                <w:szCs w:val="24"/>
              </w:rPr>
            </w:pPr>
          </w:p>
        </w:tc>
        <w:tc>
          <w:tcPr>
            <w:tcW w:w="5142" w:type="dxa"/>
            <w:gridSpan w:val="4"/>
            <w:noWrap w:val="0"/>
            <w:vAlign w:val="top"/>
          </w:tcPr>
          <w:p w14:paraId="00A3FF64">
            <w:pPr>
              <w:spacing w:before="117" w:line="186" w:lineRule="auto"/>
              <w:ind w:firstLine="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备品</w:t>
            </w:r>
            <w:r>
              <w:rPr>
                <w:rFonts w:hint="eastAsia" w:asciiTheme="minorEastAsia" w:hAnsiTheme="minorEastAsia" w:eastAsiaTheme="minorEastAsia" w:cstheme="minorEastAsia"/>
                <w:spacing w:val="-2"/>
                <w:sz w:val="24"/>
                <w:szCs w:val="24"/>
              </w:rPr>
              <w:t>备件</w:t>
            </w:r>
          </w:p>
        </w:tc>
        <w:tc>
          <w:tcPr>
            <w:tcW w:w="1043" w:type="dxa"/>
            <w:noWrap w:val="0"/>
            <w:vAlign w:val="top"/>
          </w:tcPr>
          <w:p w14:paraId="55DF53FF">
            <w:pPr>
              <w:rPr>
                <w:rFonts w:hint="eastAsia" w:asciiTheme="minorEastAsia" w:hAnsiTheme="minorEastAsia" w:eastAsiaTheme="minorEastAsia" w:cstheme="minorEastAsia"/>
                <w:sz w:val="24"/>
                <w:szCs w:val="24"/>
              </w:rPr>
            </w:pPr>
          </w:p>
        </w:tc>
        <w:tc>
          <w:tcPr>
            <w:tcW w:w="1444" w:type="dxa"/>
            <w:noWrap w:val="0"/>
            <w:vAlign w:val="top"/>
          </w:tcPr>
          <w:p w14:paraId="71FE08EA">
            <w:pPr>
              <w:rPr>
                <w:rFonts w:hint="eastAsia" w:asciiTheme="minorEastAsia" w:hAnsiTheme="minorEastAsia" w:eastAsiaTheme="minorEastAsia" w:cstheme="minorEastAsia"/>
                <w:sz w:val="24"/>
                <w:szCs w:val="24"/>
              </w:rPr>
            </w:pPr>
          </w:p>
        </w:tc>
      </w:tr>
      <w:tr w14:paraId="5B9D9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2F7877D1">
            <w:pPr>
              <w:rPr>
                <w:rFonts w:hint="eastAsia" w:asciiTheme="minorEastAsia" w:hAnsiTheme="minorEastAsia" w:eastAsiaTheme="minorEastAsia" w:cstheme="minorEastAsia"/>
                <w:sz w:val="24"/>
                <w:szCs w:val="24"/>
              </w:rPr>
            </w:pPr>
          </w:p>
        </w:tc>
        <w:tc>
          <w:tcPr>
            <w:tcW w:w="1486" w:type="dxa"/>
            <w:noWrap w:val="0"/>
            <w:vAlign w:val="top"/>
          </w:tcPr>
          <w:p w14:paraId="3AA7FD4D">
            <w:pPr>
              <w:rPr>
                <w:rFonts w:hint="eastAsia" w:asciiTheme="minorEastAsia" w:hAnsiTheme="minorEastAsia" w:eastAsiaTheme="minorEastAsia" w:cstheme="minorEastAsia"/>
                <w:sz w:val="24"/>
                <w:szCs w:val="24"/>
              </w:rPr>
            </w:pPr>
          </w:p>
        </w:tc>
        <w:tc>
          <w:tcPr>
            <w:tcW w:w="5142" w:type="dxa"/>
            <w:gridSpan w:val="4"/>
            <w:noWrap w:val="0"/>
            <w:vAlign w:val="top"/>
          </w:tcPr>
          <w:p w14:paraId="27DD857B">
            <w:pPr>
              <w:spacing w:before="120" w:line="184" w:lineRule="auto"/>
              <w:ind w:firstLine="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易</w:t>
            </w:r>
            <w:r>
              <w:rPr>
                <w:rFonts w:hint="eastAsia" w:asciiTheme="minorEastAsia" w:hAnsiTheme="minorEastAsia" w:eastAsiaTheme="minorEastAsia" w:cstheme="minorEastAsia"/>
                <w:spacing w:val="-5"/>
                <w:sz w:val="24"/>
                <w:szCs w:val="24"/>
              </w:rPr>
              <w:t>损件</w:t>
            </w:r>
          </w:p>
        </w:tc>
        <w:tc>
          <w:tcPr>
            <w:tcW w:w="1043" w:type="dxa"/>
            <w:noWrap w:val="0"/>
            <w:vAlign w:val="top"/>
          </w:tcPr>
          <w:p w14:paraId="0997DCE0">
            <w:pPr>
              <w:rPr>
                <w:rFonts w:hint="eastAsia" w:asciiTheme="minorEastAsia" w:hAnsiTheme="minorEastAsia" w:eastAsiaTheme="minorEastAsia" w:cstheme="minorEastAsia"/>
                <w:sz w:val="24"/>
                <w:szCs w:val="24"/>
              </w:rPr>
            </w:pPr>
          </w:p>
        </w:tc>
        <w:tc>
          <w:tcPr>
            <w:tcW w:w="1444" w:type="dxa"/>
            <w:noWrap w:val="0"/>
            <w:vAlign w:val="top"/>
          </w:tcPr>
          <w:p w14:paraId="0561DF8F">
            <w:pPr>
              <w:rPr>
                <w:rFonts w:hint="eastAsia" w:asciiTheme="minorEastAsia" w:hAnsiTheme="minorEastAsia" w:eastAsiaTheme="minorEastAsia" w:cstheme="minorEastAsia"/>
                <w:sz w:val="24"/>
                <w:szCs w:val="24"/>
              </w:rPr>
            </w:pPr>
          </w:p>
        </w:tc>
      </w:tr>
      <w:tr w14:paraId="49E18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C4D3DB1">
            <w:pPr>
              <w:rPr>
                <w:rFonts w:hint="eastAsia" w:asciiTheme="minorEastAsia" w:hAnsiTheme="minorEastAsia" w:eastAsiaTheme="minorEastAsia" w:cstheme="minorEastAsia"/>
                <w:sz w:val="24"/>
                <w:szCs w:val="24"/>
              </w:rPr>
            </w:pPr>
          </w:p>
        </w:tc>
        <w:tc>
          <w:tcPr>
            <w:tcW w:w="1486" w:type="dxa"/>
            <w:noWrap w:val="0"/>
            <w:vAlign w:val="top"/>
          </w:tcPr>
          <w:p w14:paraId="4836800A">
            <w:pPr>
              <w:rPr>
                <w:rFonts w:hint="eastAsia" w:asciiTheme="minorEastAsia" w:hAnsiTheme="minorEastAsia" w:eastAsiaTheme="minorEastAsia" w:cstheme="minorEastAsia"/>
                <w:sz w:val="24"/>
                <w:szCs w:val="24"/>
              </w:rPr>
            </w:pPr>
          </w:p>
        </w:tc>
        <w:tc>
          <w:tcPr>
            <w:tcW w:w="5142" w:type="dxa"/>
            <w:gridSpan w:val="4"/>
            <w:noWrap w:val="0"/>
            <w:vAlign w:val="top"/>
          </w:tcPr>
          <w:p w14:paraId="52081CDC">
            <w:pPr>
              <w:spacing w:before="118" w:line="184" w:lineRule="auto"/>
              <w:ind w:firstLin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专用工具</w:t>
            </w:r>
            <w:r>
              <w:rPr>
                <w:rFonts w:hint="eastAsia" w:asciiTheme="minorEastAsia" w:hAnsiTheme="minorEastAsia" w:eastAsiaTheme="minorEastAsia" w:cstheme="minorEastAsia"/>
                <w:spacing w:val="-2"/>
                <w:sz w:val="24"/>
                <w:szCs w:val="24"/>
              </w:rPr>
              <w:t>价</w:t>
            </w:r>
          </w:p>
        </w:tc>
        <w:tc>
          <w:tcPr>
            <w:tcW w:w="1043" w:type="dxa"/>
            <w:noWrap w:val="0"/>
            <w:vAlign w:val="top"/>
          </w:tcPr>
          <w:p w14:paraId="4A2988E4">
            <w:pPr>
              <w:rPr>
                <w:rFonts w:hint="eastAsia" w:asciiTheme="minorEastAsia" w:hAnsiTheme="minorEastAsia" w:eastAsiaTheme="minorEastAsia" w:cstheme="minorEastAsia"/>
                <w:sz w:val="24"/>
                <w:szCs w:val="24"/>
              </w:rPr>
            </w:pPr>
          </w:p>
        </w:tc>
        <w:tc>
          <w:tcPr>
            <w:tcW w:w="1444" w:type="dxa"/>
            <w:noWrap w:val="0"/>
            <w:vAlign w:val="top"/>
          </w:tcPr>
          <w:p w14:paraId="4C35DB4F">
            <w:pPr>
              <w:rPr>
                <w:rFonts w:hint="eastAsia" w:asciiTheme="minorEastAsia" w:hAnsiTheme="minorEastAsia" w:eastAsiaTheme="minorEastAsia" w:cstheme="minorEastAsia"/>
                <w:sz w:val="24"/>
                <w:szCs w:val="24"/>
              </w:rPr>
            </w:pPr>
          </w:p>
        </w:tc>
      </w:tr>
      <w:tr w14:paraId="1443A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65345F18">
            <w:pPr>
              <w:rPr>
                <w:rFonts w:hint="eastAsia" w:asciiTheme="minorEastAsia" w:hAnsiTheme="minorEastAsia" w:eastAsiaTheme="minorEastAsia" w:cstheme="minorEastAsia"/>
                <w:sz w:val="24"/>
                <w:szCs w:val="24"/>
              </w:rPr>
            </w:pPr>
          </w:p>
        </w:tc>
        <w:tc>
          <w:tcPr>
            <w:tcW w:w="1486" w:type="dxa"/>
            <w:noWrap w:val="0"/>
            <w:vAlign w:val="top"/>
          </w:tcPr>
          <w:p w14:paraId="7890C54C">
            <w:pPr>
              <w:rPr>
                <w:rFonts w:hint="eastAsia" w:asciiTheme="minorEastAsia" w:hAnsiTheme="minorEastAsia" w:eastAsiaTheme="minorEastAsia" w:cstheme="minorEastAsia"/>
                <w:sz w:val="24"/>
                <w:szCs w:val="24"/>
              </w:rPr>
            </w:pPr>
          </w:p>
        </w:tc>
        <w:tc>
          <w:tcPr>
            <w:tcW w:w="5142" w:type="dxa"/>
            <w:gridSpan w:val="4"/>
            <w:noWrap w:val="0"/>
            <w:vAlign w:val="top"/>
          </w:tcPr>
          <w:p w14:paraId="0E5B4F49">
            <w:pPr>
              <w:spacing w:before="120" w:line="184" w:lineRule="auto"/>
              <w:ind w:firstLine="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安装调</w:t>
            </w:r>
            <w:r>
              <w:rPr>
                <w:rFonts w:hint="eastAsia" w:asciiTheme="minorEastAsia" w:hAnsiTheme="minorEastAsia" w:eastAsiaTheme="minorEastAsia" w:cstheme="minorEastAsia"/>
                <w:spacing w:val="-2"/>
                <w:sz w:val="24"/>
                <w:szCs w:val="24"/>
              </w:rPr>
              <w:t>试费</w:t>
            </w:r>
          </w:p>
        </w:tc>
        <w:tc>
          <w:tcPr>
            <w:tcW w:w="1043" w:type="dxa"/>
            <w:noWrap w:val="0"/>
            <w:vAlign w:val="top"/>
          </w:tcPr>
          <w:p w14:paraId="0A10EC3F">
            <w:pPr>
              <w:rPr>
                <w:rFonts w:hint="eastAsia" w:asciiTheme="minorEastAsia" w:hAnsiTheme="minorEastAsia" w:eastAsiaTheme="minorEastAsia" w:cstheme="minorEastAsia"/>
                <w:sz w:val="24"/>
                <w:szCs w:val="24"/>
              </w:rPr>
            </w:pPr>
          </w:p>
        </w:tc>
        <w:tc>
          <w:tcPr>
            <w:tcW w:w="1444" w:type="dxa"/>
            <w:noWrap w:val="0"/>
            <w:vAlign w:val="top"/>
          </w:tcPr>
          <w:p w14:paraId="51CD9C7C">
            <w:pPr>
              <w:rPr>
                <w:rFonts w:hint="eastAsia" w:asciiTheme="minorEastAsia" w:hAnsiTheme="minorEastAsia" w:eastAsiaTheme="minorEastAsia" w:cstheme="minorEastAsia"/>
                <w:sz w:val="24"/>
                <w:szCs w:val="24"/>
              </w:rPr>
            </w:pPr>
          </w:p>
        </w:tc>
      </w:tr>
      <w:tr w14:paraId="36FE9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4CEBDF6">
            <w:pPr>
              <w:rPr>
                <w:rFonts w:hint="eastAsia" w:asciiTheme="minorEastAsia" w:hAnsiTheme="minorEastAsia" w:eastAsiaTheme="minorEastAsia" w:cstheme="minorEastAsia"/>
                <w:sz w:val="24"/>
                <w:szCs w:val="24"/>
              </w:rPr>
            </w:pPr>
          </w:p>
        </w:tc>
        <w:tc>
          <w:tcPr>
            <w:tcW w:w="1486" w:type="dxa"/>
            <w:noWrap w:val="0"/>
            <w:vAlign w:val="top"/>
          </w:tcPr>
          <w:p w14:paraId="63913D24">
            <w:pPr>
              <w:rPr>
                <w:rFonts w:hint="eastAsia" w:asciiTheme="minorEastAsia" w:hAnsiTheme="minorEastAsia" w:eastAsiaTheme="minorEastAsia" w:cstheme="minorEastAsia"/>
                <w:sz w:val="24"/>
                <w:szCs w:val="24"/>
              </w:rPr>
            </w:pPr>
          </w:p>
        </w:tc>
        <w:tc>
          <w:tcPr>
            <w:tcW w:w="5142" w:type="dxa"/>
            <w:gridSpan w:val="4"/>
            <w:noWrap w:val="0"/>
            <w:vAlign w:val="top"/>
          </w:tcPr>
          <w:p w14:paraId="1E7993FD">
            <w:pPr>
              <w:spacing w:before="120" w:line="184" w:lineRule="auto"/>
              <w:ind w:firstLine="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运输至最终目的运费及</w:t>
            </w:r>
            <w:r>
              <w:rPr>
                <w:rFonts w:hint="eastAsia" w:asciiTheme="minorEastAsia" w:hAnsiTheme="minorEastAsia" w:eastAsiaTheme="minorEastAsia" w:cstheme="minorEastAsia"/>
                <w:sz w:val="24"/>
                <w:szCs w:val="24"/>
              </w:rPr>
              <w:t>保险费等</w:t>
            </w:r>
          </w:p>
        </w:tc>
        <w:tc>
          <w:tcPr>
            <w:tcW w:w="1043" w:type="dxa"/>
            <w:noWrap w:val="0"/>
            <w:vAlign w:val="top"/>
          </w:tcPr>
          <w:p w14:paraId="43DC18A0">
            <w:pPr>
              <w:rPr>
                <w:rFonts w:hint="eastAsia" w:asciiTheme="minorEastAsia" w:hAnsiTheme="minorEastAsia" w:eastAsiaTheme="minorEastAsia" w:cstheme="minorEastAsia"/>
                <w:sz w:val="24"/>
                <w:szCs w:val="24"/>
              </w:rPr>
            </w:pPr>
          </w:p>
        </w:tc>
        <w:tc>
          <w:tcPr>
            <w:tcW w:w="1444" w:type="dxa"/>
            <w:noWrap w:val="0"/>
            <w:vAlign w:val="top"/>
          </w:tcPr>
          <w:p w14:paraId="32F5B64E">
            <w:pPr>
              <w:rPr>
                <w:rFonts w:hint="eastAsia" w:asciiTheme="minorEastAsia" w:hAnsiTheme="minorEastAsia" w:eastAsiaTheme="minorEastAsia" w:cstheme="minorEastAsia"/>
                <w:sz w:val="24"/>
                <w:szCs w:val="24"/>
              </w:rPr>
            </w:pPr>
          </w:p>
        </w:tc>
      </w:tr>
      <w:tr w14:paraId="3591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3974C732">
            <w:pPr>
              <w:rPr>
                <w:rFonts w:hint="eastAsia" w:asciiTheme="minorEastAsia" w:hAnsiTheme="minorEastAsia" w:eastAsiaTheme="minorEastAsia" w:cstheme="minorEastAsia"/>
                <w:sz w:val="24"/>
                <w:szCs w:val="24"/>
              </w:rPr>
            </w:pPr>
          </w:p>
        </w:tc>
        <w:tc>
          <w:tcPr>
            <w:tcW w:w="1486" w:type="dxa"/>
            <w:noWrap w:val="0"/>
            <w:vAlign w:val="top"/>
          </w:tcPr>
          <w:p w14:paraId="6256679A">
            <w:pPr>
              <w:rPr>
                <w:rFonts w:hint="eastAsia" w:asciiTheme="minorEastAsia" w:hAnsiTheme="minorEastAsia" w:eastAsiaTheme="minorEastAsia" w:cstheme="minorEastAsia"/>
                <w:sz w:val="24"/>
                <w:szCs w:val="24"/>
              </w:rPr>
            </w:pPr>
          </w:p>
        </w:tc>
        <w:tc>
          <w:tcPr>
            <w:tcW w:w="5142" w:type="dxa"/>
            <w:gridSpan w:val="4"/>
            <w:noWrap w:val="0"/>
            <w:vAlign w:val="top"/>
          </w:tcPr>
          <w:p w14:paraId="430F8448">
            <w:pPr>
              <w:spacing w:before="120" w:line="180" w:lineRule="auto"/>
              <w:ind w:firstLine="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技术服务费（含培训等</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费</w:t>
            </w:r>
          </w:p>
        </w:tc>
        <w:tc>
          <w:tcPr>
            <w:tcW w:w="1043" w:type="dxa"/>
            <w:noWrap w:val="0"/>
            <w:vAlign w:val="top"/>
          </w:tcPr>
          <w:p w14:paraId="6F7DEE75">
            <w:pPr>
              <w:rPr>
                <w:rFonts w:hint="eastAsia" w:asciiTheme="minorEastAsia" w:hAnsiTheme="minorEastAsia" w:eastAsiaTheme="minorEastAsia" w:cstheme="minorEastAsia"/>
                <w:sz w:val="24"/>
                <w:szCs w:val="24"/>
              </w:rPr>
            </w:pPr>
          </w:p>
        </w:tc>
        <w:tc>
          <w:tcPr>
            <w:tcW w:w="1444" w:type="dxa"/>
            <w:noWrap w:val="0"/>
            <w:vAlign w:val="top"/>
          </w:tcPr>
          <w:p w14:paraId="12730B38">
            <w:pPr>
              <w:rPr>
                <w:rFonts w:hint="eastAsia" w:asciiTheme="minorEastAsia" w:hAnsiTheme="minorEastAsia" w:eastAsiaTheme="minorEastAsia" w:cstheme="minorEastAsia"/>
                <w:sz w:val="24"/>
                <w:szCs w:val="24"/>
              </w:rPr>
            </w:pPr>
          </w:p>
        </w:tc>
      </w:tr>
      <w:tr w14:paraId="0B854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07D214E4">
            <w:pPr>
              <w:rPr>
                <w:rFonts w:hint="eastAsia" w:asciiTheme="minorEastAsia" w:hAnsiTheme="minorEastAsia" w:eastAsiaTheme="minorEastAsia" w:cstheme="minorEastAsia"/>
                <w:sz w:val="24"/>
                <w:szCs w:val="24"/>
              </w:rPr>
            </w:pPr>
          </w:p>
        </w:tc>
        <w:tc>
          <w:tcPr>
            <w:tcW w:w="1486" w:type="dxa"/>
            <w:noWrap w:val="0"/>
            <w:vAlign w:val="top"/>
          </w:tcPr>
          <w:p w14:paraId="28A27ED4">
            <w:pPr>
              <w:rPr>
                <w:rFonts w:hint="eastAsia" w:asciiTheme="minorEastAsia" w:hAnsiTheme="minorEastAsia" w:eastAsiaTheme="minorEastAsia" w:cstheme="minorEastAsia"/>
                <w:sz w:val="24"/>
                <w:szCs w:val="24"/>
              </w:rPr>
            </w:pPr>
          </w:p>
        </w:tc>
        <w:tc>
          <w:tcPr>
            <w:tcW w:w="5142" w:type="dxa"/>
            <w:gridSpan w:val="4"/>
            <w:noWrap w:val="0"/>
            <w:vAlign w:val="top"/>
          </w:tcPr>
          <w:p w14:paraId="22CFED33">
            <w:pPr>
              <w:spacing w:before="118" w:line="185" w:lineRule="auto"/>
              <w:ind w:firstLine="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其</w:t>
            </w:r>
            <w:r>
              <w:rPr>
                <w:rFonts w:hint="eastAsia" w:asciiTheme="minorEastAsia" w:hAnsiTheme="minorEastAsia" w:eastAsiaTheme="minorEastAsia" w:cstheme="minorEastAsia"/>
                <w:spacing w:val="-2"/>
                <w:sz w:val="24"/>
                <w:szCs w:val="24"/>
              </w:rPr>
              <w:t>他</w:t>
            </w:r>
          </w:p>
        </w:tc>
        <w:tc>
          <w:tcPr>
            <w:tcW w:w="1043" w:type="dxa"/>
            <w:noWrap w:val="0"/>
            <w:vAlign w:val="top"/>
          </w:tcPr>
          <w:p w14:paraId="69C1CE10">
            <w:pPr>
              <w:rPr>
                <w:rFonts w:hint="eastAsia" w:asciiTheme="minorEastAsia" w:hAnsiTheme="minorEastAsia" w:eastAsiaTheme="minorEastAsia" w:cstheme="minorEastAsia"/>
                <w:sz w:val="24"/>
                <w:szCs w:val="24"/>
              </w:rPr>
            </w:pPr>
          </w:p>
        </w:tc>
        <w:tc>
          <w:tcPr>
            <w:tcW w:w="1444" w:type="dxa"/>
            <w:noWrap w:val="0"/>
            <w:vAlign w:val="top"/>
          </w:tcPr>
          <w:p w14:paraId="704C5503">
            <w:pPr>
              <w:rPr>
                <w:rFonts w:hint="eastAsia" w:asciiTheme="minorEastAsia" w:hAnsiTheme="minorEastAsia" w:eastAsiaTheme="minorEastAsia" w:cstheme="minorEastAsia"/>
                <w:sz w:val="24"/>
                <w:szCs w:val="24"/>
              </w:rPr>
            </w:pPr>
          </w:p>
        </w:tc>
      </w:tr>
      <w:tr w14:paraId="6E3D7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16" w:type="dxa"/>
            <w:gridSpan w:val="8"/>
            <w:noWrap w:val="0"/>
            <w:vAlign w:val="top"/>
          </w:tcPr>
          <w:p w14:paraId="7FB2C8BA">
            <w:pPr>
              <w:spacing w:before="121" w:line="184" w:lineRule="auto"/>
              <w:ind w:firstLine="65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64135</wp:posOffset>
                      </wp:positionV>
                      <wp:extent cx="429895" cy="2279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29895" cy="227965"/>
                              </a:xfrm>
                              <a:prstGeom prst="rect">
                                <a:avLst/>
                              </a:prstGeom>
                              <a:noFill/>
                              <a:ln>
                                <a:noFill/>
                              </a:ln>
                            </wps:spPr>
                            <wps:txbx>
                              <w:txbxContent>
                                <w:p w14:paraId="2F691F2C">
                                  <w:pPr>
                                    <w:spacing w:before="19" w:line="186"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大写</w:t>
                                  </w:r>
                                  <w:r>
                                    <w:rPr>
                                      <w:rFonts w:ascii="微软雅黑" w:hAnsi="微软雅黑" w:eastAsia="微软雅黑" w:cs="微软雅黑"/>
                                      <w:spacing w:val="-84"/>
                                      <w:sz w:val="24"/>
                                      <w:szCs w:val="24"/>
                                    </w:rPr>
                                    <w:t>：</w:t>
                                  </w:r>
                                </w:p>
                              </w:txbxContent>
                            </wps:txbx>
                            <wps:bodyPr lIns="0" tIns="0" rIns="0" bIns="0" upright="1"/>
                          </wps:wsp>
                        </a:graphicData>
                      </a:graphic>
                    </wp:anchor>
                  </w:drawing>
                </mc:Choice>
                <mc:Fallback>
                  <w:pict>
                    <v:shape id="_x0000_s1026" o:spid="_x0000_s1026" o:spt="202" type="#_x0000_t202" style="position:absolute;left:0pt;margin-left:5.35pt;margin-top:5.05pt;height:17.95pt;width:33.85pt;z-index:251660288;mso-width-relative:page;mso-height-relative:page;" filled="f" stroked="f" coordsize="21600,21600" o:gfxdata="UEsDBAoAAAAAAIdO4kAAAAAAAAAAAAAAAAAEAAAAZHJzL1BLAwQUAAAACACHTuJAcVqnldUAAAAH&#10;AQAADwAAAGRycy9kb3ducmV2LnhtbE2OzU7DMBCE70i8g7VI3KgdVKUlxKkQghMSIg0Hjk68TazG&#10;6xC7P7w92xOcRqMZzXzl5uxHccQ5ukAasoUCgdQF66jX8Nm83q1BxGTImjEQavjBCJvq+qo0hQ0n&#10;qvG4Tb3gEYqF0TCkNBVSxm5Ab+IiTEic7cLsTWI799LO5sTjfpT3SuXSG0f8MJgJnwfs9tuD1/D0&#10;RfWL+35vP+pd7ZrmQdFbvtf69iZTjyASntNfGS74jA4VM7XhQDaKkb1acfOiGQjOV+sliFbDMlcg&#10;q1L+569+AVBLAwQUAAAACACHTuJA1M72R7sBAABxAwAADgAAAGRycy9lMm9Eb2MueG1srVPNjtMw&#10;EL4j8Q6W79RtxC7bqOlKqFqEhABplwdwHbux5D+N3SZ9AXgDTly481x9DsZO2oXlsgcuzmRm8s33&#10;feOsbgdryEFC1N41dDGbUyKd8K12u4Z+ebh7dUNJTNy13HgnG3qUkd6uX75Y9aGWle+8aSUQBHGx&#10;7kNDu5RCzVgUnbQ8znyQDovKg+UJX2HHWuA9olvDqvn8mvUe2gBeyBgxuxmLdEKE5wB6pbSQGy/2&#10;Vro0ooI0PKGk2OkQ6bqwVUqK9EmpKBMxDUWlqZw4BONtPtl6xesd8NBpMVHgz6HwRJPl2uHQC9SG&#10;J072oP+BslqAj16lmfCWjUKKI6hiMX/izX3Hgyxa0OoYLqbH/wcrPh4+A9Et3gRKHLe48NP3b6cf&#10;v04/v5JFtqcPscau+4B9aXjrh9w65SMms+pBgc1P1EOwjuYeL+bKIRGBydfV8mZ5RYnAUlW9WV5f&#10;ZRT2+HGAmN5Jb0kOGgq4u2IpP3yIaWw9t+RZzt9pYzDPa+P+SiBmzrDMfGSYozRsh4n21rdHVGPe&#10;O3Qy34pzAOdgew72AfSuQzpFc4HETRTe063Jq/7zvQx+/FP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xWqeV1QAAAAcBAAAPAAAAAAAAAAEAIAAAACIAAABkcnMvZG93bnJldi54bWxQSwECFAAU&#10;AAAACACHTuJA1M72R7sBAABxAwAADgAAAAAAAAABACAAAAAkAQAAZHJzL2Uyb0RvYy54bWxQSwUG&#10;AAAAAAYABgBZAQAAUQUAAAAA&#10;">
                      <v:fill on="f" focussize="0,0"/>
                      <v:stroke on="f"/>
                      <v:imagedata o:title=""/>
                      <o:lock v:ext="edit" aspectratio="f"/>
                      <v:textbox inset="0mm,0mm,0mm,0mm">
                        <w:txbxContent>
                          <w:p w14:paraId="2F691F2C">
                            <w:pPr>
                              <w:spacing w:before="19" w:line="186"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大写</w:t>
                            </w:r>
                            <w:r>
                              <w:rPr>
                                <w:rFonts w:ascii="微软雅黑" w:hAnsi="微软雅黑" w:eastAsia="微软雅黑" w:cs="微软雅黑"/>
                                <w:spacing w:val="-84"/>
                                <w:sz w:val="24"/>
                                <w:szCs w:val="24"/>
                              </w:rPr>
                              <w:t>：</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6071235</wp:posOffset>
                      </wp:positionH>
                      <wp:positionV relativeFrom="paragraph">
                        <wp:posOffset>64135</wp:posOffset>
                      </wp:positionV>
                      <wp:extent cx="167005" cy="2273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7005" cy="227330"/>
                              </a:xfrm>
                              <a:prstGeom prst="rect">
                                <a:avLst/>
                              </a:prstGeom>
                              <a:noFill/>
                              <a:ln>
                                <a:noFill/>
                              </a:ln>
                            </wps:spPr>
                            <wps:txbx>
                              <w:txbxContent>
                                <w:p w14:paraId="6C692AA7">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wps:txbx>
                            <wps:bodyPr lIns="0" tIns="0" rIns="0" bIns="0" upright="1"/>
                          </wps:wsp>
                        </a:graphicData>
                      </a:graphic>
                    </wp:anchor>
                  </w:drawing>
                </mc:Choice>
                <mc:Fallback>
                  <w:pict>
                    <v:shape id="_x0000_s1026" o:spid="_x0000_s1026" o:spt="202" type="#_x0000_t202" style="position:absolute;left:0pt;margin-left:478.05pt;margin-top:5.05pt;height:17.9pt;width:13.15pt;z-index:251659264;mso-width-relative:page;mso-height-relative:page;" filled="f" stroked="f" coordsize="21600,21600" o:gfxdata="UEsDBAoAAAAAAIdO4kAAAAAAAAAAAAAAAAAEAAAAZHJzL1BLAwQUAAAACACHTuJANhUs/dgAAAAJ&#10;AQAADwAAAGRycy9kb3ducmV2LnhtbE2PTU/DMAyG70j8h8hI3FjSaavW0nRCCE5IiK4cOKat10Zr&#10;nNJkH/x7zImdLOt99Ppxsb24UZxwDtaThmShQCC1vrPUa/isXx82IEI01JnRE2r4wQDb8vamMHnn&#10;z1ThaRd7wSUUcqNhiHHKpQztgM6EhZ+QONv72ZnI69zLbjZnLnejXCqVSmcs8YXBTPg8YHvYHZ2G&#10;py+qXuz3e/NR7Stb15mit/Sg9f1doh5BRLzEfxj+9FkdSnZq/JG6IEYN2TpNGOVA8WQg2yxXIBoN&#10;q3UGsizk9QflL1BLAwQUAAAACACHTuJANAAQn7oBAABxAwAADgAAAGRycy9lMm9Eb2MueG1srVNL&#10;jhMxEN0jcQfLe9I9GTFBrXRGQtEgJARIwxzAcdtpS/6pykl3LgA3YMWGPefKOSg76QwMm1mwcZfL&#10;5VfvvXIvb0dn2V4BmuBbfjWrOVNehs74bcsfvty9esMZJuE7YYNXLT8o5Lerly+WQ2zUPPTBdgoY&#10;gXhshtjyPqXYVBXKXjmBsxCVp0MdwIlEW9hWHYiB0J2t5nV9Uw0BughBKkTKrk+H/IwIzwEMWhup&#10;1kHunPLphArKikSSsDcR+aqw1VrJ9ElrVInZlpPSVFZqQvEmr9VqKZotiNgbeaYgnkPhiSYnjKem&#10;F6i1SILtwPwD5YyEgEGnmQyuOgkpjpCKq/qJN/e9iKpoIasxXkzH/wcrP+4/AzNdyxeceeFo4Mfv&#10;344/fh1/fmWLbM8QsaGq+0h1aXwbRno0Ux4pmVWPGlz+kh5G52Tu4WKuGhOT+dLNoq5fcybpaD5f&#10;XF8X86vHyxEwvVPBsRy0HGh2xVKx/4CJiFDpVJJ7+XBnrC3zs/6vBBXmTJWZnxjmKI2b8SxnE7oD&#10;qbHvPTmZX8UUwBRspmAXwWx7olM0F0iaRCFzfjV51H/uS+PHP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YVLP3YAAAACQEAAA8AAAAAAAAAAQAgAAAAIgAAAGRycy9kb3ducmV2LnhtbFBLAQIU&#10;ABQAAAAIAIdO4kA0ABCfugEAAHEDAAAOAAAAAAAAAAEAIAAAACcBAABkcnMvZTJvRG9jLnhtbFBL&#10;BQYAAAAABgAGAFkBAABTBQAAAAA=&#10;">
                      <v:fill on="f" focussize="0,0"/>
                      <v:stroke on="f"/>
                      <v:imagedata o:title=""/>
                      <o:lock v:ext="edit" aspectratio="f"/>
                      <v:textbox inset="0mm,0mm,0mm,0mm">
                        <w:txbxContent>
                          <w:p w14:paraId="6C692AA7">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v:textbox>
                    </v:shape>
                  </w:pict>
                </mc:Fallback>
              </mc:AlternateContent>
            </w:r>
            <w:r>
              <w:rPr>
                <w:rFonts w:hint="eastAsia" w:asciiTheme="minorEastAsia" w:hAnsiTheme="minorEastAsia" w:eastAsiaTheme="minorEastAsia" w:cstheme="minorEastAsia"/>
                <w:sz w:val="24"/>
                <w:szCs w:val="24"/>
              </w:rPr>
              <w:t>合同价</w:t>
            </w:r>
            <w:r>
              <w:rPr>
                <w:rFonts w:hint="eastAsia" w:asciiTheme="minorEastAsia" w:hAnsiTheme="minorEastAsia" w:eastAsiaTheme="minorEastAsia" w:cstheme="minorEastAsia"/>
                <w:spacing w:val="-58"/>
                <w:sz w:val="24"/>
                <w:szCs w:val="24"/>
              </w:rPr>
              <w:t>：</w:t>
            </w:r>
          </w:p>
        </w:tc>
      </w:tr>
    </w:tbl>
    <w:p w14:paraId="40DA0F2A">
      <w:pPr>
        <w:sectPr>
          <w:pgSz w:w="11905" w:h="16840"/>
          <w:pgMar w:top="1134" w:right="1134" w:bottom="1134" w:left="1417" w:header="0" w:footer="0" w:gutter="0"/>
          <w:pgNumType w:fmt="numberInDash"/>
          <w:cols w:space="720" w:num="1"/>
          <w:rtlGutter w:val="0"/>
        </w:sectPr>
      </w:pPr>
    </w:p>
    <w:bookmarkEnd w:id="903"/>
    <w:p w14:paraId="1591C252">
      <w:pPr>
        <w:pStyle w:val="2"/>
        <w:tabs>
          <w:tab w:val="left" w:pos="1440"/>
        </w:tabs>
        <w:wordWrap w:val="0"/>
        <w:rPr>
          <w:rFonts w:hint="eastAsia" w:ascii="宋体" w:hAnsi="宋体" w:cs="宋体"/>
          <w:kern w:val="0"/>
          <w:sz w:val="24"/>
          <w:szCs w:val="24"/>
          <w:highlight w:val="none"/>
          <w:lang w:eastAsia="zh-CN"/>
        </w:rPr>
      </w:pPr>
      <w:bookmarkStart w:id="904" w:name="_Toc27917"/>
      <w:bookmarkStart w:id="905" w:name="_Toc2005"/>
      <w:bookmarkStart w:id="906" w:name="_Toc26470"/>
      <w:r>
        <w:rPr>
          <w:rFonts w:hint="eastAsia" w:ascii="宋体" w:hAnsi="宋体" w:cs="宋体"/>
          <w:highlight w:val="none"/>
        </w:rPr>
        <w:t>第五章 采购需求</w:t>
      </w:r>
      <w:bookmarkEnd w:id="904"/>
      <w:bookmarkEnd w:id="905"/>
      <w:bookmarkEnd w:id="906"/>
      <w:bookmarkStart w:id="907" w:name="_Toc9535"/>
      <w:bookmarkStart w:id="908" w:name="_Toc493506288"/>
    </w:p>
    <w:bookmarkEnd w:id="907"/>
    <w:bookmarkEnd w:id="908"/>
    <w:p w14:paraId="27D6CEC6">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bookmarkStart w:id="909" w:name="_Toc24289"/>
    </w:p>
    <w:p w14:paraId="5394FBE7">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bookmarkStart w:id="910" w:name="_Toc1077"/>
      <w:bookmarkStart w:id="911" w:name="_Toc17467"/>
      <w:r>
        <w:rPr>
          <w:rFonts w:hint="eastAsia" w:ascii="宋体" w:hAnsi="宋体" w:eastAsia="宋体" w:cs="宋体"/>
          <w:b/>
          <w:bCs/>
          <w:color w:val="auto"/>
          <w:sz w:val="24"/>
          <w:szCs w:val="24"/>
          <w:highlight w:val="none"/>
          <w:lang w:val="en-US" w:eastAsia="zh-CN"/>
        </w:rPr>
        <w:t>采购需求：供应商需对采购需求做出承诺，否则视同不满足本项目采购要求，原则上否决其投标。</w:t>
      </w:r>
      <w:bookmarkEnd w:id="910"/>
      <w:bookmarkEnd w:id="911"/>
    </w:p>
    <w:p w14:paraId="5FC8B8DB">
      <w:pPr>
        <w:wordWrap w:val="0"/>
        <w:spacing w:line="240" w:lineRule="auto"/>
        <w:ind w:firstLine="482" w:firstLineChars="200"/>
        <w:rPr>
          <w:rFonts w:hint="eastAsia" w:asciiTheme="minorEastAsia" w:hAnsiTheme="minorEastAsia" w:eastAsiaTheme="minorEastAsia" w:cstheme="minorEastAsia"/>
          <w:b/>
          <w:bCs/>
          <w:sz w:val="24"/>
          <w:szCs w:val="24"/>
          <w:lang w:val="en-US" w:eastAsia="zh-CN"/>
        </w:rPr>
      </w:pPr>
    </w:p>
    <w:p w14:paraId="4A599CB5">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5.1采购需求</w:t>
      </w:r>
    </w:p>
    <w:p w14:paraId="5B775F6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本次采购</w:t>
      </w:r>
      <w:r>
        <w:rPr>
          <w:rFonts w:hint="eastAsia" w:asciiTheme="minorEastAsia" w:hAnsiTheme="minorEastAsia" w:cstheme="minorEastAsia"/>
          <w:color w:val="auto"/>
          <w:sz w:val="24"/>
          <w:szCs w:val="24"/>
          <w:lang w:val="en-US" w:eastAsia="zh-CN"/>
        </w:rPr>
        <w:t>一台通信指挥车</w:t>
      </w:r>
      <w:r>
        <w:rPr>
          <w:rFonts w:hint="eastAsia" w:asciiTheme="minorEastAsia" w:hAnsiTheme="minorEastAsia" w:eastAsiaTheme="minorEastAsia" w:cstheme="minorEastAsia"/>
          <w:color w:val="auto"/>
          <w:sz w:val="24"/>
          <w:szCs w:val="24"/>
          <w:lang w:val="en-US" w:eastAsia="zh-CN"/>
        </w:rPr>
        <w:t>。</w:t>
      </w:r>
    </w:p>
    <w:p w14:paraId="0AF026C4">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5.2 质量要求</w:t>
      </w:r>
    </w:p>
    <w:p w14:paraId="3877084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both"/>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达到国家相关行业合格标准及强制性标准</w:t>
      </w:r>
    </w:p>
    <w:p w14:paraId="709B172E">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5.3 交货地点</w:t>
      </w:r>
    </w:p>
    <w:p w14:paraId="0A7D99E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采购人指定地点</w:t>
      </w:r>
    </w:p>
    <w:p w14:paraId="163678A4">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5.4合同履行期限</w:t>
      </w:r>
    </w:p>
    <w:p w14:paraId="6E02A8E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接采购人通知后，15日历天内货到现场；</w:t>
      </w:r>
    </w:p>
    <w:p w14:paraId="184FCB39">
      <w:pPr>
        <w:spacing w:before="196" w:line="184" w:lineRule="auto"/>
        <w:ind w:left="4445"/>
        <w:rPr>
          <w:rFonts w:ascii="宋体" w:hAnsi="宋体" w:eastAsia="宋体" w:cs="宋体"/>
          <w:sz w:val="42"/>
          <w:szCs w:val="42"/>
        </w:rPr>
      </w:pPr>
    </w:p>
    <w:p w14:paraId="67DB5FC5">
      <w:pPr>
        <w:spacing w:line="217" w:lineRule="auto"/>
        <w:ind w:left="0" w:leftChars="0" w:firstLine="0" w:firstLineChars="0"/>
        <w:jc w:val="center"/>
        <w:rPr>
          <w:rFonts w:hint="eastAsia" w:ascii="宋体" w:hAnsi="宋体" w:eastAsia="宋体" w:cs="宋体"/>
          <w:b/>
          <w:bCs/>
          <w:spacing w:val="1"/>
          <w:sz w:val="28"/>
          <w:szCs w:val="28"/>
          <w:lang w:eastAsia="zh-CN"/>
        </w:rPr>
      </w:pPr>
      <w:r>
        <w:rPr>
          <w:rFonts w:hint="eastAsia" w:ascii="宋体" w:hAnsi="宋体" w:eastAsia="宋体" w:cs="宋体"/>
          <w:b/>
          <w:bCs/>
          <w:spacing w:val="1"/>
          <w:sz w:val="28"/>
          <w:szCs w:val="28"/>
          <w:lang w:eastAsia="zh-CN"/>
        </w:rPr>
        <w:t>固始县公安局采购一台通信指挥车项目</w:t>
      </w:r>
    </w:p>
    <w:p w14:paraId="1A5C8399">
      <w:pPr>
        <w:spacing w:line="217" w:lineRule="auto"/>
        <w:ind w:left="0" w:leftChars="0" w:firstLine="0" w:firstLineChars="0"/>
        <w:jc w:val="right"/>
        <w:rPr>
          <w:rFonts w:hint="default" w:ascii="宋体" w:hAnsi="宋体" w:eastAsia="宋体" w:cs="宋体"/>
          <w:b/>
          <w:bCs/>
          <w:spacing w:val="1"/>
          <w:sz w:val="28"/>
          <w:szCs w:val="28"/>
          <w:lang w:val="en-US" w:eastAsia="zh-CN"/>
        </w:rPr>
      </w:pPr>
      <w:r>
        <w:rPr>
          <w:rFonts w:hint="eastAsia" w:ascii="宋体" w:hAnsi="宋体" w:eastAsia="宋体" w:cs="宋体"/>
          <w:i w:val="0"/>
          <w:iCs w:val="0"/>
          <w:color w:val="000000"/>
          <w:kern w:val="0"/>
          <w:sz w:val="20"/>
          <w:szCs w:val="20"/>
          <w:u w:val="none"/>
          <w:lang w:val="en-US" w:eastAsia="zh-CN" w:bidi="ar"/>
        </w:rPr>
        <w:t>单位：元</w:t>
      </w:r>
    </w:p>
    <w:tbl>
      <w:tblPr>
        <w:tblStyle w:val="23"/>
        <w:tblW w:w="93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652"/>
        <w:gridCol w:w="1185"/>
        <w:gridCol w:w="4088"/>
        <w:gridCol w:w="480"/>
        <w:gridCol w:w="570"/>
        <w:gridCol w:w="555"/>
        <w:gridCol w:w="600"/>
        <w:gridCol w:w="750"/>
      </w:tblGrid>
      <w:tr w14:paraId="64C3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E4C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53B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类别</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9D1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7F62">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规格参数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20A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B98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0A9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782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总价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596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备注</w:t>
            </w:r>
          </w:p>
        </w:tc>
      </w:tr>
      <w:tr w14:paraId="126D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C09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9007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会议系统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E1B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5G CPE路由器</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E300">
            <w:pPr>
              <w:keepNext w:val="0"/>
              <w:keepLines w:val="0"/>
              <w:pageBreakBefore w:val="0"/>
              <w:widowControl/>
              <w:suppressLineNumbers w:val="0"/>
              <w:kinsoku/>
              <w:wordWrap w:val="0"/>
              <w:overflowPunct/>
              <w:topLinePunct w:val="0"/>
              <w:autoSpaceDE/>
              <w:autoSpaceDN/>
              <w:bidi w:val="0"/>
              <w:adjustRightInd/>
              <w:snapToGrid/>
              <w:spacing w:line="240" w:lineRule="auto"/>
              <w:ind w:left="-99" w:leftChars="-47"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★1.网络制式：5G/SA&amp;NSA   4G/LTE  3G/UMTS；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★2.网络频段：5G NR  FDD: n1/28,TDD: n78/79/41；4G LTE  FDD: B1/3/5/8,TDD：B34/39/40/41；3G UMTS  W1/2/5/8</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3.网口：两个千兆网口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FD7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32D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74C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039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E21C">
            <w:pPr>
              <w:spacing w:line="240" w:lineRule="auto"/>
              <w:rPr>
                <w:rFonts w:hint="eastAsia" w:ascii="宋体" w:hAnsi="宋体" w:eastAsia="宋体" w:cs="宋体"/>
                <w:i w:val="0"/>
                <w:iCs w:val="0"/>
                <w:color w:val="auto"/>
                <w:sz w:val="20"/>
                <w:szCs w:val="20"/>
                <w:u w:val="none"/>
              </w:rPr>
            </w:pPr>
          </w:p>
        </w:tc>
      </w:tr>
      <w:tr w14:paraId="0ACF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FB2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98186">
            <w:pPr>
              <w:spacing w:line="240" w:lineRule="auto"/>
              <w:jc w:val="center"/>
              <w:rPr>
                <w:rFonts w:hint="eastAsia" w:ascii="宋体" w:hAnsi="宋体" w:eastAsia="宋体" w:cs="宋体"/>
                <w:i w:val="0"/>
                <w:iCs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955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视频会议终端（套装）</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4F09">
            <w:pPr>
              <w:keepNext w:val="0"/>
              <w:keepLines w:val="0"/>
              <w:pageBreakBefore w:val="0"/>
              <w:widowControl/>
              <w:suppressLineNumbers w:val="0"/>
              <w:kinsoku/>
              <w:wordWrap w:val="0"/>
              <w:overflowPunct/>
              <w:topLinePunct w:val="0"/>
              <w:autoSpaceDE/>
              <w:autoSpaceDN/>
              <w:bidi w:val="0"/>
              <w:adjustRightInd/>
              <w:snapToGrid/>
              <w:spacing w:line="240" w:lineRule="auto"/>
              <w:ind w:left="-99" w:leftChars="-47"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★1.框架协议：ITU-T H.323、IETF SIP、ITU-T H.239、 BFCP</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★2.视频编解码协议：H.261、H.263、H.263+、H.264 BP、H.264 HP、H.264 SVC、RTV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3.活动图像分辨率1080p 60fps  1080p 30fps 1080i50/60fps 720p 60fps 720p 30fps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4．双流能力：双路1080P60 双路1080P305.包含会议摄像机、全向麦克风</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4F3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655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E95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06E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B94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p>
        </w:tc>
      </w:tr>
      <w:tr w14:paraId="2F23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B7A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64F3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F8F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大屏幕显示</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BB95">
            <w:pPr>
              <w:keepNext w:val="0"/>
              <w:keepLines w:val="0"/>
              <w:widowControl/>
              <w:suppressLineNumbers w:val="0"/>
              <w:spacing w:line="240" w:lineRule="auto"/>
              <w:ind w:left="-99" w:leftChars="-47"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尺寸：≥55（英寸）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显示比例：16:9</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背光类型：OLED</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分辨率：3840(H)×2160(V)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可视角度：水平178°，垂直178°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941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A63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1B0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778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175A">
            <w:pPr>
              <w:spacing w:line="240" w:lineRule="auto"/>
              <w:rPr>
                <w:rFonts w:hint="eastAsia" w:ascii="宋体" w:hAnsi="宋体" w:eastAsia="宋体" w:cs="宋体"/>
                <w:i w:val="0"/>
                <w:iCs w:val="0"/>
                <w:color w:val="auto"/>
                <w:sz w:val="20"/>
                <w:szCs w:val="20"/>
                <w:u w:val="none"/>
              </w:rPr>
            </w:pPr>
          </w:p>
        </w:tc>
      </w:tr>
      <w:tr w14:paraId="6CBE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1A1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1A0A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1E7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车内音响</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2642">
            <w:pPr>
              <w:keepNext w:val="0"/>
              <w:keepLines w:val="0"/>
              <w:widowControl/>
              <w:suppressLineNumbers w:val="0"/>
              <w:spacing w:line="240" w:lineRule="auto"/>
              <w:ind w:left="-99" w:leftChars="-47"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1.声道：2.0；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2.理论功率：8W；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3.信噪比：≥92dB；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4.频响范围：90HZ—20KHZ；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5.音箱控制：手动；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6.扬声器单元：≥2；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7.接口：3.5毫米音频接口。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74D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8F3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69F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E0E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5C31">
            <w:pPr>
              <w:spacing w:line="240" w:lineRule="auto"/>
              <w:rPr>
                <w:rFonts w:hint="eastAsia" w:ascii="宋体" w:hAnsi="宋体" w:eastAsia="宋体" w:cs="宋体"/>
                <w:i w:val="0"/>
                <w:iCs w:val="0"/>
                <w:color w:val="auto"/>
                <w:sz w:val="20"/>
                <w:szCs w:val="20"/>
                <w:u w:val="none"/>
              </w:rPr>
            </w:pPr>
          </w:p>
        </w:tc>
      </w:tr>
      <w:tr w14:paraId="1E3E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4B9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470D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供电系统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61D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智能充逆变一体机</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3EEB">
            <w:pPr>
              <w:keepNext w:val="0"/>
              <w:keepLines w:val="0"/>
              <w:widowControl/>
              <w:suppressLineNumbers w:val="0"/>
              <w:spacing w:line="240" w:lineRule="auto"/>
              <w:ind w:left="-99" w:leftChars="-47"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工频纯正弦波带充电UPS一体机逆变器12V24V48V转220V3KW5KW6KW 2KW 220V48V</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9FB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AEC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3DF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85A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A6E0">
            <w:pPr>
              <w:spacing w:line="240" w:lineRule="auto"/>
              <w:rPr>
                <w:rFonts w:hint="eastAsia" w:ascii="宋体" w:hAnsi="宋体" w:eastAsia="宋体" w:cs="宋体"/>
                <w:i w:val="0"/>
                <w:iCs w:val="0"/>
                <w:color w:val="auto"/>
                <w:sz w:val="20"/>
                <w:szCs w:val="20"/>
                <w:u w:val="none"/>
              </w:rPr>
            </w:pPr>
          </w:p>
        </w:tc>
      </w:tr>
      <w:tr w14:paraId="1D60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3D2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31F7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0D1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车载配电集中控制</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0B77">
            <w:pPr>
              <w:keepNext w:val="0"/>
              <w:keepLines w:val="0"/>
              <w:widowControl/>
              <w:suppressLineNumbers w:val="0"/>
              <w:spacing w:line="240" w:lineRule="auto"/>
              <w:ind w:left="-99" w:leftChars="-47"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集中式电源管理系统，有电压、电流显示，含接插件和接线端子，支持市电输入、发电输入自动切换功能，具有漏电、短路、过载、欠压等保护功能；可分别控制空调、设备用电等；配电盘面板为数控机床加工，表面喷塑处理。</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12B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D34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0DC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1F7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0F00">
            <w:pPr>
              <w:spacing w:line="240" w:lineRule="auto"/>
              <w:rPr>
                <w:rFonts w:hint="eastAsia" w:ascii="宋体" w:hAnsi="宋体" w:eastAsia="宋体" w:cs="宋体"/>
                <w:i w:val="0"/>
                <w:iCs w:val="0"/>
                <w:color w:val="auto"/>
                <w:sz w:val="20"/>
                <w:szCs w:val="20"/>
                <w:u w:val="none"/>
              </w:rPr>
            </w:pPr>
          </w:p>
        </w:tc>
      </w:tr>
      <w:tr w14:paraId="19A6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7A3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434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FE2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航空插头</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0EF7">
            <w:pPr>
              <w:keepNext w:val="0"/>
              <w:keepLines w:val="0"/>
              <w:widowControl/>
              <w:suppressLineNumbers w:val="0"/>
              <w:spacing w:line="240" w:lineRule="auto"/>
              <w:ind w:left="-99" w:leftChars="-47"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1.具备防误插设计，拥有良好的电气绝缘性能、优良的抗冲击性能和防尘、防潮及防腐蚀的性能。</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A3E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D68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E14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617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CF4F">
            <w:pPr>
              <w:spacing w:line="240" w:lineRule="auto"/>
              <w:ind w:left="210" w:leftChars="100" w:right="-945" w:rightChars="-450" w:firstLine="187" w:firstLineChars="104"/>
              <w:jc w:val="left"/>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3C产品</w:t>
            </w:r>
          </w:p>
        </w:tc>
      </w:tr>
      <w:tr w14:paraId="4122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CD4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3244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28F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电源盘</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073D">
            <w:pPr>
              <w:keepNext w:val="0"/>
              <w:keepLines w:val="0"/>
              <w:widowControl/>
              <w:suppressLineNumbers w:val="0"/>
              <w:spacing w:line="240" w:lineRule="auto"/>
              <w:ind w:left="-99" w:leftChars="-47"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1.含约45米线缆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2.电缆盘为钢框架结构设计，拉杆设计、带轮子、使用方便；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BE5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54E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328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692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A341">
            <w:pPr>
              <w:spacing w:line="240" w:lineRule="auto"/>
              <w:ind w:left="210" w:leftChars="100" w:right="-945" w:rightChars="-450" w:firstLine="187" w:firstLineChars="104"/>
              <w:jc w:val="left"/>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3C产品</w:t>
            </w:r>
          </w:p>
        </w:tc>
      </w:tr>
      <w:tr w14:paraId="1624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930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5AA5">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车身系统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A3B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车辆底盘</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24BD">
            <w:pPr>
              <w:keepNext w:val="0"/>
              <w:keepLines w:val="0"/>
              <w:widowControl/>
              <w:suppressLineNumbers w:val="0"/>
              <w:spacing w:line="240" w:lineRule="auto"/>
              <w:ind w:left="-99" w:leftChars="-47"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★1.车辆尺寸（mm）：≤7300×≤2100×≤3500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2.总质量：≥5900Kg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3.整备质量：≤4150Kg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4.发动机功率：≥220KW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5.燃油类型：汽油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6.最高时速：≥100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7.排放标准：符合现行排放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8.其他：设置正驾驶上车门、副驾驶上车门、中门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9.变速器：自动变速箱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343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CBF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40D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8DC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A2F4">
            <w:pPr>
              <w:spacing w:line="240" w:lineRule="auto"/>
              <w:ind w:left="0" w:leftChars="0" w:firstLine="0" w:firstLineChars="0"/>
              <w:rPr>
                <w:rFonts w:hint="eastAsia" w:ascii="宋体" w:hAnsi="宋体" w:eastAsia="宋体" w:cs="宋体"/>
                <w:i w:val="0"/>
                <w:iCs w:val="0"/>
                <w:color w:val="auto"/>
                <w:sz w:val="20"/>
                <w:szCs w:val="20"/>
                <w:u w:val="none"/>
              </w:rPr>
            </w:pPr>
          </w:p>
        </w:tc>
      </w:tr>
      <w:tr w14:paraId="6745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5BB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86B5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车辆改装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3F9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车顶平台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EB24">
            <w:pPr>
              <w:keepNext w:val="0"/>
              <w:keepLines w:val="0"/>
              <w:widowControl/>
              <w:suppressLineNumbers w:val="0"/>
              <w:spacing w:line="240" w:lineRule="auto"/>
              <w:ind w:left="-99" w:leftChars="-47"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主骨架采用铝矩管焊接，根据实际需求进行局部加强，承重200kg以上，平台顶部铺花纹铝板防滑处理，表面铺装花纹铝板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924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CD0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AB66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234A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p>
        </w:tc>
        <w:tc>
          <w:tcPr>
            <w:tcW w:w="750" w:type="dxa"/>
            <w:vMerge w:val="restart"/>
            <w:tcBorders>
              <w:top w:val="single" w:color="000000" w:sz="4" w:space="0"/>
              <w:left w:val="single" w:color="000000" w:sz="4" w:space="0"/>
              <w:right w:val="single" w:color="000000" w:sz="4" w:space="0"/>
            </w:tcBorders>
            <w:shd w:val="clear" w:color="auto" w:fill="auto"/>
            <w:vAlign w:val="center"/>
          </w:tcPr>
          <w:p w14:paraId="121EB84D">
            <w:pPr>
              <w:spacing w:line="240" w:lineRule="auto"/>
              <w:rPr>
                <w:rFonts w:hint="eastAsia" w:ascii="宋体" w:hAnsi="宋体" w:eastAsia="宋体" w:cs="宋体"/>
                <w:i w:val="0"/>
                <w:iCs w:val="0"/>
                <w:color w:val="auto"/>
                <w:sz w:val="20"/>
                <w:szCs w:val="20"/>
                <w:u w:val="none"/>
              </w:rPr>
            </w:pPr>
          </w:p>
        </w:tc>
      </w:tr>
      <w:tr w14:paraId="46B04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167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B6F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35D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机柜及面板</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8C25">
            <w:pPr>
              <w:keepNext w:val="0"/>
              <w:keepLines w:val="0"/>
              <w:widowControl/>
              <w:suppressLineNumbers w:val="0"/>
              <w:spacing w:line="240" w:lineRule="auto"/>
              <w:ind w:left="-99" w:leftChars="-47"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包机柜，托架托盘、通风板、过线板、非标设备面板、风扇板、信息接口板、电源接口板、机柜螺钉螺母、绑线棍。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654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75A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D45CB">
            <w:pPr>
              <w:spacing w:line="240" w:lineRule="auto"/>
              <w:jc w:val="center"/>
              <w:rPr>
                <w:rFonts w:hint="eastAsia" w:ascii="宋体" w:hAnsi="宋体" w:eastAsia="宋体" w:cs="宋体"/>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D1217">
            <w:pPr>
              <w:spacing w:line="240" w:lineRule="auto"/>
              <w:jc w:val="center"/>
              <w:rPr>
                <w:rFonts w:hint="eastAsia" w:ascii="宋体" w:hAnsi="宋体" w:eastAsia="宋体" w:cs="宋体"/>
                <w:i w:val="0"/>
                <w:iCs w:val="0"/>
                <w:color w:val="auto"/>
                <w:sz w:val="20"/>
                <w:szCs w:val="20"/>
                <w:u w:val="none"/>
              </w:rPr>
            </w:pPr>
          </w:p>
        </w:tc>
        <w:tc>
          <w:tcPr>
            <w:tcW w:w="750" w:type="dxa"/>
            <w:vMerge w:val="continue"/>
            <w:tcBorders>
              <w:left w:val="single" w:color="000000" w:sz="4" w:space="0"/>
              <w:right w:val="single" w:color="000000" w:sz="4" w:space="0"/>
            </w:tcBorders>
            <w:shd w:val="clear" w:color="auto" w:fill="auto"/>
            <w:vAlign w:val="center"/>
          </w:tcPr>
          <w:p w14:paraId="0D550B19">
            <w:pPr>
              <w:spacing w:line="240" w:lineRule="auto"/>
              <w:rPr>
                <w:rFonts w:hint="eastAsia" w:ascii="宋体" w:hAnsi="宋体" w:eastAsia="宋体" w:cs="宋体"/>
                <w:i w:val="0"/>
                <w:iCs w:val="0"/>
                <w:color w:val="auto"/>
                <w:sz w:val="20"/>
                <w:szCs w:val="20"/>
                <w:u w:val="none"/>
              </w:rPr>
            </w:pPr>
          </w:p>
        </w:tc>
      </w:tr>
      <w:tr w14:paraId="562D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6B7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EAAC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658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电视隔断墙</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22BE">
            <w:pPr>
              <w:keepNext w:val="0"/>
              <w:keepLines w:val="0"/>
              <w:widowControl/>
              <w:suppressLineNumbers w:val="0"/>
              <w:spacing w:line="240" w:lineRule="auto"/>
              <w:ind w:left="-99" w:leftChars="-47"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车内与后舱隔断分区改装，钢骨架。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7FC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7BE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725E3">
            <w:pPr>
              <w:spacing w:line="240" w:lineRule="auto"/>
              <w:jc w:val="center"/>
              <w:rPr>
                <w:rFonts w:hint="eastAsia" w:ascii="宋体" w:hAnsi="宋体" w:eastAsia="宋体" w:cs="宋体"/>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D6D3">
            <w:pPr>
              <w:spacing w:line="240" w:lineRule="auto"/>
              <w:jc w:val="center"/>
              <w:rPr>
                <w:rFonts w:hint="eastAsia" w:ascii="宋体" w:hAnsi="宋体" w:eastAsia="宋体" w:cs="宋体"/>
                <w:i w:val="0"/>
                <w:iCs w:val="0"/>
                <w:color w:val="auto"/>
                <w:sz w:val="20"/>
                <w:szCs w:val="20"/>
                <w:u w:val="none"/>
              </w:rPr>
            </w:pPr>
          </w:p>
        </w:tc>
        <w:tc>
          <w:tcPr>
            <w:tcW w:w="750" w:type="dxa"/>
            <w:vMerge w:val="continue"/>
            <w:tcBorders>
              <w:left w:val="single" w:color="000000" w:sz="4" w:space="0"/>
              <w:right w:val="single" w:color="000000" w:sz="4" w:space="0"/>
            </w:tcBorders>
            <w:shd w:val="clear" w:color="auto" w:fill="auto"/>
            <w:vAlign w:val="center"/>
          </w:tcPr>
          <w:p w14:paraId="74091AD6">
            <w:pPr>
              <w:spacing w:line="240" w:lineRule="auto"/>
              <w:rPr>
                <w:rFonts w:hint="eastAsia" w:ascii="宋体" w:hAnsi="宋体" w:eastAsia="宋体" w:cs="宋体"/>
                <w:i w:val="0"/>
                <w:iCs w:val="0"/>
                <w:color w:val="auto"/>
                <w:sz w:val="20"/>
                <w:szCs w:val="20"/>
                <w:u w:val="none"/>
              </w:rPr>
            </w:pPr>
          </w:p>
        </w:tc>
      </w:tr>
      <w:tr w14:paraId="30F4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E1D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3546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E6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车内装饰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63B2">
            <w:pPr>
              <w:keepNext w:val="0"/>
              <w:keepLines w:val="0"/>
              <w:widowControl/>
              <w:suppressLineNumbers w:val="0"/>
              <w:spacing w:line="240" w:lineRule="auto"/>
              <w:ind w:left="-99" w:leftChars="-47"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anchor distT="0" distB="0" distL="114300" distR="114300" simplePos="0" relativeHeight="251661312" behindDoc="0" locked="0" layoutInCell="1" allowOverlap="1">
                  <wp:simplePos x="0" y="0"/>
                  <wp:positionH relativeFrom="column">
                    <wp:posOffset>635</wp:posOffset>
                  </wp:positionH>
                  <wp:positionV relativeFrom="paragraph">
                    <wp:posOffset>0</wp:posOffset>
                  </wp:positionV>
                  <wp:extent cx="62230" cy="74930"/>
                  <wp:effectExtent l="0" t="0" r="13970" b="1270"/>
                  <wp:wrapNone/>
                  <wp:docPr id="2" name="textbox3"/>
                  <wp:cNvGraphicFramePr/>
                  <a:graphic xmlns:a="http://schemas.openxmlformats.org/drawingml/2006/main">
                    <a:graphicData uri="http://schemas.openxmlformats.org/drawingml/2006/picture">
                      <pic:pic xmlns:pic="http://schemas.openxmlformats.org/drawingml/2006/picture">
                        <pic:nvPicPr>
                          <pic:cNvPr id="2" name="textbox3"/>
                          <pic:cNvPicPr/>
                        </pic:nvPicPr>
                        <pic:blipFill>
                          <a:blip r:embed="rId17"/>
                          <a:stretch>
                            <a:fillRect/>
                          </a:stretch>
                        </pic:blipFill>
                        <pic:spPr>
                          <a:xfrm>
                            <a:off x="0" y="0"/>
                            <a:ext cx="62230" cy="7493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lang w:val="en-US" w:eastAsia="zh-CN" w:bidi="ar"/>
              </w:rPr>
              <w:t>原车顶装饰、避光窗帘、车侧壁装饰、后隔断装饰、照明灯及氛围灯，车内地板采用岩板材料，设置折叠桌1个，副驾驶后部设置储物柜，储物柜台面上方放置打印机、雨伞架。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59D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CB5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E47E">
            <w:pPr>
              <w:spacing w:line="240" w:lineRule="auto"/>
              <w:jc w:val="center"/>
              <w:rPr>
                <w:rFonts w:hint="eastAsia" w:ascii="宋体" w:hAnsi="宋体" w:eastAsia="宋体" w:cs="宋体"/>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09148">
            <w:pPr>
              <w:spacing w:line="240" w:lineRule="auto"/>
              <w:jc w:val="center"/>
              <w:rPr>
                <w:rFonts w:hint="eastAsia" w:ascii="宋体" w:hAnsi="宋体" w:eastAsia="宋体" w:cs="宋体"/>
                <w:i w:val="0"/>
                <w:iCs w:val="0"/>
                <w:color w:val="auto"/>
                <w:sz w:val="20"/>
                <w:szCs w:val="20"/>
                <w:u w:val="none"/>
              </w:rPr>
            </w:pPr>
          </w:p>
        </w:tc>
        <w:tc>
          <w:tcPr>
            <w:tcW w:w="750" w:type="dxa"/>
            <w:vMerge w:val="continue"/>
            <w:tcBorders>
              <w:left w:val="single" w:color="000000" w:sz="4" w:space="0"/>
              <w:right w:val="single" w:color="000000" w:sz="4" w:space="0"/>
            </w:tcBorders>
            <w:shd w:val="clear" w:color="auto" w:fill="auto"/>
            <w:vAlign w:val="center"/>
          </w:tcPr>
          <w:p w14:paraId="0062F596">
            <w:pPr>
              <w:spacing w:line="240" w:lineRule="auto"/>
              <w:rPr>
                <w:rFonts w:hint="eastAsia" w:ascii="宋体" w:hAnsi="宋体" w:eastAsia="宋体" w:cs="宋体"/>
                <w:i w:val="0"/>
                <w:iCs w:val="0"/>
                <w:color w:val="auto"/>
                <w:sz w:val="20"/>
                <w:szCs w:val="20"/>
                <w:u w:val="none"/>
              </w:rPr>
            </w:pPr>
          </w:p>
        </w:tc>
      </w:tr>
      <w:tr w14:paraId="534B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530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73C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674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车内座椅</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88C9">
            <w:pPr>
              <w:keepNext w:val="0"/>
              <w:keepLines w:val="0"/>
              <w:widowControl/>
              <w:suppressLineNumbers w:val="0"/>
              <w:spacing w:line="240" w:lineRule="auto"/>
              <w:ind w:left="-99" w:leftChars="-47"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15个座位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F62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023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A592E">
            <w:pPr>
              <w:spacing w:line="240" w:lineRule="auto"/>
              <w:jc w:val="center"/>
              <w:rPr>
                <w:rFonts w:hint="eastAsia" w:ascii="宋体" w:hAnsi="宋体" w:eastAsia="宋体" w:cs="宋体"/>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A0D1">
            <w:pPr>
              <w:spacing w:line="240" w:lineRule="auto"/>
              <w:jc w:val="center"/>
              <w:rPr>
                <w:rFonts w:hint="eastAsia" w:ascii="宋体" w:hAnsi="宋体" w:eastAsia="宋体" w:cs="宋体"/>
                <w:i w:val="0"/>
                <w:iCs w:val="0"/>
                <w:color w:val="auto"/>
                <w:sz w:val="20"/>
                <w:szCs w:val="20"/>
                <w:u w:val="none"/>
              </w:rPr>
            </w:pPr>
          </w:p>
        </w:tc>
        <w:tc>
          <w:tcPr>
            <w:tcW w:w="750" w:type="dxa"/>
            <w:vMerge w:val="continue"/>
            <w:tcBorders>
              <w:left w:val="single" w:color="000000" w:sz="4" w:space="0"/>
              <w:right w:val="single" w:color="000000" w:sz="4" w:space="0"/>
            </w:tcBorders>
            <w:shd w:val="clear" w:color="auto" w:fill="auto"/>
            <w:vAlign w:val="center"/>
          </w:tcPr>
          <w:p w14:paraId="1DF73036">
            <w:pPr>
              <w:spacing w:line="240" w:lineRule="auto"/>
              <w:rPr>
                <w:rFonts w:hint="eastAsia" w:ascii="宋体" w:hAnsi="宋体" w:eastAsia="宋体" w:cs="宋体"/>
                <w:i w:val="0"/>
                <w:iCs w:val="0"/>
                <w:color w:val="auto"/>
                <w:sz w:val="20"/>
                <w:szCs w:val="20"/>
                <w:u w:val="none"/>
              </w:rPr>
            </w:pPr>
          </w:p>
        </w:tc>
      </w:tr>
      <w:tr w14:paraId="0017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7C0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8182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B0A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综合布线</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B8BE">
            <w:pPr>
              <w:keepNext w:val="0"/>
              <w:keepLines w:val="0"/>
              <w:widowControl/>
              <w:suppressLineNumbers w:val="0"/>
              <w:spacing w:line="240" w:lineRule="auto"/>
              <w:ind w:left="-99" w:leftChars="-47"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预埋和安装在车内的各种型号优质的直流、交流供电电缆，音视频屏蔽电缆，超5类网络、电话线缆；线缆及接头均采用广电级品质，车内走线需要加装防护装置，车内过线位置需要固定，过线孔位环保密封胶防护，与车内强电分离铺设。遵照国家相关规定执行/加套阻燃管/无接头/无破线/预留电源及通信线路/线路不外露/明显标识</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5B1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686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7FAB6">
            <w:pPr>
              <w:spacing w:line="240" w:lineRule="auto"/>
              <w:jc w:val="center"/>
              <w:rPr>
                <w:rFonts w:hint="eastAsia" w:ascii="宋体" w:hAnsi="宋体" w:eastAsia="宋体" w:cs="宋体"/>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8820B">
            <w:pPr>
              <w:spacing w:line="240" w:lineRule="auto"/>
              <w:jc w:val="center"/>
              <w:rPr>
                <w:rFonts w:hint="eastAsia" w:ascii="宋体" w:hAnsi="宋体" w:eastAsia="宋体" w:cs="宋体"/>
                <w:i w:val="0"/>
                <w:iCs w:val="0"/>
                <w:color w:val="auto"/>
                <w:sz w:val="20"/>
                <w:szCs w:val="20"/>
                <w:u w:val="none"/>
              </w:rPr>
            </w:pPr>
          </w:p>
        </w:tc>
        <w:tc>
          <w:tcPr>
            <w:tcW w:w="750" w:type="dxa"/>
            <w:vMerge w:val="continue"/>
            <w:tcBorders>
              <w:left w:val="single" w:color="000000" w:sz="4" w:space="0"/>
              <w:bottom w:val="single" w:color="000000" w:sz="4" w:space="0"/>
              <w:right w:val="single" w:color="000000" w:sz="4" w:space="0"/>
            </w:tcBorders>
            <w:shd w:val="clear" w:color="auto" w:fill="auto"/>
            <w:vAlign w:val="center"/>
          </w:tcPr>
          <w:p w14:paraId="5A71AAB0">
            <w:pPr>
              <w:spacing w:line="240" w:lineRule="auto"/>
              <w:rPr>
                <w:rFonts w:hint="eastAsia" w:ascii="宋体" w:hAnsi="宋体" w:eastAsia="宋体" w:cs="宋体"/>
                <w:i w:val="0"/>
                <w:iCs w:val="0"/>
                <w:color w:val="auto"/>
                <w:sz w:val="20"/>
                <w:szCs w:val="20"/>
                <w:u w:val="none"/>
              </w:rPr>
            </w:pPr>
          </w:p>
        </w:tc>
      </w:tr>
      <w:tr w14:paraId="146E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3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82ED05">
            <w:pPr>
              <w:spacing w:line="240" w:lineRule="auto"/>
              <w:ind w:firstLine="800" w:firstLineChars="400"/>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合计（元）：</w:t>
            </w:r>
          </w:p>
        </w:tc>
      </w:tr>
    </w:tbl>
    <w:p w14:paraId="0AD766FD">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p>
    <w:p w14:paraId="1652A821">
      <w:pPr>
        <w:wordWrap w:val="0"/>
        <w:spacing w:line="360" w:lineRule="auto"/>
        <w:ind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bCs/>
          <w:sz w:val="24"/>
          <w:szCs w:val="24"/>
          <w:lang w:val="en-US" w:eastAsia="zh-CN"/>
        </w:rPr>
        <w:t>注：报价不含车辆购置税、上牌及保险费用。</w:t>
      </w:r>
      <w:bookmarkEnd w:id="909"/>
    </w:p>
    <w:p w14:paraId="53F17B82">
      <w:pPr>
        <w:pStyle w:val="2"/>
        <w:tabs>
          <w:tab w:val="left" w:pos="1440"/>
        </w:tabs>
        <w:bidi w:val="0"/>
        <w:ind w:left="0" w:leftChars="0" w:firstLine="0" w:firstLineChars="0"/>
      </w:pPr>
      <w:bookmarkStart w:id="912" w:name="_Toc27205"/>
      <w:r>
        <w:rPr>
          <w:rFonts w:hint="eastAsia"/>
        </w:rPr>
        <w:t>第六章 响应文件格式</w:t>
      </w:r>
      <w:bookmarkEnd w:id="912"/>
    </w:p>
    <w:p w14:paraId="743DBB58">
      <w:pPr>
        <w:wordWrap w:val="0"/>
        <w:snapToGrid w:val="0"/>
        <w:spacing w:after="120" w:afterLines="50"/>
        <w:rPr>
          <w:rFonts w:ascii="宋体" w:hAnsi="宋体" w:cs="宋体"/>
        </w:rPr>
      </w:pPr>
    </w:p>
    <w:p w14:paraId="0BD22830">
      <w:pPr>
        <w:wordWrap w:val="0"/>
        <w:snapToGrid w:val="0"/>
        <w:spacing w:line="420" w:lineRule="exact"/>
        <w:ind w:firstLine="1446" w:firstLineChars="450"/>
        <w:rPr>
          <w:rFonts w:ascii="宋体" w:hAnsi="宋体" w:cs="宋体"/>
          <w:b/>
          <w:bCs/>
          <w:sz w:val="32"/>
          <w:szCs w:val="32"/>
          <w:u w:val="single"/>
        </w:rPr>
      </w:pPr>
      <w:bookmarkStart w:id="913" w:name="_A1_投标书"/>
      <w:bookmarkEnd w:id="913"/>
      <w:bookmarkStart w:id="914" w:name="_Toc23340"/>
      <w:bookmarkStart w:id="915" w:name="_Toc192127127"/>
      <w:bookmarkStart w:id="916" w:name="_Toc179091096"/>
      <w:bookmarkStart w:id="917" w:name="_Toc416103814"/>
      <w:bookmarkStart w:id="918" w:name="_Toc128455956"/>
      <w:bookmarkStart w:id="919" w:name="_Toc192127128"/>
      <w:bookmarkStart w:id="920" w:name="_Toc372807484"/>
      <w:bookmarkStart w:id="921" w:name="_Toc414445764"/>
      <w:bookmarkStart w:id="922" w:name="_Toc176663528"/>
      <w:bookmarkStart w:id="923" w:name="_Toc162669084"/>
      <w:bookmarkStart w:id="924" w:name="_Toc181038076"/>
      <w:bookmarkStart w:id="925" w:name="_Toc410631173"/>
    </w:p>
    <w:p w14:paraId="5EBD42AD">
      <w:pPr>
        <w:wordWrap w:val="0"/>
        <w:snapToGrid w:val="0"/>
        <w:spacing w:line="420" w:lineRule="exact"/>
        <w:ind w:firstLine="1446" w:firstLineChars="450"/>
        <w:rPr>
          <w:rFonts w:ascii="宋体" w:hAnsi="宋体" w:cs="宋体"/>
          <w:b/>
          <w:bCs/>
          <w:sz w:val="32"/>
          <w:szCs w:val="32"/>
          <w:u w:val="single"/>
        </w:rPr>
      </w:pPr>
    </w:p>
    <w:p w14:paraId="2A457552">
      <w:pPr>
        <w:wordWrap w:val="0"/>
        <w:snapToGrid w:val="0"/>
        <w:spacing w:line="420" w:lineRule="exact"/>
        <w:ind w:firstLine="1446" w:firstLineChars="450"/>
        <w:rPr>
          <w:rFonts w:ascii="宋体" w:hAnsi="宋体" w:cs="宋体"/>
          <w:sz w:val="32"/>
          <w:szCs w:val="32"/>
        </w:rPr>
      </w:pPr>
      <w:r>
        <w:rPr>
          <w:rFonts w:hint="eastAsia" w:ascii="宋体" w:hAnsi="宋体" w:cs="宋体"/>
          <w:b/>
          <w:bCs/>
          <w:sz w:val="32"/>
          <w:szCs w:val="32"/>
          <w:u w:val="single"/>
        </w:rPr>
        <w:t xml:space="preserve">                 </w:t>
      </w:r>
      <w:bookmarkStart w:id="926" w:name="_Toc16795_WPSOffice_Level1"/>
      <w:bookmarkStart w:id="927" w:name="_Toc4484"/>
      <w:bookmarkStart w:id="928" w:name="_Toc6392"/>
      <w:bookmarkStart w:id="929" w:name="_Toc13474"/>
      <w:bookmarkStart w:id="930" w:name="_Toc22805_WPSOffice_Level1"/>
      <w:bookmarkStart w:id="931" w:name="_Toc25632"/>
      <w:bookmarkStart w:id="932" w:name="_Toc3967_WPSOffice_Level1"/>
      <w:bookmarkStart w:id="933" w:name="_Toc8245_WPSOffice_Level1"/>
      <w:r>
        <w:rPr>
          <w:rFonts w:hint="eastAsia" w:ascii="宋体" w:hAnsi="宋体" w:cs="宋体"/>
          <w:b/>
          <w:bCs/>
          <w:sz w:val="32"/>
          <w:szCs w:val="32"/>
        </w:rPr>
        <w:t>（</w:t>
      </w:r>
      <w:r>
        <w:rPr>
          <w:rFonts w:hint="eastAsia" w:ascii="宋体" w:hAnsi="宋体" w:cs="宋体"/>
          <w:b/>
          <w:bCs/>
          <w:sz w:val="32"/>
          <w:szCs w:val="32"/>
          <w:lang w:val="en-US" w:eastAsia="zh-CN"/>
        </w:rPr>
        <w:t>项目</w:t>
      </w:r>
      <w:r>
        <w:rPr>
          <w:rFonts w:hint="eastAsia" w:ascii="宋体" w:hAnsi="宋体" w:cs="宋体"/>
          <w:b/>
          <w:bCs/>
          <w:sz w:val="32"/>
          <w:szCs w:val="32"/>
          <w:lang w:eastAsia="zh-CN"/>
        </w:rPr>
        <w:t>名称</w:t>
      </w:r>
      <w:r>
        <w:rPr>
          <w:rFonts w:hint="eastAsia" w:ascii="宋体" w:hAnsi="宋体" w:cs="宋体"/>
          <w:b/>
          <w:bCs/>
          <w:sz w:val="32"/>
          <w:szCs w:val="32"/>
        </w:rPr>
        <w:t>）</w:t>
      </w:r>
      <w:bookmarkEnd w:id="926"/>
      <w:bookmarkEnd w:id="927"/>
      <w:bookmarkEnd w:id="928"/>
      <w:bookmarkEnd w:id="929"/>
      <w:bookmarkEnd w:id="930"/>
      <w:bookmarkEnd w:id="931"/>
      <w:bookmarkEnd w:id="932"/>
      <w:bookmarkEnd w:id="933"/>
      <w:r>
        <w:rPr>
          <w:rFonts w:hint="eastAsia" w:ascii="宋体" w:hAnsi="宋体" w:cs="宋体"/>
          <w:b/>
          <w:bCs/>
          <w:sz w:val="32"/>
          <w:szCs w:val="32"/>
        </w:rPr>
        <w:t>竞争性磋商</w:t>
      </w:r>
    </w:p>
    <w:p w14:paraId="5A699A78">
      <w:pPr>
        <w:wordWrap w:val="0"/>
        <w:spacing w:line="1000" w:lineRule="exact"/>
        <w:jc w:val="center"/>
        <w:rPr>
          <w:rFonts w:ascii="宋体" w:hAnsi="宋体" w:cs="宋体"/>
          <w:b/>
          <w:bCs/>
          <w:sz w:val="84"/>
          <w:szCs w:val="84"/>
        </w:rPr>
      </w:pPr>
    </w:p>
    <w:p w14:paraId="5E11A0C3">
      <w:pPr>
        <w:wordWrap w:val="0"/>
        <w:spacing w:line="1000" w:lineRule="exact"/>
        <w:jc w:val="center"/>
        <w:rPr>
          <w:rFonts w:ascii="宋体" w:hAnsi="宋体" w:cs="宋体"/>
          <w:sz w:val="52"/>
          <w:szCs w:val="52"/>
        </w:rPr>
      </w:pPr>
      <w:r>
        <w:rPr>
          <w:rFonts w:hint="eastAsia" w:ascii="宋体" w:hAnsi="宋体" w:cs="宋体"/>
          <w:b/>
          <w:bCs/>
          <w:sz w:val="84"/>
          <w:szCs w:val="84"/>
        </w:rPr>
        <w:t>响 应 文 件</w:t>
      </w:r>
    </w:p>
    <w:p w14:paraId="321D65D0">
      <w:pPr>
        <w:wordWrap w:val="0"/>
        <w:spacing w:before="240" w:beforeLines="100"/>
        <w:ind w:firstLine="3840" w:firstLineChars="1200"/>
        <w:rPr>
          <w:rFonts w:ascii="宋体" w:hAnsi="宋体" w:cs="宋体"/>
          <w:sz w:val="32"/>
          <w:szCs w:val="32"/>
        </w:rPr>
      </w:pPr>
    </w:p>
    <w:p w14:paraId="486D9A8A">
      <w:pPr>
        <w:wordWrap w:val="0"/>
        <w:ind w:firstLine="0" w:firstLineChars="0"/>
        <w:jc w:val="center"/>
        <w:rPr>
          <w:rFonts w:ascii="宋体" w:hAnsi="宋体" w:cs="宋体"/>
          <w:sz w:val="24"/>
          <w:szCs w:val="24"/>
        </w:rPr>
      </w:pPr>
      <w:r>
        <w:rPr>
          <w:rFonts w:hint="eastAsia" w:ascii="宋体" w:hAnsi="宋体" w:cs="宋体"/>
          <w:sz w:val="24"/>
          <w:szCs w:val="24"/>
        </w:rPr>
        <w:t>采购编号：</w:t>
      </w:r>
    </w:p>
    <w:p w14:paraId="3498A9F4">
      <w:pPr>
        <w:wordWrap w:val="0"/>
        <w:jc w:val="center"/>
        <w:rPr>
          <w:rFonts w:ascii="宋体" w:hAnsi="宋体" w:cs="宋体"/>
          <w:sz w:val="32"/>
          <w:szCs w:val="32"/>
        </w:rPr>
      </w:pPr>
    </w:p>
    <w:p w14:paraId="6E0712BB">
      <w:pPr>
        <w:wordWrap w:val="0"/>
        <w:jc w:val="center"/>
        <w:rPr>
          <w:rFonts w:ascii="宋体" w:hAnsi="宋体" w:cs="宋体"/>
          <w:sz w:val="32"/>
          <w:szCs w:val="32"/>
        </w:rPr>
      </w:pPr>
    </w:p>
    <w:p w14:paraId="13FF2C1F">
      <w:pPr>
        <w:wordWrap w:val="0"/>
        <w:jc w:val="center"/>
        <w:rPr>
          <w:rFonts w:ascii="宋体" w:hAnsi="宋体" w:cs="宋体"/>
          <w:sz w:val="32"/>
          <w:szCs w:val="32"/>
        </w:rPr>
      </w:pPr>
    </w:p>
    <w:p w14:paraId="1BB69048">
      <w:pPr>
        <w:wordWrap w:val="0"/>
        <w:jc w:val="center"/>
        <w:rPr>
          <w:rFonts w:ascii="宋体" w:hAnsi="宋体" w:cs="宋体"/>
          <w:sz w:val="32"/>
          <w:szCs w:val="32"/>
        </w:rPr>
      </w:pPr>
    </w:p>
    <w:p w14:paraId="4B608173">
      <w:pPr>
        <w:wordWrap w:val="0"/>
        <w:jc w:val="center"/>
        <w:rPr>
          <w:rFonts w:ascii="宋体" w:hAnsi="宋体" w:cs="宋体"/>
          <w:sz w:val="32"/>
          <w:szCs w:val="32"/>
        </w:rPr>
      </w:pPr>
    </w:p>
    <w:p w14:paraId="40D6DEB2">
      <w:pPr>
        <w:wordWrap w:val="0"/>
        <w:jc w:val="center"/>
        <w:rPr>
          <w:rFonts w:ascii="宋体" w:hAnsi="宋体" w:cs="宋体"/>
          <w:sz w:val="32"/>
          <w:szCs w:val="32"/>
        </w:rPr>
      </w:pPr>
    </w:p>
    <w:p w14:paraId="27369BB1">
      <w:pPr>
        <w:wordWrap w:val="0"/>
        <w:jc w:val="center"/>
        <w:rPr>
          <w:rFonts w:ascii="宋体" w:hAnsi="宋体" w:cs="宋体"/>
          <w:sz w:val="32"/>
          <w:szCs w:val="32"/>
        </w:rPr>
      </w:pPr>
    </w:p>
    <w:p w14:paraId="7D1731B7">
      <w:pPr>
        <w:wordWrap w:val="0"/>
        <w:rPr>
          <w:rFonts w:ascii="宋体" w:hAnsi="宋体" w:cs="宋体"/>
          <w:sz w:val="32"/>
          <w:szCs w:val="32"/>
        </w:rPr>
      </w:pPr>
    </w:p>
    <w:p w14:paraId="1FEE286A">
      <w:pPr>
        <w:wordWrap w:val="0"/>
        <w:jc w:val="center"/>
        <w:rPr>
          <w:rFonts w:ascii="宋体" w:hAnsi="宋体" w:cs="宋体"/>
          <w:sz w:val="32"/>
          <w:szCs w:val="32"/>
        </w:rPr>
      </w:pPr>
    </w:p>
    <w:p w14:paraId="6C2ECF01">
      <w:pPr>
        <w:wordWrap w:val="0"/>
        <w:spacing w:line="360" w:lineRule="auto"/>
        <w:jc w:val="center"/>
        <w:rPr>
          <w:rFonts w:ascii="宋体" w:hAnsi="宋体" w:cs="宋体"/>
          <w:sz w:val="32"/>
          <w:szCs w:val="32"/>
        </w:rPr>
      </w:pPr>
    </w:p>
    <w:p w14:paraId="6EEBC2F4">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b/>
          <w:bCs/>
          <w:sz w:val="24"/>
          <w:szCs w:val="24"/>
        </w:rPr>
      </w:pPr>
      <w:bookmarkStart w:id="934" w:name="_Toc16044"/>
      <w:bookmarkStart w:id="935" w:name="_Toc18652_WPSOffice_Level1"/>
      <w:bookmarkStart w:id="936" w:name="_Toc14451_WPSOffice_Level1"/>
      <w:bookmarkStart w:id="937" w:name="_Toc14463_WPSOffice_Level1"/>
      <w:bookmarkStart w:id="938" w:name="_Toc7391"/>
      <w:bookmarkStart w:id="939" w:name="_Toc22812_WPSOffice_Level1"/>
      <w:bookmarkStart w:id="940" w:name="_Toc7378"/>
      <w:r>
        <w:rPr>
          <w:rFonts w:hint="eastAsia" w:ascii="宋体" w:hAnsi="宋体" w:cs="宋体"/>
          <w:b/>
          <w:bCs/>
          <w:sz w:val="24"/>
          <w:szCs w:val="24"/>
        </w:rPr>
        <w:t>供应商：</w:t>
      </w:r>
      <w:r>
        <w:rPr>
          <w:rFonts w:hint="eastAsia" w:ascii="宋体" w:hAnsi="宋体" w:cs="宋体"/>
          <w:b/>
          <w:bCs/>
          <w:sz w:val="24"/>
          <w:szCs w:val="24"/>
          <w:u w:val="single"/>
        </w:rPr>
        <w:t xml:space="preserve">                             </w:t>
      </w:r>
      <w:r>
        <w:rPr>
          <w:rFonts w:hint="eastAsia" w:ascii="宋体" w:hAnsi="宋体" w:cs="宋体"/>
          <w:b/>
          <w:bCs/>
          <w:sz w:val="24"/>
          <w:szCs w:val="24"/>
        </w:rPr>
        <w:t>（单位电子签章）</w:t>
      </w:r>
      <w:bookmarkEnd w:id="934"/>
      <w:bookmarkEnd w:id="935"/>
      <w:bookmarkEnd w:id="936"/>
      <w:bookmarkEnd w:id="937"/>
      <w:bookmarkEnd w:id="938"/>
      <w:bookmarkEnd w:id="939"/>
      <w:bookmarkEnd w:id="940"/>
    </w:p>
    <w:p w14:paraId="22C81D7C">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b/>
          <w:bCs/>
          <w:sz w:val="24"/>
          <w:szCs w:val="24"/>
        </w:rPr>
      </w:pPr>
      <w:r>
        <w:rPr>
          <w:rFonts w:hint="eastAsia" w:ascii="宋体" w:hAnsi="宋体" w:cs="宋体"/>
          <w:b/>
          <w:bCs/>
          <w:sz w:val="24"/>
          <w:szCs w:val="24"/>
        </w:rPr>
        <w:t>法定代表人</w:t>
      </w:r>
      <w:r>
        <w:rPr>
          <w:rFonts w:hint="eastAsia" w:ascii="宋体" w:hAnsi="宋体" w:cs="宋体"/>
          <w:b/>
          <w:bCs/>
          <w:sz w:val="24"/>
          <w:szCs w:val="24"/>
          <w:lang w:eastAsia="zh-CN"/>
        </w:rPr>
        <w:t>（</w:t>
      </w:r>
      <w:r>
        <w:rPr>
          <w:rFonts w:hint="eastAsia" w:ascii="宋体" w:hAnsi="宋体" w:cs="宋体"/>
          <w:b/>
          <w:bCs/>
          <w:sz w:val="24"/>
          <w:szCs w:val="24"/>
          <w:lang w:val="en-US" w:eastAsia="zh-CN"/>
        </w:rPr>
        <w:t>负责人）</w:t>
      </w:r>
      <w:r>
        <w:rPr>
          <w:rFonts w:hint="eastAsia" w:ascii="宋体" w:hAnsi="宋体" w:cs="宋体"/>
          <w:b/>
          <w:bCs/>
          <w:sz w:val="24"/>
          <w:szCs w:val="24"/>
        </w:rPr>
        <w:t>或其委托代理人</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r>
        <w:rPr>
          <w:rFonts w:hint="eastAsia" w:ascii="宋体" w:hAnsi="宋体" w:cs="宋体"/>
          <w:b/>
          <w:bCs/>
          <w:sz w:val="24"/>
          <w:szCs w:val="24"/>
        </w:rPr>
        <w:t>（电子签名或盖章）</w:t>
      </w:r>
    </w:p>
    <w:p w14:paraId="6BBD9953">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sz w:val="24"/>
          <w:szCs w:val="24"/>
        </w:rPr>
        <w:sectPr>
          <w:pgSz w:w="11906" w:h="16838"/>
          <w:pgMar w:top="1134" w:right="1134" w:bottom="1134" w:left="1417" w:header="851" w:footer="850" w:gutter="0"/>
          <w:pgNumType w:fmt="numberInDash"/>
          <w:cols w:space="720" w:num="1"/>
          <w:rtlGutter w:val="0"/>
          <w:docGrid w:linePitch="312" w:charSpace="0"/>
        </w:sectPr>
      </w:pPr>
      <w:bookmarkStart w:id="941" w:name="_Toc20450"/>
      <w:bookmarkStart w:id="942" w:name="_Toc16649"/>
      <w:bookmarkStart w:id="943" w:name="_Toc31848_WPSOffice_Level1"/>
      <w:bookmarkStart w:id="944" w:name="_Toc12941"/>
      <w:bookmarkStart w:id="945" w:name="_Toc27351_WPSOffice_Level1"/>
      <w:bookmarkStart w:id="946" w:name="_Toc21015_WPSOffice_Level1"/>
      <w:bookmarkStart w:id="947" w:name="_Toc3607_WPSOffice_Level1"/>
      <w:bookmarkStart w:id="948" w:name="_Toc31395"/>
      <w:r>
        <w:rPr>
          <w:rFonts w:hint="eastAsia" w:ascii="宋体" w:hAnsi="宋体" w:cs="宋体"/>
          <w:b/>
          <w:bCs/>
          <w:sz w:val="24"/>
          <w:szCs w:val="24"/>
          <w:u w:val="single"/>
        </w:rPr>
        <w:t xml:space="preserve">    </w:t>
      </w:r>
      <w:r>
        <w:rPr>
          <w:rFonts w:hint="eastAsia" w:ascii="宋体" w:hAnsi="宋体" w:cs="宋体"/>
          <w:b/>
          <w:bCs/>
          <w:sz w:val="24"/>
          <w:szCs w:val="24"/>
        </w:rPr>
        <w:t>年</w:t>
      </w:r>
      <w:r>
        <w:rPr>
          <w:rFonts w:hint="eastAsia" w:ascii="宋体" w:hAnsi="宋体" w:cs="宋体"/>
          <w:b/>
          <w:bCs/>
          <w:sz w:val="24"/>
          <w:szCs w:val="24"/>
          <w:u w:val="single"/>
        </w:rPr>
        <w:t xml:space="preserve">    </w:t>
      </w:r>
      <w:r>
        <w:rPr>
          <w:rFonts w:hint="eastAsia" w:ascii="宋体" w:hAnsi="宋体" w:cs="宋体"/>
          <w:b/>
          <w:bCs/>
          <w:sz w:val="24"/>
          <w:szCs w:val="24"/>
        </w:rPr>
        <w:t>月</w:t>
      </w:r>
      <w:r>
        <w:rPr>
          <w:rFonts w:hint="eastAsia" w:ascii="宋体" w:hAnsi="宋体" w:cs="宋体"/>
          <w:b/>
          <w:bCs/>
          <w:sz w:val="24"/>
          <w:szCs w:val="24"/>
          <w:u w:val="single"/>
        </w:rPr>
        <w:t xml:space="preserve">    </w:t>
      </w:r>
      <w:r>
        <w:rPr>
          <w:rFonts w:hint="eastAsia" w:ascii="宋体" w:hAnsi="宋体" w:cs="宋体"/>
          <w:b/>
          <w:bCs/>
          <w:sz w:val="24"/>
          <w:szCs w:val="24"/>
        </w:rPr>
        <w:t>日</w:t>
      </w:r>
      <w:bookmarkEnd w:id="941"/>
      <w:bookmarkEnd w:id="942"/>
      <w:bookmarkEnd w:id="943"/>
      <w:bookmarkEnd w:id="944"/>
      <w:bookmarkEnd w:id="945"/>
      <w:bookmarkEnd w:id="946"/>
      <w:bookmarkEnd w:id="947"/>
      <w:bookmarkEnd w:id="948"/>
    </w:p>
    <w:p w14:paraId="0E27816B">
      <w:pPr>
        <w:wordWrap w:val="0"/>
        <w:spacing w:line="460" w:lineRule="exact"/>
        <w:jc w:val="center"/>
        <w:rPr>
          <w:rFonts w:hint="eastAsia" w:ascii="宋体" w:hAnsi="宋体" w:cs="宋体"/>
          <w:b/>
          <w:bCs/>
          <w:sz w:val="28"/>
          <w:szCs w:val="28"/>
        </w:rPr>
      </w:pPr>
      <w:r>
        <w:rPr>
          <w:rFonts w:hint="eastAsia" w:ascii="宋体" w:hAnsi="宋体" w:cs="宋体"/>
          <w:b/>
          <w:bCs/>
          <w:sz w:val="28"/>
          <w:szCs w:val="28"/>
        </w:rPr>
        <w:t>目录</w:t>
      </w:r>
    </w:p>
    <w:p w14:paraId="5F6F1D99">
      <w:pPr>
        <w:wordWrap w:val="0"/>
        <w:spacing w:line="460" w:lineRule="exact"/>
        <w:jc w:val="center"/>
        <w:rPr>
          <w:rFonts w:hint="eastAsia" w:ascii="宋体" w:hAnsi="宋体" w:cs="宋体"/>
          <w:b/>
          <w:bCs/>
          <w:sz w:val="28"/>
          <w:szCs w:val="28"/>
        </w:rPr>
      </w:pPr>
    </w:p>
    <w:p w14:paraId="2DD4481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一、响应函及响应函附录</w:t>
      </w:r>
    </w:p>
    <w:p w14:paraId="749A6D2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w:t>
      </w:r>
      <w:r>
        <w:rPr>
          <w:rFonts w:hint="eastAsia"/>
          <w:sz w:val="24"/>
          <w:szCs w:val="24"/>
        </w:rPr>
        <w:t>分项报价表</w:t>
      </w:r>
    </w:p>
    <w:p w14:paraId="204C5682">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三、法定代表人（单位负责人）身份证明</w:t>
      </w:r>
    </w:p>
    <w:p w14:paraId="128D1751">
      <w:pPr>
        <w:keepNext w:val="0"/>
        <w:keepLines w:val="0"/>
        <w:pageBreakBefore w:val="0"/>
        <w:widowControl w:val="0"/>
        <w:kinsoku/>
        <w:wordWrap w:val="0"/>
        <w:overflowPunct/>
        <w:topLinePunct w:val="0"/>
        <w:autoSpaceDE/>
        <w:autoSpaceDN/>
        <w:bidi w:val="0"/>
        <w:adjustRightInd/>
        <w:snapToGrid/>
        <w:spacing w:line="460" w:lineRule="exact"/>
        <w:ind w:firstLine="960" w:firstLineChars="400"/>
        <w:textAlignment w:val="auto"/>
        <w:rPr>
          <w:rFonts w:ascii="宋体" w:hAnsi="宋体" w:cs="宋体"/>
          <w:sz w:val="24"/>
          <w:szCs w:val="24"/>
        </w:rPr>
      </w:pPr>
      <w:r>
        <w:rPr>
          <w:rFonts w:hint="eastAsia" w:ascii="宋体" w:hAnsi="宋体" w:cs="宋体"/>
          <w:sz w:val="24"/>
          <w:szCs w:val="24"/>
        </w:rPr>
        <w:t>授权委托书</w:t>
      </w:r>
    </w:p>
    <w:p w14:paraId="0A422B17">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四、商务条款偏离表</w:t>
      </w:r>
    </w:p>
    <w:p w14:paraId="7642BFFC">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ascii="宋体" w:hAnsi="宋体" w:cs="宋体"/>
          <w:sz w:val="24"/>
          <w:szCs w:val="24"/>
        </w:rPr>
        <w:t>五、</w:t>
      </w:r>
      <w:r>
        <w:rPr>
          <w:rFonts w:hint="eastAsia" w:ascii="宋体" w:hAnsi="宋体"/>
          <w:sz w:val="24"/>
          <w:szCs w:val="24"/>
          <w:lang w:val="en-US" w:eastAsia="zh-CN"/>
        </w:rPr>
        <w:t>技术</w:t>
      </w:r>
      <w:r>
        <w:rPr>
          <w:rFonts w:hint="eastAsia" w:ascii="宋体" w:hAnsi="宋体"/>
          <w:sz w:val="24"/>
          <w:szCs w:val="24"/>
        </w:rPr>
        <w:t>条款偏离表</w:t>
      </w:r>
    </w:p>
    <w:p w14:paraId="5B1C1D9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六、资格证明材料</w:t>
      </w:r>
    </w:p>
    <w:p w14:paraId="334BFEF9">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rPr>
        <w:t>七、</w:t>
      </w:r>
      <w:r>
        <w:rPr>
          <w:rFonts w:hint="eastAsia" w:ascii="宋体" w:hAnsi="宋体" w:cs="宋体"/>
          <w:sz w:val="24"/>
          <w:szCs w:val="24"/>
          <w:lang w:val="en-US" w:eastAsia="zh-CN"/>
        </w:rPr>
        <w:t>技术部分</w:t>
      </w:r>
    </w:p>
    <w:p w14:paraId="4D2E739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rPr>
        <w:t>八、</w:t>
      </w:r>
      <w:r>
        <w:rPr>
          <w:rFonts w:hint="eastAsia" w:ascii="宋体" w:hAnsi="宋体" w:cs="宋体"/>
          <w:sz w:val="24"/>
          <w:szCs w:val="24"/>
          <w:lang w:val="en-US" w:eastAsia="zh-CN"/>
        </w:rPr>
        <w:t>其他材料</w:t>
      </w:r>
    </w:p>
    <w:p w14:paraId="454683A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九、</w:t>
      </w:r>
      <w:r>
        <w:rPr>
          <w:rFonts w:hint="eastAsia" w:ascii="宋体" w:hAnsi="宋体" w:cs="宋体"/>
          <w:sz w:val="24"/>
          <w:szCs w:val="24"/>
          <w:lang w:val="en-US" w:eastAsia="zh-CN"/>
        </w:rPr>
        <w:t>供应商认为应该提交的其他材料</w:t>
      </w:r>
    </w:p>
    <w:p w14:paraId="7EC596DE">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十、关于政府采购政策（有则附，没有不附）</w:t>
      </w:r>
    </w:p>
    <w:p w14:paraId="66F379D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p>
    <w:p w14:paraId="73C070F8">
      <w:pPr>
        <w:bidi w:val="0"/>
      </w:pPr>
      <w:r>
        <w:rPr>
          <w:rFonts w:hint="eastAsia"/>
        </w:rPr>
        <w:br w:type="page"/>
      </w:r>
      <w:bookmarkEnd w:id="914"/>
      <w:bookmarkEnd w:id="915"/>
      <w:bookmarkEnd w:id="916"/>
      <w:bookmarkEnd w:id="917"/>
      <w:bookmarkEnd w:id="918"/>
      <w:bookmarkEnd w:id="919"/>
      <w:bookmarkEnd w:id="920"/>
      <w:bookmarkEnd w:id="921"/>
      <w:bookmarkEnd w:id="922"/>
      <w:bookmarkEnd w:id="923"/>
      <w:bookmarkEnd w:id="924"/>
      <w:bookmarkEnd w:id="925"/>
      <w:bookmarkStart w:id="949" w:name="_Toc19981"/>
      <w:bookmarkStart w:id="950" w:name="_Toc192127131"/>
      <w:bookmarkStart w:id="951" w:name="_Toc195922057"/>
    </w:p>
    <w:p w14:paraId="4D8A80F8">
      <w:pPr>
        <w:pStyle w:val="3"/>
        <w:bidi w:val="0"/>
        <w:jc w:val="center"/>
        <w:rPr>
          <w:rFonts w:hint="eastAsia" w:ascii="宋体" w:hAnsi="宋体" w:eastAsia="宋体" w:cs="宋体"/>
        </w:rPr>
      </w:pPr>
      <w:bookmarkStart w:id="952" w:name="_Toc24700"/>
      <w:r>
        <w:rPr>
          <w:rFonts w:hint="eastAsia" w:ascii="宋体" w:hAnsi="宋体" w:eastAsia="宋体" w:cs="宋体"/>
        </w:rPr>
        <w:t>一、响应函及响应函附录</w:t>
      </w:r>
    </w:p>
    <w:p w14:paraId="343C6835">
      <w:pPr>
        <w:wordWrap w:val="0"/>
        <w:spacing w:line="420" w:lineRule="exact"/>
        <w:jc w:val="center"/>
        <w:outlineLvl w:val="2"/>
        <w:rPr>
          <w:rFonts w:ascii="宋体" w:hAnsi="宋体" w:cs="宋体"/>
          <w:b/>
          <w:sz w:val="24"/>
          <w:szCs w:val="24"/>
        </w:rPr>
      </w:pPr>
      <w:r>
        <w:rPr>
          <w:rFonts w:hint="eastAsia" w:ascii="宋体" w:hAnsi="宋体" w:cs="宋体"/>
          <w:b/>
          <w:sz w:val="24"/>
          <w:szCs w:val="24"/>
        </w:rPr>
        <w:t>（一）响应函</w:t>
      </w:r>
      <w:bookmarkEnd w:id="952"/>
    </w:p>
    <w:p w14:paraId="576DD01C">
      <w:pPr>
        <w:pStyle w:val="13"/>
        <w:wordWrap w:val="0"/>
        <w:spacing w:line="420" w:lineRule="exact"/>
        <w:ind w:left="112" w:leftChars="0" w:hanging="112" w:hangingChars="47"/>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w:t>
      </w:r>
    </w:p>
    <w:p w14:paraId="549BEB65">
      <w:pPr>
        <w:spacing w:line="520" w:lineRule="exact"/>
        <w:ind w:left="479" w:leftChars="228" w:firstLine="0" w:firstLineChars="0"/>
        <w:jc w:val="left"/>
        <w:rPr>
          <w:rFonts w:hint="eastAsia" w:ascii="宋体" w:hAnsi="宋体" w:eastAsia="宋体" w:cs="宋体"/>
          <w:sz w:val="24"/>
          <w:szCs w:val="24"/>
        </w:rPr>
      </w:pPr>
      <w:r>
        <w:rPr>
          <w:rFonts w:hint="eastAsia" w:ascii="宋体" w:hAnsi="宋体" w:eastAsia="宋体" w:cs="宋体"/>
          <w:sz w:val="24"/>
          <w:szCs w:val="24"/>
        </w:rPr>
        <w:t>我们收到了</w:t>
      </w:r>
      <w:r>
        <w:rPr>
          <w:rFonts w:hint="eastAsia" w:ascii="宋体" w:hAnsi="宋体" w:cs="宋体"/>
          <w:sz w:val="24"/>
          <w:szCs w:val="24"/>
          <w:lang w:val="en-US" w:eastAsia="zh-CN"/>
        </w:rPr>
        <w:t>采购</w:t>
      </w:r>
      <w:r>
        <w:rPr>
          <w:rFonts w:hint="eastAsia" w:ascii="宋体" w:hAnsi="宋体" w:eastAsia="宋体" w:cs="宋体"/>
          <w:sz w:val="24"/>
          <w:szCs w:val="24"/>
        </w:rPr>
        <w:t>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cs="宋体"/>
          <w:sz w:val="24"/>
          <w:szCs w:val="24"/>
          <w:lang w:val="en-US" w:eastAsia="zh-CN"/>
        </w:rPr>
        <w:t>竞争性磋商</w:t>
      </w:r>
      <w:r>
        <w:rPr>
          <w:rFonts w:hint="eastAsia" w:ascii="宋体" w:hAnsi="宋体" w:eastAsia="宋体" w:cs="宋体"/>
          <w:sz w:val="24"/>
          <w:szCs w:val="24"/>
        </w:rPr>
        <w:t>文件，经详细研究，我们决定参</w:t>
      </w:r>
    </w:p>
    <w:p w14:paraId="62B41D88">
      <w:pPr>
        <w:spacing w:line="520" w:lineRule="exact"/>
        <w:jc w:val="left"/>
        <w:rPr>
          <w:rFonts w:hint="eastAsia" w:ascii="宋体" w:hAnsi="宋体" w:eastAsia="宋体" w:cs="宋体"/>
          <w:sz w:val="24"/>
          <w:szCs w:val="24"/>
        </w:rPr>
      </w:pPr>
      <w:r>
        <w:rPr>
          <w:rFonts w:hint="eastAsia" w:ascii="宋体" w:hAnsi="宋体" w:eastAsia="宋体" w:cs="宋体"/>
          <w:sz w:val="24"/>
          <w:szCs w:val="24"/>
        </w:rPr>
        <w:t>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rPr>
        <w:t>的招标投标活动，我们郑重声明以下诸点并负法律责任。</w:t>
      </w:r>
    </w:p>
    <w:p w14:paraId="50850232">
      <w:pPr>
        <w:numPr>
          <w:ilvl w:val="0"/>
          <w:numId w:val="0"/>
        </w:num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文件中规定的条款和要求，投标总报价为大写：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E3DC24">
      <w:pPr>
        <w:spacing w:line="520" w:lineRule="exact"/>
        <w:jc w:val="left"/>
        <w:rPr>
          <w:rFonts w:hint="eastAsia" w:ascii="宋体" w:hAnsi="宋体" w:eastAsia="宋体" w:cs="宋体"/>
          <w:sz w:val="24"/>
          <w:szCs w:val="24"/>
        </w:rPr>
      </w:pPr>
      <w:r>
        <w:rPr>
          <w:rFonts w:hint="eastAsia" w:ascii="宋体" w:hAnsi="宋体" w:eastAsia="宋体" w:cs="宋体"/>
          <w:sz w:val="24"/>
          <w:szCs w:val="24"/>
        </w:rPr>
        <w:t>质量</w:t>
      </w:r>
      <w:r>
        <w:rPr>
          <w:rFonts w:hint="eastAsia" w:ascii="宋体" w:hAnsi="宋体" w:eastAsia="宋体" w:cs="宋体"/>
          <w:sz w:val="24"/>
          <w:szCs w:val="24"/>
          <w:lang w:val="en-US" w:eastAsia="zh-CN"/>
        </w:rPr>
        <w:t>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color w:val="000000"/>
          <w:sz w:val="24"/>
          <w:szCs w:val="24"/>
        </w:rPr>
        <w:t>供货期</w:t>
      </w:r>
      <w:r>
        <w:rPr>
          <w:rFonts w:hint="eastAsia" w:ascii="宋体" w:hAnsi="宋体" w:eastAsia="宋体" w:cs="宋体"/>
          <w:sz w:val="24"/>
          <w:szCs w:val="24"/>
          <w:u w:val="single"/>
        </w:rPr>
        <w:t xml:space="preserve">      </w:t>
      </w:r>
      <w:r>
        <w:rPr>
          <w:rFonts w:hint="eastAsia" w:ascii="宋体" w:hAnsi="宋体" w:eastAsia="宋体" w:cs="宋体"/>
          <w:sz w:val="24"/>
          <w:szCs w:val="24"/>
        </w:rPr>
        <w:t>，质保期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BD949CB">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2．我方已详细检查全部竞争性磋商文件包括澄清文件、补充通知（如有的话）及有关附件，并完全理解我方必须放弃提出含糊不清或误解的权力，愿按照竞争性磋商文件中的条款和要求按最后一次的报价作为最后报价。</w:t>
      </w:r>
    </w:p>
    <w:p w14:paraId="20AA7B36">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3．我方在此承诺，我方若能成交，保证在</w:t>
      </w:r>
      <w:r>
        <w:rPr>
          <w:rFonts w:hint="eastAsia" w:ascii="宋体" w:hAnsi="宋体" w:eastAsia="宋体" w:cs="宋体"/>
          <w:sz w:val="24"/>
          <w:szCs w:val="24"/>
          <w:lang w:eastAsia="zh-CN"/>
        </w:rPr>
        <w:t>供货及安装期</w:t>
      </w:r>
      <w:r>
        <w:rPr>
          <w:rFonts w:hint="eastAsia" w:ascii="宋体" w:hAnsi="宋体" w:eastAsia="宋体" w:cs="宋体"/>
          <w:sz w:val="24"/>
          <w:szCs w:val="24"/>
        </w:rPr>
        <w:t>内，全面履行竞争性磋商文件中规定的职责和义务。</w:t>
      </w:r>
    </w:p>
    <w:p w14:paraId="59A4B1DE">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4．如果我方成交，我方保证按合同条款中规定的内容执行；我方保证质量达到国家及行业现行标准规范规定的合格要求，并按竞争性磋商文件和有关规定提交一切资料。</w:t>
      </w:r>
    </w:p>
    <w:p w14:paraId="448D81A9">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5．我方同意从60日历天（从磋商截止之日算起）内保持响应文件有效，在此有效期内，我方将严格遵守响应文件的承诺，本响应文件对我方具有约束力，并可随时被接受成交。</w:t>
      </w:r>
    </w:p>
    <w:p w14:paraId="448D77A5">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6．除响应文件所提交的资料外，我方同意随时接受贵方的检查、询问，并根据磋商需要补充贵方要求提交的资料。</w:t>
      </w:r>
    </w:p>
    <w:p w14:paraId="433FA659">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7．如果我方成交后，我方没有任何正当理由而拒签合同，同时我方愿意补偿该项工作因我方延误所造成的经济损失。</w:t>
      </w:r>
    </w:p>
    <w:p w14:paraId="2C1BD967">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8．我方愿接受合同条款中规定的合同价款计算和调整方式。</w:t>
      </w:r>
    </w:p>
    <w:p w14:paraId="61A8747C">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9．除非另外达成协议并生效，贵方的成交通知书和本响应文件将成为约束我方的合同文件组成部分。</w:t>
      </w:r>
    </w:p>
    <w:p w14:paraId="0E9FDD05">
      <w:pPr>
        <w:pStyle w:val="13"/>
        <w:wordWrap w:val="0"/>
        <w:spacing w:line="420" w:lineRule="exact"/>
        <w:ind w:left="0" w:leftChars="0" w:firstLine="0" w:firstLineChars="0"/>
        <w:rPr>
          <w:rFonts w:hint="eastAsia" w:ascii="宋体" w:hAnsi="宋体" w:eastAsia="宋体" w:cs="宋体"/>
          <w:sz w:val="24"/>
          <w:szCs w:val="24"/>
        </w:rPr>
      </w:pPr>
    </w:p>
    <w:p w14:paraId="5A44905C">
      <w:pPr>
        <w:pStyle w:val="13"/>
        <w:wordWrap w:val="0"/>
        <w:spacing w:line="420" w:lineRule="exact"/>
        <w:ind w:left="0" w:leftChars="0" w:firstLine="0" w:firstLineChars="0"/>
        <w:rPr>
          <w:rFonts w:hint="eastAsia" w:ascii="宋体" w:hAnsi="宋体" w:eastAsia="宋体" w:cs="宋体"/>
          <w:sz w:val="24"/>
          <w:szCs w:val="24"/>
        </w:rPr>
      </w:pPr>
    </w:p>
    <w:p w14:paraId="3C48C7AE">
      <w:pPr>
        <w:pStyle w:val="13"/>
        <w:wordWrap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（单位电子签章）</w:t>
      </w:r>
    </w:p>
    <w:p w14:paraId="6C1746E3">
      <w:pPr>
        <w:pStyle w:val="13"/>
        <w:wordWrap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eastAsia="宋体" w:cs="宋体"/>
          <w:sz w:val="24"/>
          <w:szCs w:val="24"/>
        </w:rPr>
        <w:t>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（电子签名或盖章）</w:t>
      </w:r>
    </w:p>
    <w:p w14:paraId="376C4045">
      <w:pPr>
        <w:pStyle w:val="13"/>
        <w:wordWrap w:val="0"/>
        <w:spacing w:line="420" w:lineRule="exact"/>
        <w:ind w:left="1" w:leftChars="0" w:firstLine="480" w:firstLineChars="200"/>
        <w:jc w:val="right"/>
        <w:rPr>
          <w:rFonts w:hint="eastAsia" w:ascii="宋体" w:hAnsi="宋体" w:eastAsia="宋体" w:cs="宋体"/>
          <w:b/>
          <w:kern w:val="0"/>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0630A80">
      <w:pPr>
        <w:wordWrap w:val="0"/>
        <w:autoSpaceDE w:val="0"/>
        <w:autoSpaceDN w:val="0"/>
        <w:adjustRightInd w:val="0"/>
        <w:snapToGrid w:val="0"/>
        <w:spacing w:line="360" w:lineRule="auto"/>
        <w:ind w:firstLine="4320" w:firstLineChars="1800"/>
        <w:jc w:val="right"/>
        <w:rPr>
          <w:rFonts w:hint="eastAsia" w:ascii="宋体" w:hAnsi="宋体" w:eastAsia="宋体" w:cs="宋体"/>
          <w:kern w:val="0"/>
          <w:sz w:val="24"/>
          <w:szCs w:val="24"/>
        </w:rPr>
        <w:sectPr>
          <w:footerReference r:id="rId10" w:type="default"/>
          <w:pgSz w:w="11906" w:h="16838"/>
          <w:pgMar w:top="1134" w:right="1134" w:bottom="1134" w:left="1417" w:header="851" w:footer="850" w:gutter="0"/>
          <w:pgNumType w:fmt="numberInDash"/>
          <w:cols w:space="720" w:num="1"/>
          <w:rtlGutter w:val="0"/>
          <w:docGrid w:linePitch="312" w:charSpace="0"/>
        </w:sectPr>
      </w:pPr>
    </w:p>
    <w:bookmarkEnd w:id="949"/>
    <w:p w14:paraId="2FAA87C8">
      <w:pPr>
        <w:wordWrap w:val="0"/>
        <w:spacing w:line="420" w:lineRule="exact"/>
        <w:jc w:val="center"/>
        <w:outlineLvl w:val="2"/>
        <w:rPr>
          <w:rFonts w:ascii="宋体" w:hAnsi="宋体" w:cs="宋体"/>
          <w:b/>
          <w:bCs/>
          <w:sz w:val="28"/>
          <w:szCs w:val="28"/>
        </w:rPr>
      </w:pPr>
      <w:bookmarkStart w:id="953" w:name="_Toc11398"/>
      <w:bookmarkStart w:id="954" w:name="_Toc8862"/>
      <w:bookmarkStart w:id="955" w:name="_Toc28667"/>
      <w:r>
        <w:rPr>
          <w:rFonts w:hint="eastAsia" w:ascii="宋体" w:hAnsi="宋体" w:cs="宋体"/>
          <w:b/>
          <w:bCs/>
          <w:sz w:val="28"/>
          <w:szCs w:val="28"/>
        </w:rPr>
        <w:t>（二）响应函附录</w:t>
      </w:r>
      <w:bookmarkEnd w:id="953"/>
      <w:bookmarkEnd w:id="954"/>
    </w:p>
    <w:tbl>
      <w:tblPr>
        <w:tblStyle w:val="23"/>
        <w:tblpPr w:leftFromText="180" w:rightFromText="180" w:vertAnchor="text" w:horzAnchor="page" w:tblpXSpec="center" w:tblpY="568"/>
        <w:tblOverlap w:val="never"/>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788"/>
        <w:gridCol w:w="3726"/>
      </w:tblGrid>
      <w:tr w14:paraId="6DE5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883E36C">
            <w:pPr>
              <w:wordWrap w:val="0"/>
              <w:jc w:val="center"/>
              <w:rPr>
                <w:rFonts w:hint="eastAsia" w:ascii="宋体" w:hAnsi="宋体" w:eastAsia="宋体" w:cs="宋体"/>
                <w:sz w:val="24"/>
                <w:szCs w:val="24"/>
                <w:lang w:eastAsia="zh-CN"/>
              </w:rPr>
            </w:pPr>
            <w:r>
              <w:rPr>
                <w:rFonts w:hint="eastAsia" w:ascii="宋体" w:hAnsi="宋体" w:cs="宋体"/>
                <w:sz w:val="24"/>
                <w:szCs w:val="24"/>
                <w:lang w:val="en-US" w:eastAsia="zh-CN"/>
              </w:rPr>
              <w:t>项目</w:t>
            </w:r>
            <w:r>
              <w:rPr>
                <w:rFonts w:hint="eastAsia" w:ascii="宋体" w:hAnsi="宋体" w:cs="宋体"/>
                <w:sz w:val="24"/>
                <w:szCs w:val="24"/>
                <w:lang w:eastAsia="zh-CN"/>
              </w:rPr>
              <w:t>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EF6BE12">
            <w:pPr>
              <w:wordWrap w:val="0"/>
              <w:rPr>
                <w:rFonts w:ascii="宋体" w:hAnsi="宋体" w:cs="宋体"/>
                <w:sz w:val="24"/>
                <w:szCs w:val="24"/>
              </w:rPr>
            </w:pPr>
          </w:p>
        </w:tc>
      </w:tr>
      <w:tr w14:paraId="7407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184375D">
            <w:pPr>
              <w:wordWrap w:val="0"/>
              <w:jc w:val="center"/>
              <w:rPr>
                <w:rFonts w:ascii="宋体" w:hAnsi="宋体" w:cs="宋体"/>
                <w:sz w:val="24"/>
                <w:szCs w:val="24"/>
              </w:rPr>
            </w:pPr>
            <w:r>
              <w:rPr>
                <w:rFonts w:hint="eastAsia" w:ascii="宋体" w:hAnsi="宋体" w:cs="宋体"/>
                <w:sz w:val="24"/>
                <w:szCs w:val="24"/>
              </w:rPr>
              <w:t>供应商名称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75E05326">
            <w:pPr>
              <w:wordWrap w:val="0"/>
              <w:rPr>
                <w:rFonts w:ascii="宋体" w:hAnsi="宋体" w:cs="宋体"/>
                <w:sz w:val="24"/>
                <w:szCs w:val="24"/>
              </w:rPr>
            </w:pPr>
          </w:p>
        </w:tc>
      </w:tr>
      <w:tr w14:paraId="7174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restart"/>
            <w:tcBorders>
              <w:top w:val="single" w:color="auto" w:sz="4" w:space="0"/>
              <w:left w:val="single" w:color="auto" w:sz="4" w:space="0"/>
              <w:right w:val="single" w:color="auto" w:sz="4" w:space="0"/>
            </w:tcBorders>
            <w:vAlign w:val="center"/>
          </w:tcPr>
          <w:p w14:paraId="318CBE25">
            <w:pPr>
              <w:wordWrap w:val="0"/>
              <w:jc w:val="center"/>
              <w:rPr>
                <w:rFonts w:ascii="宋体" w:hAnsi="宋体" w:cs="宋体"/>
                <w:sz w:val="24"/>
                <w:szCs w:val="24"/>
              </w:rPr>
            </w:pPr>
            <w:r>
              <w:rPr>
                <w:rFonts w:hint="eastAsia" w:ascii="宋体" w:hAnsi="宋体" w:cs="宋体"/>
                <w:sz w:val="24"/>
                <w:szCs w:val="24"/>
              </w:rPr>
              <w:t>磋商报价（元）</w:t>
            </w:r>
          </w:p>
        </w:tc>
        <w:tc>
          <w:tcPr>
            <w:tcW w:w="2788" w:type="dxa"/>
            <w:tcBorders>
              <w:top w:val="single" w:color="auto" w:sz="4" w:space="0"/>
              <w:left w:val="single" w:color="auto" w:sz="4" w:space="0"/>
              <w:bottom w:val="single" w:color="auto" w:sz="4" w:space="0"/>
              <w:right w:val="single" w:color="auto" w:sz="4" w:space="0"/>
            </w:tcBorders>
            <w:vAlign w:val="center"/>
          </w:tcPr>
          <w:p w14:paraId="06F94D68">
            <w:pPr>
              <w:wordWrap w:val="0"/>
              <w:rPr>
                <w:rFonts w:ascii="宋体" w:hAnsi="宋体" w:cs="宋体"/>
                <w:sz w:val="24"/>
                <w:szCs w:val="24"/>
              </w:rPr>
            </w:pPr>
            <w:r>
              <w:rPr>
                <w:rFonts w:hint="eastAsia" w:ascii="宋体" w:hAnsi="宋体" w:cs="宋体"/>
                <w:sz w:val="24"/>
                <w:szCs w:val="24"/>
              </w:rPr>
              <w:t>（大写）</w:t>
            </w:r>
          </w:p>
        </w:tc>
        <w:tc>
          <w:tcPr>
            <w:tcW w:w="3726" w:type="dxa"/>
            <w:tcBorders>
              <w:top w:val="single" w:color="auto" w:sz="4" w:space="0"/>
              <w:left w:val="single" w:color="auto" w:sz="4" w:space="0"/>
              <w:bottom w:val="single" w:color="auto" w:sz="4" w:space="0"/>
              <w:right w:val="single" w:color="auto" w:sz="4" w:space="0"/>
            </w:tcBorders>
            <w:vAlign w:val="center"/>
          </w:tcPr>
          <w:p w14:paraId="67420286">
            <w:pPr>
              <w:wordWrap w:val="0"/>
              <w:rPr>
                <w:rFonts w:ascii="宋体" w:hAnsi="宋体" w:cs="宋体"/>
                <w:sz w:val="24"/>
                <w:szCs w:val="24"/>
              </w:rPr>
            </w:pPr>
            <w:r>
              <w:rPr>
                <w:rFonts w:hint="eastAsia" w:ascii="宋体" w:hAnsi="宋体" w:cs="宋体"/>
                <w:sz w:val="24"/>
                <w:szCs w:val="24"/>
              </w:rPr>
              <w:t>（小写）</w:t>
            </w:r>
          </w:p>
        </w:tc>
      </w:tr>
      <w:tr w14:paraId="3F33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continue"/>
            <w:tcBorders>
              <w:left w:val="single" w:color="auto" w:sz="4" w:space="0"/>
              <w:bottom w:val="single" w:color="auto" w:sz="4" w:space="0"/>
              <w:right w:val="single" w:color="auto" w:sz="4" w:space="0"/>
            </w:tcBorders>
            <w:vAlign w:val="center"/>
          </w:tcPr>
          <w:p w14:paraId="68109B0D">
            <w:pPr>
              <w:wordWrap w:val="0"/>
              <w:ind w:firstLine="480"/>
              <w:jc w:val="center"/>
              <w:rPr>
                <w:rFonts w:ascii="宋体" w:hAnsi="宋体" w:cs="宋体"/>
                <w:sz w:val="24"/>
                <w:szCs w:val="24"/>
              </w:rPr>
            </w:pP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5781AE36">
            <w:pPr>
              <w:wordWrap w:val="0"/>
              <w:rPr>
                <w:rFonts w:ascii="宋体" w:hAnsi="宋体" w:cs="宋体"/>
                <w:sz w:val="24"/>
                <w:szCs w:val="24"/>
              </w:rPr>
            </w:pPr>
            <w:r>
              <w:rPr>
                <w:rFonts w:hint="eastAsia" w:ascii="宋体" w:hAnsi="宋体" w:cs="宋体"/>
                <w:sz w:val="24"/>
                <w:szCs w:val="24"/>
              </w:rPr>
              <w:t>（供应商应在此填列第一次报价，但以供应商最后一次的磋商报价为成交价）</w:t>
            </w:r>
          </w:p>
        </w:tc>
      </w:tr>
      <w:tr w14:paraId="1C10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141C5FE">
            <w:pPr>
              <w:wordWrap w:val="0"/>
              <w:jc w:val="center"/>
              <w:rPr>
                <w:rFonts w:hint="eastAsia" w:ascii="宋体" w:hAnsi="宋体" w:eastAsia="宋体" w:cs="宋体"/>
                <w:sz w:val="24"/>
                <w:szCs w:val="24"/>
                <w:lang w:eastAsia="zh-CN"/>
              </w:rPr>
            </w:pPr>
            <w:r>
              <w:rPr>
                <w:rFonts w:hint="eastAsia" w:ascii="宋体" w:hAnsi="宋体" w:cs="宋体"/>
                <w:sz w:val="24"/>
                <w:szCs w:val="24"/>
                <w:lang w:eastAsia="zh-CN"/>
              </w:rPr>
              <w:t>供货期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4FE9B059">
            <w:pPr>
              <w:wordWrap w:val="0"/>
              <w:rPr>
                <w:rFonts w:ascii="宋体" w:hAnsi="宋体" w:cs="宋体"/>
                <w:sz w:val="24"/>
                <w:szCs w:val="24"/>
              </w:rPr>
            </w:pPr>
          </w:p>
        </w:tc>
      </w:tr>
      <w:tr w14:paraId="0A5C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5A7D056">
            <w:pPr>
              <w:wordWrap w:val="0"/>
              <w:jc w:val="center"/>
              <w:rPr>
                <w:rFonts w:hint="eastAsia" w:ascii="宋体" w:hAnsi="宋体" w:eastAsia="宋体" w:cs="宋体"/>
                <w:sz w:val="24"/>
                <w:szCs w:val="24"/>
                <w:lang w:eastAsia="zh-CN"/>
              </w:rPr>
            </w:pPr>
            <w:r>
              <w:rPr>
                <w:rFonts w:hint="eastAsia" w:ascii="宋体" w:hAnsi="宋体" w:cs="宋体"/>
                <w:sz w:val="24"/>
                <w:szCs w:val="24"/>
                <w:lang w:eastAsia="zh-CN"/>
              </w:rPr>
              <w:t>质量要求</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3DB02B72">
            <w:pPr>
              <w:wordWrap w:val="0"/>
              <w:rPr>
                <w:rFonts w:ascii="宋体" w:hAnsi="宋体" w:cs="宋体"/>
                <w:sz w:val="24"/>
                <w:szCs w:val="24"/>
              </w:rPr>
            </w:pPr>
          </w:p>
        </w:tc>
      </w:tr>
      <w:tr w14:paraId="5856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49DBF63">
            <w:pPr>
              <w:wordWrap w:val="0"/>
              <w:jc w:val="center"/>
              <w:rPr>
                <w:rFonts w:hint="default" w:ascii="宋体" w:hAnsi="宋体" w:cs="宋体"/>
                <w:sz w:val="24"/>
                <w:szCs w:val="24"/>
                <w:lang w:val="en-US" w:eastAsia="zh-CN"/>
              </w:rPr>
            </w:pPr>
            <w:r>
              <w:rPr>
                <w:rFonts w:hint="eastAsia" w:ascii="宋体" w:hAnsi="宋体" w:cs="宋体"/>
                <w:sz w:val="24"/>
                <w:szCs w:val="24"/>
                <w:lang w:val="en-US" w:eastAsia="zh-CN"/>
              </w:rPr>
              <w:t>质保期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2652A7E">
            <w:pPr>
              <w:wordWrap w:val="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w:t>
            </w:r>
          </w:p>
        </w:tc>
      </w:tr>
      <w:tr w14:paraId="2BBB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5558A261">
            <w:pPr>
              <w:wordWrap w:val="0"/>
              <w:jc w:val="center"/>
              <w:rPr>
                <w:rFonts w:ascii="宋体" w:hAnsi="宋体" w:cs="宋体"/>
                <w:sz w:val="24"/>
                <w:szCs w:val="24"/>
              </w:rPr>
            </w:pPr>
            <w:r>
              <w:rPr>
                <w:rFonts w:hint="eastAsia" w:ascii="宋体" w:hAnsi="宋体" w:cs="宋体"/>
                <w:sz w:val="24"/>
                <w:szCs w:val="24"/>
              </w:rPr>
              <w:t>磋商有效期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56AFFD3E">
            <w:pPr>
              <w:wordWrap w:val="0"/>
              <w:rPr>
                <w:rFonts w:ascii="宋体" w:hAnsi="宋体" w:cs="宋体"/>
                <w:sz w:val="24"/>
                <w:szCs w:val="24"/>
              </w:rPr>
            </w:pPr>
          </w:p>
        </w:tc>
      </w:tr>
      <w:tr w14:paraId="72C6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3E36E250">
            <w:pPr>
              <w:wordWrap w:val="0"/>
              <w:jc w:val="center"/>
              <w:rPr>
                <w:rFonts w:ascii="宋体" w:hAnsi="宋体" w:cs="宋体"/>
                <w:sz w:val="24"/>
                <w:szCs w:val="24"/>
              </w:rPr>
            </w:pPr>
            <w:r>
              <w:rPr>
                <w:rFonts w:hint="eastAsia" w:ascii="宋体" w:hAnsi="宋体" w:cs="宋体"/>
                <w:sz w:val="24"/>
                <w:szCs w:val="24"/>
              </w:rPr>
              <w:t>备注</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860C607">
            <w:pPr>
              <w:wordWrap w:val="0"/>
              <w:jc w:val="center"/>
              <w:rPr>
                <w:rFonts w:ascii="宋体" w:hAnsi="宋体" w:cs="宋体"/>
                <w:sz w:val="24"/>
                <w:szCs w:val="24"/>
                <w:lang w:val="ru-RU"/>
              </w:rPr>
            </w:pPr>
          </w:p>
        </w:tc>
      </w:tr>
    </w:tbl>
    <w:p w14:paraId="7B91246F">
      <w:pPr>
        <w:wordWrap w:val="0"/>
        <w:spacing w:line="420" w:lineRule="exact"/>
        <w:rPr>
          <w:rFonts w:ascii="宋体" w:hAnsi="宋体" w:cs="宋体"/>
          <w:sz w:val="24"/>
        </w:rPr>
      </w:pPr>
    </w:p>
    <w:p w14:paraId="26F35708">
      <w:pPr>
        <w:wordWrap w:val="0"/>
        <w:spacing w:line="420" w:lineRule="exact"/>
        <w:rPr>
          <w:rFonts w:ascii="宋体" w:hAnsi="宋体" w:cs="宋体"/>
          <w:sz w:val="24"/>
        </w:rPr>
      </w:pPr>
    </w:p>
    <w:p w14:paraId="3F407F44">
      <w:pPr>
        <w:wordWrap w:val="0"/>
        <w:spacing w:line="420" w:lineRule="exact"/>
        <w:rPr>
          <w:rFonts w:ascii="宋体" w:hAnsi="宋体" w:cs="宋体"/>
          <w:sz w:val="24"/>
          <w:szCs w:val="24"/>
        </w:rPr>
      </w:pPr>
    </w:p>
    <w:p w14:paraId="6A45953C">
      <w:pPr>
        <w:wordWrap w:val="0"/>
        <w:spacing w:line="420" w:lineRule="exact"/>
        <w:jc w:val="right"/>
        <w:rPr>
          <w:rFonts w:ascii="宋体" w:hAnsi="宋体" w:cs="宋体"/>
          <w:sz w:val="24"/>
          <w:szCs w:val="24"/>
        </w:rPr>
      </w:pPr>
      <w:r>
        <w:rPr>
          <w:rFonts w:hint="eastAsia" w:ascii="宋体" w:hAnsi="宋体" w:cs="宋体"/>
          <w:sz w:val="24"/>
          <w:szCs w:val="24"/>
        </w:rPr>
        <w:t>供应商法定代表人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或其授权委托人(电子签名或盖章)</w:t>
      </w:r>
      <w:r>
        <w:rPr>
          <w:rFonts w:hint="eastAsia" w:ascii="宋体" w:hAnsi="宋体" w:cs="宋体"/>
          <w:sz w:val="24"/>
          <w:szCs w:val="24"/>
          <w:u w:val="single"/>
        </w:rPr>
        <w:t xml:space="preserve">              </w:t>
      </w:r>
      <w:r>
        <w:rPr>
          <w:rFonts w:hint="eastAsia" w:ascii="宋体" w:hAnsi="宋体" w:cs="宋体"/>
          <w:sz w:val="24"/>
          <w:szCs w:val="24"/>
        </w:rPr>
        <w:t>供应商(单位电子签章)：</w:t>
      </w:r>
      <w:r>
        <w:rPr>
          <w:rFonts w:hint="eastAsia" w:ascii="宋体" w:hAnsi="宋体" w:cs="宋体"/>
          <w:sz w:val="24"/>
          <w:szCs w:val="24"/>
          <w:u w:val="single"/>
        </w:rPr>
        <w:t xml:space="preserve">                  </w:t>
      </w:r>
    </w:p>
    <w:p w14:paraId="3B422E06">
      <w:pPr>
        <w:wordWrap w:val="0"/>
        <w:spacing w:line="420" w:lineRule="exact"/>
        <w:jc w:val="right"/>
        <w:rPr>
          <w:rFonts w:ascii="宋体" w:hAnsi="宋体" w:cs="宋体"/>
          <w:b/>
          <w:kern w:val="0"/>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C9D3386">
      <w:pPr>
        <w:wordWrap w:val="0"/>
        <w:ind w:firstLine="420"/>
        <w:rPr>
          <w:rFonts w:ascii="宋体" w:hAnsi="宋体" w:cs="宋体"/>
          <w:sz w:val="24"/>
          <w:szCs w:val="24"/>
        </w:rPr>
      </w:pPr>
      <w:r>
        <w:rPr>
          <w:rFonts w:hint="eastAsia" w:ascii="宋体" w:hAnsi="宋体" w:cs="宋体"/>
          <w:sz w:val="24"/>
          <w:szCs w:val="24"/>
        </w:rPr>
        <w:br w:type="page"/>
      </w:r>
    </w:p>
    <w:p w14:paraId="21DC4578">
      <w:pPr>
        <w:pStyle w:val="3"/>
        <w:bidi w:val="0"/>
        <w:jc w:val="center"/>
        <w:rPr>
          <w:rFonts w:hint="eastAsia" w:ascii="宋体" w:hAnsi="宋体" w:eastAsia="宋体" w:cs="宋体"/>
        </w:rPr>
      </w:pPr>
      <w:bookmarkStart w:id="956" w:name="_Toc466298161"/>
      <w:bookmarkStart w:id="957" w:name="_Toc2481"/>
      <w:bookmarkStart w:id="958" w:name="_Toc31033"/>
      <w:bookmarkStart w:id="959" w:name="_Toc918"/>
      <w:bookmarkStart w:id="960" w:name="_Toc8120"/>
      <w:r>
        <w:rPr>
          <w:rFonts w:hint="eastAsia" w:ascii="宋体" w:hAnsi="宋体" w:eastAsia="宋体" w:cs="宋体"/>
        </w:rPr>
        <w:t>二、分项报价表</w:t>
      </w:r>
    </w:p>
    <w:p w14:paraId="34E22DB6">
      <w:pPr>
        <w:spacing w:line="360" w:lineRule="auto"/>
        <w:rPr>
          <w:rFonts w:hint="eastAsia" w:ascii="宋体" w:hAnsi="宋体"/>
          <w:sz w:val="24"/>
          <w:szCs w:val="24"/>
        </w:rPr>
      </w:pPr>
      <w:r>
        <w:rPr>
          <w:rFonts w:hint="eastAsia" w:ascii="宋体" w:hAnsi="宋体"/>
          <w:sz w:val="24"/>
          <w:szCs w:val="24"/>
        </w:rPr>
        <w:t xml:space="preserve">                                                      金额单位：元</w:t>
      </w:r>
    </w:p>
    <w:tbl>
      <w:tblPr>
        <w:tblStyle w:val="48"/>
        <w:tblpPr w:leftFromText="180" w:rightFromText="180" w:vertAnchor="text" w:horzAnchor="page" w:tblpX="828" w:tblpY="55"/>
        <w:tblOverlap w:val="never"/>
        <w:tblW w:w="95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
        <w:gridCol w:w="1666"/>
        <w:gridCol w:w="1384"/>
        <w:gridCol w:w="1030"/>
        <w:gridCol w:w="909"/>
        <w:gridCol w:w="979"/>
        <w:gridCol w:w="1014"/>
        <w:gridCol w:w="997"/>
        <w:gridCol w:w="1000"/>
      </w:tblGrid>
      <w:tr w14:paraId="5E0D8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597" w:type="dxa"/>
            <w:vAlign w:val="center"/>
          </w:tcPr>
          <w:p w14:paraId="2A5E8842">
            <w:pPr>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666" w:type="dxa"/>
            <w:vAlign w:val="center"/>
          </w:tcPr>
          <w:p w14:paraId="51FDDCF1">
            <w:pPr>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货物名称</w:t>
            </w:r>
          </w:p>
        </w:tc>
        <w:tc>
          <w:tcPr>
            <w:tcW w:w="1384" w:type="dxa"/>
            <w:vAlign w:val="center"/>
          </w:tcPr>
          <w:p w14:paraId="107D306B">
            <w:pPr>
              <w:ind w:left="0" w:leftChars="0"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品牌/</w:t>
            </w:r>
            <w:r>
              <w:rPr>
                <w:rFonts w:hint="eastAsia" w:asciiTheme="minorEastAsia" w:hAnsiTheme="minorEastAsia" w:eastAsiaTheme="minorEastAsia" w:cstheme="minorEastAsia"/>
                <w:color w:val="auto"/>
                <w:sz w:val="24"/>
                <w:szCs w:val="24"/>
                <w:lang w:val="en-US" w:eastAsia="zh-CN"/>
              </w:rPr>
              <w:t>制造商</w:t>
            </w:r>
          </w:p>
        </w:tc>
        <w:tc>
          <w:tcPr>
            <w:tcW w:w="1030" w:type="dxa"/>
            <w:vAlign w:val="center"/>
          </w:tcPr>
          <w:p w14:paraId="564DB791">
            <w:pPr>
              <w:ind w:left="0" w:lef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规格型号</w:t>
            </w:r>
          </w:p>
        </w:tc>
        <w:tc>
          <w:tcPr>
            <w:tcW w:w="909" w:type="dxa"/>
            <w:vAlign w:val="center"/>
          </w:tcPr>
          <w:p w14:paraId="548C54F9">
            <w:pPr>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979" w:type="dxa"/>
            <w:vAlign w:val="center"/>
          </w:tcPr>
          <w:p w14:paraId="42DA726E">
            <w:pPr>
              <w:ind w:left="0" w:lef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单位</w:t>
            </w:r>
          </w:p>
        </w:tc>
        <w:tc>
          <w:tcPr>
            <w:tcW w:w="1014" w:type="dxa"/>
            <w:vAlign w:val="center"/>
          </w:tcPr>
          <w:p w14:paraId="08E760D6">
            <w:pPr>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997" w:type="dxa"/>
            <w:vAlign w:val="center"/>
          </w:tcPr>
          <w:p w14:paraId="79750D79">
            <w:pPr>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1000" w:type="dxa"/>
            <w:vAlign w:val="center"/>
          </w:tcPr>
          <w:p w14:paraId="2156778E">
            <w:pPr>
              <w:ind w:left="0" w:leftChars="0"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备注</w:t>
            </w:r>
          </w:p>
        </w:tc>
      </w:tr>
      <w:tr w14:paraId="122AE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97" w:type="dxa"/>
            <w:vAlign w:val="center"/>
          </w:tcPr>
          <w:p w14:paraId="4444FC02">
            <w:pPr>
              <w:jc w:val="both"/>
              <w:rPr>
                <w:rFonts w:hint="eastAsia" w:asciiTheme="minorEastAsia" w:hAnsiTheme="minorEastAsia" w:eastAsiaTheme="minorEastAsia" w:cstheme="minorEastAsia"/>
                <w:color w:val="auto"/>
                <w:sz w:val="24"/>
                <w:szCs w:val="24"/>
              </w:rPr>
            </w:pPr>
          </w:p>
        </w:tc>
        <w:tc>
          <w:tcPr>
            <w:tcW w:w="1666" w:type="dxa"/>
            <w:vAlign w:val="center"/>
          </w:tcPr>
          <w:p w14:paraId="5509529E">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0D1732DF">
            <w:pPr>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50F49D4F">
            <w:pPr>
              <w:jc w:val="center"/>
              <w:rPr>
                <w:rFonts w:hint="eastAsia" w:asciiTheme="minorEastAsia" w:hAnsiTheme="minorEastAsia" w:eastAsiaTheme="minorEastAsia" w:cstheme="minorEastAsia"/>
                <w:color w:val="auto"/>
                <w:sz w:val="24"/>
                <w:szCs w:val="24"/>
                <w:lang w:val="en-US" w:eastAsia="zh-CN"/>
              </w:rPr>
            </w:pPr>
          </w:p>
        </w:tc>
        <w:tc>
          <w:tcPr>
            <w:tcW w:w="909" w:type="dxa"/>
            <w:vAlign w:val="center"/>
          </w:tcPr>
          <w:p w14:paraId="6BC12525">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141BE3A9">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2A450569">
            <w:pPr>
              <w:jc w:val="center"/>
              <w:rPr>
                <w:rFonts w:hint="eastAsia" w:asciiTheme="minorEastAsia" w:hAnsiTheme="minorEastAsia" w:eastAsiaTheme="minorEastAsia" w:cstheme="minorEastAsia"/>
                <w:color w:val="auto"/>
                <w:sz w:val="24"/>
                <w:szCs w:val="24"/>
              </w:rPr>
            </w:pPr>
          </w:p>
        </w:tc>
        <w:tc>
          <w:tcPr>
            <w:tcW w:w="997" w:type="dxa"/>
            <w:vAlign w:val="center"/>
          </w:tcPr>
          <w:p w14:paraId="1F291BCC">
            <w:pPr>
              <w:jc w:val="center"/>
              <w:rPr>
                <w:rFonts w:hint="eastAsia" w:asciiTheme="minorEastAsia" w:hAnsiTheme="minorEastAsia" w:eastAsiaTheme="minorEastAsia" w:cstheme="minorEastAsia"/>
                <w:color w:val="auto"/>
                <w:sz w:val="24"/>
                <w:szCs w:val="24"/>
              </w:rPr>
            </w:pPr>
          </w:p>
        </w:tc>
        <w:tc>
          <w:tcPr>
            <w:tcW w:w="1000" w:type="dxa"/>
            <w:vAlign w:val="center"/>
          </w:tcPr>
          <w:p w14:paraId="43C904C9">
            <w:pPr>
              <w:jc w:val="center"/>
              <w:rPr>
                <w:rFonts w:hint="eastAsia" w:asciiTheme="minorEastAsia" w:hAnsiTheme="minorEastAsia" w:eastAsiaTheme="minorEastAsia" w:cstheme="minorEastAsia"/>
                <w:color w:val="auto"/>
                <w:sz w:val="24"/>
                <w:szCs w:val="24"/>
                <w:lang w:val="en-US" w:eastAsia="zh-CN"/>
              </w:rPr>
            </w:pPr>
          </w:p>
        </w:tc>
      </w:tr>
      <w:tr w14:paraId="786C0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597" w:type="dxa"/>
            <w:vAlign w:val="center"/>
          </w:tcPr>
          <w:p w14:paraId="4A19C756">
            <w:pPr>
              <w:jc w:val="both"/>
              <w:rPr>
                <w:rFonts w:hint="eastAsia" w:asciiTheme="minorEastAsia" w:hAnsiTheme="minorEastAsia" w:eastAsiaTheme="minorEastAsia" w:cstheme="minorEastAsia"/>
                <w:b/>
                <w:bCs/>
                <w:color w:val="auto"/>
                <w:sz w:val="24"/>
                <w:szCs w:val="24"/>
              </w:rPr>
            </w:pPr>
          </w:p>
        </w:tc>
        <w:tc>
          <w:tcPr>
            <w:tcW w:w="1666" w:type="dxa"/>
            <w:vAlign w:val="center"/>
          </w:tcPr>
          <w:p w14:paraId="6B9295AC">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22D90BA2">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74141240">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73D403FE">
            <w:pPr>
              <w:jc w:val="both"/>
              <w:rPr>
                <w:rFonts w:hint="eastAsia" w:asciiTheme="minorEastAsia" w:hAnsiTheme="minorEastAsia" w:eastAsiaTheme="minorEastAsia" w:cstheme="minorEastAsia"/>
                <w:b/>
                <w:bCs/>
                <w:color w:val="auto"/>
                <w:sz w:val="24"/>
                <w:szCs w:val="24"/>
                <w:lang w:val="en-US" w:eastAsia="zh-CN"/>
              </w:rPr>
            </w:pPr>
          </w:p>
        </w:tc>
        <w:tc>
          <w:tcPr>
            <w:tcW w:w="979" w:type="dxa"/>
            <w:vAlign w:val="center"/>
          </w:tcPr>
          <w:p w14:paraId="3B324B5E">
            <w:pPr>
              <w:jc w:val="both"/>
              <w:rPr>
                <w:rFonts w:hint="eastAsia" w:asciiTheme="minorEastAsia" w:hAnsiTheme="minorEastAsia" w:eastAsiaTheme="minorEastAsia" w:cstheme="minorEastAsia"/>
                <w:b/>
                <w:bCs/>
                <w:color w:val="auto"/>
                <w:sz w:val="24"/>
                <w:szCs w:val="24"/>
                <w:lang w:val="en-US" w:eastAsia="zh-CN"/>
              </w:rPr>
            </w:pPr>
          </w:p>
        </w:tc>
        <w:tc>
          <w:tcPr>
            <w:tcW w:w="1014" w:type="dxa"/>
            <w:vAlign w:val="center"/>
          </w:tcPr>
          <w:p w14:paraId="26143D20">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66C06821">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31A7B178">
            <w:pPr>
              <w:jc w:val="center"/>
              <w:rPr>
                <w:rFonts w:hint="eastAsia" w:asciiTheme="minorEastAsia" w:hAnsiTheme="minorEastAsia" w:eastAsiaTheme="minorEastAsia" w:cstheme="minorEastAsia"/>
                <w:b/>
                <w:bCs/>
                <w:color w:val="auto"/>
                <w:sz w:val="24"/>
                <w:szCs w:val="24"/>
              </w:rPr>
            </w:pPr>
          </w:p>
        </w:tc>
      </w:tr>
      <w:tr w14:paraId="1F965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7578AB3A">
            <w:pPr>
              <w:jc w:val="both"/>
              <w:rPr>
                <w:rFonts w:hint="eastAsia" w:asciiTheme="minorEastAsia" w:hAnsiTheme="minorEastAsia" w:eastAsiaTheme="minorEastAsia" w:cstheme="minorEastAsia"/>
                <w:color w:val="auto"/>
                <w:sz w:val="24"/>
                <w:szCs w:val="24"/>
              </w:rPr>
            </w:pPr>
          </w:p>
        </w:tc>
        <w:tc>
          <w:tcPr>
            <w:tcW w:w="1666" w:type="dxa"/>
            <w:vAlign w:val="center"/>
          </w:tcPr>
          <w:p w14:paraId="5F6A2B4D">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56797CF1">
            <w:pPr>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3C3F5F2E">
            <w:pPr>
              <w:jc w:val="center"/>
              <w:rPr>
                <w:rFonts w:hint="eastAsia" w:asciiTheme="minorEastAsia" w:hAnsiTheme="minorEastAsia" w:eastAsiaTheme="minorEastAsia" w:cstheme="minorEastAsia"/>
                <w:color w:val="auto"/>
                <w:sz w:val="24"/>
                <w:szCs w:val="24"/>
                <w:lang w:val="en-US" w:eastAsia="zh-CN"/>
              </w:rPr>
            </w:pPr>
          </w:p>
        </w:tc>
        <w:tc>
          <w:tcPr>
            <w:tcW w:w="909" w:type="dxa"/>
            <w:vAlign w:val="center"/>
          </w:tcPr>
          <w:p w14:paraId="0F86AE6F">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6AE3FA32">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6FB4EA13">
            <w:pPr>
              <w:jc w:val="center"/>
              <w:rPr>
                <w:rFonts w:hint="eastAsia" w:asciiTheme="minorEastAsia" w:hAnsiTheme="minorEastAsia" w:eastAsiaTheme="minorEastAsia" w:cstheme="minorEastAsia"/>
                <w:color w:val="auto"/>
                <w:sz w:val="24"/>
                <w:szCs w:val="24"/>
              </w:rPr>
            </w:pPr>
          </w:p>
        </w:tc>
        <w:tc>
          <w:tcPr>
            <w:tcW w:w="997" w:type="dxa"/>
            <w:vAlign w:val="center"/>
          </w:tcPr>
          <w:p w14:paraId="52CC5E32">
            <w:pPr>
              <w:jc w:val="center"/>
              <w:rPr>
                <w:rFonts w:hint="eastAsia" w:asciiTheme="minorEastAsia" w:hAnsiTheme="minorEastAsia" w:eastAsiaTheme="minorEastAsia" w:cstheme="minorEastAsia"/>
                <w:color w:val="auto"/>
                <w:sz w:val="24"/>
                <w:szCs w:val="24"/>
              </w:rPr>
            </w:pPr>
          </w:p>
        </w:tc>
        <w:tc>
          <w:tcPr>
            <w:tcW w:w="1000" w:type="dxa"/>
            <w:vAlign w:val="center"/>
          </w:tcPr>
          <w:p w14:paraId="59E8FC43">
            <w:pPr>
              <w:jc w:val="center"/>
              <w:rPr>
                <w:rFonts w:hint="eastAsia" w:asciiTheme="minorEastAsia" w:hAnsiTheme="minorEastAsia" w:eastAsiaTheme="minorEastAsia" w:cstheme="minorEastAsia"/>
                <w:color w:val="auto"/>
                <w:sz w:val="24"/>
                <w:szCs w:val="24"/>
                <w:lang w:val="en-US" w:eastAsia="zh-CN"/>
              </w:rPr>
            </w:pPr>
          </w:p>
        </w:tc>
      </w:tr>
      <w:tr w14:paraId="5E79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5C783287">
            <w:pPr>
              <w:jc w:val="both"/>
              <w:rPr>
                <w:rFonts w:hint="eastAsia" w:asciiTheme="minorEastAsia" w:hAnsiTheme="minorEastAsia" w:eastAsiaTheme="minorEastAsia" w:cstheme="minorEastAsia"/>
                <w:color w:val="auto"/>
                <w:sz w:val="24"/>
                <w:szCs w:val="24"/>
              </w:rPr>
            </w:pPr>
          </w:p>
        </w:tc>
        <w:tc>
          <w:tcPr>
            <w:tcW w:w="1666" w:type="dxa"/>
            <w:vAlign w:val="center"/>
          </w:tcPr>
          <w:p w14:paraId="0F93E471">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682A527B">
            <w:pPr>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10ABE1E0">
            <w:pPr>
              <w:jc w:val="center"/>
              <w:rPr>
                <w:rFonts w:hint="eastAsia" w:asciiTheme="minorEastAsia" w:hAnsiTheme="minorEastAsia" w:eastAsiaTheme="minorEastAsia" w:cstheme="minorEastAsia"/>
                <w:color w:val="auto"/>
                <w:sz w:val="24"/>
                <w:szCs w:val="24"/>
              </w:rPr>
            </w:pPr>
          </w:p>
        </w:tc>
        <w:tc>
          <w:tcPr>
            <w:tcW w:w="909" w:type="dxa"/>
            <w:vAlign w:val="center"/>
          </w:tcPr>
          <w:p w14:paraId="27143DB0">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653811AF">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6FB77808">
            <w:pPr>
              <w:jc w:val="center"/>
              <w:rPr>
                <w:rFonts w:hint="eastAsia" w:asciiTheme="minorEastAsia" w:hAnsiTheme="minorEastAsia" w:eastAsiaTheme="minorEastAsia" w:cstheme="minorEastAsia"/>
                <w:color w:val="auto"/>
                <w:sz w:val="24"/>
                <w:szCs w:val="24"/>
              </w:rPr>
            </w:pPr>
          </w:p>
        </w:tc>
        <w:tc>
          <w:tcPr>
            <w:tcW w:w="997" w:type="dxa"/>
            <w:vAlign w:val="center"/>
          </w:tcPr>
          <w:p w14:paraId="5171CEF9">
            <w:pPr>
              <w:jc w:val="center"/>
              <w:rPr>
                <w:rFonts w:hint="eastAsia" w:asciiTheme="minorEastAsia" w:hAnsiTheme="minorEastAsia" w:eastAsiaTheme="minorEastAsia" w:cstheme="minorEastAsia"/>
                <w:color w:val="auto"/>
                <w:sz w:val="24"/>
                <w:szCs w:val="24"/>
              </w:rPr>
            </w:pPr>
          </w:p>
        </w:tc>
        <w:tc>
          <w:tcPr>
            <w:tcW w:w="1000" w:type="dxa"/>
            <w:vAlign w:val="center"/>
          </w:tcPr>
          <w:p w14:paraId="5EA77D95">
            <w:pPr>
              <w:jc w:val="center"/>
              <w:rPr>
                <w:rFonts w:hint="eastAsia" w:asciiTheme="minorEastAsia" w:hAnsiTheme="minorEastAsia" w:eastAsiaTheme="minorEastAsia" w:cstheme="minorEastAsia"/>
                <w:color w:val="auto"/>
                <w:sz w:val="24"/>
                <w:szCs w:val="24"/>
                <w:lang w:val="en-US" w:eastAsia="zh-CN"/>
              </w:rPr>
            </w:pPr>
          </w:p>
        </w:tc>
      </w:tr>
      <w:tr w14:paraId="539F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08E8B3E5">
            <w:pPr>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2B2AFC80">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303A4FB5">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1F3B9F48">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1D5242CE">
            <w:pPr>
              <w:jc w:val="both"/>
              <w:rPr>
                <w:rFonts w:hint="eastAsia" w:asciiTheme="minorEastAsia" w:hAnsiTheme="minorEastAsia" w:eastAsiaTheme="minorEastAsia" w:cstheme="minorEastAsia"/>
                <w:b/>
                <w:bCs/>
                <w:color w:val="auto"/>
                <w:sz w:val="24"/>
                <w:szCs w:val="24"/>
              </w:rPr>
            </w:pPr>
          </w:p>
        </w:tc>
        <w:tc>
          <w:tcPr>
            <w:tcW w:w="979" w:type="dxa"/>
            <w:vAlign w:val="center"/>
          </w:tcPr>
          <w:p w14:paraId="5623F783">
            <w:pPr>
              <w:jc w:val="both"/>
              <w:rPr>
                <w:rFonts w:hint="eastAsia" w:asciiTheme="minorEastAsia" w:hAnsiTheme="minorEastAsia" w:eastAsiaTheme="minorEastAsia" w:cstheme="minorEastAsia"/>
                <w:b/>
                <w:bCs/>
                <w:color w:val="auto"/>
                <w:sz w:val="24"/>
                <w:szCs w:val="24"/>
              </w:rPr>
            </w:pPr>
          </w:p>
        </w:tc>
        <w:tc>
          <w:tcPr>
            <w:tcW w:w="1014" w:type="dxa"/>
            <w:vAlign w:val="center"/>
          </w:tcPr>
          <w:p w14:paraId="160CC1AE">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11BACBAE">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10B6FD59">
            <w:pPr>
              <w:jc w:val="center"/>
              <w:rPr>
                <w:rFonts w:hint="eastAsia" w:asciiTheme="minorEastAsia" w:hAnsiTheme="minorEastAsia" w:eastAsiaTheme="minorEastAsia" w:cstheme="minorEastAsia"/>
                <w:b/>
                <w:bCs/>
                <w:color w:val="auto"/>
                <w:sz w:val="24"/>
                <w:szCs w:val="24"/>
              </w:rPr>
            </w:pPr>
          </w:p>
        </w:tc>
      </w:tr>
      <w:tr w14:paraId="12CCD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133CB4E3">
            <w:pPr>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5CC5547E">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2E82E191">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327526E0">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1943DB04">
            <w:pPr>
              <w:jc w:val="both"/>
              <w:rPr>
                <w:rFonts w:hint="eastAsia" w:asciiTheme="minorEastAsia" w:hAnsiTheme="minorEastAsia" w:eastAsiaTheme="minorEastAsia" w:cstheme="minorEastAsia"/>
                <w:b/>
                <w:bCs/>
                <w:color w:val="auto"/>
                <w:sz w:val="24"/>
                <w:szCs w:val="24"/>
              </w:rPr>
            </w:pPr>
          </w:p>
        </w:tc>
        <w:tc>
          <w:tcPr>
            <w:tcW w:w="979" w:type="dxa"/>
            <w:vAlign w:val="center"/>
          </w:tcPr>
          <w:p w14:paraId="73CB36CC">
            <w:pPr>
              <w:jc w:val="both"/>
              <w:rPr>
                <w:rFonts w:hint="eastAsia" w:asciiTheme="minorEastAsia" w:hAnsiTheme="minorEastAsia" w:eastAsiaTheme="minorEastAsia" w:cstheme="minorEastAsia"/>
                <w:b/>
                <w:bCs/>
                <w:color w:val="auto"/>
                <w:sz w:val="24"/>
                <w:szCs w:val="24"/>
              </w:rPr>
            </w:pPr>
          </w:p>
        </w:tc>
        <w:tc>
          <w:tcPr>
            <w:tcW w:w="1014" w:type="dxa"/>
            <w:vAlign w:val="center"/>
          </w:tcPr>
          <w:p w14:paraId="0D37ABE7">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6E8D0215">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11B577A2">
            <w:pPr>
              <w:jc w:val="center"/>
              <w:rPr>
                <w:rFonts w:hint="eastAsia" w:asciiTheme="minorEastAsia" w:hAnsiTheme="minorEastAsia" w:eastAsiaTheme="minorEastAsia" w:cstheme="minorEastAsia"/>
                <w:b/>
                <w:bCs/>
                <w:color w:val="auto"/>
                <w:sz w:val="24"/>
                <w:szCs w:val="24"/>
              </w:rPr>
            </w:pPr>
          </w:p>
        </w:tc>
      </w:tr>
      <w:tr w14:paraId="6591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47C5288F">
            <w:pPr>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74C3AE7A">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42DB586A">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7795BB0C">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065BDAA3">
            <w:pPr>
              <w:jc w:val="both"/>
              <w:rPr>
                <w:rFonts w:hint="eastAsia" w:asciiTheme="minorEastAsia" w:hAnsiTheme="minorEastAsia" w:eastAsiaTheme="minorEastAsia" w:cstheme="minorEastAsia"/>
                <w:b/>
                <w:bCs/>
                <w:color w:val="auto"/>
                <w:sz w:val="24"/>
                <w:szCs w:val="24"/>
              </w:rPr>
            </w:pPr>
          </w:p>
        </w:tc>
        <w:tc>
          <w:tcPr>
            <w:tcW w:w="979" w:type="dxa"/>
            <w:vAlign w:val="center"/>
          </w:tcPr>
          <w:p w14:paraId="0ACD90D4">
            <w:pPr>
              <w:jc w:val="both"/>
              <w:rPr>
                <w:rFonts w:hint="eastAsia" w:asciiTheme="minorEastAsia" w:hAnsiTheme="minorEastAsia" w:eastAsiaTheme="minorEastAsia" w:cstheme="minorEastAsia"/>
                <w:b/>
                <w:bCs/>
                <w:color w:val="auto"/>
                <w:sz w:val="24"/>
                <w:szCs w:val="24"/>
              </w:rPr>
            </w:pPr>
          </w:p>
        </w:tc>
        <w:tc>
          <w:tcPr>
            <w:tcW w:w="1014" w:type="dxa"/>
            <w:vAlign w:val="center"/>
          </w:tcPr>
          <w:p w14:paraId="626B7236">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43C29BC1">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352C8015">
            <w:pPr>
              <w:jc w:val="center"/>
              <w:rPr>
                <w:rFonts w:hint="eastAsia" w:asciiTheme="minorEastAsia" w:hAnsiTheme="minorEastAsia" w:eastAsiaTheme="minorEastAsia" w:cstheme="minorEastAsia"/>
                <w:b/>
                <w:bCs/>
                <w:color w:val="auto"/>
                <w:sz w:val="24"/>
                <w:szCs w:val="24"/>
              </w:rPr>
            </w:pPr>
          </w:p>
        </w:tc>
      </w:tr>
      <w:tr w14:paraId="4EA57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17EDE27F">
            <w:pPr>
              <w:jc w:val="both"/>
              <w:rPr>
                <w:rFonts w:hint="eastAsia" w:asciiTheme="minorEastAsia" w:hAnsiTheme="minorEastAsia" w:eastAsiaTheme="minorEastAsia" w:cstheme="minorEastAsia"/>
                <w:color w:val="auto"/>
                <w:sz w:val="24"/>
                <w:szCs w:val="24"/>
                <w:lang w:val="en-US" w:eastAsia="zh-CN"/>
              </w:rPr>
            </w:pPr>
          </w:p>
        </w:tc>
        <w:tc>
          <w:tcPr>
            <w:tcW w:w="1666" w:type="dxa"/>
            <w:vAlign w:val="center"/>
          </w:tcPr>
          <w:p w14:paraId="531B2727">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7F8E76DD">
            <w:pPr>
              <w:jc w:val="center"/>
              <w:rPr>
                <w:rFonts w:hint="eastAsia" w:asciiTheme="minorEastAsia" w:hAnsiTheme="minorEastAsia" w:eastAsiaTheme="minorEastAsia" w:cstheme="minorEastAsia"/>
                <w:color w:val="auto"/>
                <w:sz w:val="24"/>
                <w:szCs w:val="24"/>
              </w:rPr>
            </w:pPr>
          </w:p>
        </w:tc>
        <w:tc>
          <w:tcPr>
            <w:tcW w:w="1030" w:type="dxa"/>
            <w:vAlign w:val="center"/>
          </w:tcPr>
          <w:p w14:paraId="5A76E4DB">
            <w:pPr>
              <w:jc w:val="center"/>
              <w:rPr>
                <w:rFonts w:hint="eastAsia" w:asciiTheme="minorEastAsia" w:hAnsiTheme="minorEastAsia" w:eastAsiaTheme="minorEastAsia" w:cstheme="minorEastAsia"/>
                <w:color w:val="auto"/>
                <w:sz w:val="24"/>
                <w:szCs w:val="24"/>
              </w:rPr>
            </w:pPr>
          </w:p>
        </w:tc>
        <w:tc>
          <w:tcPr>
            <w:tcW w:w="909" w:type="dxa"/>
            <w:vAlign w:val="center"/>
          </w:tcPr>
          <w:p w14:paraId="2E44C498">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2CBD44F4">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3E0E415A">
            <w:pPr>
              <w:jc w:val="center"/>
              <w:rPr>
                <w:rFonts w:hint="eastAsia" w:asciiTheme="minorEastAsia" w:hAnsiTheme="minorEastAsia" w:eastAsiaTheme="minorEastAsia" w:cstheme="minorEastAsia"/>
                <w:color w:val="auto"/>
                <w:sz w:val="24"/>
                <w:szCs w:val="24"/>
              </w:rPr>
            </w:pPr>
          </w:p>
        </w:tc>
        <w:tc>
          <w:tcPr>
            <w:tcW w:w="997" w:type="dxa"/>
            <w:vAlign w:val="center"/>
          </w:tcPr>
          <w:p w14:paraId="591B06F9">
            <w:pPr>
              <w:jc w:val="center"/>
              <w:rPr>
                <w:rFonts w:hint="eastAsia" w:asciiTheme="minorEastAsia" w:hAnsiTheme="minorEastAsia" w:eastAsiaTheme="minorEastAsia" w:cstheme="minorEastAsia"/>
                <w:color w:val="auto"/>
                <w:sz w:val="24"/>
                <w:szCs w:val="24"/>
              </w:rPr>
            </w:pPr>
          </w:p>
        </w:tc>
        <w:tc>
          <w:tcPr>
            <w:tcW w:w="1000" w:type="dxa"/>
            <w:vAlign w:val="center"/>
          </w:tcPr>
          <w:p w14:paraId="3A25E247">
            <w:pPr>
              <w:jc w:val="center"/>
              <w:rPr>
                <w:rFonts w:hint="eastAsia" w:asciiTheme="minorEastAsia" w:hAnsiTheme="minorEastAsia" w:eastAsiaTheme="minorEastAsia" w:cstheme="minorEastAsia"/>
                <w:color w:val="auto"/>
                <w:sz w:val="24"/>
                <w:szCs w:val="24"/>
              </w:rPr>
            </w:pPr>
          </w:p>
        </w:tc>
      </w:tr>
      <w:tr w14:paraId="73DE0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597" w:type="dxa"/>
            <w:vAlign w:val="center"/>
          </w:tcPr>
          <w:p w14:paraId="65DD01BB">
            <w:pPr>
              <w:jc w:val="both"/>
              <w:rPr>
                <w:rFonts w:hint="eastAsia" w:asciiTheme="minorEastAsia" w:hAnsiTheme="minorEastAsia" w:eastAsiaTheme="minorEastAsia" w:cstheme="minorEastAsia"/>
                <w:color w:val="auto"/>
                <w:sz w:val="24"/>
                <w:szCs w:val="24"/>
                <w:lang w:val="en-US" w:eastAsia="zh-CN"/>
              </w:rPr>
            </w:pPr>
          </w:p>
        </w:tc>
        <w:tc>
          <w:tcPr>
            <w:tcW w:w="1666" w:type="dxa"/>
            <w:vAlign w:val="center"/>
          </w:tcPr>
          <w:p w14:paraId="37BFBE4D">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779D45AF">
            <w:pPr>
              <w:jc w:val="center"/>
              <w:rPr>
                <w:rFonts w:hint="eastAsia" w:asciiTheme="minorEastAsia" w:hAnsiTheme="minorEastAsia" w:eastAsiaTheme="minorEastAsia" w:cstheme="minorEastAsia"/>
                <w:color w:val="auto"/>
                <w:sz w:val="24"/>
                <w:szCs w:val="24"/>
              </w:rPr>
            </w:pPr>
          </w:p>
        </w:tc>
        <w:tc>
          <w:tcPr>
            <w:tcW w:w="1030" w:type="dxa"/>
            <w:vAlign w:val="center"/>
          </w:tcPr>
          <w:p w14:paraId="24E2D79A">
            <w:pPr>
              <w:jc w:val="center"/>
              <w:rPr>
                <w:rFonts w:hint="eastAsia" w:asciiTheme="minorEastAsia" w:hAnsiTheme="minorEastAsia" w:eastAsiaTheme="minorEastAsia" w:cstheme="minorEastAsia"/>
                <w:color w:val="auto"/>
                <w:sz w:val="24"/>
                <w:szCs w:val="24"/>
              </w:rPr>
            </w:pPr>
          </w:p>
        </w:tc>
        <w:tc>
          <w:tcPr>
            <w:tcW w:w="909" w:type="dxa"/>
            <w:vAlign w:val="center"/>
          </w:tcPr>
          <w:p w14:paraId="7C2EF199">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2A3616AD">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567A549A">
            <w:pPr>
              <w:jc w:val="center"/>
              <w:rPr>
                <w:rFonts w:hint="eastAsia" w:asciiTheme="minorEastAsia" w:hAnsiTheme="minorEastAsia" w:eastAsiaTheme="minorEastAsia" w:cstheme="minorEastAsia"/>
                <w:color w:val="auto"/>
                <w:sz w:val="24"/>
                <w:szCs w:val="24"/>
              </w:rPr>
            </w:pPr>
          </w:p>
        </w:tc>
        <w:tc>
          <w:tcPr>
            <w:tcW w:w="997" w:type="dxa"/>
            <w:vAlign w:val="center"/>
          </w:tcPr>
          <w:p w14:paraId="369945B9">
            <w:pPr>
              <w:jc w:val="center"/>
              <w:rPr>
                <w:rFonts w:hint="eastAsia" w:asciiTheme="minorEastAsia" w:hAnsiTheme="minorEastAsia" w:eastAsiaTheme="minorEastAsia" w:cstheme="minorEastAsia"/>
                <w:color w:val="auto"/>
                <w:sz w:val="24"/>
                <w:szCs w:val="24"/>
              </w:rPr>
            </w:pPr>
          </w:p>
        </w:tc>
        <w:tc>
          <w:tcPr>
            <w:tcW w:w="1000" w:type="dxa"/>
            <w:vAlign w:val="center"/>
          </w:tcPr>
          <w:p w14:paraId="478ABFA9">
            <w:pPr>
              <w:jc w:val="center"/>
              <w:rPr>
                <w:rFonts w:hint="eastAsia" w:asciiTheme="minorEastAsia" w:hAnsiTheme="minorEastAsia" w:eastAsiaTheme="minorEastAsia" w:cstheme="minorEastAsia"/>
                <w:color w:val="auto"/>
                <w:sz w:val="24"/>
                <w:szCs w:val="24"/>
              </w:rPr>
            </w:pPr>
          </w:p>
        </w:tc>
      </w:tr>
      <w:tr w14:paraId="41A0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trPr>
        <w:tc>
          <w:tcPr>
            <w:tcW w:w="9576" w:type="dxa"/>
            <w:gridSpan w:val="9"/>
            <w:vAlign w:val="center"/>
          </w:tcPr>
          <w:p w14:paraId="7678E0E6">
            <w:pP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总价小写：</w:t>
            </w:r>
          </w:p>
          <w:p w14:paraId="274C58F5">
            <w:pP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总价大写：</w:t>
            </w:r>
          </w:p>
        </w:tc>
      </w:tr>
    </w:tbl>
    <w:p w14:paraId="3D810573">
      <w:pPr>
        <w:rPr>
          <w:rFonts w:hint="eastAsia" w:ascii="宋体" w:hAnsi="宋体"/>
          <w:color w:val="000000"/>
          <w:sz w:val="24"/>
          <w:szCs w:val="24"/>
          <w:lang w:val="zh-CN"/>
        </w:rPr>
      </w:pPr>
    </w:p>
    <w:p w14:paraId="0192958C">
      <w:pPr>
        <w:rPr>
          <w:rFonts w:hint="eastAsia" w:ascii="宋体" w:hAnsi="宋体"/>
          <w:color w:val="000000"/>
          <w:sz w:val="21"/>
          <w:szCs w:val="21"/>
          <w:lang w:val="zh-CN"/>
        </w:rPr>
      </w:pPr>
      <w:r>
        <w:rPr>
          <w:rFonts w:hint="eastAsia" w:ascii="宋体" w:hAnsi="宋体"/>
          <w:color w:val="000000"/>
          <w:sz w:val="21"/>
          <w:szCs w:val="21"/>
          <w:lang w:val="zh-CN"/>
        </w:rPr>
        <w:t>供应商报价应包含采购清单所有内容且包含税金、运费、安装调试等相关伴随服务以及售后服务等一切费用。</w:t>
      </w:r>
    </w:p>
    <w:p w14:paraId="70CB4433">
      <w:pPr>
        <w:ind w:right="480" w:firstLine="5040" w:firstLineChars="2100"/>
        <w:rPr>
          <w:rFonts w:hint="default" w:eastAsia="宋体"/>
          <w:sz w:val="24"/>
          <w:szCs w:val="24"/>
          <w:lang w:val="en-US" w:eastAsia="zh-CN"/>
        </w:rPr>
      </w:pPr>
      <w:r>
        <w:rPr>
          <w:rFonts w:hint="eastAsia"/>
          <w:sz w:val="24"/>
          <w:szCs w:val="24"/>
        </w:rPr>
        <w:t xml:space="preserve">供应商（单位电子签章）： </w:t>
      </w:r>
      <w:r>
        <w:rPr>
          <w:rFonts w:hint="eastAsia"/>
          <w:sz w:val="24"/>
          <w:szCs w:val="24"/>
          <w:lang w:val="en-US" w:eastAsia="zh-CN"/>
        </w:rPr>
        <w:t xml:space="preserve">  </w:t>
      </w:r>
    </w:p>
    <w:p w14:paraId="5701B310">
      <w:pPr>
        <w:adjustRightInd w:val="0"/>
        <w:snapToGrid w:val="0"/>
        <w:spacing w:line="360" w:lineRule="auto"/>
        <w:jc w:val="right"/>
        <w:rPr>
          <w:rFonts w:hint="eastAsia" w:ascii="宋体" w:hAnsi="宋体"/>
          <w:sz w:val="24"/>
          <w:szCs w:val="24"/>
        </w:rPr>
      </w:pPr>
    </w:p>
    <w:p w14:paraId="45C0F24D">
      <w:pPr>
        <w:adjustRightInd w:val="0"/>
        <w:snapToGrid w:val="0"/>
        <w:spacing w:line="360" w:lineRule="auto"/>
        <w:jc w:val="right"/>
        <w:rPr>
          <w:rFonts w:hint="eastAsia"/>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或其委托代理人（电子签名或盖章）：</w:t>
      </w:r>
      <w:r>
        <w:rPr>
          <w:rFonts w:ascii="宋体" w:hAnsi="宋体"/>
          <w:sz w:val="24"/>
          <w:szCs w:val="24"/>
        </w:rPr>
        <w:t xml:space="preserve"> </w:t>
      </w:r>
      <w:r>
        <w:rPr>
          <w:rFonts w:hint="eastAsia"/>
          <w:sz w:val="24"/>
          <w:szCs w:val="24"/>
        </w:rPr>
        <w:t xml:space="preserve">               </w:t>
      </w:r>
    </w:p>
    <w:p w14:paraId="71F29DD9">
      <w:pPr>
        <w:ind w:right="360" w:firstLine="720" w:firstLineChars="300"/>
        <w:jc w:val="right"/>
        <w:rPr>
          <w:rFonts w:hint="eastAsia"/>
          <w:sz w:val="24"/>
          <w:szCs w:val="24"/>
        </w:rPr>
      </w:pPr>
      <w:r>
        <w:rPr>
          <w:rFonts w:hint="eastAsia"/>
          <w:sz w:val="24"/>
          <w:szCs w:val="24"/>
        </w:rPr>
        <w:t>年      月      日</w:t>
      </w:r>
    </w:p>
    <w:p w14:paraId="74C6B22A">
      <w:pPr>
        <w:rPr>
          <w:rFonts w:hint="eastAsia"/>
          <w:sz w:val="24"/>
          <w:szCs w:val="24"/>
        </w:rPr>
      </w:pPr>
    </w:p>
    <w:p w14:paraId="1EA325BB">
      <w:pPr>
        <w:bidi w:val="0"/>
        <w:rPr>
          <w:rFonts w:hint="eastAsia"/>
        </w:rPr>
      </w:pPr>
    </w:p>
    <w:p w14:paraId="33943593">
      <w:pPr>
        <w:pStyle w:val="3"/>
        <w:bidi w:val="0"/>
        <w:jc w:val="center"/>
        <w:rPr>
          <w:rFonts w:hint="eastAsia" w:ascii="宋体" w:hAnsi="宋体" w:eastAsia="宋体" w:cs="宋体"/>
          <w:lang w:val="en-US" w:eastAsia="zh-CN"/>
        </w:rPr>
      </w:pPr>
      <w:r>
        <w:rPr>
          <w:rFonts w:hint="eastAsia" w:ascii="宋体" w:hAnsi="宋体" w:eastAsia="宋体" w:cs="宋体"/>
          <w:lang w:val="en-US" w:eastAsia="zh-CN"/>
        </w:rPr>
        <w:t>三</w:t>
      </w:r>
      <w:r>
        <w:rPr>
          <w:rFonts w:hint="eastAsia" w:ascii="宋体" w:hAnsi="宋体" w:eastAsia="宋体" w:cs="宋体"/>
        </w:rPr>
        <w:t>、</w:t>
      </w:r>
      <w:bookmarkEnd w:id="956"/>
      <w:bookmarkEnd w:id="957"/>
      <w:bookmarkEnd w:id="958"/>
      <w:bookmarkEnd w:id="959"/>
      <w:r>
        <w:rPr>
          <w:rFonts w:hint="eastAsia" w:ascii="宋体" w:hAnsi="宋体" w:eastAsia="宋体" w:cs="宋体"/>
        </w:rPr>
        <w:t>法定代表人（单位负责人）身份证明</w:t>
      </w:r>
      <w:bookmarkEnd w:id="960"/>
    </w:p>
    <w:p w14:paraId="76AC9607">
      <w:pPr>
        <w:wordWrap w:val="0"/>
        <w:spacing w:line="440" w:lineRule="exact"/>
        <w:ind w:firstLine="420"/>
        <w:jc w:val="center"/>
        <w:rPr>
          <w:rFonts w:ascii="宋体" w:hAnsi="宋体" w:cs="宋体"/>
          <w:szCs w:val="21"/>
        </w:rPr>
      </w:pPr>
    </w:p>
    <w:p w14:paraId="6B658BCA">
      <w:pPr>
        <w:wordWrap w:val="0"/>
        <w:spacing w:line="42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69AF24B5">
      <w:pPr>
        <w:wordWrap w:val="0"/>
        <w:spacing w:line="420" w:lineRule="exact"/>
        <w:ind w:firstLine="480"/>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2949A74C">
      <w:pPr>
        <w:wordWrap w:val="0"/>
        <w:spacing w:line="420" w:lineRule="exact"/>
        <w:ind w:firstLine="48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0B5B1362">
      <w:pPr>
        <w:wordWrap w:val="0"/>
        <w:spacing w:line="420" w:lineRule="exact"/>
        <w:ind w:firstLine="48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 xml:space="preserve"> 月</w:t>
      </w:r>
      <w:r>
        <w:rPr>
          <w:rFonts w:hint="eastAsia" w:ascii="宋体" w:hAnsi="宋体" w:cs="宋体"/>
          <w:sz w:val="24"/>
          <w:szCs w:val="24"/>
          <w:u w:val="single"/>
        </w:rPr>
        <w:t xml:space="preserve">       </w:t>
      </w:r>
      <w:r>
        <w:rPr>
          <w:rFonts w:hint="eastAsia" w:ascii="宋体" w:hAnsi="宋体" w:cs="宋体"/>
          <w:sz w:val="24"/>
          <w:szCs w:val="24"/>
        </w:rPr>
        <w:t xml:space="preserve"> 日</w:t>
      </w:r>
    </w:p>
    <w:p w14:paraId="6168AE90">
      <w:pPr>
        <w:wordWrap w:val="0"/>
        <w:spacing w:line="420" w:lineRule="exact"/>
        <w:ind w:firstLine="48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0FDD8DE5">
      <w:pPr>
        <w:wordWrap w:val="0"/>
        <w:spacing w:line="420" w:lineRule="exact"/>
        <w:ind w:firstLine="480"/>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5CC52752">
      <w:pPr>
        <w:wordWrap w:val="0"/>
        <w:spacing w:line="420" w:lineRule="exact"/>
        <w:ind w:firstLine="48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 xml:space="preserve"> （供应商名称）的法定代表人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p>
    <w:p w14:paraId="361AFFBF">
      <w:pPr>
        <w:wordWrap w:val="0"/>
        <w:spacing w:line="420" w:lineRule="exact"/>
        <w:ind w:firstLine="480"/>
        <w:rPr>
          <w:rFonts w:ascii="宋体" w:hAnsi="宋体" w:cs="宋体"/>
          <w:sz w:val="24"/>
          <w:szCs w:val="24"/>
        </w:rPr>
      </w:pPr>
      <w:r>
        <w:rPr>
          <w:rFonts w:hint="eastAsia" w:ascii="宋体" w:hAnsi="宋体" w:cs="宋体"/>
          <w:sz w:val="24"/>
          <w:szCs w:val="24"/>
        </w:rPr>
        <w:t>特此证明。</w:t>
      </w:r>
    </w:p>
    <w:p w14:paraId="0874998B">
      <w:pPr>
        <w:wordWrap w:val="0"/>
        <w:spacing w:line="420" w:lineRule="exact"/>
        <w:ind w:firstLine="480"/>
        <w:rPr>
          <w:rFonts w:ascii="宋体" w:hAnsi="宋体" w:cs="宋体"/>
          <w:sz w:val="24"/>
          <w:szCs w:val="24"/>
        </w:rPr>
      </w:pPr>
    </w:p>
    <w:p w14:paraId="15097074">
      <w:pPr>
        <w:wordWrap w:val="0"/>
        <w:spacing w:line="420" w:lineRule="exact"/>
        <w:ind w:firstLine="480"/>
        <w:rPr>
          <w:rFonts w:ascii="宋体" w:hAnsi="宋体" w:cs="宋体"/>
          <w:sz w:val="24"/>
          <w:szCs w:val="24"/>
        </w:rPr>
      </w:pPr>
    </w:p>
    <w:p w14:paraId="4AA3815E">
      <w:pPr>
        <w:wordWrap w:val="0"/>
        <w:spacing w:line="420" w:lineRule="exact"/>
        <w:ind w:firstLine="480"/>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12D2BB59">
      <w:pPr>
        <w:wordWrap w:val="0"/>
        <w:spacing w:line="420" w:lineRule="exact"/>
        <w:ind w:firstLine="480"/>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A8FA86D">
      <w:pPr>
        <w:wordWrap w:val="0"/>
        <w:spacing w:line="440" w:lineRule="exact"/>
        <w:rPr>
          <w:rFonts w:ascii="宋体" w:hAnsi="宋体" w:cs="宋体"/>
          <w:sz w:val="24"/>
          <w:szCs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5A5F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9638" w:type="dxa"/>
            <w:vAlign w:val="center"/>
          </w:tcPr>
          <w:p w14:paraId="6AEBB4D1">
            <w:pPr>
              <w:wordWrap w:val="0"/>
              <w:spacing w:line="440" w:lineRule="exact"/>
              <w:jc w:val="center"/>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身份证扫描件</w:t>
            </w:r>
          </w:p>
          <w:p w14:paraId="0936DF8C">
            <w:pPr>
              <w:wordWrap w:val="0"/>
              <w:spacing w:line="440" w:lineRule="exact"/>
              <w:jc w:val="center"/>
              <w:rPr>
                <w:rFonts w:ascii="宋体" w:hAnsi="宋体" w:cs="宋体"/>
                <w:sz w:val="24"/>
                <w:szCs w:val="24"/>
              </w:rPr>
            </w:pPr>
          </w:p>
        </w:tc>
      </w:tr>
    </w:tbl>
    <w:p w14:paraId="7364F360">
      <w:pPr>
        <w:wordWrap w:val="0"/>
        <w:ind w:firstLine="420"/>
        <w:rPr>
          <w:rFonts w:ascii="宋体" w:hAnsi="宋体" w:cs="宋体"/>
        </w:rPr>
      </w:pPr>
      <w:r>
        <w:rPr>
          <w:rFonts w:hint="eastAsia" w:ascii="宋体" w:hAnsi="宋体" w:cs="宋体"/>
        </w:rPr>
        <w:br w:type="page"/>
      </w:r>
    </w:p>
    <w:p w14:paraId="0BFC4453">
      <w:pPr>
        <w:bidi w:val="0"/>
        <w:jc w:val="center"/>
        <w:rPr>
          <w:rFonts w:hint="eastAsia"/>
          <w:sz w:val="36"/>
          <w:szCs w:val="44"/>
        </w:rPr>
      </w:pPr>
      <w:bookmarkStart w:id="961" w:name="_Toc10913"/>
      <w:r>
        <w:rPr>
          <w:rFonts w:hint="eastAsia"/>
          <w:sz w:val="36"/>
          <w:szCs w:val="44"/>
        </w:rPr>
        <w:t>授权委托书</w:t>
      </w:r>
      <w:bookmarkEnd w:id="961"/>
    </w:p>
    <w:p w14:paraId="61800195">
      <w:pPr>
        <w:bidi w:val="0"/>
        <w:jc w:val="center"/>
        <w:rPr>
          <w:rFonts w:hint="eastAsia"/>
          <w:sz w:val="36"/>
          <w:szCs w:val="44"/>
        </w:rPr>
      </w:pPr>
    </w:p>
    <w:p w14:paraId="70DA0E03">
      <w:pPr>
        <w:wordWrap w:val="0"/>
        <w:topLinePunct/>
        <w:spacing w:line="420" w:lineRule="exact"/>
        <w:ind w:firstLine="48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，现委托</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项目</w:t>
      </w:r>
      <w:r>
        <w:rPr>
          <w:rFonts w:hint="eastAsia" w:ascii="宋体" w:hAnsi="宋体" w:cs="宋体"/>
          <w:sz w:val="24"/>
          <w:szCs w:val="24"/>
          <w:lang w:eastAsia="zh-CN"/>
        </w:rPr>
        <w:t>名称</w:t>
      </w:r>
      <w:r>
        <w:rPr>
          <w:rFonts w:hint="eastAsia" w:ascii="宋体" w:hAnsi="宋体" w:cs="宋体"/>
          <w:sz w:val="24"/>
          <w:szCs w:val="24"/>
        </w:rPr>
        <w:t>）响应文件、签订合同和处理有关事宜，其法律后果由我方承担。</w:t>
      </w:r>
    </w:p>
    <w:p w14:paraId="2E31B190">
      <w:pPr>
        <w:wordWrap w:val="0"/>
        <w:spacing w:line="420" w:lineRule="exact"/>
        <w:ind w:firstLine="480"/>
        <w:rPr>
          <w:rFonts w:ascii="宋体" w:hAnsi="宋体" w:cs="宋体"/>
          <w:sz w:val="24"/>
          <w:szCs w:val="24"/>
        </w:rPr>
      </w:pPr>
      <w:r>
        <w:rPr>
          <w:rFonts w:hint="eastAsia" w:ascii="宋体" w:hAnsi="宋体" w:cs="宋体"/>
          <w:sz w:val="24"/>
          <w:szCs w:val="24"/>
        </w:rPr>
        <w:t>委托期限：</w:t>
      </w:r>
      <w:r>
        <w:rPr>
          <w:rFonts w:hint="eastAsia" w:ascii="宋体" w:hAnsi="宋体" w:cs="宋体"/>
          <w:sz w:val="24"/>
          <w:szCs w:val="24"/>
          <w:u w:val="single"/>
        </w:rPr>
        <w:t xml:space="preserve">                        </w:t>
      </w:r>
      <w:r>
        <w:rPr>
          <w:rFonts w:hint="eastAsia" w:ascii="宋体" w:hAnsi="宋体" w:cs="宋体"/>
          <w:sz w:val="24"/>
          <w:szCs w:val="24"/>
        </w:rPr>
        <w:t>。</w:t>
      </w:r>
    </w:p>
    <w:p w14:paraId="2E25C0D2">
      <w:pPr>
        <w:wordWrap w:val="0"/>
        <w:spacing w:line="420" w:lineRule="exact"/>
        <w:ind w:firstLine="480"/>
        <w:rPr>
          <w:rFonts w:ascii="宋体" w:hAnsi="宋体" w:cs="宋体"/>
          <w:sz w:val="24"/>
          <w:szCs w:val="24"/>
        </w:rPr>
      </w:pPr>
      <w:r>
        <w:rPr>
          <w:rFonts w:hint="eastAsia" w:ascii="宋体" w:hAnsi="宋体" w:cs="宋体"/>
          <w:sz w:val="24"/>
          <w:szCs w:val="24"/>
        </w:rPr>
        <w:t>代理人无转委托权。</w:t>
      </w:r>
    </w:p>
    <w:p w14:paraId="49A01EC2">
      <w:pPr>
        <w:wordWrap w:val="0"/>
        <w:spacing w:line="420" w:lineRule="exact"/>
        <w:ind w:firstLine="480"/>
        <w:rPr>
          <w:rFonts w:ascii="宋体" w:hAnsi="宋体" w:cs="宋体"/>
          <w:sz w:val="24"/>
          <w:szCs w:val="24"/>
        </w:rPr>
      </w:pPr>
    </w:p>
    <w:p w14:paraId="307C3AAC">
      <w:pPr>
        <w:wordWrap w:val="0"/>
        <w:spacing w:line="420" w:lineRule="exact"/>
        <w:rPr>
          <w:rFonts w:ascii="宋体" w:hAnsi="宋体" w:cs="宋体"/>
          <w:sz w:val="24"/>
          <w:szCs w:val="24"/>
        </w:rPr>
      </w:pPr>
    </w:p>
    <w:p w14:paraId="5FD66973">
      <w:pPr>
        <w:wordWrap w:val="0"/>
        <w:spacing w:line="420" w:lineRule="exact"/>
        <w:ind w:firstLine="48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6963774E">
      <w:pPr>
        <w:wordWrap w:val="0"/>
        <w:spacing w:line="420" w:lineRule="exact"/>
        <w:ind w:firstLine="48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（电子签名或盖章）</w:t>
      </w:r>
    </w:p>
    <w:p w14:paraId="3126D893">
      <w:pPr>
        <w:wordWrap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2D7E2F23">
      <w:pPr>
        <w:wordWrap w:val="0"/>
        <w:spacing w:line="420" w:lineRule="exact"/>
        <w:ind w:firstLine="480"/>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78CC457A">
      <w:pPr>
        <w:wordWrap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39F5C8AD">
      <w:pPr>
        <w:wordWrap w:val="0"/>
        <w:spacing w:line="420" w:lineRule="exact"/>
        <w:ind w:firstLine="48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1A29004">
      <w:pPr>
        <w:pStyle w:val="8"/>
        <w:wordWrap w:val="0"/>
        <w:rPr>
          <w:rFonts w:ascii="宋体" w:hAnsi="宋体" w:cs="宋体"/>
          <w:sz w:val="24"/>
          <w:szCs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10EB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9638" w:type="dxa"/>
            <w:vAlign w:val="center"/>
          </w:tcPr>
          <w:p w14:paraId="45B01868">
            <w:pPr>
              <w:wordWrap w:val="0"/>
              <w:spacing w:line="440" w:lineRule="exact"/>
              <w:jc w:val="center"/>
              <w:rPr>
                <w:rFonts w:ascii="宋体" w:hAnsi="宋体" w:cs="宋体"/>
                <w:sz w:val="24"/>
                <w:szCs w:val="24"/>
              </w:rPr>
            </w:pPr>
            <w:r>
              <w:rPr>
                <w:rFonts w:hint="eastAsia" w:ascii="宋体" w:hAnsi="宋体" w:cs="宋体"/>
                <w:sz w:val="24"/>
                <w:szCs w:val="24"/>
              </w:rPr>
              <w:t>委托代理人身份证扫描件</w:t>
            </w:r>
          </w:p>
          <w:p w14:paraId="72FB8845">
            <w:pPr>
              <w:wordWrap w:val="0"/>
              <w:spacing w:line="440" w:lineRule="exact"/>
              <w:ind w:firstLine="480"/>
              <w:jc w:val="center"/>
              <w:rPr>
                <w:rFonts w:ascii="宋体" w:hAnsi="宋体" w:cs="宋体"/>
                <w:sz w:val="24"/>
                <w:szCs w:val="24"/>
              </w:rPr>
            </w:pPr>
          </w:p>
        </w:tc>
      </w:tr>
    </w:tbl>
    <w:p w14:paraId="75F38371">
      <w:pPr>
        <w:bidi w:val="0"/>
      </w:pPr>
    </w:p>
    <w:p w14:paraId="2B5D7E41">
      <w:pPr>
        <w:pStyle w:val="22"/>
        <w:tabs>
          <w:tab w:val="left" w:pos="945"/>
          <w:tab w:val="left" w:pos="1155"/>
        </w:tabs>
        <w:wordWrap w:val="0"/>
        <w:ind w:firstLine="480"/>
        <w:rPr>
          <w:rFonts w:hint="default" w:ascii="宋体" w:hAnsi="宋体" w:cs="宋体"/>
        </w:rPr>
      </w:pPr>
      <w:r>
        <w:rPr>
          <w:rFonts w:ascii="宋体" w:hAnsi="宋体" w:cs="宋体"/>
        </w:rPr>
        <w:br w:type="page"/>
      </w:r>
    </w:p>
    <w:bookmarkEnd w:id="950"/>
    <w:bookmarkEnd w:id="951"/>
    <w:bookmarkEnd w:id="955"/>
    <w:p w14:paraId="7E8B9B2D">
      <w:pPr>
        <w:pStyle w:val="3"/>
        <w:bidi w:val="0"/>
        <w:jc w:val="center"/>
        <w:rPr>
          <w:rFonts w:hint="eastAsia" w:ascii="宋体" w:hAnsi="宋体" w:eastAsia="宋体" w:cs="宋体"/>
          <w:lang w:val="en-US" w:eastAsia="zh-CN"/>
        </w:rPr>
      </w:pPr>
      <w:bookmarkStart w:id="962" w:name="_Toc14094"/>
      <w:bookmarkStart w:id="963" w:name="_Toc29310"/>
      <w:bookmarkStart w:id="964" w:name="_Toc414956975"/>
      <w:bookmarkStart w:id="965" w:name="_Toc398716804"/>
      <w:bookmarkStart w:id="966" w:name="_Toc417567991"/>
      <w:r>
        <w:rPr>
          <w:rFonts w:hint="eastAsia" w:ascii="宋体" w:hAnsi="宋体" w:eastAsia="宋体" w:cs="宋体"/>
          <w:lang w:val="en-US" w:eastAsia="zh-CN"/>
        </w:rPr>
        <w:t>四、商务条款偏离表</w:t>
      </w:r>
      <w:bookmarkEnd w:id="962"/>
      <w:bookmarkEnd w:id="96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220"/>
        <w:gridCol w:w="3220"/>
        <w:gridCol w:w="1768"/>
      </w:tblGrid>
      <w:tr w14:paraId="023A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0" w:type="dxa"/>
            <w:noWrap w:val="0"/>
            <w:vAlign w:val="center"/>
          </w:tcPr>
          <w:p w14:paraId="214BAA3E">
            <w:pPr>
              <w:spacing w:before="120"/>
              <w:ind w:left="0" w:leftChars="0" w:firstLine="0" w:firstLineChars="0"/>
              <w:jc w:val="center"/>
              <w:rPr>
                <w:rFonts w:ascii="宋体" w:hAnsi="宋体"/>
                <w:sz w:val="24"/>
                <w:szCs w:val="24"/>
              </w:rPr>
            </w:pPr>
            <w:r>
              <w:rPr>
                <w:rFonts w:hint="eastAsia" w:ascii="宋体" w:hAnsi="宋体"/>
                <w:sz w:val="24"/>
                <w:szCs w:val="24"/>
              </w:rPr>
              <w:t>序号</w:t>
            </w:r>
          </w:p>
        </w:tc>
        <w:tc>
          <w:tcPr>
            <w:tcW w:w="3220" w:type="dxa"/>
            <w:noWrap w:val="0"/>
            <w:vAlign w:val="center"/>
          </w:tcPr>
          <w:p w14:paraId="6C88AA8B">
            <w:pPr>
              <w:spacing w:before="120"/>
              <w:ind w:left="0" w:leftChars="0" w:firstLine="0" w:firstLineChars="0"/>
              <w:jc w:val="center"/>
              <w:rPr>
                <w:rFonts w:ascii="宋体" w:hAnsi="宋体"/>
                <w:sz w:val="24"/>
                <w:szCs w:val="24"/>
              </w:rPr>
            </w:pPr>
            <w:r>
              <w:rPr>
                <w:rFonts w:hint="eastAsia" w:ascii="宋体" w:hAnsi="宋体"/>
                <w:sz w:val="24"/>
                <w:szCs w:val="24"/>
              </w:rPr>
              <w:t>招标文件的商务条款</w:t>
            </w:r>
          </w:p>
        </w:tc>
        <w:tc>
          <w:tcPr>
            <w:tcW w:w="3220" w:type="dxa"/>
            <w:noWrap w:val="0"/>
            <w:vAlign w:val="center"/>
          </w:tcPr>
          <w:p w14:paraId="2D083989">
            <w:pPr>
              <w:spacing w:before="120"/>
              <w:ind w:left="0" w:leftChars="0" w:firstLine="0" w:firstLineChars="0"/>
              <w:jc w:val="center"/>
              <w:rPr>
                <w:rFonts w:ascii="宋体" w:hAnsi="宋体"/>
                <w:sz w:val="24"/>
                <w:szCs w:val="24"/>
              </w:rPr>
            </w:pPr>
            <w:r>
              <w:rPr>
                <w:rFonts w:hint="eastAsia" w:ascii="宋体" w:hAnsi="宋体"/>
                <w:sz w:val="24"/>
                <w:szCs w:val="24"/>
              </w:rPr>
              <w:t>投标文件的商务条款</w:t>
            </w:r>
          </w:p>
        </w:tc>
        <w:tc>
          <w:tcPr>
            <w:tcW w:w="1768" w:type="dxa"/>
            <w:noWrap w:val="0"/>
            <w:vAlign w:val="center"/>
          </w:tcPr>
          <w:p w14:paraId="005ED15F">
            <w:pPr>
              <w:spacing w:before="120"/>
              <w:ind w:left="0" w:leftChars="0" w:firstLine="0" w:firstLineChars="0"/>
              <w:jc w:val="center"/>
              <w:rPr>
                <w:rFonts w:ascii="宋体" w:hAnsi="宋体"/>
                <w:sz w:val="24"/>
                <w:szCs w:val="24"/>
              </w:rPr>
            </w:pPr>
            <w:r>
              <w:rPr>
                <w:rFonts w:hint="eastAsia" w:ascii="宋体" w:hAnsi="宋体"/>
                <w:sz w:val="24"/>
                <w:szCs w:val="24"/>
              </w:rPr>
              <w:t>偏离说明</w:t>
            </w:r>
          </w:p>
        </w:tc>
      </w:tr>
      <w:tr w14:paraId="2BCF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28C2B09E">
            <w:pPr>
              <w:spacing w:before="120"/>
              <w:rPr>
                <w:rFonts w:ascii="宋体" w:hAnsi="宋体"/>
                <w:sz w:val="24"/>
                <w:szCs w:val="24"/>
              </w:rPr>
            </w:pPr>
          </w:p>
        </w:tc>
        <w:tc>
          <w:tcPr>
            <w:tcW w:w="3220" w:type="dxa"/>
            <w:noWrap w:val="0"/>
            <w:vAlign w:val="center"/>
          </w:tcPr>
          <w:p w14:paraId="62E99995">
            <w:pPr>
              <w:spacing w:before="120"/>
              <w:rPr>
                <w:rFonts w:ascii="宋体" w:hAnsi="宋体"/>
                <w:sz w:val="24"/>
                <w:szCs w:val="24"/>
              </w:rPr>
            </w:pPr>
          </w:p>
        </w:tc>
        <w:tc>
          <w:tcPr>
            <w:tcW w:w="3220" w:type="dxa"/>
            <w:noWrap w:val="0"/>
            <w:vAlign w:val="center"/>
          </w:tcPr>
          <w:p w14:paraId="6F48AEAD">
            <w:pPr>
              <w:spacing w:before="120"/>
              <w:rPr>
                <w:rFonts w:ascii="宋体" w:hAnsi="宋体"/>
                <w:sz w:val="24"/>
                <w:szCs w:val="24"/>
              </w:rPr>
            </w:pPr>
          </w:p>
        </w:tc>
        <w:tc>
          <w:tcPr>
            <w:tcW w:w="1768" w:type="dxa"/>
            <w:noWrap w:val="0"/>
            <w:vAlign w:val="center"/>
          </w:tcPr>
          <w:p w14:paraId="3EFD9006">
            <w:pPr>
              <w:spacing w:before="120"/>
              <w:rPr>
                <w:rFonts w:ascii="宋体" w:hAnsi="宋体"/>
                <w:sz w:val="24"/>
                <w:szCs w:val="24"/>
              </w:rPr>
            </w:pPr>
          </w:p>
        </w:tc>
      </w:tr>
      <w:tr w14:paraId="7F9F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38EEDF74">
            <w:pPr>
              <w:spacing w:before="120"/>
              <w:rPr>
                <w:rFonts w:ascii="宋体" w:hAnsi="宋体"/>
                <w:sz w:val="24"/>
                <w:szCs w:val="24"/>
              </w:rPr>
            </w:pPr>
          </w:p>
        </w:tc>
        <w:tc>
          <w:tcPr>
            <w:tcW w:w="3220" w:type="dxa"/>
            <w:noWrap w:val="0"/>
            <w:vAlign w:val="center"/>
          </w:tcPr>
          <w:p w14:paraId="78799D20">
            <w:pPr>
              <w:spacing w:before="120"/>
              <w:rPr>
                <w:rFonts w:ascii="宋体" w:hAnsi="宋体"/>
                <w:sz w:val="24"/>
                <w:szCs w:val="24"/>
              </w:rPr>
            </w:pPr>
          </w:p>
        </w:tc>
        <w:tc>
          <w:tcPr>
            <w:tcW w:w="3220" w:type="dxa"/>
            <w:noWrap w:val="0"/>
            <w:vAlign w:val="center"/>
          </w:tcPr>
          <w:p w14:paraId="5EFE3F87">
            <w:pPr>
              <w:spacing w:before="120"/>
              <w:rPr>
                <w:rFonts w:ascii="宋体" w:hAnsi="宋体"/>
                <w:sz w:val="24"/>
                <w:szCs w:val="24"/>
              </w:rPr>
            </w:pPr>
          </w:p>
        </w:tc>
        <w:tc>
          <w:tcPr>
            <w:tcW w:w="1768" w:type="dxa"/>
            <w:noWrap w:val="0"/>
            <w:vAlign w:val="center"/>
          </w:tcPr>
          <w:p w14:paraId="6F0B6791">
            <w:pPr>
              <w:spacing w:before="120"/>
              <w:rPr>
                <w:rFonts w:ascii="宋体" w:hAnsi="宋体"/>
                <w:sz w:val="24"/>
                <w:szCs w:val="24"/>
              </w:rPr>
            </w:pPr>
          </w:p>
        </w:tc>
      </w:tr>
      <w:tr w14:paraId="20E1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728D23EC">
            <w:pPr>
              <w:spacing w:before="120"/>
              <w:rPr>
                <w:rFonts w:ascii="宋体" w:hAnsi="宋体"/>
                <w:sz w:val="24"/>
                <w:szCs w:val="24"/>
              </w:rPr>
            </w:pPr>
          </w:p>
        </w:tc>
        <w:tc>
          <w:tcPr>
            <w:tcW w:w="3220" w:type="dxa"/>
            <w:noWrap w:val="0"/>
            <w:vAlign w:val="center"/>
          </w:tcPr>
          <w:p w14:paraId="64977B33">
            <w:pPr>
              <w:spacing w:before="120"/>
              <w:rPr>
                <w:rFonts w:ascii="宋体" w:hAnsi="宋体"/>
                <w:sz w:val="24"/>
                <w:szCs w:val="24"/>
              </w:rPr>
            </w:pPr>
          </w:p>
        </w:tc>
        <w:tc>
          <w:tcPr>
            <w:tcW w:w="3220" w:type="dxa"/>
            <w:noWrap w:val="0"/>
            <w:vAlign w:val="center"/>
          </w:tcPr>
          <w:p w14:paraId="0AFEB194">
            <w:pPr>
              <w:spacing w:before="120"/>
              <w:rPr>
                <w:rFonts w:ascii="宋体" w:hAnsi="宋体"/>
                <w:sz w:val="24"/>
                <w:szCs w:val="24"/>
              </w:rPr>
            </w:pPr>
          </w:p>
        </w:tc>
        <w:tc>
          <w:tcPr>
            <w:tcW w:w="1768" w:type="dxa"/>
            <w:noWrap w:val="0"/>
            <w:vAlign w:val="center"/>
          </w:tcPr>
          <w:p w14:paraId="59EF1312">
            <w:pPr>
              <w:spacing w:before="120"/>
              <w:rPr>
                <w:rFonts w:ascii="宋体" w:hAnsi="宋体"/>
                <w:sz w:val="24"/>
                <w:szCs w:val="24"/>
              </w:rPr>
            </w:pPr>
          </w:p>
        </w:tc>
      </w:tr>
      <w:tr w14:paraId="0B01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57D85462">
            <w:pPr>
              <w:spacing w:before="120"/>
              <w:rPr>
                <w:rFonts w:ascii="宋体" w:hAnsi="宋体"/>
                <w:sz w:val="24"/>
                <w:szCs w:val="24"/>
              </w:rPr>
            </w:pPr>
          </w:p>
        </w:tc>
        <w:tc>
          <w:tcPr>
            <w:tcW w:w="3220" w:type="dxa"/>
            <w:noWrap w:val="0"/>
            <w:vAlign w:val="center"/>
          </w:tcPr>
          <w:p w14:paraId="1611F451">
            <w:pPr>
              <w:spacing w:before="120"/>
              <w:rPr>
                <w:rFonts w:ascii="宋体" w:hAnsi="宋体"/>
                <w:sz w:val="24"/>
                <w:szCs w:val="24"/>
              </w:rPr>
            </w:pPr>
          </w:p>
        </w:tc>
        <w:tc>
          <w:tcPr>
            <w:tcW w:w="3220" w:type="dxa"/>
            <w:noWrap w:val="0"/>
            <w:vAlign w:val="center"/>
          </w:tcPr>
          <w:p w14:paraId="4B158DE8">
            <w:pPr>
              <w:spacing w:before="120"/>
              <w:rPr>
                <w:rFonts w:ascii="宋体" w:hAnsi="宋体"/>
                <w:sz w:val="24"/>
                <w:szCs w:val="24"/>
              </w:rPr>
            </w:pPr>
          </w:p>
        </w:tc>
        <w:tc>
          <w:tcPr>
            <w:tcW w:w="1768" w:type="dxa"/>
            <w:noWrap w:val="0"/>
            <w:vAlign w:val="center"/>
          </w:tcPr>
          <w:p w14:paraId="0C3DE5B7">
            <w:pPr>
              <w:spacing w:before="120"/>
              <w:rPr>
                <w:rFonts w:ascii="宋体" w:hAnsi="宋体"/>
                <w:sz w:val="24"/>
                <w:szCs w:val="24"/>
              </w:rPr>
            </w:pPr>
          </w:p>
        </w:tc>
      </w:tr>
      <w:tr w14:paraId="63A5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55CE700B">
            <w:pPr>
              <w:spacing w:before="120"/>
              <w:rPr>
                <w:rFonts w:ascii="宋体" w:hAnsi="宋体"/>
                <w:sz w:val="24"/>
                <w:szCs w:val="24"/>
              </w:rPr>
            </w:pPr>
          </w:p>
        </w:tc>
        <w:tc>
          <w:tcPr>
            <w:tcW w:w="3220" w:type="dxa"/>
            <w:noWrap w:val="0"/>
            <w:vAlign w:val="center"/>
          </w:tcPr>
          <w:p w14:paraId="32F28596">
            <w:pPr>
              <w:spacing w:before="120"/>
              <w:rPr>
                <w:rFonts w:ascii="宋体" w:hAnsi="宋体"/>
                <w:sz w:val="24"/>
                <w:szCs w:val="24"/>
              </w:rPr>
            </w:pPr>
          </w:p>
        </w:tc>
        <w:tc>
          <w:tcPr>
            <w:tcW w:w="3220" w:type="dxa"/>
            <w:noWrap w:val="0"/>
            <w:vAlign w:val="center"/>
          </w:tcPr>
          <w:p w14:paraId="2E51AE9B">
            <w:pPr>
              <w:spacing w:before="120"/>
              <w:rPr>
                <w:rFonts w:ascii="宋体" w:hAnsi="宋体"/>
                <w:sz w:val="24"/>
                <w:szCs w:val="24"/>
              </w:rPr>
            </w:pPr>
          </w:p>
        </w:tc>
        <w:tc>
          <w:tcPr>
            <w:tcW w:w="1768" w:type="dxa"/>
            <w:noWrap w:val="0"/>
            <w:vAlign w:val="center"/>
          </w:tcPr>
          <w:p w14:paraId="0E23ED3E">
            <w:pPr>
              <w:spacing w:before="120"/>
              <w:rPr>
                <w:rFonts w:ascii="宋体" w:hAnsi="宋体"/>
                <w:sz w:val="24"/>
                <w:szCs w:val="24"/>
              </w:rPr>
            </w:pPr>
          </w:p>
        </w:tc>
      </w:tr>
      <w:tr w14:paraId="6AA5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4B4E1965">
            <w:pPr>
              <w:spacing w:before="120"/>
              <w:rPr>
                <w:rFonts w:ascii="宋体" w:hAnsi="宋体"/>
                <w:sz w:val="24"/>
                <w:szCs w:val="24"/>
              </w:rPr>
            </w:pPr>
          </w:p>
        </w:tc>
        <w:tc>
          <w:tcPr>
            <w:tcW w:w="3220" w:type="dxa"/>
            <w:noWrap w:val="0"/>
            <w:vAlign w:val="center"/>
          </w:tcPr>
          <w:p w14:paraId="39A13798">
            <w:pPr>
              <w:spacing w:before="120"/>
              <w:rPr>
                <w:rFonts w:ascii="宋体" w:hAnsi="宋体"/>
                <w:sz w:val="24"/>
                <w:szCs w:val="24"/>
              </w:rPr>
            </w:pPr>
          </w:p>
        </w:tc>
        <w:tc>
          <w:tcPr>
            <w:tcW w:w="3220" w:type="dxa"/>
            <w:noWrap w:val="0"/>
            <w:vAlign w:val="center"/>
          </w:tcPr>
          <w:p w14:paraId="220ABA96">
            <w:pPr>
              <w:spacing w:before="120"/>
              <w:rPr>
                <w:rFonts w:ascii="宋体" w:hAnsi="宋体"/>
                <w:sz w:val="24"/>
                <w:szCs w:val="24"/>
              </w:rPr>
            </w:pPr>
          </w:p>
        </w:tc>
        <w:tc>
          <w:tcPr>
            <w:tcW w:w="1768" w:type="dxa"/>
            <w:noWrap w:val="0"/>
            <w:vAlign w:val="center"/>
          </w:tcPr>
          <w:p w14:paraId="037B382F">
            <w:pPr>
              <w:spacing w:before="120"/>
              <w:rPr>
                <w:rFonts w:ascii="宋体" w:hAnsi="宋体"/>
                <w:sz w:val="24"/>
                <w:szCs w:val="24"/>
              </w:rPr>
            </w:pPr>
          </w:p>
        </w:tc>
      </w:tr>
      <w:tr w14:paraId="2B9C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25806BB3">
            <w:pPr>
              <w:spacing w:before="120"/>
              <w:rPr>
                <w:rFonts w:ascii="宋体" w:hAnsi="宋体"/>
                <w:sz w:val="24"/>
                <w:szCs w:val="24"/>
              </w:rPr>
            </w:pPr>
          </w:p>
        </w:tc>
        <w:tc>
          <w:tcPr>
            <w:tcW w:w="3220" w:type="dxa"/>
            <w:noWrap w:val="0"/>
            <w:vAlign w:val="center"/>
          </w:tcPr>
          <w:p w14:paraId="63D01DB0">
            <w:pPr>
              <w:spacing w:before="120"/>
              <w:rPr>
                <w:rFonts w:ascii="宋体" w:hAnsi="宋体"/>
                <w:sz w:val="24"/>
                <w:szCs w:val="24"/>
              </w:rPr>
            </w:pPr>
          </w:p>
        </w:tc>
        <w:tc>
          <w:tcPr>
            <w:tcW w:w="3220" w:type="dxa"/>
            <w:noWrap w:val="0"/>
            <w:vAlign w:val="center"/>
          </w:tcPr>
          <w:p w14:paraId="3D2E5E86">
            <w:pPr>
              <w:spacing w:before="120"/>
              <w:rPr>
                <w:rFonts w:ascii="宋体" w:hAnsi="宋体"/>
                <w:sz w:val="24"/>
                <w:szCs w:val="24"/>
              </w:rPr>
            </w:pPr>
          </w:p>
        </w:tc>
        <w:tc>
          <w:tcPr>
            <w:tcW w:w="1768" w:type="dxa"/>
            <w:noWrap w:val="0"/>
            <w:vAlign w:val="center"/>
          </w:tcPr>
          <w:p w14:paraId="6F4F46EE">
            <w:pPr>
              <w:spacing w:before="120"/>
              <w:rPr>
                <w:rFonts w:ascii="宋体" w:hAnsi="宋体"/>
                <w:sz w:val="24"/>
                <w:szCs w:val="24"/>
              </w:rPr>
            </w:pPr>
          </w:p>
        </w:tc>
      </w:tr>
      <w:tr w14:paraId="6E14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3E85EEEC">
            <w:pPr>
              <w:spacing w:before="120"/>
              <w:rPr>
                <w:rFonts w:ascii="宋体" w:hAnsi="宋体"/>
                <w:sz w:val="24"/>
                <w:szCs w:val="24"/>
              </w:rPr>
            </w:pPr>
          </w:p>
        </w:tc>
        <w:tc>
          <w:tcPr>
            <w:tcW w:w="3220" w:type="dxa"/>
            <w:noWrap w:val="0"/>
            <w:vAlign w:val="center"/>
          </w:tcPr>
          <w:p w14:paraId="1417A4CF">
            <w:pPr>
              <w:spacing w:before="120"/>
              <w:rPr>
                <w:rFonts w:ascii="宋体" w:hAnsi="宋体"/>
                <w:sz w:val="24"/>
                <w:szCs w:val="24"/>
              </w:rPr>
            </w:pPr>
          </w:p>
        </w:tc>
        <w:tc>
          <w:tcPr>
            <w:tcW w:w="3220" w:type="dxa"/>
            <w:noWrap w:val="0"/>
            <w:vAlign w:val="center"/>
          </w:tcPr>
          <w:p w14:paraId="33B449A3">
            <w:pPr>
              <w:spacing w:before="120"/>
              <w:rPr>
                <w:rFonts w:ascii="宋体" w:hAnsi="宋体"/>
                <w:sz w:val="24"/>
                <w:szCs w:val="24"/>
              </w:rPr>
            </w:pPr>
          </w:p>
        </w:tc>
        <w:tc>
          <w:tcPr>
            <w:tcW w:w="1768" w:type="dxa"/>
            <w:noWrap w:val="0"/>
            <w:vAlign w:val="center"/>
          </w:tcPr>
          <w:p w14:paraId="771912D6">
            <w:pPr>
              <w:spacing w:before="120"/>
              <w:rPr>
                <w:rFonts w:ascii="宋体" w:hAnsi="宋体"/>
                <w:sz w:val="24"/>
                <w:szCs w:val="24"/>
              </w:rPr>
            </w:pPr>
          </w:p>
        </w:tc>
      </w:tr>
      <w:tr w14:paraId="274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70" w:type="dxa"/>
            <w:noWrap w:val="0"/>
            <w:vAlign w:val="center"/>
          </w:tcPr>
          <w:p w14:paraId="559DBFA8">
            <w:pPr>
              <w:spacing w:before="120"/>
              <w:rPr>
                <w:rFonts w:ascii="宋体" w:hAnsi="宋体"/>
                <w:sz w:val="24"/>
                <w:szCs w:val="24"/>
              </w:rPr>
            </w:pPr>
          </w:p>
        </w:tc>
        <w:tc>
          <w:tcPr>
            <w:tcW w:w="3220" w:type="dxa"/>
            <w:noWrap w:val="0"/>
            <w:vAlign w:val="center"/>
          </w:tcPr>
          <w:p w14:paraId="3FD12F82">
            <w:pPr>
              <w:spacing w:before="120"/>
              <w:rPr>
                <w:rFonts w:ascii="宋体" w:hAnsi="宋体"/>
                <w:sz w:val="24"/>
                <w:szCs w:val="24"/>
              </w:rPr>
            </w:pPr>
          </w:p>
        </w:tc>
        <w:tc>
          <w:tcPr>
            <w:tcW w:w="3220" w:type="dxa"/>
            <w:noWrap w:val="0"/>
            <w:vAlign w:val="center"/>
          </w:tcPr>
          <w:p w14:paraId="0DD425A9">
            <w:pPr>
              <w:spacing w:before="120"/>
              <w:rPr>
                <w:rFonts w:ascii="宋体" w:hAnsi="宋体"/>
                <w:sz w:val="24"/>
                <w:szCs w:val="24"/>
              </w:rPr>
            </w:pPr>
          </w:p>
        </w:tc>
        <w:tc>
          <w:tcPr>
            <w:tcW w:w="1768" w:type="dxa"/>
            <w:noWrap w:val="0"/>
            <w:vAlign w:val="center"/>
          </w:tcPr>
          <w:p w14:paraId="2DA989DD">
            <w:pPr>
              <w:spacing w:before="120"/>
              <w:rPr>
                <w:rFonts w:ascii="宋体" w:hAnsi="宋体"/>
                <w:sz w:val="24"/>
                <w:szCs w:val="24"/>
              </w:rPr>
            </w:pPr>
          </w:p>
        </w:tc>
      </w:tr>
    </w:tbl>
    <w:p w14:paraId="097C9657">
      <w:pPr>
        <w:pStyle w:val="9"/>
        <w:jc w:val="both"/>
        <w:rPr>
          <w:rFonts w:hAnsi="宋体"/>
        </w:rPr>
      </w:pPr>
    </w:p>
    <w:p w14:paraId="5B881989">
      <w:pPr>
        <w:pStyle w:val="8"/>
        <w:spacing w:line="360" w:lineRule="auto"/>
        <w:ind w:left="480" w:hanging="480" w:hangingChars="200"/>
        <w:rPr>
          <w:rFonts w:hint="eastAsia" w:ascii="宋体" w:hAnsi="宋体"/>
          <w:sz w:val="24"/>
          <w:szCs w:val="24"/>
        </w:rPr>
      </w:pPr>
      <w:r>
        <w:rPr>
          <w:rFonts w:ascii="宋体" w:hAnsi="宋体"/>
          <w:sz w:val="24"/>
          <w:szCs w:val="24"/>
        </w:rPr>
        <w:t>注：</w:t>
      </w:r>
      <w:r>
        <w:rPr>
          <w:rFonts w:hint="eastAsia"/>
          <w:sz w:val="24"/>
          <w:szCs w:val="24"/>
        </w:rPr>
        <w:t>“偏离说明”一栏必须写明偏离情况，不得以“满足”代替，若无偏离则填写“无”。</w:t>
      </w:r>
    </w:p>
    <w:p w14:paraId="3289A6DD">
      <w:pPr>
        <w:adjustRightInd w:val="0"/>
        <w:snapToGrid w:val="0"/>
        <w:spacing w:line="360" w:lineRule="auto"/>
        <w:jc w:val="right"/>
        <w:rPr>
          <w:rFonts w:hint="eastAsia" w:ascii="宋体" w:hAnsi="宋体"/>
          <w:snapToGrid w:val="0"/>
          <w:kern w:val="0"/>
          <w:sz w:val="24"/>
          <w:szCs w:val="24"/>
        </w:rPr>
      </w:pPr>
      <w:r>
        <w:rPr>
          <w:rFonts w:hint="eastAsia"/>
          <w:snapToGrid w:val="0"/>
          <w:kern w:val="0"/>
          <w:sz w:val="24"/>
          <w:szCs w:val="24"/>
        </w:rPr>
        <w:t xml:space="preserve">   </w:t>
      </w:r>
      <w:r>
        <w:rPr>
          <w:rFonts w:hint="eastAsia" w:ascii="宋体" w:hAnsi="宋体"/>
          <w:snapToGrid w:val="0"/>
          <w:kern w:val="0"/>
          <w:sz w:val="24"/>
          <w:szCs w:val="24"/>
        </w:rPr>
        <w:t xml:space="preserve">供应商（单位电子签章）： </w:t>
      </w:r>
    </w:p>
    <w:p w14:paraId="787F911D">
      <w:pPr>
        <w:pStyle w:val="8"/>
        <w:jc w:val="right"/>
        <w:rPr>
          <w:rFonts w:hint="eastAsia" w:ascii="宋体" w:hAnsi="宋体"/>
          <w:sz w:val="24"/>
          <w:szCs w:val="24"/>
        </w:rPr>
      </w:pPr>
      <w:r>
        <w:rPr>
          <w:rFonts w:hint="eastAsia" w:ascii="宋体" w:hAnsi="宋体"/>
          <w:snapToGrid w:val="0"/>
          <w:kern w:val="0"/>
          <w:sz w:val="24"/>
          <w:szCs w:val="24"/>
        </w:rPr>
        <w:t>法定代表人</w:t>
      </w:r>
      <w:r>
        <w:rPr>
          <w:rFonts w:hint="eastAsia" w:ascii="宋体" w:hAnsi="宋体"/>
          <w:snapToGrid w:val="0"/>
          <w:kern w:val="0"/>
          <w:sz w:val="24"/>
          <w:szCs w:val="24"/>
          <w:lang w:eastAsia="zh-CN"/>
        </w:rPr>
        <w:t>（</w:t>
      </w:r>
      <w:r>
        <w:rPr>
          <w:rFonts w:hint="eastAsia" w:ascii="宋体" w:hAnsi="宋体"/>
          <w:snapToGrid w:val="0"/>
          <w:kern w:val="0"/>
          <w:sz w:val="24"/>
          <w:szCs w:val="24"/>
          <w:lang w:val="en-US" w:eastAsia="zh-CN"/>
        </w:rPr>
        <w:t>负责人）</w:t>
      </w:r>
      <w:r>
        <w:rPr>
          <w:rFonts w:hint="eastAsia" w:ascii="宋体" w:hAnsi="宋体"/>
          <w:snapToGrid w:val="0"/>
          <w:kern w:val="0"/>
          <w:sz w:val="24"/>
          <w:szCs w:val="24"/>
        </w:rPr>
        <w:t xml:space="preserve">或其委托代理人（电子签名或盖章）： </w:t>
      </w:r>
    </w:p>
    <w:p w14:paraId="73510BEF">
      <w:pPr>
        <w:pStyle w:val="8"/>
        <w:rPr>
          <w:rFonts w:hint="eastAsia" w:ascii="宋体" w:hAnsi="宋体"/>
          <w:sz w:val="24"/>
          <w:szCs w:val="24"/>
        </w:rPr>
      </w:pPr>
    </w:p>
    <w:p w14:paraId="0652D845">
      <w:pPr>
        <w:pStyle w:val="8"/>
        <w:rPr>
          <w:rFonts w:hint="eastAsia"/>
          <w:sz w:val="24"/>
          <w:szCs w:val="24"/>
        </w:rPr>
      </w:pPr>
      <w:r>
        <w:rPr>
          <w:rFonts w:hint="eastAsia" w:ascii="宋体" w:hAnsi="宋体"/>
          <w:sz w:val="24"/>
          <w:szCs w:val="24"/>
        </w:rPr>
        <w:t xml:space="preserve">                                          年      月     日</w:t>
      </w:r>
    </w:p>
    <w:p w14:paraId="44C51356">
      <w:pPr>
        <w:pStyle w:val="21"/>
        <w:ind w:firstLine="240"/>
        <w:rPr>
          <w:rFonts w:hint="eastAsia"/>
          <w:sz w:val="24"/>
          <w:szCs w:val="24"/>
        </w:rPr>
      </w:pPr>
    </w:p>
    <w:p w14:paraId="12263B91">
      <w:pPr>
        <w:pStyle w:val="3"/>
        <w:bidi w:val="0"/>
        <w:ind w:left="0" w:leftChars="0" w:firstLine="0" w:firstLineChars="0"/>
        <w:jc w:val="center"/>
        <w:rPr>
          <w:rFonts w:ascii="宋体" w:hAnsi="宋体"/>
          <w:sz w:val="24"/>
          <w:szCs w:val="24"/>
        </w:rPr>
      </w:pPr>
      <w:bookmarkStart w:id="967" w:name="_Toc26192"/>
      <w:bookmarkStart w:id="968" w:name="_Toc8507"/>
      <w:r>
        <w:rPr>
          <w:rFonts w:hint="eastAsia" w:ascii="宋体" w:hAnsi="宋体" w:eastAsia="宋体" w:cs="宋体"/>
          <w:lang w:val="en-US" w:eastAsia="zh-CN"/>
        </w:rPr>
        <w:t>五、技术条款偏离表</w:t>
      </w:r>
      <w:bookmarkEnd w:id="964"/>
      <w:bookmarkEnd w:id="965"/>
      <w:bookmarkEnd w:id="966"/>
      <w:bookmarkEnd w:id="967"/>
      <w:bookmarkEnd w:id="968"/>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2662"/>
        <w:gridCol w:w="2738"/>
        <w:gridCol w:w="1916"/>
      </w:tblGrid>
      <w:tr w14:paraId="6D33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24F8E472">
            <w:pPr>
              <w:spacing w:line="300" w:lineRule="auto"/>
              <w:ind w:left="0" w:leftChars="0" w:firstLine="0" w:firstLineChars="0"/>
              <w:jc w:val="center"/>
              <w:rPr>
                <w:rFonts w:ascii="宋体" w:hAnsi="宋体"/>
                <w:sz w:val="24"/>
                <w:szCs w:val="24"/>
              </w:rPr>
            </w:pPr>
            <w:r>
              <w:rPr>
                <w:rFonts w:hint="eastAsia" w:ascii="宋体" w:hAnsi="宋体"/>
                <w:sz w:val="24"/>
                <w:szCs w:val="24"/>
              </w:rPr>
              <w:t>序号</w:t>
            </w:r>
          </w:p>
        </w:tc>
        <w:tc>
          <w:tcPr>
            <w:tcW w:w="2662" w:type="dxa"/>
            <w:noWrap w:val="0"/>
            <w:vAlign w:val="center"/>
          </w:tcPr>
          <w:p w14:paraId="5C0E9296">
            <w:pPr>
              <w:spacing w:line="300" w:lineRule="auto"/>
              <w:ind w:left="0" w:leftChars="0" w:firstLine="0" w:firstLineChars="0"/>
              <w:jc w:val="center"/>
              <w:rPr>
                <w:rFonts w:ascii="宋体" w:hAnsi="宋体"/>
                <w:sz w:val="24"/>
                <w:szCs w:val="24"/>
              </w:rPr>
            </w:pPr>
            <w:r>
              <w:rPr>
                <w:rFonts w:hint="eastAsia" w:ascii="宋体" w:hAnsi="宋体"/>
                <w:sz w:val="24"/>
                <w:szCs w:val="24"/>
              </w:rPr>
              <w:t>招标文件的技术条款</w:t>
            </w:r>
          </w:p>
        </w:tc>
        <w:tc>
          <w:tcPr>
            <w:tcW w:w="2738" w:type="dxa"/>
            <w:noWrap w:val="0"/>
            <w:vAlign w:val="center"/>
          </w:tcPr>
          <w:p w14:paraId="04B21031">
            <w:pPr>
              <w:spacing w:line="300" w:lineRule="auto"/>
              <w:ind w:left="0" w:leftChars="0" w:firstLine="0" w:firstLineChars="0"/>
              <w:jc w:val="center"/>
              <w:rPr>
                <w:rFonts w:ascii="宋体" w:hAnsi="宋体"/>
                <w:sz w:val="24"/>
                <w:szCs w:val="24"/>
              </w:rPr>
            </w:pPr>
            <w:r>
              <w:rPr>
                <w:rFonts w:hint="eastAsia" w:ascii="宋体" w:hAnsi="宋体"/>
                <w:sz w:val="24"/>
                <w:szCs w:val="24"/>
              </w:rPr>
              <w:t>投标文件的技术条款</w:t>
            </w:r>
          </w:p>
        </w:tc>
        <w:tc>
          <w:tcPr>
            <w:tcW w:w="1916" w:type="dxa"/>
            <w:noWrap w:val="0"/>
            <w:vAlign w:val="center"/>
          </w:tcPr>
          <w:p w14:paraId="1A97A78E">
            <w:pPr>
              <w:spacing w:line="300" w:lineRule="auto"/>
              <w:ind w:left="0" w:leftChars="0" w:firstLine="0" w:firstLineChars="0"/>
              <w:jc w:val="center"/>
              <w:rPr>
                <w:rFonts w:ascii="宋体" w:hAnsi="宋体"/>
                <w:sz w:val="24"/>
                <w:szCs w:val="24"/>
              </w:rPr>
            </w:pPr>
            <w:r>
              <w:rPr>
                <w:rFonts w:hint="eastAsia" w:ascii="宋体" w:hAnsi="宋体"/>
                <w:sz w:val="24"/>
                <w:szCs w:val="24"/>
              </w:rPr>
              <w:t>偏离说明</w:t>
            </w:r>
          </w:p>
        </w:tc>
      </w:tr>
      <w:tr w14:paraId="5B4E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48111460">
            <w:pPr>
              <w:spacing w:line="300" w:lineRule="auto"/>
              <w:jc w:val="center"/>
              <w:rPr>
                <w:rFonts w:ascii="宋体" w:hAnsi="宋体"/>
                <w:sz w:val="24"/>
                <w:szCs w:val="24"/>
              </w:rPr>
            </w:pPr>
          </w:p>
        </w:tc>
        <w:tc>
          <w:tcPr>
            <w:tcW w:w="2662" w:type="dxa"/>
            <w:noWrap w:val="0"/>
            <w:vAlign w:val="center"/>
          </w:tcPr>
          <w:p w14:paraId="2AFA926E">
            <w:pPr>
              <w:spacing w:line="300" w:lineRule="auto"/>
              <w:jc w:val="center"/>
              <w:rPr>
                <w:rFonts w:ascii="宋体" w:hAnsi="宋体"/>
                <w:sz w:val="24"/>
                <w:szCs w:val="24"/>
              </w:rPr>
            </w:pPr>
          </w:p>
        </w:tc>
        <w:tc>
          <w:tcPr>
            <w:tcW w:w="2738" w:type="dxa"/>
            <w:noWrap w:val="0"/>
            <w:vAlign w:val="center"/>
          </w:tcPr>
          <w:p w14:paraId="65084532">
            <w:pPr>
              <w:spacing w:line="300" w:lineRule="auto"/>
              <w:jc w:val="center"/>
              <w:rPr>
                <w:rFonts w:ascii="宋体" w:hAnsi="宋体"/>
                <w:sz w:val="24"/>
                <w:szCs w:val="24"/>
              </w:rPr>
            </w:pPr>
          </w:p>
        </w:tc>
        <w:tc>
          <w:tcPr>
            <w:tcW w:w="1916" w:type="dxa"/>
            <w:noWrap w:val="0"/>
            <w:vAlign w:val="center"/>
          </w:tcPr>
          <w:p w14:paraId="7EAA54FB">
            <w:pPr>
              <w:spacing w:line="300" w:lineRule="auto"/>
              <w:jc w:val="center"/>
              <w:rPr>
                <w:rFonts w:ascii="宋体" w:hAnsi="宋体"/>
                <w:sz w:val="24"/>
                <w:szCs w:val="24"/>
              </w:rPr>
            </w:pPr>
          </w:p>
        </w:tc>
      </w:tr>
      <w:tr w14:paraId="217B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5EFDD3F5">
            <w:pPr>
              <w:spacing w:line="300" w:lineRule="auto"/>
              <w:jc w:val="center"/>
              <w:rPr>
                <w:rFonts w:ascii="宋体" w:hAnsi="宋体"/>
                <w:sz w:val="24"/>
                <w:szCs w:val="24"/>
              </w:rPr>
            </w:pPr>
          </w:p>
        </w:tc>
        <w:tc>
          <w:tcPr>
            <w:tcW w:w="2662" w:type="dxa"/>
            <w:noWrap w:val="0"/>
            <w:vAlign w:val="center"/>
          </w:tcPr>
          <w:p w14:paraId="4FCB6D0C">
            <w:pPr>
              <w:spacing w:line="300" w:lineRule="auto"/>
              <w:jc w:val="center"/>
              <w:rPr>
                <w:rFonts w:ascii="宋体" w:hAnsi="宋体"/>
                <w:sz w:val="24"/>
                <w:szCs w:val="24"/>
              </w:rPr>
            </w:pPr>
          </w:p>
        </w:tc>
        <w:tc>
          <w:tcPr>
            <w:tcW w:w="2738" w:type="dxa"/>
            <w:noWrap w:val="0"/>
            <w:vAlign w:val="center"/>
          </w:tcPr>
          <w:p w14:paraId="070F1209">
            <w:pPr>
              <w:spacing w:line="300" w:lineRule="auto"/>
              <w:jc w:val="center"/>
              <w:rPr>
                <w:rFonts w:ascii="宋体" w:hAnsi="宋体"/>
                <w:sz w:val="24"/>
                <w:szCs w:val="24"/>
              </w:rPr>
            </w:pPr>
          </w:p>
        </w:tc>
        <w:tc>
          <w:tcPr>
            <w:tcW w:w="1916" w:type="dxa"/>
            <w:noWrap w:val="0"/>
            <w:vAlign w:val="center"/>
          </w:tcPr>
          <w:p w14:paraId="0E5B8A3B">
            <w:pPr>
              <w:spacing w:line="300" w:lineRule="auto"/>
              <w:jc w:val="center"/>
              <w:rPr>
                <w:rFonts w:ascii="宋体" w:hAnsi="宋体"/>
                <w:sz w:val="24"/>
                <w:szCs w:val="24"/>
              </w:rPr>
            </w:pPr>
          </w:p>
        </w:tc>
      </w:tr>
      <w:tr w14:paraId="0885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5204974">
            <w:pPr>
              <w:spacing w:line="300" w:lineRule="auto"/>
              <w:jc w:val="center"/>
              <w:rPr>
                <w:rFonts w:ascii="宋体" w:hAnsi="宋体"/>
                <w:sz w:val="24"/>
                <w:szCs w:val="24"/>
              </w:rPr>
            </w:pPr>
          </w:p>
        </w:tc>
        <w:tc>
          <w:tcPr>
            <w:tcW w:w="2662" w:type="dxa"/>
            <w:noWrap w:val="0"/>
            <w:vAlign w:val="center"/>
          </w:tcPr>
          <w:p w14:paraId="2FC481A3">
            <w:pPr>
              <w:spacing w:line="300" w:lineRule="auto"/>
              <w:jc w:val="center"/>
              <w:rPr>
                <w:rFonts w:ascii="宋体" w:hAnsi="宋体"/>
                <w:sz w:val="24"/>
                <w:szCs w:val="24"/>
              </w:rPr>
            </w:pPr>
          </w:p>
        </w:tc>
        <w:tc>
          <w:tcPr>
            <w:tcW w:w="2738" w:type="dxa"/>
            <w:noWrap w:val="0"/>
            <w:vAlign w:val="center"/>
          </w:tcPr>
          <w:p w14:paraId="2B4941AA">
            <w:pPr>
              <w:spacing w:line="300" w:lineRule="auto"/>
              <w:jc w:val="center"/>
              <w:rPr>
                <w:rFonts w:ascii="宋体" w:hAnsi="宋体"/>
                <w:sz w:val="24"/>
                <w:szCs w:val="24"/>
              </w:rPr>
            </w:pPr>
          </w:p>
        </w:tc>
        <w:tc>
          <w:tcPr>
            <w:tcW w:w="1916" w:type="dxa"/>
            <w:noWrap w:val="0"/>
            <w:vAlign w:val="center"/>
          </w:tcPr>
          <w:p w14:paraId="6D199A33">
            <w:pPr>
              <w:spacing w:line="300" w:lineRule="auto"/>
              <w:jc w:val="center"/>
              <w:rPr>
                <w:rFonts w:ascii="宋体" w:hAnsi="宋体"/>
                <w:sz w:val="24"/>
                <w:szCs w:val="24"/>
              </w:rPr>
            </w:pPr>
          </w:p>
        </w:tc>
      </w:tr>
      <w:tr w14:paraId="13DE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58CA424E">
            <w:pPr>
              <w:spacing w:line="300" w:lineRule="auto"/>
              <w:jc w:val="center"/>
              <w:rPr>
                <w:rFonts w:ascii="宋体" w:hAnsi="宋体"/>
                <w:sz w:val="24"/>
                <w:szCs w:val="24"/>
              </w:rPr>
            </w:pPr>
          </w:p>
        </w:tc>
        <w:tc>
          <w:tcPr>
            <w:tcW w:w="2662" w:type="dxa"/>
            <w:noWrap w:val="0"/>
            <w:vAlign w:val="center"/>
          </w:tcPr>
          <w:p w14:paraId="57F9B0B1">
            <w:pPr>
              <w:spacing w:line="300" w:lineRule="auto"/>
              <w:jc w:val="center"/>
              <w:rPr>
                <w:rFonts w:ascii="宋体" w:hAnsi="宋体"/>
                <w:sz w:val="24"/>
                <w:szCs w:val="24"/>
              </w:rPr>
            </w:pPr>
          </w:p>
        </w:tc>
        <w:tc>
          <w:tcPr>
            <w:tcW w:w="2738" w:type="dxa"/>
            <w:noWrap w:val="0"/>
            <w:vAlign w:val="center"/>
          </w:tcPr>
          <w:p w14:paraId="369664C6">
            <w:pPr>
              <w:spacing w:line="300" w:lineRule="auto"/>
              <w:jc w:val="center"/>
              <w:rPr>
                <w:rFonts w:ascii="宋体" w:hAnsi="宋体"/>
                <w:sz w:val="24"/>
                <w:szCs w:val="24"/>
              </w:rPr>
            </w:pPr>
          </w:p>
        </w:tc>
        <w:tc>
          <w:tcPr>
            <w:tcW w:w="1916" w:type="dxa"/>
            <w:noWrap w:val="0"/>
            <w:vAlign w:val="center"/>
          </w:tcPr>
          <w:p w14:paraId="51294678">
            <w:pPr>
              <w:spacing w:line="300" w:lineRule="auto"/>
              <w:jc w:val="center"/>
              <w:rPr>
                <w:rFonts w:ascii="宋体" w:hAnsi="宋体"/>
                <w:sz w:val="24"/>
                <w:szCs w:val="24"/>
              </w:rPr>
            </w:pPr>
          </w:p>
        </w:tc>
      </w:tr>
      <w:tr w14:paraId="4451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3546BA54">
            <w:pPr>
              <w:spacing w:line="300" w:lineRule="auto"/>
              <w:jc w:val="center"/>
              <w:rPr>
                <w:rFonts w:ascii="宋体" w:hAnsi="宋体"/>
                <w:sz w:val="24"/>
                <w:szCs w:val="24"/>
              </w:rPr>
            </w:pPr>
          </w:p>
        </w:tc>
        <w:tc>
          <w:tcPr>
            <w:tcW w:w="2662" w:type="dxa"/>
            <w:noWrap w:val="0"/>
            <w:vAlign w:val="center"/>
          </w:tcPr>
          <w:p w14:paraId="12340ECE">
            <w:pPr>
              <w:spacing w:line="300" w:lineRule="auto"/>
              <w:jc w:val="center"/>
              <w:rPr>
                <w:rFonts w:ascii="宋体" w:hAnsi="宋体"/>
                <w:sz w:val="24"/>
                <w:szCs w:val="24"/>
              </w:rPr>
            </w:pPr>
          </w:p>
        </w:tc>
        <w:tc>
          <w:tcPr>
            <w:tcW w:w="2738" w:type="dxa"/>
            <w:noWrap w:val="0"/>
            <w:vAlign w:val="center"/>
          </w:tcPr>
          <w:p w14:paraId="521773D2">
            <w:pPr>
              <w:spacing w:line="300" w:lineRule="auto"/>
              <w:jc w:val="center"/>
              <w:rPr>
                <w:rFonts w:ascii="宋体" w:hAnsi="宋体"/>
                <w:sz w:val="24"/>
                <w:szCs w:val="24"/>
              </w:rPr>
            </w:pPr>
          </w:p>
        </w:tc>
        <w:tc>
          <w:tcPr>
            <w:tcW w:w="1916" w:type="dxa"/>
            <w:noWrap w:val="0"/>
            <w:vAlign w:val="center"/>
          </w:tcPr>
          <w:p w14:paraId="181A4360">
            <w:pPr>
              <w:spacing w:line="300" w:lineRule="auto"/>
              <w:jc w:val="center"/>
              <w:rPr>
                <w:rFonts w:ascii="宋体" w:hAnsi="宋体"/>
                <w:sz w:val="24"/>
                <w:szCs w:val="24"/>
              </w:rPr>
            </w:pPr>
          </w:p>
        </w:tc>
      </w:tr>
      <w:tr w14:paraId="2179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C52100F">
            <w:pPr>
              <w:spacing w:line="300" w:lineRule="auto"/>
              <w:jc w:val="center"/>
              <w:rPr>
                <w:rFonts w:ascii="宋体" w:hAnsi="宋体"/>
                <w:sz w:val="24"/>
                <w:szCs w:val="24"/>
              </w:rPr>
            </w:pPr>
          </w:p>
        </w:tc>
        <w:tc>
          <w:tcPr>
            <w:tcW w:w="2662" w:type="dxa"/>
            <w:noWrap w:val="0"/>
            <w:vAlign w:val="center"/>
          </w:tcPr>
          <w:p w14:paraId="222681AF">
            <w:pPr>
              <w:spacing w:line="300" w:lineRule="auto"/>
              <w:jc w:val="center"/>
              <w:rPr>
                <w:rFonts w:ascii="宋体" w:hAnsi="宋体"/>
                <w:sz w:val="24"/>
                <w:szCs w:val="24"/>
              </w:rPr>
            </w:pPr>
          </w:p>
        </w:tc>
        <w:tc>
          <w:tcPr>
            <w:tcW w:w="2738" w:type="dxa"/>
            <w:noWrap w:val="0"/>
            <w:vAlign w:val="center"/>
          </w:tcPr>
          <w:p w14:paraId="40C445FE">
            <w:pPr>
              <w:spacing w:line="300" w:lineRule="auto"/>
              <w:jc w:val="center"/>
              <w:rPr>
                <w:rFonts w:ascii="宋体" w:hAnsi="宋体"/>
                <w:sz w:val="24"/>
                <w:szCs w:val="24"/>
              </w:rPr>
            </w:pPr>
          </w:p>
        </w:tc>
        <w:tc>
          <w:tcPr>
            <w:tcW w:w="1916" w:type="dxa"/>
            <w:noWrap w:val="0"/>
            <w:vAlign w:val="center"/>
          </w:tcPr>
          <w:p w14:paraId="15D71A76">
            <w:pPr>
              <w:spacing w:line="300" w:lineRule="auto"/>
              <w:jc w:val="center"/>
              <w:rPr>
                <w:rFonts w:ascii="宋体" w:hAnsi="宋体"/>
                <w:sz w:val="24"/>
                <w:szCs w:val="24"/>
              </w:rPr>
            </w:pPr>
          </w:p>
        </w:tc>
      </w:tr>
      <w:tr w14:paraId="6253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0AD2950B">
            <w:pPr>
              <w:spacing w:line="300" w:lineRule="auto"/>
              <w:jc w:val="center"/>
              <w:rPr>
                <w:rFonts w:ascii="宋体" w:hAnsi="宋体"/>
                <w:sz w:val="24"/>
                <w:szCs w:val="24"/>
              </w:rPr>
            </w:pPr>
          </w:p>
        </w:tc>
        <w:tc>
          <w:tcPr>
            <w:tcW w:w="2662" w:type="dxa"/>
            <w:noWrap w:val="0"/>
            <w:vAlign w:val="center"/>
          </w:tcPr>
          <w:p w14:paraId="44FA7774">
            <w:pPr>
              <w:spacing w:line="300" w:lineRule="auto"/>
              <w:jc w:val="center"/>
              <w:rPr>
                <w:rFonts w:ascii="宋体" w:hAnsi="宋体"/>
                <w:sz w:val="24"/>
                <w:szCs w:val="24"/>
              </w:rPr>
            </w:pPr>
          </w:p>
        </w:tc>
        <w:tc>
          <w:tcPr>
            <w:tcW w:w="2738" w:type="dxa"/>
            <w:noWrap w:val="0"/>
            <w:vAlign w:val="center"/>
          </w:tcPr>
          <w:p w14:paraId="04A00BE3">
            <w:pPr>
              <w:spacing w:line="300" w:lineRule="auto"/>
              <w:jc w:val="center"/>
              <w:rPr>
                <w:rFonts w:ascii="宋体" w:hAnsi="宋体"/>
                <w:sz w:val="24"/>
                <w:szCs w:val="24"/>
              </w:rPr>
            </w:pPr>
          </w:p>
        </w:tc>
        <w:tc>
          <w:tcPr>
            <w:tcW w:w="1916" w:type="dxa"/>
            <w:noWrap w:val="0"/>
            <w:vAlign w:val="center"/>
          </w:tcPr>
          <w:p w14:paraId="2F533496">
            <w:pPr>
              <w:spacing w:line="300" w:lineRule="auto"/>
              <w:jc w:val="center"/>
              <w:rPr>
                <w:rFonts w:ascii="宋体" w:hAnsi="宋体"/>
                <w:sz w:val="24"/>
                <w:szCs w:val="24"/>
              </w:rPr>
            </w:pPr>
          </w:p>
        </w:tc>
      </w:tr>
      <w:tr w14:paraId="03CB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C9BC416">
            <w:pPr>
              <w:spacing w:line="300" w:lineRule="auto"/>
              <w:jc w:val="center"/>
              <w:rPr>
                <w:rFonts w:ascii="宋体" w:hAnsi="宋体"/>
                <w:sz w:val="24"/>
                <w:szCs w:val="24"/>
              </w:rPr>
            </w:pPr>
          </w:p>
        </w:tc>
        <w:tc>
          <w:tcPr>
            <w:tcW w:w="2662" w:type="dxa"/>
            <w:noWrap w:val="0"/>
            <w:vAlign w:val="center"/>
          </w:tcPr>
          <w:p w14:paraId="1A9896F0">
            <w:pPr>
              <w:spacing w:line="300" w:lineRule="auto"/>
              <w:jc w:val="center"/>
              <w:rPr>
                <w:rFonts w:ascii="宋体" w:hAnsi="宋体"/>
                <w:sz w:val="24"/>
                <w:szCs w:val="24"/>
              </w:rPr>
            </w:pPr>
          </w:p>
        </w:tc>
        <w:tc>
          <w:tcPr>
            <w:tcW w:w="2738" w:type="dxa"/>
            <w:noWrap w:val="0"/>
            <w:vAlign w:val="center"/>
          </w:tcPr>
          <w:p w14:paraId="4080FC0E">
            <w:pPr>
              <w:spacing w:line="300" w:lineRule="auto"/>
              <w:jc w:val="center"/>
              <w:rPr>
                <w:rFonts w:ascii="宋体" w:hAnsi="宋体"/>
                <w:sz w:val="24"/>
                <w:szCs w:val="24"/>
              </w:rPr>
            </w:pPr>
          </w:p>
        </w:tc>
        <w:tc>
          <w:tcPr>
            <w:tcW w:w="1916" w:type="dxa"/>
            <w:noWrap w:val="0"/>
            <w:vAlign w:val="center"/>
          </w:tcPr>
          <w:p w14:paraId="5A7BEBA7">
            <w:pPr>
              <w:spacing w:line="300" w:lineRule="auto"/>
              <w:jc w:val="center"/>
              <w:rPr>
                <w:rFonts w:ascii="宋体" w:hAnsi="宋体"/>
                <w:sz w:val="24"/>
                <w:szCs w:val="24"/>
              </w:rPr>
            </w:pPr>
          </w:p>
        </w:tc>
      </w:tr>
      <w:tr w14:paraId="428C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523" w:type="dxa"/>
            <w:noWrap w:val="0"/>
            <w:vAlign w:val="center"/>
          </w:tcPr>
          <w:p w14:paraId="27B54625">
            <w:pPr>
              <w:spacing w:line="300" w:lineRule="auto"/>
              <w:jc w:val="center"/>
              <w:rPr>
                <w:rFonts w:ascii="宋体" w:hAnsi="宋体"/>
                <w:sz w:val="24"/>
                <w:szCs w:val="24"/>
              </w:rPr>
            </w:pPr>
          </w:p>
        </w:tc>
        <w:tc>
          <w:tcPr>
            <w:tcW w:w="2662" w:type="dxa"/>
            <w:noWrap w:val="0"/>
            <w:vAlign w:val="center"/>
          </w:tcPr>
          <w:p w14:paraId="2A2369C7">
            <w:pPr>
              <w:spacing w:line="300" w:lineRule="auto"/>
              <w:jc w:val="center"/>
              <w:rPr>
                <w:rFonts w:ascii="宋体" w:hAnsi="宋体"/>
                <w:sz w:val="24"/>
                <w:szCs w:val="24"/>
              </w:rPr>
            </w:pPr>
          </w:p>
        </w:tc>
        <w:tc>
          <w:tcPr>
            <w:tcW w:w="2738" w:type="dxa"/>
            <w:noWrap w:val="0"/>
            <w:vAlign w:val="center"/>
          </w:tcPr>
          <w:p w14:paraId="69A4E0F5">
            <w:pPr>
              <w:spacing w:line="300" w:lineRule="auto"/>
              <w:jc w:val="center"/>
              <w:rPr>
                <w:rFonts w:ascii="宋体" w:hAnsi="宋体"/>
                <w:sz w:val="24"/>
                <w:szCs w:val="24"/>
              </w:rPr>
            </w:pPr>
          </w:p>
        </w:tc>
        <w:tc>
          <w:tcPr>
            <w:tcW w:w="1916" w:type="dxa"/>
            <w:noWrap w:val="0"/>
            <w:vAlign w:val="center"/>
          </w:tcPr>
          <w:p w14:paraId="0B7E1355">
            <w:pPr>
              <w:spacing w:line="300" w:lineRule="auto"/>
              <w:jc w:val="center"/>
              <w:rPr>
                <w:rFonts w:ascii="宋体" w:hAnsi="宋体"/>
                <w:sz w:val="24"/>
                <w:szCs w:val="24"/>
              </w:rPr>
            </w:pPr>
          </w:p>
        </w:tc>
      </w:tr>
    </w:tbl>
    <w:p w14:paraId="020253F7">
      <w:pPr>
        <w:pStyle w:val="8"/>
        <w:spacing w:line="360" w:lineRule="auto"/>
        <w:rPr>
          <w:rFonts w:hint="eastAsia" w:ascii="宋体" w:hAnsi="宋体"/>
        </w:rPr>
      </w:pPr>
    </w:p>
    <w:p w14:paraId="58B21311">
      <w:pPr>
        <w:pStyle w:val="8"/>
        <w:spacing w:line="360" w:lineRule="auto"/>
        <w:rPr>
          <w:rFonts w:hint="eastAsia" w:ascii="宋体" w:hAnsi="宋体"/>
        </w:rPr>
      </w:pPr>
      <w:r>
        <w:rPr>
          <w:rFonts w:hint="eastAsia" w:ascii="宋体" w:hAnsi="宋体"/>
        </w:rPr>
        <w:t>注：</w:t>
      </w:r>
      <w:r>
        <w:rPr>
          <w:rFonts w:hint="eastAsia"/>
        </w:rPr>
        <w:t>“偏离说明”一栏必须写明偏离情况，不得以“满足”代替，若无偏离则填写“无”。</w:t>
      </w:r>
    </w:p>
    <w:p w14:paraId="3B895F3C">
      <w:pPr>
        <w:adjustRightInd w:val="0"/>
        <w:snapToGrid w:val="0"/>
        <w:spacing w:line="360" w:lineRule="auto"/>
        <w:rPr>
          <w:rFonts w:hint="eastAsia" w:ascii="宋体" w:hAnsi="宋体"/>
          <w:snapToGrid w:val="0"/>
          <w:kern w:val="0"/>
          <w:sz w:val="24"/>
          <w:szCs w:val="24"/>
        </w:rPr>
      </w:pPr>
    </w:p>
    <w:p w14:paraId="713BA1F5">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 xml:space="preserve">供应商（单位电子签章）： </w:t>
      </w:r>
    </w:p>
    <w:p w14:paraId="423B553E">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法定代表人</w:t>
      </w:r>
      <w:r>
        <w:rPr>
          <w:rFonts w:hint="eastAsia" w:ascii="宋体" w:hAnsi="宋体"/>
          <w:snapToGrid w:val="0"/>
          <w:kern w:val="0"/>
          <w:sz w:val="24"/>
          <w:szCs w:val="24"/>
          <w:lang w:eastAsia="zh-CN"/>
        </w:rPr>
        <w:t>（</w:t>
      </w:r>
      <w:r>
        <w:rPr>
          <w:rFonts w:hint="eastAsia" w:ascii="宋体" w:hAnsi="宋体"/>
          <w:snapToGrid w:val="0"/>
          <w:kern w:val="0"/>
          <w:sz w:val="24"/>
          <w:szCs w:val="24"/>
          <w:lang w:val="en-US" w:eastAsia="zh-CN"/>
        </w:rPr>
        <w:t>负责人）</w:t>
      </w:r>
      <w:r>
        <w:rPr>
          <w:rFonts w:hint="eastAsia" w:ascii="宋体" w:hAnsi="宋体"/>
          <w:snapToGrid w:val="0"/>
          <w:kern w:val="0"/>
          <w:sz w:val="24"/>
          <w:szCs w:val="24"/>
        </w:rPr>
        <w:t xml:space="preserve">或其委托代理人（电子签名或盖章）： </w:t>
      </w:r>
    </w:p>
    <w:p w14:paraId="3D3C5335">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 xml:space="preserve"> 年    月    日</w:t>
      </w:r>
    </w:p>
    <w:p w14:paraId="3714A9DF">
      <w:pPr>
        <w:wordWrap w:val="0"/>
        <w:spacing w:line="420" w:lineRule="exact"/>
        <w:ind w:left="0" w:leftChars="0" w:firstLine="0" w:firstLineChars="0"/>
        <w:jc w:val="center"/>
        <w:outlineLvl w:val="1"/>
        <w:rPr>
          <w:rFonts w:ascii="宋体" w:hAnsi="宋体" w:cs="宋体"/>
          <w:b/>
          <w:sz w:val="32"/>
          <w:szCs w:val="32"/>
        </w:rPr>
      </w:pPr>
      <w:r>
        <w:rPr>
          <w:rFonts w:hint="eastAsia" w:ascii="宋体" w:hAnsi="宋体" w:cs="宋体"/>
        </w:rPr>
        <w:br w:type="page"/>
      </w:r>
      <w:bookmarkStart w:id="969" w:name="_Toc2557"/>
      <w:bookmarkStart w:id="970" w:name="_Toc11835"/>
      <w:bookmarkStart w:id="971" w:name="_Toc20896"/>
      <w:bookmarkStart w:id="972" w:name="_Toc416103819"/>
      <w:bookmarkStart w:id="973" w:name="_Toc410631178"/>
      <w:bookmarkStart w:id="974" w:name="_Toc414445769"/>
      <w:bookmarkStart w:id="975" w:name="_Toc143577473"/>
      <w:bookmarkStart w:id="976" w:name="_Toc468781351"/>
      <w:r>
        <w:rPr>
          <w:rFonts w:hint="eastAsia" w:ascii="宋体" w:hAnsi="宋体" w:eastAsia="宋体" w:cs="宋体"/>
          <w:b/>
          <w:bCs/>
          <w:kern w:val="2"/>
          <w:sz w:val="32"/>
          <w:szCs w:val="32"/>
          <w:lang w:val="en-US" w:eastAsia="zh-CN" w:bidi="ar-SA"/>
        </w:rPr>
        <w:t>六、资格证明材料</w:t>
      </w:r>
      <w:bookmarkEnd w:id="969"/>
      <w:bookmarkEnd w:id="970"/>
      <w:bookmarkEnd w:id="971"/>
    </w:p>
    <w:p w14:paraId="2B3018EA">
      <w:pPr>
        <w:wordWrap w:val="0"/>
        <w:spacing w:line="420" w:lineRule="exact"/>
        <w:ind w:left="0" w:leftChars="0" w:firstLine="0" w:firstLineChars="0"/>
        <w:jc w:val="center"/>
        <w:rPr>
          <w:rFonts w:ascii="宋体" w:hAnsi="宋体" w:cs="宋体"/>
          <w:b/>
          <w:bCs/>
          <w:sz w:val="28"/>
          <w:szCs w:val="28"/>
        </w:rPr>
      </w:pPr>
      <w:bookmarkStart w:id="977" w:name="_Toc456185719"/>
      <w:bookmarkStart w:id="978" w:name="_Toc9513"/>
      <w:r>
        <w:rPr>
          <w:rFonts w:hint="eastAsia" w:ascii="宋体" w:hAnsi="宋体" w:cs="宋体"/>
          <w:b/>
          <w:bCs/>
          <w:sz w:val="28"/>
          <w:szCs w:val="28"/>
        </w:rPr>
        <w:t>供应商基本情况表</w:t>
      </w:r>
      <w:bookmarkEnd w:id="977"/>
      <w:bookmarkEnd w:id="978"/>
    </w:p>
    <w:tbl>
      <w:tblPr>
        <w:tblStyle w:val="2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001"/>
        <w:gridCol w:w="1480"/>
        <w:gridCol w:w="1311"/>
        <w:gridCol w:w="226"/>
        <w:gridCol w:w="1167"/>
        <w:gridCol w:w="289"/>
        <w:gridCol w:w="792"/>
        <w:gridCol w:w="1592"/>
      </w:tblGrid>
      <w:tr w14:paraId="0E15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6088CB2B">
            <w:pPr>
              <w:wordWrap w:val="0"/>
              <w:ind w:left="0" w:leftChars="0" w:firstLine="0" w:firstLineChars="0"/>
              <w:jc w:val="both"/>
              <w:rPr>
                <w:rFonts w:ascii="宋体" w:hAnsi="宋体" w:cs="宋体"/>
                <w:sz w:val="24"/>
                <w:szCs w:val="24"/>
              </w:rPr>
            </w:pPr>
            <w:r>
              <w:rPr>
                <w:rFonts w:hint="eastAsia" w:ascii="宋体" w:hAnsi="宋体" w:cs="宋体"/>
                <w:sz w:val="24"/>
                <w:szCs w:val="24"/>
              </w:rPr>
              <w:t>供应商名称</w:t>
            </w:r>
          </w:p>
        </w:tc>
        <w:tc>
          <w:tcPr>
            <w:tcW w:w="7858" w:type="dxa"/>
            <w:gridSpan w:val="8"/>
            <w:vAlign w:val="center"/>
          </w:tcPr>
          <w:p w14:paraId="2FA7D9C7">
            <w:pPr>
              <w:wordWrap w:val="0"/>
              <w:jc w:val="center"/>
              <w:rPr>
                <w:rFonts w:ascii="宋体" w:hAnsi="宋体" w:cs="宋体"/>
                <w:sz w:val="24"/>
                <w:szCs w:val="24"/>
              </w:rPr>
            </w:pPr>
          </w:p>
        </w:tc>
      </w:tr>
      <w:tr w14:paraId="61BA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781E2668">
            <w:pPr>
              <w:wordWrap w:val="0"/>
              <w:ind w:left="0" w:leftChars="0" w:firstLine="0" w:firstLineChars="0"/>
              <w:jc w:val="both"/>
              <w:rPr>
                <w:rFonts w:ascii="宋体" w:hAnsi="宋体" w:cs="宋体"/>
                <w:sz w:val="24"/>
                <w:szCs w:val="24"/>
              </w:rPr>
            </w:pPr>
            <w:r>
              <w:rPr>
                <w:rFonts w:hint="eastAsia" w:ascii="宋体" w:hAnsi="宋体" w:cs="宋体"/>
                <w:sz w:val="24"/>
                <w:szCs w:val="24"/>
              </w:rPr>
              <w:t>注册地址</w:t>
            </w:r>
          </w:p>
        </w:tc>
        <w:tc>
          <w:tcPr>
            <w:tcW w:w="3792" w:type="dxa"/>
            <w:gridSpan w:val="3"/>
            <w:vAlign w:val="center"/>
          </w:tcPr>
          <w:p w14:paraId="077D34E6">
            <w:pPr>
              <w:wordWrap w:val="0"/>
              <w:jc w:val="center"/>
              <w:rPr>
                <w:rFonts w:ascii="宋体" w:hAnsi="宋体" w:cs="宋体"/>
                <w:sz w:val="24"/>
                <w:szCs w:val="24"/>
              </w:rPr>
            </w:pPr>
          </w:p>
        </w:tc>
        <w:tc>
          <w:tcPr>
            <w:tcW w:w="1393" w:type="dxa"/>
            <w:gridSpan w:val="2"/>
            <w:vAlign w:val="center"/>
          </w:tcPr>
          <w:p w14:paraId="4FED8CFA">
            <w:pPr>
              <w:wordWrap w:val="0"/>
              <w:ind w:left="0" w:leftChars="0" w:firstLine="0" w:firstLineChars="0"/>
              <w:jc w:val="both"/>
              <w:rPr>
                <w:rFonts w:ascii="宋体" w:hAnsi="宋体" w:cs="宋体"/>
                <w:sz w:val="24"/>
                <w:szCs w:val="24"/>
              </w:rPr>
            </w:pPr>
            <w:r>
              <w:rPr>
                <w:rFonts w:hint="eastAsia" w:ascii="宋体" w:hAnsi="宋体" w:cs="宋体"/>
                <w:sz w:val="24"/>
                <w:szCs w:val="24"/>
              </w:rPr>
              <w:t>邮政编码</w:t>
            </w:r>
          </w:p>
        </w:tc>
        <w:tc>
          <w:tcPr>
            <w:tcW w:w="2673" w:type="dxa"/>
            <w:gridSpan w:val="3"/>
            <w:vAlign w:val="center"/>
          </w:tcPr>
          <w:p w14:paraId="424C3D32">
            <w:pPr>
              <w:wordWrap w:val="0"/>
              <w:jc w:val="center"/>
              <w:rPr>
                <w:rFonts w:ascii="宋体" w:hAnsi="宋体" w:cs="宋体"/>
                <w:sz w:val="24"/>
                <w:szCs w:val="24"/>
              </w:rPr>
            </w:pPr>
          </w:p>
        </w:tc>
      </w:tr>
      <w:tr w14:paraId="536C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Merge w:val="restart"/>
            <w:vAlign w:val="center"/>
          </w:tcPr>
          <w:p w14:paraId="63CB0F03">
            <w:pPr>
              <w:wordWrap w:val="0"/>
              <w:ind w:left="0" w:leftChars="0" w:firstLine="0" w:firstLineChars="0"/>
              <w:jc w:val="both"/>
              <w:rPr>
                <w:rFonts w:ascii="宋体" w:hAnsi="宋体" w:cs="宋体"/>
                <w:sz w:val="24"/>
                <w:szCs w:val="24"/>
              </w:rPr>
            </w:pPr>
            <w:r>
              <w:rPr>
                <w:rFonts w:hint="eastAsia" w:ascii="宋体" w:hAnsi="宋体" w:cs="宋体"/>
                <w:sz w:val="24"/>
                <w:szCs w:val="24"/>
              </w:rPr>
              <w:t>联系方式</w:t>
            </w:r>
          </w:p>
        </w:tc>
        <w:tc>
          <w:tcPr>
            <w:tcW w:w="1001" w:type="dxa"/>
            <w:vAlign w:val="center"/>
          </w:tcPr>
          <w:p w14:paraId="2869F492">
            <w:pPr>
              <w:wordWrap w:val="0"/>
              <w:ind w:left="0" w:leftChars="0" w:firstLine="0" w:firstLineChars="0"/>
              <w:jc w:val="both"/>
              <w:rPr>
                <w:rFonts w:ascii="宋体" w:hAnsi="宋体" w:cs="宋体"/>
                <w:sz w:val="24"/>
                <w:szCs w:val="24"/>
              </w:rPr>
            </w:pPr>
            <w:r>
              <w:rPr>
                <w:rFonts w:hint="eastAsia" w:ascii="宋体" w:hAnsi="宋体" w:cs="宋体"/>
                <w:sz w:val="24"/>
                <w:szCs w:val="24"/>
              </w:rPr>
              <w:t>联系人</w:t>
            </w:r>
          </w:p>
        </w:tc>
        <w:tc>
          <w:tcPr>
            <w:tcW w:w="2791" w:type="dxa"/>
            <w:gridSpan w:val="2"/>
            <w:vAlign w:val="center"/>
          </w:tcPr>
          <w:p w14:paraId="7C767CE1">
            <w:pPr>
              <w:wordWrap w:val="0"/>
              <w:jc w:val="center"/>
              <w:rPr>
                <w:rFonts w:ascii="宋体" w:hAnsi="宋体" w:cs="宋体"/>
                <w:sz w:val="24"/>
                <w:szCs w:val="24"/>
              </w:rPr>
            </w:pPr>
          </w:p>
        </w:tc>
        <w:tc>
          <w:tcPr>
            <w:tcW w:w="1393" w:type="dxa"/>
            <w:gridSpan w:val="2"/>
            <w:vAlign w:val="center"/>
          </w:tcPr>
          <w:p w14:paraId="1C6C8307">
            <w:pPr>
              <w:wordWrap w:val="0"/>
              <w:ind w:left="0" w:leftChars="0" w:firstLine="0" w:firstLineChars="0"/>
              <w:jc w:val="both"/>
              <w:rPr>
                <w:rFonts w:ascii="宋体" w:hAnsi="宋体" w:cs="宋体"/>
                <w:sz w:val="24"/>
                <w:szCs w:val="24"/>
              </w:rPr>
            </w:pPr>
            <w:r>
              <w:rPr>
                <w:rFonts w:hint="eastAsia" w:ascii="宋体" w:hAnsi="宋体" w:cs="宋体"/>
                <w:sz w:val="24"/>
                <w:szCs w:val="24"/>
              </w:rPr>
              <w:t>电  话</w:t>
            </w:r>
          </w:p>
        </w:tc>
        <w:tc>
          <w:tcPr>
            <w:tcW w:w="2673" w:type="dxa"/>
            <w:gridSpan w:val="3"/>
            <w:vAlign w:val="center"/>
          </w:tcPr>
          <w:p w14:paraId="5DABB778">
            <w:pPr>
              <w:wordWrap w:val="0"/>
              <w:jc w:val="center"/>
              <w:rPr>
                <w:rFonts w:ascii="宋体" w:hAnsi="宋体" w:cs="宋体"/>
                <w:sz w:val="24"/>
                <w:szCs w:val="24"/>
              </w:rPr>
            </w:pPr>
          </w:p>
        </w:tc>
      </w:tr>
      <w:tr w14:paraId="359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Merge w:val="continue"/>
            <w:vAlign w:val="center"/>
          </w:tcPr>
          <w:p w14:paraId="2CFF8025">
            <w:pPr>
              <w:wordWrap w:val="0"/>
              <w:ind w:firstLine="480"/>
              <w:jc w:val="center"/>
              <w:rPr>
                <w:rFonts w:ascii="宋体" w:hAnsi="宋体" w:cs="宋体"/>
                <w:sz w:val="24"/>
                <w:szCs w:val="24"/>
              </w:rPr>
            </w:pPr>
          </w:p>
        </w:tc>
        <w:tc>
          <w:tcPr>
            <w:tcW w:w="1001" w:type="dxa"/>
            <w:vAlign w:val="center"/>
          </w:tcPr>
          <w:p w14:paraId="407BC8BC">
            <w:pPr>
              <w:wordWrap w:val="0"/>
              <w:ind w:left="0" w:leftChars="0" w:firstLine="0" w:firstLineChars="0"/>
              <w:jc w:val="both"/>
              <w:rPr>
                <w:rFonts w:ascii="宋体" w:hAnsi="宋体" w:cs="宋体"/>
                <w:sz w:val="24"/>
                <w:szCs w:val="24"/>
              </w:rPr>
            </w:pPr>
            <w:r>
              <w:rPr>
                <w:rFonts w:hint="eastAsia" w:ascii="宋体" w:hAnsi="宋体" w:cs="宋体"/>
                <w:sz w:val="24"/>
                <w:szCs w:val="24"/>
              </w:rPr>
              <w:t>传  真</w:t>
            </w:r>
          </w:p>
        </w:tc>
        <w:tc>
          <w:tcPr>
            <w:tcW w:w="2791" w:type="dxa"/>
            <w:gridSpan w:val="2"/>
            <w:vAlign w:val="center"/>
          </w:tcPr>
          <w:p w14:paraId="76E2DDD4">
            <w:pPr>
              <w:wordWrap w:val="0"/>
              <w:jc w:val="center"/>
              <w:rPr>
                <w:rFonts w:ascii="宋体" w:hAnsi="宋体" w:cs="宋体"/>
                <w:sz w:val="24"/>
                <w:szCs w:val="24"/>
              </w:rPr>
            </w:pPr>
          </w:p>
        </w:tc>
        <w:tc>
          <w:tcPr>
            <w:tcW w:w="1393" w:type="dxa"/>
            <w:gridSpan w:val="2"/>
            <w:vAlign w:val="center"/>
          </w:tcPr>
          <w:p w14:paraId="1E5F5145">
            <w:pPr>
              <w:wordWrap w:val="0"/>
              <w:ind w:left="0" w:leftChars="0" w:firstLine="0" w:firstLineChars="0"/>
              <w:jc w:val="both"/>
              <w:rPr>
                <w:rFonts w:ascii="宋体" w:hAnsi="宋体" w:cs="宋体"/>
                <w:sz w:val="24"/>
                <w:szCs w:val="24"/>
              </w:rPr>
            </w:pPr>
            <w:r>
              <w:rPr>
                <w:rFonts w:hint="eastAsia" w:ascii="宋体" w:hAnsi="宋体" w:cs="宋体"/>
                <w:sz w:val="24"/>
                <w:szCs w:val="24"/>
              </w:rPr>
              <w:t>网  址</w:t>
            </w:r>
          </w:p>
        </w:tc>
        <w:tc>
          <w:tcPr>
            <w:tcW w:w="2673" w:type="dxa"/>
            <w:gridSpan w:val="3"/>
            <w:vAlign w:val="center"/>
          </w:tcPr>
          <w:p w14:paraId="0254B499">
            <w:pPr>
              <w:wordWrap w:val="0"/>
              <w:ind w:firstLine="480"/>
              <w:jc w:val="center"/>
              <w:rPr>
                <w:rFonts w:ascii="宋体" w:hAnsi="宋体" w:cs="宋体"/>
                <w:sz w:val="24"/>
                <w:szCs w:val="24"/>
              </w:rPr>
            </w:pPr>
          </w:p>
        </w:tc>
      </w:tr>
      <w:tr w14:paraId="3F26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2E433BD8">
            <w:pPr>
              <w:wordWrap w:val="0"/>
              <w:ind w:left="0" w:leftChars="0" w:firstLine="0" w:firstLineChars="0"/>
              <w:jc w:val="both"/>
              <w:rPr>
                <w:rFonts w:ascii="宋体" w:hAnsi="宋体" w:cs="宋体"/>
                <w:sz w:val="24"/>
                <w:szCs w:val="24"/>
              </w:rPr>
            </w:pPr>
            <w:r>
              <w:rPr>
                <w:rFonts w:hint="eastAsia" w:ascii="宋体" w:hAnsi="宋体" w:cs="宋体"/>
                <w:sz w:val="24"/>
                <w:szCs w:val="24"/>
              </w:rPr>
              <w:t>组织结构</w:t>
            </w:r>
          </w:p>
        </w:tc>
        <w:tc>
          <w:tcPr>
            <w:tcW w:w="7858" w:type="dxa"/>
            <w:gridSpan w:val="8"/>
            <w:vAlign w:val="center"/>
          </w:tcPr>
          <w:p w14:paraId="434A1294">
            <w:pPr>
              <w:wordWrap w:val="0"/>
              <w:jc w:val="center"/>
              <w:rPr>
                <w:rFonts w:ascii="宋体" w:hAnsi="宋体" w:cs="宋体"/>
                <w:sz w:val="24"/>
                <w:szCs w:val="24"/>
              </w:rPr>
            </w:pPr>
          </w:p>
        </w:tc>
      </w:tr>
      <w:tr w14:paraId="7BC8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51307A8E">
            <w:pPr>
              <w:wordWrap w:val="0"/>
              <w:ind w:left="0" w:leftChars="0" w:firstLine="0" w:firstLineChars="0"/>
              <w:jc w:val="both"/>
              <w:rPr>
                <w:rFonts w:ascii="宋体" w:hAnsi="宋体" w:cs="宋体"/>
                <w:sz w:val="24"/>
                <w:szCs w:val="24"/>
              </w:rPr>
            </w:pPr>
            <w:r>
              <w:rPr>
                <w:rFonts w:hint="eastAsia" w:ascii="宋体" w:hAnsi="宋体" w:cs="宋体"/>
                <w:sz w:val="24"/>
                <w:szCs w:val="24"/>
              </w:rPr>
              <w:t>法定代表人</w:t>
            </w:r>
          </w:p>
        </w:tc>
        <w:tc>
          <w:tcPr>
            <w:tcW w:w="1001" w:type="dxa"/>
            <w:vAlign w:val="center"/>
          </w:tcPr>
          <w:p w14:paraId="4F4528CC">
            <w:pPr>
              <w:wordWrap w:val="0"/>
              <w:ind w:left="0" w:leftChars="0" w:firstLine="0" w:firstLineChars="0"/>
              <w:jc w:val="both"/>
              <w:rPr>
                <w:rFonts w:ascii="宋体" w:hAnsi="宋体" w:cs="宋体"/>
                <w:sz w:val="24"/>
                <w:szCs w:val="24"/>
              </w:rPr>
            </w:pPr>
            <w:r>
              <w:rPr>
                <w:rFonts w:hint="eastAsia" w:ascii="宋体" w:hAnsi="宋体" w:cs="宋体"/>
                <w:sz w:val="24"/>
                <w:szCs w:val="24"/>
              </w:rPr>
              <w:t>姓名</w:t>
            </w:r>
          </w:p>
        </w:tc>
        <w:tc>
          <w:tcPr>
            <w:tcW w:w="1480" w:type="dxa"/>
            <w:vAlign w:val="center"/>
          </w:tcPr>
          <w:p w14:paraId="19D69C0D">
            <w:pPr>
              <w:wordWrap w:val="0"/>
              <w:jc w:val="center"/>
              <w:rPr>
                <w:rFonts w:ascii="宋体" w:hAnsi="宋体" w:cs="宋体"/>
                <w:sz w:val="24"/>
                <w:szCs w:val="24"/>
              </w:rPr>
            </w:pPr>
          </w:p>
        </w:tc>
        <w:tc>
          <w:tcPr>
            <w:tcW w:w="1537" w:type="dxa"/>
            <w:gridSpan w:val="2"/>
            <w:vAlign w:val="center"/>
          </w:tcPr>
          <w:p w14:paraId="18792F4D">
            <w:pPr>
              <w:wordWrap w:val="0"/>
              <w:ind w:left="0" w:leftChars="0" w:firstLine="0" w:firstLineChars="0"/>
              <w:jc w:val="both"/>
              <w:rPr>
                <w:rFonts w:ascii="宋体" w:hAnsi="宋体" w:cs="宋体"/>
                <w:sz w:val="24"/>
                <w:szCs w:val="24"/>
              </w:rPr>
            </w:pPr>
            <w:r>
              <w:rPr>
                <w:rFonts w:hint="eastAsia" w:ascii="宋体" w:hAnsi="宋体" w:cs="宋体"/>
                <w:sz w:val="24"/>
                <w:szCs w:val="24"/>
              </w:rPr>
              <w:t>职务（职称）</w:t>
            </w:r>
          </w:p>
        </w:tc>
        <w:tc>
          <w:tcPr>
            <w:tcW w:w="1456" w:type="dxa"/>
            <w:gridSpan w:val="2"/>
            <w:vAlign w:val="center"/>
          </w:tcPr>
          <w:p w14:paraId="5039F58B">
            <w:pPr>
              <w:wordWrap w:val="0"/>
              <w:jc w:val="center"/>
              <w:rPr>
                <w:rFonts w:ascii="宋体" w:hAnsi="宋体" w:cs="宋体"/>
                <w:sz w:val="24"/>
                <w:szCs w:val="24"/>
              </w:rPr>
            </w:pPr>
          </w:p>
        </w:tc>
        <w:tc>
          <w:tcPr>
            <w:tcW w:w="792" w:type="dxa"/>
            <w:vAlign w:val="center"/>
          </w:tcPr>
          <w:p w14:paraId="0EAB53AE">
            <w:pPr>
              <w:wordWrap w:val="0"/>
              <w:ind w:left="0" w:leftChars="0" w:firstLine="0" w:firstLineChars="0"/>
              <w:jc w:val="both"/>
              <w:rPr>
                <w:rFonts w:ascii="宋体" w:hAnsi="宋体" w:cs="宋体"/>
                <w:sz w:val="24"/>
                <w:szCs w:val="24"/>
              </w:rPr>
            </w:pPr>
            <w:r>
              <w:rPr>
                <w:rFonts w:hint="eastAsia" w:ascii="宋体" w:hAnsi="宋体" w:cs="宋体"/>
                <w:sz w:val="24"/>
                <w:szCs w:val="24"/>
              </w:rPr>
              <w:t>电话</w:t>
            </w:r>
          </w:p>
        </w:tc>
        <w:tc>
          <w:tcPr>
            <w:tcW w:w="1592" w:type="dxa"/>
            <w:vAlign w:val="center"/>
          </w:tcPr>
          <w:p w14:paraId="4FB112CA">
            <w:pPr>
              <w:wordWrap w:val="0"/>
              <w:jc w:val="center"/>
              <w:rPr>
                <w:rFonts w:ascii="宋体" w:hAnsi="宋体" w:cs="宋体"/>
                <w:sz w:val="24"/>
                <w:szCs w:val="24"/>
              </w:rPr>
            </w:pPr>
          </w:p>
        </w:tc>
      </w:tr>
      <w:tr w14:paraId="5EBF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13B19B58">
            <w:pPr>
              <w:wordWrap w:val="0"/>
              <w:ind w:left="0" w:leftChars="0" w:firstLine="0" w:firstLineChars="0"/>
              <w:jc w:val="both"/>
              <w:rPr>
                <w:rFonts w:ascii="宋体" w:hAnsi="宋体" w:cs="宋体"/>
                <w:sz w:val="24"/>
                <w:szCs w:val="24"/>
              </w:rPr>
            </w:pPr>
            <w:r>
              <w:rPr>
                <w:rFonts w:hint="eastAsia" w:ascii="宋体" w:hAnsi="宋体" w:cs="宋体"/>
                <w:sz w:val="24"/>
                <w:szCs w:val="24"/>
              </w:rPr>
              <w:t>项目负责人</w:t>
            </w:r>
          </w:p>
        </w:tc>
        <w:tc>
          <w:tcPr>
            <w:tcW w:w="1001" w:type="dxa"/>
            <w:vAlign w:val="center"/>
          </w:tcPr>
          <w:p w14:paraId="43250BBD">
            <w:pPr>
              <w:wordWrap w:val="0"/>
              <w:ind w:left="0" w:leftChars="0" w:firstLine="0" w:firstLineChars="0"/>
              <w:jc w:val="both"/>
              <w:rPr>
                <w:rFonts w:ascii="宋体" w:hAnsi="宋体" w:cs="宋体"/>
                <w:sz w:val="24"/>
                <w:szCs w:val="24"/>
              </w:rPr>
            </w:pPr>
            <w:r>
              <w:rPr>
                <w:rFonts w:hint="eastAsia" w:ascii="宋体" w:hAnsi="宋体" w:cs="宋体"/>
                <w:sz w:val="24"/>
                <w:szCs w:val="24"/>
              </w:rPr>
              <w:t>姓名</w:t>
            </w:r>
          </w:p>
        </w:tc>
        <w:tc>
          <w:tcPr>
            <w:tcW w:w="1480" w:type="dxa"/>
            <w:vAlign w:val="center"/>
          </w:tcPr>
          <w:p w14:paraId="3DA60C33">
            <w:pPr>
              <w:wordWrap w:val="0"/>
              <w:jc w:val="center"/>
              <w:rPr>
                <w:rFonts w:ascii="宋体" w:hAnsi="宋体" w:cs="宋体"/>
                <w:sz w:val="24"/>
                <w:szCs w:val="24"/>
              </w:rPr>
            </w:pPr>
          </w:p>
        </w:tc>
        <w:tc>
          <w:tcPr>
            <w:tcW w:w="1537" w:type="dxa"/>
            <w:gridSpan w:val="2"/>
            <w:vAlign w:val="center"/>
          </w:tcPr>
          <w:p w14:paraId="7A750E3F">
            <w:pPr>
              <w:wordWrap w:val="0"/>
              <w:ind w:left="0" w:leftChars="0" w:firstLine="0" w:firstLineChars="0"/>
              <w:jc w:val="both"/>
              <w:rPr>
                <w:rFonts w:ascii="宋体" w:hAnsi="宋体" w:cs="宋体"/>
                <w:sz w:val="24"/>
                <w:szCs w:val="24"/>
              </w:rPr>
            </w:pPr>
            <w:r>
              <w:rPr>
                <w:rFonts w:hint="eastAsia" w:ascii="宋体" w:hAnsi="宋体" w:cs="宋体"/>
                <w:sz w:val="24"/>
                <w:szCs w:val="24"/>
              </w:rPr>
              <w:t>职务（职称）</w:t>
            </w:r>
          </w:p>
        </w:tc>
        <w:tc>
          <w:tcPr>
            <w:tcW w:w="1456" w:type="dxa"/>
            <w:gridSpan w:val="2"/>
            <w:vAlign w:val="center"/>
          </w:tcPr>
          <w:p w14:paraId="644E296C">
            <w:pPr>
              <w:wordWrap w:val="0"/>
              <w:jc w:val="center"/>
              <w:rPr>
                <w:rFonts w:ascii="宋体" w:hAnsi="宋体" w:cs="宋体"/>
                <w:sz w:val="24"/>
                <w:szCs w:val="24"/>
              </w:rPr>
            </w:pPr>
          </w:p>
        </w:tc>
        <w:tc>
          <w:tcPr>
            <w:tcW w:w="792" w:type="dxa"/>
            <w:vAlign w:val="center"/>
          </w:tcPr>
          <w:p w14:paraId="24E42D49">
            <w:pPr>
              <w:wordWrap w:val="0"/>
              <w:ind w:left="0" w:leftChars="0" w:firstLine="0" w:firstLineChars="0"/>
              <w:jc w:val="both"/>
              <w:rPr>
                <w:rFonts w:ascii="宋体" w:hAnsi="宋体" w:cs="宋体"/>
                <w:sz w:val="24"/>
                <w:szCs w:val="24"/>
              </w:rPr>
            </w:pPr>
            <w:r>
              <w:rPr>
                <w:rFonts w:hint="eastAsia" w:ascii="宋体" w:hAnsi="宋体" w:cs="宋体"/>
                <w:sz w:val="24"/>
                <w:szCs w:val="24"/>
              </w:rPr>
              <w:t>电话</w:t>
            </w:r>
          </w:p>
        </w:tc>
        <w:tc>
          <w:tcPr>
            <w:tcW w:w="1592" w:type="dxa"/>
            <w:vAlign w:val="center"/>
          </w:tcPr>
          <w:p w14:paraId="70300AF4">
            <w:pPr>
              <w:wordWrap w:val="0"/>
              <w:jc w:val="center"/>
              <w:rPr>
                <w:rFonts w:ascii="宋体" w:hAnsi="宋体" w:cs="宋体"/>
                <w:sz w:val="24"/>
                <w:szCs w:val="24"/>
              </w:rPr>
            </w:pPr>
          </w:p>
        </w:tc>
      </w:tr>
      <w:tr w14:paraId="34B4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1557BA0E">
            <w:pPr>
              <w:wordWrap w:val="0"/>
              <w:ind w:left="0" w:leftChars="0" w:firstLine="0" w:firstLineChars="0"/>
              <w:jc w:val="both"/>
              <w:rPr>
                <w:rFonts w:ascii="宋体" w:hAnsi="宋体" w:cs="宋体"/>
                <w:sz w:val="24"/>
                <w:szCs w:val="24"/>
              </w:rPr>
            </w:pPr>
            <w:r>
              <w:rPr>
                <w:rFonts w:hint="eastAsia" w:ascii="宋体" w:hAnsi="宋体" w:cs="宋体"/>
                <w:sz w:val="24"/>
                <w:szCs w:val="24"/>
              </w:rPr>
              <w:t>成立时间</w:t>
            </w:r>
          </w:p>
        </w:tc>
        <w:tc>
          <w:tcPr>
            <w:tcW w:w="2481" w:type="dxa"/>
            <w:gridSpan w:val="2"/>
            <w:vAlign w:val="center"/>
          </w:tcPr>
          <w:p w14:paraId="619A9BE8">
            <w:pPr>
              <w:wordWrap w:val="0"/>
              <w:jc w:val="center"/>
              <w:rPr>
                <w:rFonts w:ascii="宋体" w:hAnsi="宋体" w:cs="宋体"/>
                <w:sz w:val="24"/>
                <w:szCs w:val="24"/>
              </w:rPr>
            </w:pPr>
          </w:p>
        </w:tc>
        <w:tc>
          <w:tcPr>
            <w:tcW w:w="5377" w:type="dxa"/>
            <w:gridSpan w:val="6"/>
            <w:vAlign w:val="center"/>
          </w:tcPr>
          <w:p w14:paraId="10BFAC68">
            <w:pPr>
              <w:wordWrap w:val="0"/>
              <w:ind w:left="0" w:leftChars="0" w:firstLine="0" w:firstLineChars="0"/>
              <w:jc w:val="left"/>
              <w:rPr>
                <w:rFonts w:ascii="宋体" w:hAnsi="宋体" w:cs="宋体"/>
                <w:sz w:val="24"/>
                <w:szCs w:val="24"/>
              </w:rPr>
            </w:pPr>
            <w:r>
              <w:rPr>
                <w:rFonts w:hint="eastAsia" w:ascii="宋体" w:hAnsi="宋体" w:cs="宋体"/>
                <w:sz w:val="24"/>
                <w:szCs w:val="24"/>
              </w:rPr>
              <w:t>员工总人数：</w:t>
            </w:r>
          </w:p>
        </w:tc>
      </w:tr>
      <w:tr w14:paraId="2CBC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1661" w:type="dxa"/>
            <w:vAlign w:val="center"/>
          </w:tcPr>
          <w:p w14:paraId="10B9F501">
            <w:pPr>
              <w:wordWrap w:val="0"/>
              <w:spacing w:line="420" w:lineRule="exact"/>
              <w:ind w:left="0" w:leftChars="0" w:firstLine="0" w:firstLineChars="0"/>
              <w:jc w:val="both"/>
              <w:rPr>
                <w:rFonts w:ascii="宋体" w:hAnsi="宋体" w:cs="宋体"/>
                <w:sz w:val="24"/>
                <w:szCs w:val="24"/>
              </w:rPr>
            </w:pPr>
            <w:r>
              <w:rPr>
                <w:rFonts w:hint="eastAsia" w:ascii="宋体" w:hAnsi="宋体" w:cs="宋体"/>
                <w:sz w:val="24"/>
                <w:szCs w:val="24"/>
              </w:rPr>
              <w:t>经营范围</w:t>
            </w:r>
          </w:p>
        </w:tc>
        <w:tc>
          <w:tcPr>
            <w:tcW w:w="7858" w:type="dxa"/>
            <w:gridSpan w:val="8"/>
            <w:vAlign w:val="center"/>
          </w:tcPr>
          <w:p w14:paraId="679CEF90">
            <w:pPr>
              <w:wordWrap w:val="0"/>
              <w:spacing w:line="420" w:lineRule="exact"/>
              <w:rPr>
                <w:rFonts w:ascii="宋体" w:hAnsi="宋体" w:cs="宋体"/>
                <w:sz w:val="24"/>
                <w:szCs w:val="24"/>
              </w:rPr>
            </w:pPr>
          </w:p>
        </w:tc>
      </w:tr>
      <w:tr w14:paraId="456F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61" w:type="dxa"/>
            <w:vAlign w:val="center"/>
          </w:tcPr>
          <w:p w14:paraId="0A0C5FCD">
            <w:pPr>
              <w:wordWrap w:val="0"/>
              <w:spacing w:line="420" w:lineRule="exact"/>
              <w:ind w:left="0" w:leftChars="0" w:firstLine="0" w:firstLineChars="0"/>
              <w:jc w:val="both"/>
              <w:rPr>
                <w:rFonts w:ascii="宋体" w:hAnsi="宋体" w:cs="宋体"/>
                <w:sz w:val="24"/>
                <w:szCs w:val="24"/>
              </w:rPr>
            </w:pPr>
            <w:r>
              <w:rPr>
                <w:rFonts w:hint="eastAsia" w:ascii="宋体" w:hAnsi="宋体" w:cs="宋体"/>
                <w:sz w:val="24"/>
                <w:szCs w:val="24"/>
              </w:rPr>
              <w:t>备注</w:t>
            </w:r>
          </w:p>
        </w:tc>
        <w:tc>
          <w:tcPr>
            <w:tcW w:w="7858" w:type="dxa"/>
            <w:gridSpan w:val="8"/>
            <w:vAlign w:val="center"/>
          </w:tcPr>
          <w:p w14:paraId="6CCFE16C">
            <w:pPr>
              <w:wordWrap w:val="0"/>
              <w:spacing w:line="420" w:lineRule="exact"/>
              <w:jc w:val="center"/>
              <w:rPr>
                <w:rFonts w:ascii="宋体" w:hAnsi="宋体" w:cs="宋体"/>
                <w:sz w:val="24"/>
                <w:szCs w:val="24"/>
              </w:rPr>
            </w:pPr>
          </w:p>
        </w:tc>
      </w:tr>
    </w:tbl>
    <w:p w14:paraId="2B8E48A5">
      <w:pPr>
        <w:wordWrap w:val="0"/>
        <w:spacing w:line="420" w:lineRule="exact"/>
        <w:rPr>
          <w:rFonts w:ascii="宋体" w:hAnsi="宋体" w:cs="宋体"/>
          <w:szCs w:val="21"/>
        </w:rPr>
      </w:pPr>
    </w:p>
    <w:p w14:paraId="54C3BBD0">
      <w:pPr>
        <w:wordWrap w:val="0"/>
        <w:spacing w:line="420" w:lineRule="exact"/>
        <w:rPr>
          <w:rFonts w:ascii="宋体" w:hAnsi="宋体" w:cs="宋体"/>
          <w:szCs w:val="21"/>
        </w:rPr>
      </w:pPr>
      <w:r>
        <w:rPr>
          <w:rFonts w:hint="eastAsia" w:ascii="宋体" w:hAnsi="宋体" w:cs="宋体"/>
          <w:szCs w:val="21"/>
        </w:rPr>
        <w:t>注：根据供应商须知前附表第1.</w:t>
      </w:r>
      <w:r>
        <w:rPr>
          <w:rFonts w:hint="eastAsia" w:ascii="宋体" w:hAnsi="宋体" w:cs="宋体"/>
          <w:szCs w:val="21"/>
          <w:lang w:val="en-US" w:eastAsia="zh-CN"/>
        </w:rPr>
        <w:t>4</w:t>
      </w:r>
      <w:r>
        <w:rPr>
          <w:rFonts w:hint="eastAsia" w:ascii="宋体" w:hAnsi="宋体" w:cs="宋体"/>
          <w:szCs w:val="21"/>
        </w:rPr>
        <w:t>.1项的要求在本表后附供应商证明材料。</w:t>
      </w:r>
    </w:p>
    <w:bookmarkEnd w:id="972"/>
    <w:bookmarkEnd w:id="973"/>
    <w:bookmarkEnd w:id="974"/>
    <w:p w14:paraId="1EC98D71">
      <w:pPr>
        <w:rPr>
          <w:rFonts w:hint="eastAsia" w:ascii="宋体" w:hAnsi="宋体" w:cs="宋体"/>
          <w:szCs w:val="21"/>
        </w:rPr>
      </w:pPr>
      <w:bookmarkStart w:id="979" w:name="_Toc15604"/>
      <w:bookmarkStart w:id="980" w:name="_Toc24549"/>
      <w:bookmarkStart w:id="981" w:name="_Toc18442"/>
      <w:r>
        <w:rPr>
          <w:rFonts w:hint="eastAsia" w:ascii="宋体" w:hAnsi="宋体" w:cs="宋体"/>
          <w:szCs w:val="21"/>
        </w:rPr>
        <w:br w:type="page"/>
      </w:r>
    </w:p>
    <w:p w14:paraId="190A7542">
      <w:pPr>
        <w:pStyle w:val="4"/>
        <w:pageBreakBefore w:val="0"/>
        <w:kinsoku/>
        <w:wordWrap/>
        <w:overflowPunct/>
        <w:topLinePunct w:val="0"/>
        <w:autoSpaceDE/>
        <w:autoSpaceDN/>
        <w:bidi w:val="0"/>
        <w:adjustRightInd/>
        <w:snapToGrid/>
        <w:spacing w:before="0" w:after="0" w:line="360" w:lineRule="auto"/>
        <w:jc w:val="left"/>
        <w:textAlignment w:val="auto"/>
        <w:rPr>
          <w:rFonts w:hint="eastAsia"/>
        </w:rPr>
      </w:pPr>
      <w:bookmarkStart w:id="982" w:name="_Toc15767"/>
      <w:bookmarkStart w:id="983" w:name="_Toc22845"/>
      <w:r>
        <w:rPr>
          <w:rFonts w:hint="eastAsia"/>
        </w:rPr>
        <w:t>附件：</w:t>
      </w:r>
      <w:bookmarkEnd w:id="982"/>
      <w:bookmarkEnd w:id="983"/>
    </w:p>
    <w:p w14:paraId="5E575D07">
      <w:pPr>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auto"/>
          <w:kern w:val="0"/>
          <w:szCs w:val="21"/>
          <w:lang w:bidi="ar"/>
        </w:rPr>
      </w:pPr>
      <w:r>
        <w:rPr>
          <w:rFonts w:hint="eastAsia" w:ascii="宋体" w:hAnsi="宋体" w:cs="宋体"/>
          <w:b/>
          <w:bCs/>
          <w:color w:val="auto"/>
          <w:kern w:val="0"/>
          <w:szCs w:val="21"/>
          <w:lang w:bidi="ar"/>
        </w:rPr>
        <w:t>固始县政府采购供应商信用承诺函</w:t>
      </w:r>
    </w:p>
    <w:p w14:paraId="49982E1C">
      <w:pPr>
        <w:widowControl/>
        <w:spacing w:line="400" w:lineRule="exact"/>
        <w:ind w:firstLine="420" w:firstLineChars="0"/>
        <w:jc w:val="left"/>
        <w:rPr>
          <w:rFonts w:hint="eastAsia" w:ascii="宋体" w:hAnsi="宋体" w:cs="宋体"/>
          <w:color w:val="auto"/>
          <w:kern w:val="0"/>
          <w:szCs w:val="21"/>
          <w:u w:val="single"/>
          <w:lang w:bidi="ar"/>
        </w:rPr>
      </w:pPr>
      <w:r>
        <w:rPr>
          <w:rFonts w:hint="eastAsia" w:ascii="宋体" w:hAnsi="宋体" w:cs="宋体"/>
          <w:color w:val="auto"/>
          <w:kern w:val="0"/>
          <w:szCs w:val="21"/>
          <w:lang w:bidi="ar"/>
        </w:rPr>
        <w:t>致（采购人或采购代理机构）</w:t>
      </w:r>
      <w:r>
        <w:rPr>
          <w:rFonts w:hint="eastAsia" w:ascii="宋体" w:hAnsi="宋体" w:cs="宋体"/>
          <w:color w:val="auto"/>
          <w:kern w:val="0"/>
          <w:szCs w:val="21"/>
          <w:u w:val="single"/>
          <w:lang w:bidi="ar"/>
        </w:rPr>
        <w:t xml:space="preserve">：                 </w:t>
      </w:r>
    </w:p>
    <w:p w14:paraId="71440197">
      <w:pPr>
        <w:widowControl/>
        <w:spacing w:line="400" w:lineRule="exact"/>
        <w:ind w:firstLine="420" w:firstLineChars="0"/>
        <w:jc w:val="left"/>
        <w:rPr>
          <w:rFonts w:hint="eastAsia" w:ascii="宋体" w:hAnsi="宋体" w:cs="宋体"/>
          <w:color w:val="auto"/>
          <w:kern w:val="0"/>
          <w:szCs w:val="21"/>
          <w:u w:val="single"/>
          <w:lang w:bidi="ar"/>
        </w:rPr>
      </w:pPr>
      <w:r>
        <w:rPr>
          <w:rFonts w:hint="eastAsia" w:ascii="宋体" w:hAnsi="宋体" w:cs="宋体"/>
          <w:color w:val="auto"/>
          <w:kern w:val="0"/>
          <w:szCs w:val="21"/>
          <w:lang w:bidi="ar"/>
        </w:rPr>
        <w:t>单位名称（自然人姓名）</w:t>
      </w:r>
      <w:r>
        <w:rPr>
          <w:rFonts w:hint="eastAsia" w:ascii="宋体" w:hAnsi="宋体" w:cs="宋体"/>
          <w:color w:val="auto"/>
          <w:kern w:val="0"/>
          <w:szCs w:val="21"/>
          <w:u w:val="single"/>
          <w:lang w:bidi="ar"/>
        </w:rPr>
        <w:t xml:space="preserve">：                     </w:t>
      </w:r>
    </w:p>
    <w:p w14:paraId="3FF2DC51">
      <w:pPr>
        <w:widowControl/>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统一社会信用代码（身份证号码）</w:t>
      </w:r>
      <w:r>
        <w:rPr>
          <w:rFonts w:hint="eastAsia" w:ascii="宋体" w:hAnsi="宋体" w:cs="宋体"/>
          <w:color w:val="auto"/>
          <w:kern w:val="0"/>
          <w:szCs w:val="21"/>
          <w:u w:val="single"/>
          <w:lang w:bidi="ar"/>
        </w:rPr>
        <w:t xml:space="preserve">：             </w:t>
      </w:r>
    </w:p>
    <w:p w14:paraId="54E59297">
      <w:pPr>
        <w:widowControl/>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法定代表人（负责人）</w:t>
      </w:r>
      <w:r>
        <w:rPr>
          <w:rFonts w:hint="eastAsia" w:ascii="宋体" w:hAnsi="宋体" w:cs="宋体"/>
          <w:color w:val="auto"/>
          <w:kern w:val="0"/>
          <w:szCs w:val="21"/>
          <w:u w:val="single"/>
          <w:lang w:bidi="ar"/>
        </w:rPr>
        <w:t xml:space="preserve">：                       </w:t>
      </w:r>
    </w:p>
    <w:p w14:paraId="6A76E2DD">
      <w:pPr>
        <w:widowControl/>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联系地址和电话</w:t>
      </w:r>
      <w:r>
        <w:rPr>
          <w:rFonts w:hint="eastAsia" w:ascii="宋体" w:hAnsi="宋体" w:cs="宋体"/>
          <w:color w:val="auto"/>
          <w:kern w:val="0"/>
          <w:szCs w:val="21"/>
          <w:u w:val="single"/>
          <w:lang w:bidi="ar"/>
        </w:rPr>
        <w:t xml:space="preserve">：                             </w:t>
      </w:r>
    </w:p>
    <w:p w14:paraId="399F1C3B">
      <w:pPr>
        <w:widowControl/>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为维护公平、公正、公开的政府采购市场秩序，树立诚实守信的政府采购供应商形象，我单位（本人）自愿作出以下承诺：</w:t>
      </w:r>
    </w:p>
    <w:p w14:paraId="77CA2E74">
      <w:pPr>
        <w:widowControl/>
        <w:numPr>
          <w:ilvl w:val="0"/>
          <w:numId w:val="2"/>
        </w:numPr>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956793A">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具有独立承担民事责任的能力；</w:t>
      </w:r>
    </w:p>
    <w:p w14:paraId="5EFB8E76">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具有良好的商业信誉和健全的财务会计制度； </w:t>
      </w:r>
    </w:p>
    <w:p w14:paraId="6078D958">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具有履行合同所必需的设备和专业技术能力；</w:t>
      </w:r>
    </w:p>
    <w:p w14:paraId="19F1EBD0">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有依法缴纳税收和社会保障资金的良好记录； </w:t>
      </w:r>
    </w:p>
    <w:p w14:paraId="0079C53E">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参加政府采购活动前三年内，在经营活动中没有重大违法记录； </w:t>
      </w:r>
    </w:p>
    <w:p w14:paraId="3A2237D5">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未被列入经营异常名录或者严重违法失信名单、失信被执行人、重大税收违法案件当事人名单、政府采购严重违法失信行为记录名单；</w:t>
      </w:r>
    </w:p>
    <w:p w14:paraId="3ED4CF4B">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未被相关监管部门作出行政处罚且尚在处罚有效期内； </w:t>
      </w:r>
    </w:p>
    <w:p w14:paraId="191801F9">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未曾做出虚假采购承诺； </w:t>
      </w:r>
    </w:p>
    <w:p w14:paraId="33A304E3">
      <w:pPr>
        <w:widowControl/>
        <w:spacing w:line="400" w:lineRule="exact"/>
        <w:ind w:firstLine="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（九）符合法律、行政法规规定的其他条件。</w:t>
      </w:r>
    </w:p>
    <w:p w14:paraId="6F57F588">
      <w:pPr>
        <w:widowControl/>
        <w:numPr>
          <w:ilvl w:val="0"/>
          <w:numId w:val="2"/>
        </w:numPr>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28D60B9">
      <w:pPr>
        <w:widowControl/>
        <w:spacing w:line="400" w:lineRule="exact"/>
        <w:ind w:firstLine="420" w:firstLineChars="0"/>
        <w:jc w:val="left"/>
        <w:rPr>
          <w:rFonts w:hint="eastAsia" w:ascii="宋体" w:hAnsi="宋体" w:cs="宋体"/>
          <w:color w:val="auto"/>
          <w:kern w:val="0"/>
          <w:szCs w:val="21"/>
          <w:lang w:bidi="ar"/>
        </w:rPr>
      </w:pPr>
    </w:p>
    <w:p w14:paraId="426D6AC7">
      <w:pPr>
        <w:widowControl/>
        <w:spacing w:line="400" w:lineRule="exact"/>
        <w:ind w:firstLine="420" w:firstLineChars="0"/>
        <w:jc w:val="center"/>
        <w:rPr>
          <w:rFonts w:hint="eastAsia" w:ascii="宋体" w:hAnsi="宋体" w:cs="宋体"/>
          <w:color w:val="auto"/>
          <w:kern w:val="0"/>
          <w:szCs w:val="21"/>
          <w:lang w:bidi="ar"/>
        </w:rPr>
      </w:pPr>
      <w:r>
        <w:rPr>
          <w:rFonts w:hint="eastAsia" w:ascii="宋体" w:hAnsi="宋体" w:cs="宋体"/>
          <w:color w:val="auto"/>
          <w:kern w:val="0"/>
          <w:szCs w:val="21"/>
          <w:lang w:bidi="ar"/>
        </w:rPr>
        <w:t>供应商（单位电子签章）：</w:t>
      </w:r>
    </w:p>
    <w:p w14:paraId="5D81131D">
      <w:pPr>
        <w:widowControl/>
        <w:spacing w:line="400" w:lineRule="exact"/>
        <w:ind w:firstLine="420" w:firstLineChars="0"/>
        <w:jc w:val="right"/>
        <w:rPr>
          <w:rFonts w:hint="eastAsia" w:ascii="宋体" w:hAnsi="宋体" w:cs="宋体"/>
          <w:color w:val="auto"/>
          <w:kern w:val="0"/>
          <w:szCs w:val="21"/>
          <w:lang w:bidi="ar"/>
        </w:rPr>
      </w:pPr>
      <w:r>
        <w:rPr>
          <w:rFonts w:hint="eastAsia" w:ascii="宋体" w:hAnsi="宋体" w:cs="宋体"/>
          <w:color w:val="auto"/>
          <w:kern w:val="0"/>
          <w:szCs w:val="21"/>
          <w:lang w:bidi="ar"/>
        </w:rPr>
        <w:t>法定代表人、负责人、本人或授权代表（</w:t>
      </w:r>
      <w:r>
        <w:rPr>
          <w:rFonts w:hint="eastAsia" w:ascii="宋体" w:hAnsi="宋体"/>
          <w:snapToGrid w:val="0"/>
          <w:color w:val="auto"/>
          <w:kern w:val="0"/>
        </w:rPr>
        <w:t>电子签名或电子签章</w:t>
      </w:r>
      <w:r>
        <w:rPr>
          <w:rFonts w:hint="eastAsia" w:ascii="宋体" w:hAnsi="宋体" w:cs="宋体"/>
          <w:color w:val="auto"/>
          <w:kern w:val="0"/>
          <w:szCs w:val="21"/>
          <w:lang w:bidi="ar"/>
        </w:rPr>
        <w:t>）：</w:t>
      </w:r>
    </w:p>
    <w:p w14:paraId="63C14B7C">
      <w:pPr>
        <w:widowControl/>
        <w:spacing w:line="400" w:lineRule="exact"/>
        <w:ind w:firstLine="420" w:firstLineChars="0"/>
        <w:jc w:val="center"/>
        <w:rPr>
          <w:rFonts w:hint="eastAsia" w:ascii="宋体" w:hAnsi="宋体" w:cs="宋体"/>
          <w:color w:val="auto"/>
          <w:kern w:val="0"/>
          <w:szCs w:val="21"/>
          <w:lang w:bidi="ar"/>
        </w:rPr>
      </w:pPr>
      <w:r>
        <w:rPr>
          <w:rFonts w:hint="eastAsia" w:ascii="宋体" w:hAnsi="宋体" w:cs="宋体"/>
          <w:color w:val="auto"/>
          <w:kern w:val="0"/>
          <w:szCs w:val="21"/>
          <w:lang w:bidi="ar"/>
        </w:rPr>
        <w:t>日期：  年  月  日</w:t>
      </w:r>
    </w:p>
    <w:p w14:paraId="5B3A5623">
      <w:pPr>
        <w:widowControl/>
        <w:spacing w:line="400" w:lineRule="exact"/>
        <w:ind w:firstLine="210" w:firstLineChars="10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 注：1、投标人须在投标文件中按此模板提供承诺函，未提供视为未实质性响应招标文件要求，按无效投标处理。</w:t>
      </w:r>
    </w:p>
    <w:p w14:paraId="1E06F90B">
      <w:pPr>
        <w:widowControl/>
        <w:spacing w:line="400" w:lineRule="exact"/>
        <w:ind w:firstLine="735" w:firstLineChars="350"/>
        <w:jc w:val="left"/>
        <w:rPr>
          <w:rFonts w:ascii="宋体" w:hAnsi="宋体"/>
          <w:color w:val="auto"/>
        </w:rPr>
        <w:sectPr>
          <w:headerReference r:id="rId11" w:type="default"/>
          <w:footerReference r:id="rId12" w:type="default"/>
          <w:pgSz w:w="11905" w:h="16838"/>
          <w:pgMar w:top="1134" w:right="1134" w:bottom="1134" w:left="1417" w:header="850" w:footer="850" w:gutter="0"/>
          <w:pgNumType w:fmt="numberInDash"/>
          <w:cols w:space="720" w:num="1"/>
          <w:rtlGutter w:val="0"/>
          <w:docGrid w:type="lines" w:linePitch="411" w:charSpace="0"/>
        </w:sectPr>
      </w:pPr>
      <w:r>
        <w:rPr>
          <w:rFonts w:hint="eastAsia" w:ascii="宋体" w:hAnsi="宋体" w:cs="宋体"/>
          <w:color w:val="auto"/>
          <w:kern w:val="0"/>
          <w:szCs w:val="21"/>
          <w:lang w:bidi="ar"/>
        </w:rPr>
        <w:t>2、投标人的法定代表人或者授权代表的签字或盖章应真实、有效，如由授权代表签字或盖章的，应提供“法定代表人授权书”</w:t>
      </w:r>
    </w:p>
    <w:p w14:paraId="45914A64">
      <w:pPr>
        <w:pStyle w:val="30"/>
      </w:pPr>
    </w:p>
    <w:bookmarkEnd w:id="975"/>
    <w:bookmarkEnd w:id="976"/>
    <w:bookmarkEnd w:id="979"/>
    <w:bookmarkEnd w:id="980"/>
    <w:bookmarkEnd w:id="981"/>
    <w:p w14:paraId="6F5990C0">
      <w:pPr>
        <w:wordWrap w:val="0"/>
        <w:spacing w:line="420" w:lineRule="exact"/>
        <w:jc w:val="center"/>
        <w:outlineLvl w:val="1"/>
        <w:rPr>
          <w:rFonts w:hint="eastAsia" w:ascii="宋体" w:hAnsi="宋体" w:eastAsia="宋体" w:cs="宋体"/>
          <w:b/>
          <w:bCs/>
          <w:kern w:val="2"/>
          <w:sz w:val="32"/>
          <w:szCs w:val="32"/>
          <w:lang w:val="en-US" w:eastAsia="zh-CN" w:bidi="ar-SA"/>
        </w:rPr>
      </w:pPr>
      <w:bookmarkStart w:id="984" w:name="_Toc21211"/>
      <w:bookmarkStart w:id="985" w:name="_Toc20467"/>
      <w:r>
        <w:rPr>
          <w:rFonts w:hint="eastAsia" w:ascii="宋体" w:hAnsi="宋体" w:eastAsia="宋体" w:cs="宋体"/>
          <w:b/>
          <w:bCs/>
          <w:kern w:val="2"/>
          <w:sz w:val="32"/>
          <w:szCs w:val="32"/>
          <w:lang w:val="en-US" w:eastAsia="zh-CN" w:bidi="ar-SA"/>
        </w:rPr>
        <w:t>七、</w:t>
      </w:r>
      <w:bookmarkEnd w:id="984"/>
      <w:bookmarkEnd w:id="985"/>
      <w:r>
        <w:rPr>
          <w:rFonts w:hint="eastAsia" w:ascii="宋体" w:hAnsi="宋体" w:eastAsia="宋体" w:cs="宋体"/>
          <w:b/>
          <w:bCs/>
          <w:kern w:val="2"/>
          <w:sz w:val="32"/>
          <w:szCs w:val="32"/>
          <w:lang w:val="en-US" w:eastAsia="zh-CN" w:bidi="ar-SA"/>
        </w:rPr>
        <w:t>技术部分</w:t>
      </w:r>
    </w:p>
    <w:p w14:paraId="37C02735">
      <w:pPr>
        <w:jc w:val="center"/>
        <w:rPr>
          <w:rFonts w:hint="eastAsia"/>
          <w:sz w:val="24"/>
          <w:szCs w:val="24"/>
          <w:lang w:val="en-US" w:eastAsia="zh-CN"/>
        </w:rPr>
      </w:pPr>
    </w:p>
    <w:p w14:paraId="3E060A3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r>
        <w:rPr>
          <w:rFonts w:hint="eastAsia"/>
          <w:sz w:val="24"/>
          <w:szCs w:val="24"/>
          <w:lang w:val="en-US" w:eastAsia="zh-CN"/>
        </w:rPr>
        <w:t>包含但不限于：</w:t>
      </w:r>
    </w:p>
    <w:p w14:paraId="09D1230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sz w:val="24"/>
          <w:szCs w:val="24"/>
          <w:highlight w:val="none"/>
        </w:rPr>
      </w:pPr>
      <w:r>
        <w:rPr>
          <w:rFonts w:hint="eastAsia" w:ascii="Times New Roman" w:hAnsi="Times New Roman" w:eastAsia="宋体" w:cs="Times New Roman"/>
          <w:kern w:val="2"/>
          <w:sz w:val="24"/>
          <w:szCs w:val="24"/>
          <w:lang w:val="en-US" w:eastAsia="zh-CN" w:bidi="ar-SA"/>
        </w:rPr>
        <w:t>1、</w:t>
      </w:r>
      <w:r>
        <w:rPr>
          <w:rFonts w:hint="eastAsia"/>
          <w:sz w:val="24"/>
          <w:szCs w:val="24"/>
        </w:rPr>
        <w:t>投标产品详细介</w:t>
      </w:r>
      <w:r>
        <w:rPr>
          <w:rFonts w:hint="eastAsia"/>
          <w:sz w:val="24"/>
          <w:szCs w:val="24"/>
          <w:highlight w:val="none"/>
        </w:rPr>
        <w:t>绍（需提供详细、有效证明文件）</w:t>
      </w:r>
    </w:p>
    <w:p w14:paraId="622ABE7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eastAsia="宋体"/>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eastAsia"/>
          <w:sz w:val="24"/>
          <w:szCs w:val="24"/>
          <w:lang w:val="en-US" w:eastAsia="zh-CN"/>
        </w:rPr>
        <w:t>项目技术方案等</w:t>
      </w:r>
    </w:p>
    <w:p w14:paraId="7CF5A449">
      <w:pPr>
        <w:pStyle w:val="8"/>
        <w:rPr>
          <w:rFonts w:hint="eastAsia"/>
          <w:sz w:val="24"/>
          <w:szCs w:val="24"/>
        </w:rPr>
      </w:pPr>
    </w:p>
    <w:p w14:paraId="4EA49127">
      <w:pPr>
        <w:rPr>
          <w:rFonts w:hint="eastAsia"/>
          <w:sz w:val="24"/>
          <w:szCs w:val="24"/>
        </w:rPr>
      </w:pPr>
    </w:p>
    <w:p w14:paraId="69571A3B">
      <w:pPr>
        <w:pStyle w:val="8"/>
        <w:rPr>
          <w:rFonts w:hint="eastAsia"/>
          <w:sz w:val="24"/>
          <w:szCs w:val="24"/>
        </w:rPr>
      </w:pPr>
    </w:p>
    <w:p w14:paraId="0F9BD18A">
      <w:pPr>
        <w:rPr>
          <w:rFonts w:hint="eastAsia"/>
        </w:rPr>
      </w:pPr>
    </w:p>
    <w:p w14:paraId="2B82A723">
      <w:pPr>
        <w:pStyle w:val="8"/>
        <w:rPr>
          <w:rFonts w:hint="eastAsia"/>
          <w:lang w:val="en-US" w:eastAsia="zh-CN"/>
        </w:rPr>
      </w:pPr>
    </w:p>
    <w:p w14:paraId="1DD4203F">
      <w:pPr>
        <w:jc w:val="center"/>
        <w:rPr>
          <w:rFonts w:hint="eastAsia" w:ascii="宋体" w:hAnsi="宋体" w:cs="宋体"/>
          <w:b/>
          <w:sz w:val="30"/>
          <w:szCs w:val="30"/>
          <w:lang w:val="en-US" w:eastAsia="zh-CN"/>
        </w:rPr>
      </w:pPr>
    </w:p>
    <w:p w14:paraId="652904C8">
      <w:pPr>
        <w:pStyle w:val="8"/>
        <w:jc w:val="center"/>
        <w:rPr>
          <w:rFonts w:hint="eastAsia" w:ascii="宋体" w:hAnsi="宋体" w:cs="宋体"/>
          <w:b/>
          <w:sz w:val="30"/>
          <w:szCs w:val="30"/>
          <w:lang w:val="en-US" w:eastAsia="zh-CN"/>
        </w:rPr>
      </w:pPr>
    </w:p>
    <w:p w14:paraId="077C1278">
      <w:pPr>
        <w:rPr>
          <w:rFonts w:hint="eastAsia" w:ascii="宋体" w:hAnsi="宋体" w:cs="宋体"/>
          <w:b/>
          <w:sz w:val="30"/>
          <w:szCs w:val="30"/>
          <w:lang w:val="en-US" w:eastAsia="zh-CN"/>
        </w:rPr>
      </w:pPr>
    </w:p>
    <w:p w14:paraId="3DEB7926">
      <w:pPr>
        <w:rPr>
          <w:rFonts w:hint="eastAsia" w:ascii="宋体" w:hAnsi="宋体" w:cs="宋体"/>
          <w:b/>
          <w:sz w:val="30"/>
          <w:szCs w:val="30"/>
          <w:lang w:val="en-US" w:eastAsia="zh-CN"/>
        </w:rPr>
      </w:pPr>
    </w:p>
    <w:p w14:paraId="5A8851D2">
      <w:pPr>
        <w:rPr>
          <w:rFonts w:hint="eastAsia" w:ascii="宋体" w:hAnsi="宋体" w:cs="宋体"/>
          <w:b/>
          <w:sz w:val="30"/>
          <w:szCs w:val="30"/>
          <w:lang w:val="en-US" w:eastAsia="zh-CN"/>
        </w:rPr>
      </w:pPr>
    </w:p>
    <w:p w14:paraId="56D19D95">
      <w:pPr>
        <w:rPr>
          <w:rFonts w:hint="eastAsia" w:ascii="宋体" w:hAnsi="宋体" w:cs="宋体"/>
          <w:b/>
          <w:sz w:val="30"/>
          <w:szCs w:val="30"/>
          <w:lang w:val="en-US" w:eastAsia="zh-CN"/>
        </w:rPr>
      </w:pPr>
    </w:p>
    <w:p w14:paraId="3ED5377B">
      <w:pPr>
        <w:rPr>
          <w:rFonts w:hint="eastAsia" w:ascii="宋体" w:hAnsi="宋体" w:cs="宋体"/>
          <w:b/>
          <w:sz w:val="30"/>
          <w:szCs w:val="30"/>
          <w:lang w:val="en-US" w:eastAsia="zh-CN"/>
        </w:rPr>
      </w:pPr>
    </w:p>
    <w:p w14:paraId="120FC4C8">
      <w:pPr>
        <w:rPr>
          <w:rFonts w:hint="eastAsia" w:ascii="宋体" w:hAnsi="宋体" w:cs="宋体"/>
          <w:b/>
          <w:sz w:val="30"/>
          <w:szCs w:val="30"/>
          <w:lang w:val="en-US" w:eastAsia="zh-CN"/>
        </w:rPr>
      </w:pPr>
    </w:p>
    <w:p w14:paraId="5A28FA02">
      <w:pPr>
        <w:rPr>
          <w:rFonts w:hint="eastAsia" w:ascii="宋体" w:hAnsi="宋体" w:cs="宋体"/>
          <w:b/>
          <w:sz w:val="30"/>
          <w:szCs w:val="30"/>
          <w:lang w:val="en-US" w:eastAsia="zh-CN"/>
        </w:rPr>
      </w:pPr>
    </w:p>
    <w:p w14:paraId="61E95694">
      <w:pPr>
        <w:rPr>
          <w:rFonts w:hint="eastAsia" w:ascii="宋体" w:hAnsi="宋体" w:cs="宋体"/>
          <w:b/>
          <w:sz w:val="30"/>
          <w:szCs w:val="30"/>
          <w:lang w:val="en-US" w:eastAsia="zh-CN"/>
        </w:rPr>
      </w:pPr>
    </w:p>
    <w:p w14:paraId="421D1848">
      <w:pPr>
        <w:rPr>
          <w:rFonts w:hint="eastAsia" w:ascii="宋体" w:hAnsi="宋体" w:cs="宋体"/>
          <w:b/>
          <w:sz w:val="30"/>
          <w:szCs w:val="30"/>
          <w:lang w:val="en-US" w:eastAsia="zh-CN"/>
        </w:rPr>
      </w:pPr>
    </w:p>
    <w:p w14:paraId="75A73DBA">
      <w:pPr>
        <w:rPr>
          <w:rFonts w:hint="eastAsia" w:ascii="宋体" w:hAnsi="宋体" w:cs="宋体"/>
          <w:b/>
          <w:sz w:val="30"/>
          <w:szCs w:val="30"/>
          <w:lang w:val="en-US" w:eastAsia="zh-CN"/>
        </w:rPr>
      </w:pPr>
    </w:p>
    <w:p w14:paraId="0E8CFD07">
      <w:pPr>
        <w:wordWrap w:val="0"/>
        <w:spacing w:line="420" w:lineRule="exact"/>
        <w:jc w:val="center"/>
        <w:outlineLvl w:val="1"/>
        <w:rPr>
          <w:rFonts w:hint="eastAsia" w:ascii="宋体" w:hAnsi="宋体" w:cs="宋体"/>
          <w:b/>
          <w:bCs/>
          <w:kern w:val="2"/>
          <w:sz w:val="32"/>
          <w:szCs w:val="32"/>
          <w:lang w:val="en-US" w:eastAsia="zh-CN" w:bidi="ar-SA"/>
        </w:rPr>
      </w:pPr>
      <w:bookmarkStart w:id="986" w:name="_Toc12738"/>
    </w:p>
    <w:p w14:paraId="1C8C33EE">
      <w:pPr>
        <w:wordWrap w:val="0"/>
        <w:spacing w:line="420" w:lineRule="exact"/>
        <w:jc w:val="center"/>
        <w:outlineLvl w:val="1"/>
        <w:rPr>
          <w:rFonts w:hint="eastAsia" w:ascii="宋体" w:hAnsi="宋体" w:eastAsia="宋体" w:cs="宋体"/>
          <w:b/>
          <w:bCs/>
          <w:kern w:val="2"/>
          <w:sz w:val="32"/>
          <w:szCs w:val="32"/>
          <w:lang w:val="en-US" w:eastAsia="zh-CN" w:bidi="ar-SA"/>
        </w:rPr>
      </w:pPr>
      <w:r>
        <w:rPr>
          <w:rFonts w:hint="eastAsia" w:ascii="宋体" w:hAnsi="宋体" w:cs="宋体"/>
          <w:b/>
          <w:bCs/>
          <w:kern w:val="2"/>
          <w:sz w:val="32"/>
          <w:szCs w:val="32"/>
          <w:lang w:val="en-US" w:eastAsia="zh-CN" w:bidi="ar-SA"/>
        </w:rPr>
        <w:t>八、</w:t>
      </w:r>
      <w:r>
        <w:rPr>
          <w:rFonts w:hint="eastAsia" w:ascii="宋体" w:hAnsi="宋体" w:eastAsia="宋体" w:cs="宋体"/>
          <w:b/>
          <w:bCs/>
          <w:kern w:val="2"/>
          <w:sz w:val="32"/>
          <w:szCs w:val="32"/>
          <w:lang w:val="en-US" w:eastAsia="zh-CN" w:bidi="ar-SA"/>
        </w:rPr>
        <w:t>其他材料</w:t>
      </w:r>
    </w:p>
    <w:p w14:paraId="03E3DA68">
      <w:pPr>
        <w:jc w:val="center"/>
        <w:rPr>
          <w:rFonts w:hint="eastAsia" w:ascii="Times New Roman" w:hAnsi="Times New Roman" w:eastAsia="宋体" w:cs="Times New Roman"/>
          <w:sz w:val="24"/>
          <w:szCs w:val="24"/>
        </w:rPr>
      </w:pPr>
      <w:r>
        <w:rPr>
          <w:rFonts w:hint="eastAsia"/>
          <w:sz w:val="24"/>
          <w:szCs w:val="24"/>
        </w:rPr>
        <w:t>1、</w:t>
      </w:r>
      <w:bookmarkEnd w:id="986"/>
      <w:r>
        <w:rPr>
          <w:rFonts w:hint="eastAsia" w:ascii="Times New Roman" w:hAnsi="Times New Roman" w:eastAsia="宋体" w:cs="Times New Roman"/>
          <w:sz w:val="24"/>
          <w:szCs w:val="24"/>
          <w:lang w:val="en-US" w:eastAsia="zh-CN"/>
        </w:rPr>
        <w:t>反商业贿赂承诺书</w:t>
      </w:r>
    </w:p>
    <w:p w14:paraId="2CB4253F">
      <w:pPr>
        <w:pStyle w:val="8"/>
        <w:spacing w:before="7"/>
        <w:rPr>
          <w:rFonts w:ascii="宋体" w:hAnsi="宋体" w:cs="宋体"/>
          <w:b/>
          <w:sz w:val="22"/>
          <w:szCs w:val="22"/>
        </w:rPr>
      </w:pPr>
    </w:p>
    <w:p w14:paraId="71A96CF9">
      <w:pPr>
        <w:rPr>
          <w:rFonts w:hint="eastAsia"/>
          <w:sz w:val="24"/>
          <w:szCs w:val="24"/>
        </w:rPr>
      </w:pPr>
    </w:p>
    <w:p w14:paraId="6FDFD6D4">
      <w:pPr>
        <w:spacing w:line="360" w:lineRule="auto"/>
        <w:rPr>
          <w:rFonts w:hint="eastAsia"/>
          <w:sz w:val="24"/>
          <w:szCs w:val="24"/>
        </w:rPr>
      </w:pPr>
      <w:r>
        <w:rPr>
          <w:rFonts w:hint="eastAsia"/>
          <w:sz w:val="24"/>
          <w:szCs w:val="24"/>
        </w:rPr>
        <w:t>我公司承诺：</w:t>
      </w:r>
    </w:p>
    <w:p w14:paraId="23EBC0A5">
      <w:pPr>
        <w:spacing w:line="360" w:lineRule="auto"/>
        <w:rPr>
          <w:rFonts w:hint="eastAsia" w:hAnsi="宋体"/>
          <w:sz w:val="24"/>
          <w:szCs w:val="24"/>
        </w:rPr>
      </w:pPr>
      <w:r>
        <w:rPr>
          <w:rFonts w:hint="eastAsia" w:hAnsi="宋体"/>
          <w:sz w:val="24"/>
          <w:szCs w:val="24"/>
        </w:rPr>
        <w:t xml:space="preserve">    在</w:t>
      </w:r>
      <w:r>
        <w:rPr>
          <w:rFonts w:hint="eastAsia" w:hAnsi="宋体"/>
          <w:sz w:val="24"/>
          <w:szCs w:val="24"/>
          <w:u w:val="single"/>
        </w:rPr>
        <w:t xml:space="preserve">             项目名称</w:t>
      </w:r>
      <w:r>
        <w:rPr>
          <w:rFonts w:hint="eastAsia" w:hAnsi="宋体"/>
          <w:sz w:val="24"/>
          <w:szCs w:val="24"/>
        </w:rPr>
        <w:t>（</w:t>
      </w:r>
      <w:r>
        <w:rPr>
          <w:rFonts w:hint="eastAsia" w:hAnsi="宋体"/>
          <w:sz w:val="24"/>
          <w:szCs w:val="24"/>
          <w:lang w:val="en-US" w:eastAsia="zh-CN"/>
        </w:rPr>
        <w:t>采购</w:t>
      </w:r>
      <w:r>
        <w:rPr>
          <w:rFonts w:hint="eastAsia" w:hAnsi="宋体"/>
          <w:sz w:val="24"/>
          <w:szCs w:val="24"/>
        </w:rPr>
        <w:t xml:space="preserve">编号为： </w:t>
      </w:r>
      <w:r>
        <w:rPr>
          <w:rFonts w:hint="eastAsia" w:hAnsi="宋体"/>
          <w:sz w:val="24"/>
          <w:szCs w:val="24"/>
          <w:u w:val="single"/>
        </w:rPr>
        <w:t xml:space="preserve">            </w:t>
      </w:r>
      <w:r>
        <w:rPr>
          <w:rFonts w:hint="eastAsia" w:hAnsi="宋体"/>
          <w:sz w:val="24"/>
          <w:szCs w:val="24"/>
        </w:rPr>
        <w:t>采购活动中，我方保证做到：</w:t>
      </w:r>
    </w:p>
    <w:p w14:paraId="6CFC1FF5">
      <w:pPr>
        <w:spacing w:line="360" w:lineRule="auto"/>
        <w:ind w:firstLine="480" w:firstLineChars="200"/>
        <w:rPr>
          <w:rFonts w:hint="eastAsia"/>
          <w:sz w:val="24"/>
          <w:szCs w:val="24"/>
        </w:rPr>
      </w:pPr>
      <w:r>
        <w:rPr>
          <w:rFonts w:hint="eastAsia"/>
          <w:sz w:val="24"/>
          <w:szCs w:val="24"/>
        </w:rPr>
        <w:t>一、公平竞争参加本次采购活动。</w:t>
      </w:r>
    </w:p>
    <w:p w14:paraId="03294FD6">
      <w:pPr>
        <w:spacing w:line="360" w:lineRule="auto"/>
        <w:ind w:firstLine="480" w:firstLineChars="200"/>
        <w:rPr>
          <w:rFonts w:hint="eastAsia"/>
          <w:sz w:val="24"/>
          <w:szCs w:val="24"/>
        </w:rPr>
      </w:pPr>
      <w:r>
        <w:rPr>
          <w:rFonts w:hint="eastAsia"/>
          <w:sz w:val="24"/>
          <w:szCs w:val="24"/>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5365CB0F">
      <w:pPr>
        <w:spacing w:line="360" w:lineRule="auto"/>
        <w:ind w:firstLine="480" w:firstLineChars="200"/>
        <w:rPr>
          <w:rFonts w:hint="eastAsia"/>
          <w:sz w:val="24"/>
          <w:szCs w:val="24"/>
        </w:rPr>
      </w:pPr>
      <w:r>
        <w:rPr>
          <w:rFonts w:hint="eastAsia"/>
          <w:sz w:val="24"/>
          <w:szCs w:val="24"/>
        </w:rPr>
        <w:t>三、若出现上述行为，我方及参与招标投标活动的工作人员愿意接受按照国家法律法规等有关规定给予的处罚。</w:t>
      </w:r>
    </w:p>
    <w:p w14:paraId="21D807DB">
      <w:pPr>
        <w:rPr>
          <w:rFonts w:hint="eastAsia"/>
          <w:sz w:val="24"/>
          <w:szCs w:val="24"/>
        </w:rPr>
      </w:pPr>
    </w:p>
    <w:p w14:paraId="44A4F309">
      <w:pPr>
        <w:spacing w:line="360" w:lineRule="auto"/>
        <w:jc w:val="center"/>
        <w:rPr>
          <w:rFonts w:hint="eastAsia"/>
          <w:sz w:val="24"/>
          <w:szCs w:val="24"/>
        </w:rPr>
      </w:pPr>
      <w:r>
        <w:rPr>
          <w:rFonts w:hint="eastAsia"/>
          <w:sz w:val="24"/>
          <w:szCs w:val="24"/>
        </w:rPr>
        <w:t xml:space="preserve">      供应商（盖单位公章） ：</w:t>
      </w:r>
    </w:p>
    <w:p w14:paraId="65DFCA2B">
      <w:pPr>
        <w:spacing w:line="360" w:lineRule="auto"/>
        <w:jc w:val="center"/>
        <w:rPr>
          <w:rFonts w:hint="eastAsia"/>
          <w:sz w:val="24"/>
          <w:szCs w:val="24"/>
        </w:rPr>
      </w:pPr>
      <w:r>
        <w:rPr>
          <w:rFonts w:hint="eastAsia" w:ascii="宋体" w:hAnsi="宋体"/>
          <w:sz w:val="24"/>
          <w:szCs w:val="24"/>
        </w:rPr>
        <w:t xml:space="preserve">                    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或其委托代理人（签字或盖章）</w:t>
      </w:r>
      <w:r>
        <w:rPr>
          <w:rFonts w:hint="eastAsia" w:hAnsi="宋体"/>
          <w:sz w:val="24"/>
          <w:szCs w:val="24"/>
        </w:rPr>
        <w:t>：</w:t>
      </w:r>
    </w:p>
    <w:p w14:paraId="1DC119D7">
      <w:pPr>
        <w:spacing w:line="360" w:lineRule="auto"/>
        <w:jc w:val="center"/>
        <w:rPr>
          <w:rFonts w:hint="eastAsia" w:hAnsi="宋体"/>
          <w:spacing w:val="20"/>
          <w:sz w:val="24"/>
          <w:szCs w:val="24"/>
        </w:rPr>
      </w:pPr>
      <w:r>
        <w:rPr>
          <w:rFonts w:hint="eastAsia" w:hAnsi="宋体"/>
          <w:sz w:val="24"/>
          <w:szCs w:val="24"/>
        </w:rPr>
        <w:t xml:space="preserve">                   日期：</w:t>
      </w:r>
      <w:r>
        <w:rPr>
          <w:rFonts w:hint="eastAsia" w:hAnsi="宋体"/>
          <w:spacing w:val="20"/>
          <w:sz w:val="24"/>
          <w:szCs w:val="24"/>
          <w:u w:val="single"/>
        </w:rPr>
        <w:t xml:space="preserve">      </w:t>
      </w:r>
      <w:r>
        <w:rPr>
          <w:rFonts w:hint="eastAsia" w:hAnsi="宋体"/>
          <w:spacing w:val="20"/>
          <w:sz w:val="24"/>
          <w:szCs w:val="24"/>
        </w:rPr>
        <w:t>年</w:t>
      </w:r>
      <w:r>
        <w:rPr>
          <w:rFonts w:hint="eastAsia" w:hAnsi="宋体"/>
          <w:spacing w:val="20"/>
          <w:sz w:val="24"/>
          <w:szCs w:val="24"/>
          <w:u w:val="single"/>
        </w:rPr>
        <w:t xml:space="preserve">    </w:t>
      </w:r>
      <w:r>
        <w:rPr>
          <w:rFonts w:hint="eastAsia" w:hAnsi="宋体"/>
          <w:spacing w:val="20"/>
          <w:sz w:val="24"/>
          <w:szCs w:val="24"/>
        </w:rPr>
        <w:t>月</w:t>
      </w:r>
      <w:r>
        <w:rPr>
          <w:rFonts w:hint="eastAsia" w:hAnsi="宋体"/>
          <w:spacing w:val="20"/>
          <w:sz w:val="24"/>
          <w:szCs w:val="24"/>
          <w:u w:val="single"/>
        </w:rPr>
        <w:t xml:space="preserve">    </w:t>
      </w:r>
      <w:r>
        <w:rPr>
          <w:rFonts w:hint="eastAsia" w:hAnsi="宋体"/>
          <w:spacing w:val="20"/>
          <w:sz w:val="24"/>
          <w:szCs w:val="24"/>
        </w:rPr>
        <w:t>日</w:t>
      </w:r>
    </w:p>
    <w:p w14:paraId="5AF19F92">
      <w:pPr>
        <w:spacing w:line="420" w:lineRule="exact"/>
        <w:ind w:firstLine="470" w:firstLineChars="196"/>
        <w:rPr>
          <w:rFonts w:hint="eastAsia" w:hAnsi="宋体"/>
          <w:sz w:val="24"/>
          <w:szCs w:val="24"/>
        </w:rPr>
      </w:pPr>
      <w:r>
        <w:rPr>
          <w:rFonts w:hint="eastAsia" w:hAnsi="宋体"/>
          <w:sz w:val="24"/>
          <w:szCs w:val="24"/>
        </w:rPr>
        <w:t>注：本承诺书应由法定代表人</w:t>
      </w:r>
      <w:r>
        <w:rPr>
          <w:rFonts w:hint="eastAsia" w:hAnsi="宋体"/>
          <w:sz w:val="24"/>
          <w:szCs w:val="24"/>
          <w:lang w:eastAsia="zh-CN"/>
        </w:rPr>
        <w:t>（</w:t>
      </w:r>
      <w:r>
        <w:rPr>
          <w:rFonts w:hint="eastAsia" w:hAnsi="宋体"/>
          <w:sz w:val="24"/>
          <w:szCs w:val="24"/>
          <w:lang w:val="en-US" w:eastAsia="zh-CN"/>
        </w:rPr>
        <w:t>负责人）</w:t>
      </w:r>
      <w:r>
        <w:rPr>
          <w:rFonts w:hint="eastAsia" w:hAnsi="宋体"/>
          <w:sz w:val="24"/>
          <w:szCs w:val="24"/>
        </w:rPr>
        <w:t>或授权代理人签字并加盖公章，</w:t>
      </w:r>
      <w:r>
        <w:rPr>
          <w:rFonts w:hint="eastAsia" w:hAnsi="宋体"/>
          <w:bCs/>
          <w:sz w:val="24"/>
          <w:szCs w:val="24"/>
        </w:rPr>
        <w:t>否则视为无效文件</w:t>
      </w:r>
      <w:r>
        <w:rPr>
          <w:rFonts w:hint="eastAsia" w:hAnsi="宋体"/>
          <w:sz w:val="24"/>
          <w:szCs w:val="24"/>
        </w:rPr>
        <w:t>。</w:t>
      </w:r>
    </w:p>
    <w:p w14:paraId="6AC4A99D">
      <w:pPr>
        <w:spacing w:line="400" w:lineRule="exact"/>
        <w:jc w:val="center"/>
        <w:rPr>
          <w:rFonts w:hint="eastAsia" w:hAnsi="宋体"/>
          <w:b/>
          <w:sz w:val="24"/>
          <w:szCs w:val="24"/>
        </w:rPr>
      </w:pPr>
    </w:p>
    <w:p w14:paraId="518FF324">
      <w:pPr>
        <w:spacing w:line="400" w:lineRule="exact"/>
        <w:rPr>
          <w:rFonts w:hint="eastAsia" w:hAnsi="宋体"/>
          <w:b/>
          <w:sz w:val="21"/>
          <w:szCs w:val="21"/>
        </w:rPr>
      </w:pPr>
      <w:r>
        <w:rPr>
          <w:rFonts w:hint="eastAsia" w:hAnsi="宋体"/>
          <w:b/>
          <w:sz w:val="21"/>
          <w:szCs w:val="21"/>
        </w:rPr>
        <w:br w:type="page"/>
      </w:r>
    </w:p>
    <w:p w14:paraId="270576B8">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4"/>
          <w:szCs w:val="24"/>
        </w:rPr>
      </w:pP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采购项目承诺书</w:t>
      </w:r>
    </w:p>
    <w:p w14:paraId="2144954C">
      <w:pPr>
        <w:keepNext w:val="0"/>
        <w:keepLines w:val="0"/>
        <w:pageBreakBefore w:val="0"/>
        <w:widowControl w:val="0"/>
        <w:kinsoku/>
        <w:wordWrap/>
        <w:overflowPunct/>
        <w:topLinePunct w:val="0"/>
        <w:autoSpaceDE/>
        <w:autoSpaceDN/>
        <w:bidi w:val="0"/>
        <w:snapToGrid/>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（采购人名称）</w:t>
      </w:r>
    </w:p>
    <w:p w14:paraId="00EAC00F">
      <w:pPr>
        <w:keepNext w:val="0"/>
        <w:keepLines w:val="0"/>
        <w:pageBreakBefore w:val="0"/>
        <w:widowControl w:val="0"/>
        <w:kinsoku/>
        <w:wordWrap/>
        <w:overflowPunct/>
        <w:topLinePunct w:val="0"/>
        <w:autoSpaceDE/>
        <w:autoSpaceDN/>
        <w:bidi w:val="0"/>
        <w:snapToGrid/>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本承诺书作为我方参加 </w:t>
      </w:r>
      <w:r>
        <w:rPr>
          <w:rFonts w:hint="eastAsia"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）投标文件不可分割的一部分。我方参加本次投标特郑重作出如下承诺：</w:t>
      </w:r>
    </w:p>
    <w:p w14:paraId="367F9FE4">
      <w:pPr>
        <w:keepNext w:val="0"/>
        <w:keepLines w:val="0"/>
        <w:pageBreakBefore w:val="0"/>
        <w:widowControl w:val="0"/>
        <w:kinsoku/>
        <w:wordWrap/>
        <w:overflowPunct/>
        <w:topLinePunct w:val="0"/>
        <w:autoSpaceDE/>
        <w:autoSpaceDN/>
        <w:bidi w:val="0"/>
        <w:snapToGrid/>
        <w:spacing w:line="500" w:lineRule="exact"/>
        <w:ind w:firstLine="544" w:firstLineChars="227"/>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1、我方已经过详细市场调查，本次所投报产品货源充足，保证不会出现无货、断货现象；</w:t>
      </w:r>
    </w:p>
    <w:p w14:paraId="08A74300">
      <w:pPr>
        <w:keepNext w:val="0"/>
        <w:keepLines w:val="0"/>
        <w:pageBreakBefore w:val="0"/>
        <w:widowControl w:val="0"/>
        <w:kinsoku/>
        <w:wordWrap/>
        <w:overflowPunct/>
        <w:topLinePunct w:val="0"/>
        <w:autoSpaceDE/>
        <w:autoSpaceDN/>
        <w:bidi w:val="0"/>
        <w:snapToGrid/>
        <w:spacing w:line="500" w:lineRule="exact"/>
        <w:ind w:firstLine="544" w:firstLineChars="227"/>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我方将严格履行招标文件中规定的每一项要求，按所投产品的品牌、型号及约定的交货（完工）期保质、保量提交货物和相关服务，保证所提供的所有产品均符合国家相关标准规范或强制性规定，所供产品均为原厂生产的合格产品、符合招标文件各项技术参数要求的规定，绝不提供假冒伪劣产品，如需要我方可以提供相关出厂合格证明</w:t>
      </w:r>
      <w:r>
        <w:rPr>
          <w:rFonts w:hint="eastAsia" w:asciiTheme="minorEastAsia" w:hAnsiTheme="minorEastAsia" w:eastAsiaTheme="minorEastAsia" w:cstheme="minorEastAsia"/>
          <w:sz w:val="24"/>
          <w:szCs w:val="24"/>
        </w:rPr>
        <w:t>或测试报告</w:t>
      </w:r>
      <w:r>
        <w:rPr>
          <w:rFonts w:hint="eastAsia" w:asciiTheme="minorEastAsia" w:hAnsiTheme="minorEastAsia" w:eastAsiaTheme="minorEastAsia" w:cstheme="minorEastAsia"/>
          <w:bCs/>
          <w:sz w:val="24"/>
          <w:szCs w:val="24"/>
        </w:rPr>
        <w:t>；</w:t>
      </w:r>
    </w:p>
    <w:p w14:paraId="25BE5975">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3、如无法按我方承诺期限如期交货，我方愿按合同条款承担相应违约责任，对采购人造成损失的，我方愿承担相应赔偿责任；</w:t>
      </w:r>
    </w:p>
    <w:p w14:paraId="00438B89">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4、采购人验收时如发现我方所供产品与投标文件中所承诺的产品型号、规格、技术参数要求不符的，我方将立即无条件更换。如因此造成交货及安装周期超出我方承诺期限的，我方愿承担合同约定的违约责任；</w:t>
      </w:r>
    </w:p>
    <w:p w14:paraId="485FD4CE">
      <w:pPr>
        <w:spacing w:line="500" w:lineRule="exact"/>
        <w:ind w:left="1"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w:t>
      </w:r>
      <w:r>
        <w:rPr>
          <w:rFonts w:hint="eastAsia" w:asciiTheme="minorEastAsia" w:hAnsiTheme="minorEastAsia" w:eastAsiaTheme="minorEastAsia" w:cstheme="minorEastAsia"/>
          <w:sz w:val="24"/>
          <w:szCs w:val="24"/>
        </w:rPr>
        <w:t>我方提供的产品如不能满足招标文件要求的，采购人有权拒绝接收；</w:t>
      </w:r>
    </w:p>
    <w:p w14:paraId="7B420FDC">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如我方中标，在公示期内或领取中标（成交）通知书后，我方无正当理由（如自身报价失误、无法组织及时交货、资金不到位、帐户无法正常使用等）放弃中标资格，我方愿接受财政部门做出的记入不良诚信记录、网上曝光、禁止参加政府采购活动等的处理；</w:t>
      </w:r>
    </w:p>
    <w:p w14:paraId="760D7BEA">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7、我方已详细阅读了本招标文件，保证可以完全响应招标文件所有要求，并理解你方或评标委员会对我方进行资格审查的权利，如在资格审查中发现我方存在有违规行为愿承担相应法律责任；</w:t>
      </w:r>
    </w:p>
    <w:p w14:paraId="3006314C">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8、保证不将我方的有关资格、资质证书转借他人投标，不与他人进行串标、围标，不将本项目进行转包或分包。</w:t>
      </w:r>
    </w:p>
    <w:p w14:paraId="6115A42B">
      <w:pPr>
        <w:spacing w:line="420" w:lineRule="exact"/>
        <w:ind w:firstLine="470" w:firstLineChars="19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供应商（盖单位公章）：               </w:t>
      </w:r>
    </w:p>
    <w:p w14:paraId="215D1D7A">
      <w:pPr>
        <w:spacing w:line="420" w:lineRule="exact"/>
        <w:ind w:firstLine="470" w:firstLineChars="196"/>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负责人）</w:t>
      </w:r>
      <w:r>
        <w:rPr>
          <w:rFonts w:hint="eastAsia" w:asciiTheme="minorEastAsia" w:hAnsiTheme="minorEastAsia" w:eastAsiaTheme="minorEastAsia" w:cstheme="minorEastAsia"/>
          <w:sz w:val="24"/>
          <w:szCs w:val="24"/>
        </w:rPr>
        <w:t>或其委托代理人（签字或盖章）：</w:t>
      </w:r>
    </w:p>
    <w:p w14:paraId="0ADE9E32">
      <w:pPr>
        <w:spacing w:line="42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      年    月    日</w:t>
      </w:r>
    </w:p>
    <w:p w14:paraId="311960BD">
      <w:pPr>
        <w:spacing w:line="420" w:lineRule="exact"/>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r>
        <w:rPr>
          <w:rFonts w:hint="eastAsia" w:asciiTheme="minorEastAsia" w:hAnsiTheme="minorEastAsia" w:eastAsiaTheme="minorEastAsia" w:cstheme="minorEastAsia"/>
          <w:spacing w:val="20"/>
          <w:sz w:val="24"/>
          <w:szCs w:val="24"/>
        </w:rPr>
        <w:t>以上</w:t>
      </w:r>
      <w:r>
        <w:rPr>
          <w:rFonts w:hint="eastAsia" w:asciiTheme="minorEastAsia" w:hAnsiTheme="minorEastAsia" w:eastAsiaTheme="minorEastAsia" w:cstheme="minorEastAsia"/>
          <w:sz w:val="24"/>
          <w:szCs w:val="24"/>
        </w:rPr>
        <w:t>承诺书内容不得随意改动，本承诺书应由法定代表人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负责人）</w:t>
      </w:r>
      <w:r>
        <w:rPr>
          <w:rFonts w:hint="eastAsia" w:asciiTheme="minorEastAsia" w:hAnsiTheme="minorEastAsia" w:eastAsiaTheme="minorEastAsia" w:cstheme="minorEastAsia"/>
          <w:sz w:val="24"/>
          <w:szCs w:val="24"/>
        </w:rPr>
        <w:t>或授权代理人签字并加盖公章，</w:t>
      </w:r>
      <w:r>
        <w:rPr>
          <w:rFonts w:hint="eastAsia" w:asciiTheme="minorEastAsia" w:hAnsiTheme="minorEastAsia" w:eastAsiaTheme="minorEastAsia" w:cstheme="minorEastAsia"/>
          <w:bCs/>
          <w:sz w:val="24"/>
          <w:szCs w:val="24"/>
        </w:rPr>
        <w:t>否则视为无效投标文件</w:t>
      </w:r>
      <w:r>
        <w:rPr>
          <w:rFonts w:hint="eastAsia" w:asciiTheme="minorEastAsia" w:hAnsiTheme="minorEastAsia" w:eastAsiaTheme="minorEastAsia" w:cstheme="minorEastAsia"/>
          <w:sz w:val="24"/>
          <w:szCs w:val="24"/>
        </w:rPr>
        <w:t>。</w:t>
      </w:r>
    </w:p>
    <w:p w14:paraId="3A712078">
      <w:pPr>
        <w:bidi w:val="0"/>
        <w:rPr>
          <w:rFonts w:ascii="宋体" w:hAnsi="宋体" w:cs="宋体"/>
        </w:rPr>
      </w:pPr>
    </w:p>
    <w:p w14:paraId="47DD863A">
      <w:pPr>
        <w:pStyle w:val="8"/>
        <w:rPr>
          <w:rFonts w:ascii="宋体" w:hAnsi="宋体" w:cs="宋体"/>
        </w:rPr>
      </w:pPr>
    </w:p>
    <w:p w14:paraId="5DC3CC9F">
      <w:pPr>
        <w:pStyle w:val="32"/>
        <w:rPr>
          <w:rFonts w:ascii="宋体" w:hAnsi="宋体" w:cs="宋体"/>
        </w:rPr>
      </w:pPr>
    </w:p>
    <w:p w14:paraId="53CED5A1">
      <w:pPr>
        <w:pStyle w:val="34"/>
        <w:rPr>
          <w:rFonts w:ascii="宋体" w:hAnsi="宋体" w:cs="宋体"/>
        </w:rPr>
      </w:pPr>
    </w:p>
    <w:p w14:paraId="6EB080B3">
      <w:pPr>
        <w:rPr>
          <w:rFonts w:ascii="宋体" w:hAnsi="宋体" w:cs="宋体"/>
        </w:rPr>
      </w:pPr>
    </w:p>
    <w:p w14:paraId="0D7661F6">
      <w:pPr>
        <w:pStyle w:val="8"/>
        <w:rPr>
          <w:rFonts w:ascii="宋体" w:hAnsi="宋体" w:cs="宋体"/>
        </w:rPr>
      </w:pPr>
    </w:p>
    <w:p w14:paraId="4A693D1C">
      <w:pPr>
        <w:pStyle w:val="32"/>
        <w:rPr>
          <w:rFonts w:ascii="宋体" w:hAnsi="宋体" w:cs="宋体"/>
        </w:rPr>
      </w:pPr>
    </w:p>
    <w:p w14:paraId="3FEB473C">
      <w:pPr>
        <w:pStyle w:val="34"/>
        <w:rPr>
          <w:rFonts w:ascii="宋体" w:hAnsi="宋体" w:cs="宋体"/>
        </w:rPr>
      </w:pPr>
    </w:p>
    <w:p w14:paraId="3EA32C90">
      <w:pPr>
        <w:rPr>
          <w:rFonts w:ascii="宋体" w:hAnsi="宋体" w:cs="宋体"/>
        </w:rPr>
      </w:pPr>
    </w:p>
    <w:p w14:paraId="7A0DAFF6">
      <w:pPr>
        <w:pStyle w:val="8"/>
      </w:pPr>
    </w:p>
    <w:p w14:paraId="14BB14AF">
      <w:pPr>
        <w:wordWrap w:val="0"/>
        <w:rPr>
          <w:rFonts w:ascii="宋体" w:hAnsi="宋体" w:cs="宋体"/>
        </w:rPr>
      </w:pPr>
    </w:p>
    <w:p w14:paraId="7185B43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14D4A73D">
      <w:pPr>
        <w:wordWrap w:val="0"/>
        <w:spacing w:line="420" w:lineRule="exact"/>
        <w:jc w:val="center"/>
        <w:outlineLvl w:val="1"/>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九、供应商认为应该提交的其他材料</w:t>
      </w:r>
    </w:p>
    <w:p w14:paraId="70BEA5F2">
      <w:pPr>
        <w:wordWrap w:val="0"/>
        <w:spacing w:line="420" w:lineRule="exact"/>
        <w:rPr>
          <w:rFonts w:ascii="宋体" w:hAnsi="宋体" w:cs="宋体"/>
          <w:b/>
          <w:bCs/>
          <w:szCs w:val="21"/>
        </w:rPr>
      </w:pPr>
    </w:p>
    <w:p w14:paraId="7E132C70">
      <w:pPr>
        <w:spacing w:line="420" w:lineRule="exact"/>
        <w:ind w:firstLine="551" w:firstLineChars="196"/>
        <w:rPr>
          <w:rFonts w:hint="eastAsia"/>
          <w:sz w:val="24"/>
          <w:szCs w:val="24"/>
        </w:rPr>
      </w:pPr>
      <w:bookmarkStart w:id="987" w:name="_Toc19083"/>
      <w:bookmarkStart w:id="988" w:name="_Toc19333"/>
      <w:r>
        <w:rPr>
          <w:rFonts w:hint="eastAsia" w:ascii="宋体" w:hAnsi="宋体" w:cs="宋体"/>
          <w:b/>
          <w:bCs/>
          <w:sz w:val="28"/>
          <w:szCs w:val="28"/>
        </w:rPr>
        <w:br w:type="page"/>
      </w:r>
      <w:bookmarkEnd w:id="987"/>
      <w:bookmarkEnd w:id="988"/>
    </w:p>
    <w:p w14:paraId="30A13BC4">
      <w:pPr>
        <w:wordWrap w:val="0"/>
        <w:spacing w:line="420" w:lineRule="exact"/>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十、关于政府采购政策（有则附，没有不附）</w:t>
      </w:r>
    </w:p>
    <w:p w14:paraId="1867ACAD">
      <w:pPr>
        <w:autoSpaceDE w:val="0"/>
        <w:autoSpaceDN w:val="0"/>
        <w:adjustRightInd w:val="0"/>
        <w:spacing w:line="595" w:lineRule="exact"/>
        <w:ind w:right="-20"/>
        <w:jc w:val="center"/>
        <w:rPr>
          <w:rFonts w:hint="eastAsia" w:asciiTheme="minorEastAsia" w:hAnsiTheme="minorEastAsia" w:eastAsiaTheme="minorEastAsia" w:cstheme="minorEastAsia"/>
          <w:spacing w:val="2"/>
          <w:kern w:val="0"/>
          <w:sz w:val="24"/>
          <w:szCs w:val="24"/>
        </w:rPr>
      </w:pPr>
      <w:r>
        <w:rPr>
          <w:rFonts w:hint="eastAsia" w:asciiTheme="minorEastAsia" w:hAnsiTheme="minorEastAsia" w:eastAsiaTheme="minorEastAsia" w:cstheme="minorEastAsia"/>
          <w:spacing w:val="2"/>
          <w:kern w:val="0"/>
          <w:sz w:val="24"/>
          <w:szCs w:val="24"/>
        </w:rPr>
        <w:t>政府采购政策、采购标的需满足的要求，以及投标人须提供的证明材料</w:t>
      </w:r>
    </w:p>
    <w:p w14:paraId="5080D8A0">
      <w:pPr>
        <w:pStyle w:val="21"/>
        <w:ind w:firstLine="240"/>
        <w:rPr>
          <w:rFonts w:hint="eastAsia" w:asciiTheme="minorEastAsia" w:hAnsiTheme="minorEastAsia" w:eastAsiaTheme="minorEastAsia" w:cstheme="minorEastAsia"/>
          <w:sz w:val="24"/>
          <w:szCs w:val="24"/>
        </w:rPr>
      </w:pPr>
    </w:p>
    <w:p w14:paraId="0A20E57A">
      <w:pPr>
        <w:wordWrap w:val="0"/>
        <w:jc w:val="center"/>
        <w:outlineLvl w:val="1"/>
        <w:rPr>
          <w:rFonts w:hint="eastAsia" w:asciiTheme="minorEastAsia" w:hAnsiTheme="minorEastAsia" w:eastAsiaTheme="minorEastAsia" w:cstheme="minorEastAsia"/>
          <w:b/>
          <w:bCs/>
          <w:sz w:val="24"/>
          <w:szCs w:val="24"/>
          <w:lang w:val="en-US" w:eastAsia="zh-CN"/>
        </w:rPr>
      </w:pPr>
      <w:bookmarkStart w:id="989" w:name="_Toc22789"/>
      <w:bookmarkStart w:id="990" w:name="_Toc5320"/>
      <w:bookmarkStart w:id="991" w:name="_Toc16158"/>
      <w:bookmarkStart w:id="992" w:name="_Toc32628"/>
      <w:bookmarkStart w:id="993" w:name="_Toc23143"/>
      <w:bookmarkStart w:id="994" w:name="_Toc30711"/>
      <w:bookmarkStart w:id="995" w:name="_Toc9246"/>
      <w:bookmarkStart w:id="996" w:name="_Toc746"/>
      <w:bookmarkStart w:id="997" w:name="_Toc3557455"/>
      <w:r>
        <w:rPr>
          <w:rFonts w:hint="eastAsia" w:asciiTheme="minorEastAsia" w:hAnsiTheme="minorEastAsia" w:eastAsiaTheme="minorEastAsia" w:cstheme="minorEastAsia"/>
          <w:b/>
          <w:bCs/>
          <w:sz w:val="24"/>
          <w:szCs w:val="24"/>
          <w:lang w:val="en-US" w:eastAsia="zh-CN"/>
        </w:rPr>
        <w:t>（一）关于中小企业及产品</w:t>
      </w:r>
      <w:bookmarkEnd w:id="989"/>
      <w:bookmarkEnd w:id="990"/>
      <w:bookmarkEnd w:id="991"/>
      <w:bookmarkEnd w:id="992"/>
      <w:bookmarkEnd w:id="993"/>
      <w:bookmarkEnd w:id="994"/>
      <w:bookmarkEnd w:id="995"/>
      <w:bookmarkEnd w:id="996"/>
      <w:bookmarkEnd w:id="997"/>
    </w:p>
    <w:p w14:paraId="5EE3E65B">
      <w:pPr>
        <w:pStyle w:val="21"/>
        <w:ind w:firstLine="240"/>
        <w:rPr>
          <w:rFonts w:hint="eastAsia" w:asciiTheme="minorEastAsia" w:hAnsiTheme="minorEastAsia" w:eastAsiaTheme="minorEastAsia" w:cstheme="minorEastAsia"/>
          <w:sz w:val="24"/>
          <w:szCs w:val="24"/>
        </w:rPr>
      </w:pPr>
    </w:p>
    <w:p w14:paraId="50D50FA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（属于中小企业的填写，不属于的无需填写此项内容，也无需放入投标文件格式中）</w:t>
      </w:r>
    </w:p>
    <w:p w14:paraId="19EFB2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中小企业声明函（货物）</w:t>
      </w:r>
    </w:p>
    <w:p w14:paraId="79DD102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b/>
          <w:bCs/>
          <w:sz w:val="24"/>
          <w:szCs w:val="24"/>
        </w:rPr>
        <w:t>（单位名称）</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z w:val="24"/>
          <w:szCs w:val="24"/>
        </w:rPr>
        <w:t>的（项目名称）</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sz w:val="24"/>
          <w:szCs w:val="24"/>
        </w:rPr>
        <w:t>采购活动，提供的货物全部由符合政策要求的中小企业制造。相关企业（含联合体中的中小企业、签订分包意向协议的中小企业）的具体情况如下：</w:t>
      </w:r>
    </w:p>
    <w:p w14:paraId="5205FE81">
      <w:pPr>
        <w:numPr>
          <w:ilvl w:val="0"/>
          <w:numId w:val="4"/>
        </w:num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u w:val="single"/>
          <w:lang w:val="en-US" w:eastAsia="zh-CN"/>
        </w:rPr>
        <w:t xml:space="preserve"> </w:t>
      </w:r>
      <w:r>
        <w:rPr>
          <w:rFonts w:hint="eastAsia" w:ascii="宋体" w:hAnsi="宋体" w:cs="宋体"/>
          <w:sz w:val="24"/>
          <w:szCs w:val="24"/>
          <w:u w:val="single"/>
        </w:rPr>
        <w:t>（ 标 的 名 称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属 </w:t>
      </w:r>
      <w:r>
        <w:rPr>
          <w:rFonts w:hint="eastAsia" w:asciiTheme="minorEastAsia" w:hAnsiTheme="minorEastAsia" w:eastAsiaTheme="minorEastAsia" w:cstheme="minorEastAsia"/>
          <w:sz w:val="24"/>
          <w:szCs w:val="24"/>
          <w:highlight w:val="none"/>
        </w:rPr>
        <w:t>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行业；制造商为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w:t>
      </w:r>
      <w:r>
        <w:rPr>
          <w:rFonts w:hint="eastAsia" w:asciiTheme="minorEastAsia" w:hAnsiTheme="minorEastAsia" w:eastAsiaTheme="minorEastAsia" w:cstheme="minorEastAsia"/>
          <w:sz w:val="24"/>
          <w:szCs w:val="24"/>
          <w:highlight w:val="none"/>
          <w:vertAlign w:val="superscript"/>
        </w:rPr>
        <w:t>1</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0022BAD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2.</w:t>
      </w:r>
      <w:r>
        <w:rPr>
          <w:rFonts w:hint="eastAsia" w:ascii="宋体" w:hAnsi="宋体" w:cs="宋体"/>
          <w:sz w:val="24"/>
          <w:szCs w:val="24"/>
          <w:u w:val="single"/>
        </w:rPr>
        <w:t>（ 标 的 名 称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属 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行业；</w:t>
      </w:r>
      <w:r>
        <w:rPr>
          <w:rFonts w:hint="eastAsia" w:asciiTheme="minorEastAsia" w:hAnsiTheme="minorEastAsia" w:eastAsiaTheme="minorEastAsia" w:cstheme="minorEastAsia"/>
          <w:sz w:val="24"/>
          <w:szCs w:val="24"/>
        </w:rPr>
        <w:t>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34F1E7AA">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p w14:paraId="5CB6057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0CB3BA4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2E90D06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企业名称（盖章）：</w:t>
      </w:r>
    </w:p>
    <w:p w14:paraId="39D62BC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w:t>
      </w:r>
    </w:p>
    <w:p w14:paraId="1F1CC79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从业人员、营业收入、资产总额填报上一年度数据，无上一年度数据的新成立企业可不填报。</w:t>
      </w:r>
    </w:p>
    <w:p w14:paraId="02C9314A">
      <w:pPr>
        <w:rPr>
          <w:rFonts w:hint="eastAsia" w:ascii="宋体" w:hAnsi="宋体" w:cs="宋体"/>
          <w:sz w:val="24"/>
          <w:szCs w:val="24"/>
        </w:rPr>
      </w:pPr>
      <w:r>
        <w:rPr>
          <w:rFonts w:hint="eastAsia" w:ascii="宋体" w:hAnsi="宋体" w:cs="宋体"/>
          <w:sz w:val="24"/>
          <w:szCs w:val="24"/>
        </w:rPr>
        <w:br w:type="page"/>
      </w:r>
    </w:p>
    <w:p w14:paraId="6F0B6D64">
      <w:pPr>
        <w:adjustRightInd w:val="0"/>
        <w:snapToGrid w:val="0"/>
        <w:spacing w:line="360" w:lineRule="auto"/>
        <w:rPr>
          <w:rFonts w:ascii="宋体" w:hAnsi="宋体" w:cs="宋体"/>
          <w:sz w:val="24"/>
          <w:szCs w:val="24"/>
        </w:rPr>
      </w:pPr>
      <w:r>
        <w:rPr>
          <w:rFonts w:hint="eastAsia" w:ascii="宋体" w:hAnsi="宋体" w:cs="宋体"/>
          <w:sz w:val="24"/>
          <w:szCs w:val="24"/>
        </w:rPr>
        <w:t>附件</w:t>
      </w:r>
    </w:p>
    <w:p w14:paraId="100D3DBE">
      <w:pPr>
        <w:widowControl/>
        <w:spacing w:line="330" w:lineRule="atLeast"/>
        <w:jc w:val="center"/>
        <w:rPr>
          <w:rFonts w:ascii="方正小标宋_GBK" w:hAnsi="宋体" w:eastAsia="方正小标宋_GBK" w:cs="宋体"/>
          <w:color w:val="000000"/>
          <w:kern w:val="0"/>
          <w:sz w:val="22"/>
          <w:szCs w:val="22"/>
        </w:rPr>
      </w:pPr>
      <w:r>
        <w:rPr>
          <w:rFonts w:hint="eastAsia" w:ascii="宋体" w:hAnsi="宋体" w:cs="宋体"/>
          <w:color w:val="000000"/>
          <w:kern w:val="0"/>
          <w:sz w:val="22"/>
          <w:szCs w:val="22"/>
        </w:rPr>
        <w:t>国家统计局《统计上大中小微型企业划分标准》</w:t>
      </w:r>
    </w:p>
    <w:tbl>
      <w:tblPr>
        <w:tblStyle w:val="23"/>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24"/>
        <w:gridCol w:w="709"/>
        <w:gridCol w:w="1125"/>
        <w:gridCol w:w="1862"/>
        <w:gridCol w:w="1752"/>
        <w:gridCol w:w="1008"/>
      </w:tblGrid>
      <w:tr w14:paraId="30A9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958" w:type="dxa"/>
            <w:noWrap w:val="0"/>
            <w:vAlign w:val="center"/>
          </w:tcPr>
          <w:p w14:paraId="20192A1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行业名称</w:t>
            </w:r>
          </w:p>
        </w:tc>
        <w:tc>
          <w:tcPr>
            <w:tcW w:w="1524" w:type="dxa"/>
            <w:noWrap w:val="0"/>
            <w:vAlign w:val="center"/>
          </w:tcPr>
          <w:p w14:paraId="1A3460A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指标名称</w:t>
            </w:r>
          </w:p>
        </w:tc>
        <w:tc>
          <w:tcPr>
            <w:tcW w:w="709" w:type="dxa"/>
            <w:noWrap w:val="0"/>
            <w:vAlign w:val="center"/>
          </w:tcPr>
          <w:p w14:paraId="2306E3DC">
            <w:pPr>
              <w:keepNext w:val="0"/>
              <w:keepLines w:val="0"/>
              <w:widowControl/>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rPr>
              <w:t>计量</w:t>
            </w:r>
          </w:p>
          <w:p w14:paraId="529C63F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单位</w:t>
            </w:r>
          </w:p>
        </w:tc>
        <w:tc>
          <w:tcPr>
            <w:tcW w:w="1125" w:type="dxa"/>
            <w:noWrap w:val="0"/>
            <w:vAlign w:val="center"/>
          </w:tcPr>
          <w:p w14:paraId="0EF05FE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大型</w:t>
            </w:r>
          </w:p>
        </w:tc>
        <w:tc>
          <w:tcPr>
            <w:tcW w:w="1862" w:type="dxa"/>
            <w:noWrap w:val="0"/>
            <w:vAlign w:val="center"/>
          </w:tcPr>
          <w:p w14:paraId="44FEBC3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中型</w:t>
            </w:r>
          </w:p>
        </w:tc>
        <w:tc>
          <w:tcPr>
            <w:tcW w:w="1752" w:type="dxa"/>
            <w:noWrap w:val="0"/>
            <w:vAlign w:val="center"/>
          </w:tcPr>
          <w:p w14:paraId="70FF303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小型</w:t>
            </w:r>
          </w:p>
        </w:tc>
        <w:tc>
          <w:tcPr>
            <w:tcW w:w="1008" w:type="dxa"/>
            <w:noWrap w:val="0"/>
            <w:vAlign w:val="center"/>
          </w:tcPr>
          <w:p w14:paraId="5B8F3DB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微型</w:t>
            </w:r>
          </w:p>
        </w:tc>
      </w:tr>
      <w:tr w14:paraId="6738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noWrap w:val="0"/>
            <w:vAlign w:val="center"/>
          </w:tcPr>
          <w:p w14:paraId="550AA8B6">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农、林、牧、渔业</w:t>
            </w:r>
          </w:p>
        </w:tc>
        <w:tc>
          <w:tcPr>
            <w:tcW w:w="1524" w:type="dxa"/>
            <w:noWrap w:val="0"/>
            <w:vAlign w:val="center"/>
          </w:tcPr>
          <w:p w14:paraId="2FD6510A">
            <w:pPr>
              <w:keepNext w:val="0"/>
              <w:keepLines w:val="0"/>
              <w:widowControl/>
              <w:suppressLineNumbers w:val="0"/>
              <w:spacing w:before="0" w:beforeAutospacing="0" w:after="0" w:afterAutospacing="0" w:line="240" w:lineRule="auto"/>
              <w:ind w:left="0" w:leftChars="0" w:right="0" w:firstLine="0" w:firstLineChars="0"/>
              <w:jc w:val="both"/>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营业收入</w:t>
            </w:r>
            <w:r>
              <w:rPr>
                <w:rFonts w:hint="default" w:ascii="宋体" w:hAnsi="宋体" w:cs="宋体"/>
                <w:color w:val="000000"/>
                <w:kern w:val="0"/>
                <w:sz w:val="22"/>
                <w:szCs w:val="22"/>
                <w:highlight w:val="none"/>
              </w:rPr>
              <w:t>(Y)</w:t>
            </w:r>
          </w:p>
        </w:tc>
        <w:tc>
          <w:tcPr>
            <w:tcW w:w="709" w:type="dxa"/>
            <w:noWrap w:val="0"/>
            <w:vAlign w:val="center"/>
          </w:tcPr>
          <w:p w14:paraId="503E9EA0">
            <w:pPr>
              <w:keepNext w:val="0"/>
              <w:keepLines w:val="0"/>
              <w:widowControl/>
              <w:suppressLineNumbers w:val="0"/>
              <w:spacing w:before="0" w:beforeAutospacing="0" w:after="0" w:afterAutospacing="0" w:line="240" w:lineRule="auto"/>
              <w:ind w:left="0" w:leftChars="0" w:right="0" w:firstLine="0" w:firstLineChars="0"/>
              <w:jc w:val="both"/>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125" w:type="dxa"/>
            <w:noWrap w:val="0"/>
            <w:vAlign w:val="center"/>
          </w:tcPr>
          <w:p w14:paraId="2E87832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862" w:type="dxa"/>
            <w:noWrap w:val="0"/>
            <w:vAlign w:val="center"/>
          </w:tcPr>
          <w:p w14:paraId="133EFAA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752" w:type="dxa"/>
            <w:noWrap w:val="0"/>
            <w:vAlign w:val="center"/>
          </w:tcPr>
          <w:p w14:paraId="281FD82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500</w:t>
            </w:r>
          </w:p>
        </w:tc>
        <w:tc>
          <w:tcPr>
            <w:tcW w:w="1008" w:type="dxa"/>
            <w:noWrap w:val="0"/>
            <w:vAlign w:val="center"/>
          </w:tcPr>
          <w:p w14:paraId="332C366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w:t>
            </w:r>
          </w:p>
        </w:tc>
      </w:tr>
      <w:tr w14:paraId="479D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648362C0">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工业</w:t>
            </w:r>
            <w:r>
              <w:rPr>
                <w:rFonts w:hint="default" w:ascii="宋体" w:hAnsi="宋体" w:cs="宋体"/>
                <w:color w:val="000000"/>
                <w:kern w:val="0"/>
                <w:sz w:val="22"/>
                <w:szCs w:val="22"/>
                <w:highlight w:val="yellow"/>
              </w:rPr>
              <w:t xml:space="preserve"> *</w:t>
            </w:r>
          </w:p>
        </w:tc>
        <w:tc>
          <w:tcPr>
            <w:tcW w:w="1524" w:type="dxa"/>
            <w:noWrap w:val="0"/>
            <w:vAlign w:val="center"/>
          </w:tcPr>
          <w:p w14:paraId="73ABB48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从业人员</w:t>
            </w:r>
            <w:r>
              <w:rPr>
                <w:rFonts w:hint="default" w:ascii="宋体" w:hAnsi="宋体" w:cs="宋体"/>
                <w:color w:val="000000"/>
                <w:kern w:val="0"/>
                <w:sz w:val="22"/>
                <w:szCs w:val="22"/>
                <w:highlight w:val="yellow"/>
              </w:rPr>
              <w:t>(X)</w:t>
            </w:r>
          </w:p>
        </w:tc>
        <w:tc>
          <w:tcPr>
            <w:tcW w:w="709" w:type="dxa"/>
            <w:noWrap w:val="0"/>
            <w:vAlign w:val="center"/>
          </w:tcPr>
          <w:p w14:paraId="6C80A0E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人</w:t>
            </w:r>
          </w:p>
        </w:tc>
        <w:tc>
          <w:tcPr>
            <w:tcW w:w="1125" w:type="dxa"/>
            <w:noWrap w:val="0"/>
            <w:vAlign w:val="center"/>
          </w:tcPr>
          <w:p w14:paraId="34B8BBD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1000</w:t>
            </w:r>
          </w:p>
        </w:tc>
        <w:tc>
          <w:tcPr>
            <w:tcW w:w="1862" w:type="dxa"/>
            <w:noWrap w:val="0"/>
            <w:vAlign w:val="center"/>
          </w:tcPr>
          <w:p w14:paraId="5F3C5AF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300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1000</w:t>
            </w:r>
          </w:p>
        </w:tc>
        <w:tc>
          <w:tcPr>
            <w:tcW w:w="1752" w:type="dxa"/>
            <w:noWrap w:val="0"/>
            <w:vAlign w:val="center"/>
          </w:tcPr>
          <w:p w14:paraId="5D8BCE3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 xml:space="preserve"> 20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300</w:t>
            </w:r>
          </w:p>
        </w:tc>
        <w:tc>
          <w:tcPr>
            <w:tcW w:w="1008" w:type="dxa"/>
            <w:noWrap w:val="0"/>
            <w:vAlign w:val="center"/>
          </w:tcPr>
          <w:p w14:paraId="6892AD3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20</w:t>
            </w:r>
          </w:p>
        </w:tc>
      </w:tr>
      <w:tr w14:paraId="5388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21C44355">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highlight w:val="yellow"/>
              </w:rPr>
            </w:pPr>
          </w:p>
        </w:tc>
        <w:tc>
          <w:tcPr>
            <w:tcW w:w="1524" w:type="dxa"/>
            <w:noWrap w:val="0"/>
            <w:vAlign w:val="center"/>
          </w:tcPr>
          <w:p w14:paraId="1B61114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营业收入</w:t>
            </w:r>
            <w:r>
              <w:rPr>
                <w:rFonts w:hint="default" w:ascii="宋体" w:hAnsi="宋体" w:cs="宋体"/>
                <w:color w:val="000000"/>
                <w:kern w:val="0"/>
                <w:sz w:val="22"/>
                <w:szCs w:val="22"/>
                <w:highlight w:val="yellow"/>
              </w:rPr>
              <w:t>(Y)</w:t>
            </w:r>
          </w:p>
        </w:tc>
        <w:tc>
          <w:tcPr>
            <w:tcW w:w="709" w:type="dxa"/>
            <w:noWrap w:val="0"/>
            <w:vAlign w:val="center"/>
          </w:tcPr>
          <w:p w14:paraId="57921D4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万元</w:t>
            </w:r>
          </w:p>
        </w:tc>
        <w:tc>
          <w:tcPr>
            <w:tcW w:w="1125" w:type="dxa"/>
            <w:noWrap w:val="0"/>
            <w:vAlign w:val="center"/>
          </w:tcPr>
          <w:p w14:paraId="400AA3A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40000</w:t>
            </w:r>
          </w:p>
        </w:tc>
        <w:tc>
          <w:tcPr>
            <w:tcW w:w="1862" w:type="dxa"/>
            <w:noWrap w:val="0"/>
            <w:vAlign w:val="center"/>
          </w:tcPr>
          <w:p w14:paraId="1E9C63A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2000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40000</w:t>
            </w:r>
          </w:p>
        </w:tc>
        <w:tc>
          <w:tcPr>
            <w:tcW w:w="1752" w:type="dxa"/>
            <w:noWrap w:val="0"/>
            <w:vAlign w:val="center"/>
          </w:tcPr>
          <w:p w14:paraId="1DBA36A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 xml:space="preserve"> 300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2000</w:t>
            </w:r>
          </w:p>
        </w:tc>
        <w:tc>
          <w:tcPr>
            <w:tcW w:w="1008" w:type="dxa"/>
            <w:noWrap w:val="0"/>
            <w:vAlign w:val="center"/>
          </w:tcPr>
          <w:p w14:paraId="6ABCF8C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300</w:t>
            </w:r>
          </w:p>
        </w:tc>
      </w:tr>
      <w:tr w14:paraId="683C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6FD7D514">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建筑业</w:t>
            </w:r>
          </w:p>
        </w:tc>
        <w:tc>
          <w:tcPr>
            <w:tcW w:w="1524" w:type="dxa"/>
            <w:noWrap w:val="0"/>
            <w:vAlign w:val="center"/>
          </w:tcPr>
          <w:p w14:paraId="2B7DBE7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01A39CB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5AF3C6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5A17A03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6000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48CC0DC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6000</w:t>
            </w:r>
          </w:p>
        </w:tc>
        <w:tc>
          <w:tcPr>
            <w:tcW w:w="1008" w:type="dxa"/>
            <w:noWrap w:val="0"/>
            <w:vAlign w:val="center"/>
          </w:tcPr>
          <w:p w14:paraId="36B49C8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6BE8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7A6FC93D">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7B70969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0AB0160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0618A23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0C66106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4BCC7DC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5274BE0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3FDE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7B67514E">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批发业</w:t>
            </w:r>
          </w:p>
        </w:tc>
        <w:tc>
          <w:tcPr>
            <w:tcW w:w="1524" w:type="dxa"/>
            <w:noWrap w:val="0"/>
            <w:vAlign w:val="center"/>
          </w:tcPr>
          <w:p w14:paraId="67050BA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335F28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F317B1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479F5F8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4253B82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c>
          <w:tcPr>
            <w:tcW w:w="1008" w:type="dxa"/>
            <w:noWrap w:val="0"/>
            <w:vAlign w:val="center"/>
          </w:tcPr>
          <w:p w14:paraId="532B70E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5</w:t>
            </w:r>
          </w:p>
        </w:tc>
      </w:tr>
      <w:tr w14:paraId="3120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18533F22">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029B5B2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44F6802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0A4400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862" w:type="dxa"/>
            <w:noWrap w:val="0"/>
            <w:vAlign w:val="center"/>
          </w:tcPr>
          <w:p w14:paraId="520FD23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752" w:type="dxa"/>
            <w:noWrap w:val="0"/>
            <w:vAlign w:val="center"/>
          </w:tcPr>
          <w:p w14:paraId="1352B85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5D150DA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r>
      <w:tr w14:paraId="6A5E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1A565C66">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零售业</w:t>
            </w:r>
          </w:p>
        </w:tc>
        <w:tc>
          <w:tcPr>
            <w:tcW w:w="1524" w:type="dxa"/>
            <w:noWrap w:val="0"/>
            <w:vAlign w:val="center"/>
          </w:tcPr>
          <w:p w14:paraId="778C1A8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DD85D6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05FBAF8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55050F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752" w:type="dxa"/>
            <w:noWrap w:val="0"/>
            <w:vAlign w:val="center"/>
          </w:tcPr>
          <w:p w14:paraId="1859AB4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 </w:t>
            </w:r>
          </w:p>
        </w:tc>
        <w:tc>
          <w:tcPr>
            <w:tcW w:w="1008" w:type="dxa"/>
            <w:noWrap w:val="0"/>
            <w:vAlign w:val="center"/>
          </w:tcPr>
          <w:p w14:paraId="132B09D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68F1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2EE1434C">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3F9EAB6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7F31719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4428BD1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862" w:type="dxa"/>
            <w:noWrap w:val="0"/>
            <w:vAlign w:val="center"/>
          </w:tcPr>
          <w:p w14:paraId="316BB60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752" w:type="dxa"/>
            <w:noWrap w:val="0"/>
            <w:vAlign w:val="center"/>
          </w:tcPr>
          <w:p w14:paraId="2346106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 </w:t>
            </w:r>
          </w:p>
        </w:tc>
        <w:tc>
          <w:tcPr>
            <w:tcW w:w="1008" w:type="dxa"/>
            <w:noWrap w:val="0"/>
            <w:vAlign w:val="center"/>
          </w:tcPr>
          <w:p w14:paraId="5713C02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527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3C7217AE">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交通运输业</w:t>
            </w:r>
            <w:r>
              <w:rPr>
                <w:rFonts w:hint="default" w:ascii="宋体" w:hAnsi="宋体" w:cs="宋体"/>
                <w:color w:val="000000"/>
                <w:kern w:val="0"/>
                <w:sz w:val="22"/>
                <w:szCs w:val="22"/>
              </w:rPr>
              <w:t xml:space="preserve"> *</w:t>
            </w:r>
          </w:p>
        </w:tc>
        <w:tc>
          <w:tcPr>
            <w:tcW w:w="1524" w:type="dxa"/>
            <w:noWrap w:val="0"/>
            <w:vAlign w:val="center"/>
          </w:tcPr>
          <w:p w14:paraId="65C83CB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20F77D8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096A98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0ED80A2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164D38B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4B10ED9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265E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313CAC53">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7D46EB6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0FE7C05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7DDFF98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674B82B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235A145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w:t>
            </w:r>
          </w:p>
        </w:tc>
        <w:tc>
          <w:tcPr>
            <w:tcW w:w="1008" w:type="dxa"/>
            <w:noWrap w:val="0"/>
            <w:vAlign w:val="center"/>
          </w:tcPr>
          <w:p w14:paraId="7E31DF6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r>
      <w:tr w14:paraId="4C8A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27960FB0">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仓储业</w:t>
            </w:r>
            <w:r>
              <w:rPr>
                <w:rFonts w:hint="default" w:ascii="宋体" w:hAnsi="宋体" w:cs="宋体"/>
                <w:color w:val="000000"/>
                <w:kern w:val="0"/>
                <w:sz w:val="22"/>
                <w:szCs w:val="22"/>
              </w:rPr>
              <w:t>*</w:t>
            </w:r>
          </w:p>
        </w:tc>
        <w:tc>
          <w:tcPr>
            <w:tcW w:w="1524" w:type="dxa"/>
            <w:noWrap w:val="0"/>
            <w:vAlign w:val="center"/>
          </w:tcPr>
          <w:p w14:paraId="2D6BB59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08CDD9C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E60CF4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12913AD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58070AF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58F7ADA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48A3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6AD9AAA5">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080BA4C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8D5BED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0075442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5701A7E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481EC58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573FF9E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69A1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406F3EF8">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邮政业</w:t>
            </w:r>
          </w:p>
        </w:tc>
        <w:tc>
          <w:tcPr>
            <w:tcW w:w="1524" w:type="dxa"/>
            <w:noWrap w:val="0"/>
            <w:vAlign w:val="center"/>
          </w:tcPr>
          <w:p w14:paraId="2959AB1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29C38F6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5C6CC2F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63D25DE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64C7F80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23F4B24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6B9F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1958" w:type="dxa"/>
            <w:vMerge w:val="continue"/>
            <w:noWrap w:val="0"/>
            <w:vAlign w:val="center"/>
          </w:tcPr>
          <w:p w14:paraId="2D0ED763">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24E23E6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24951AD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2899DA3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092074F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4E77A6D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37CB330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EE8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4992EC7A">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住宿业</w:t>
            </w:r>
          </w:p>
        </w:tc>
        <w:tc>
          <w:tcPr>
            <w:tcW w:w="1524" w:type="dxa"/>
            <w:noWrap w:val="0"/>
            <w:vAlign w:val="center"/>
          </w:tcPr>
          <w:p w14:paraId="48CD319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B6A1F5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096288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A571D7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51DAAF9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0E626D2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730A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958" w:type="dxa"/>
            <w:vMerge w:val="continue"/>
            <w:noWrap w:val="0"/>
            <w:vAlign w:val="center"/>
          </w:tcPr>
          <w:p w14:paraId="7AD25FDC">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493D551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3859C0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64DC528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0CCFC0C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561EA57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7178F18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793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1BB92218">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餐饮业</w:t>
            </w:r>
          </w:p>
        </w:tc>
        <w:tc>
          <w:tcPr>
            <w:tcW w:w="1524" w:type="dxa"/>
            <w:noWrap w:val="0"/>
            <w:vAlign w:val="center"/>
          </w:tcPr>
          <w:p w14:paraId="2FA61C7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8EE6B7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02EE2D9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A84D38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0CE91D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62DA86A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4304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4FB5BDD3">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15168DD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7BE7F8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6464FDC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749BB09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008CA0E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4AAA1B8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241D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0FAA50AF">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信息传输业</w:t>
            </w:r>
            <w:r>
              <w:rPr>
                <w:rFonts w:hint="default" w:ascii="宋体" w:hAnsi="宋体" w:cs="宋体"/>
                <w:color w:val="000000"/>
                <w:kern w:val="0"/>
                <w:sz w:val="22"/>
                <w:szCs w:val="22"/>
              </w:rPr>
              <w:t xml:space="preserve"> *</w:t>
            </w:r>
          </w:p>
        </w:tc>
        <w:tc>
          <w:tcPr>
            <w:tcW w:w="1524" w:type="dxa"/>
            <w:noWrap w:val="0"/>
            <w:vAlign w:val="center"/>
          </w:tcPr>
          <w:p w14:paraId="159EC85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73B8122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2AC2250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862" w:type="dxa"/>
            <w:noWrap w:val="0"/>
            <w:vAlign w:val="center"/>
          </w:tcPr>
          <w:p w14:paraId="0DEF32C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752" w:type="dxa"/>
            <w:noWrap w:val="0"/>
            <w:vAlign w:val="center"/>
          </w:tcPr>
          <w:p w14:paraId="710267A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24B4C78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1FD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5AC1B867">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2FD8BB1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D58E4F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C49E3E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862" w:type="dxa"/>
            <w:noWrap w:val="0"/>
            <w:vAlign w:val="center"/>
          </w:tcPr>
          <w:p w14:paraId="360C09B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752" w:type="dxa"/>
            <w:noWrap w:val="0"/>
            <w:vAlign w:val="center"/>
          </w:tcPr>
          <w:p w14:paraId="44F0210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1FE356F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83A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073233B9">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spacing w:val="-12"/>
                <w:kern w:val="0"/>
                <w:sz w:val="22"/>
                <w:szCs w:val="22"/>
              </w:rPr>
            </w:pPr>
            <w:r>
              <w:rPr>
                <w:rFonts w:hint="eastAsia" w:ascii="宋体" w:hAnsi="宋体" w:cs="宋体"/>
                <w:color w:val="000000"/>
                <w:spacing w:val="-12"/>
                <w:kern w:val="0"/>
                <w:sz w:val="22"/>
                <w:szCs w:val="22"/>
              </w:rPr>
              <w:t>软件和信息技术服</w:t>
            </w:r>
            <w:r>
              <w:rPr>
                <w:rFonts w:hint="eastAsia" w:ascii="宋体" w:hAnsi="宋体" w:cs="宋体"/>
                <w:color w:val="000000"/>
                <w:kern w:val="0"/>
                <w:sz w:val="22"/>
                <w:szCs w:val="22"/>
              </w:rPr>
              <w:t>务业</w:t>
            </w:r>
          </w:p>
        </w:tc>
        <w:tc>
          <w:tcPr>
            <w:tcW w:w="1524" w:type="dxa"/>
            <w:noWrap w:val="0"/>
            <w:vAlign w:val="center"/>
          </w:tcPr>
          <w:p w14:paraId="37BEF60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31B8571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7DE5F72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91D6F9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796939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3D2797C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6647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1636FFAC">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spacing w:val="-12"/>
                <w:kern w:val="0"/>
                <w:sz w:val="22"/>
                <w:szCs w:val="22"/>
              </w:rPr>
            </w:pPr>
          </w:p>
        </w:tc>
        <w:tc>
          <w:tcPr>
            <w:tcW w:w="1524" w:type="dxa"/>
            <w:noWrap w:val="0"/>
            <w:vAlign w:val="center"/>
          </w:tcPr>
          <w:p w14:paraId="25E7CDD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161AFA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4924F7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4953F96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36B872F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221A60F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w:t>
            </w:r>
          </w:p>
        </w:tc>
      </w:tr>
      <w:tr w14:paraId="49C8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15DD449">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房地产开发经营</w:t>
            </w:r>
          </w:p>
        </w:tc>
        <w:tc>
          <w:tcPr>
            <w:tcW w:w="1524" w:type="dxa"/>
            <w:noWrap w:val="0"/>
            <w:vAlign w:val="center"/>
          </w:tcPr>
          <w:p w14:paraId="07116C9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11B2D3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7836889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862" w:type="dxa"/>
            <w:noWrap w:val="0"/>
            <w:vAlign w:val="center"/>
          </w:tcPr>
          <w:p w14:paraId="3CB3C90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752" w:type="dxa"/>
            <w:noWrap w:val="0"/>
            <w:vAlign w:val="center"/>
          </w:tcPr>
          <w:p w14:paraId="1E46E27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112BF0B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517D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1958" w:type="dxa"/>
            <w:vMerge w:val="continue"/>
            <w:noWrap w:val="0"/>
            <w:vAlign w:val="center"/>
          </w:tcPr>
          <w:p w14:paraId="14F9667E">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0D02C54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6063546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C56666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1F69343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2893C1F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008" w:type="dxa"/>
            <w:noWrap w:val="0"/>
            <w:vAlign w:val="center"/>
          </w:tcPr>
          <w:p w14:paraId="4B44012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r>
      <w:tr w14:paraId="12CB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D698D6F">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物业管理</w:t>
            </w:r>
          </w:p>
        </w:tc>
        <w:tc>
          <w:tcPr>
            <w:tcW w:w="1524" w:type="dxa"/>
            <w:noWrap w:val="0"/>
            <w:vAlign w:val="center"/>
          </w:tcPr>
          <w:p w14:paraId="267E3CE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0A28DA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5D454DB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2555462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08F043C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008" w:type="dxa"/>
            <w:noWrap w:val="0"/>
            <w:vAlign w:val="center"/>
          </w:tcPr>
          <w:p w14:paraId="49B1919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C6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454D6EBD">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63063DC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5A175F9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73FA77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862" w:type="dxa"/>
            <w:noWrap w:val="0"/>
            <w:vAlign w:val="center"/>
          </w:tcPr>
          <w:p w14:paraId="057FB4B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752" w:type="dxa"/>
            <w:noWrap w:val="0"/>
            <w:vAlign w:val="center"/>
          </w:tcPr>
          <w:p w14:paraId="769A156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6AD852D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w:t>
            </w:r>
          </w:p>
        </w:tc>
      </w:tr>
      <w:tr w14:paraId="18F2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E3FF562">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租赁和商务服务业</w:t>
            </w:r>
          </w:p>
        </w:tc>
        <w:tc>
          <w:tcPr>
            <w:tcW w:w="1524" w:type="dxa"/>
            <w:noWrap w:val="0"/>
            <w:vAlign w:val="center"/>
          </w:tcPr>
          <w:p w14:paraId="299F810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564C0DF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692EB82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29EE41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68723A7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43BF4BB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BB4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958" w:type="dxa"/>
            <w:vMerge w:val="continue"/>
            <w:noWrap w:val="0"/>
            <w:vAlign w:val="center"/>
          </w:tcPr>
          <w:p w14:paraId="3FB82D00">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573167B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050FB0D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20076A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862" w:type="dxa"/>
            <w:noWrap w:val="0"/>
            <w:vAlign w:val="center"/>
          </w:tcPr>
          <w:p w14:paraId="1FDB07E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8000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752" w:type="dxa"/>
            <w:noWrap w:val="0"/>
            <w:vAlign w:val="center"/>
          </w:tcPr>
          <w:p w14:paraId="63DA6C0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w:t>
            </w:r>
          </w:p>
        </w:tc>
        <w:tc>
          <w:tcPr>
            <w:tcW w:w="1008" w:type="dxa"/>
            <w:noWrap w:val="0"/>
            <w:vAlign w:val="center"/>
          </w:tcPr>
          <w:p w14:paraId="018B832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1507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958" w:type="dxa"/>
            <w:noWrap w:val="0"/>
            <w:vAlign w:val="center"/>
          </w:tcPr>
          <w:p w14:paraId="2208D1D1">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其他未列明行业</w:t>
            </w:r>
            <w:r>
              <w:rPr>
                <w:rFonts w:hint="default" w:ascii="宋体" w:hAnsi="宋体" w:cs="宋体"/>
                <w:color w:val="000000"/>
                <w:kern w:val="0"/>
                <w:sz w:val="22"/>
                <w:szCs w:val="22"/>
              </w:rPr>
              <w:t xml:space="preserve"> *</w:t>
            </w:r>
          </w:p>
        </w:tc>
        <w:tc>
          <w:tcPr>
            <w:tcW w:w="1524" w:type="dxa"/>
            <w:noWrap w:val="0"/>
            <w:vAlign w:val="center"/>
          </w:tcPr>
          <w:p w14:paraId="02B2C34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346546D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CAF50D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C1D866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74EFEF7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5D8122B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bl>
    <w:p w14:paraId="42C00149">
      <w:pPr>
        <w:widowControl/>
        <w:spacing w:line="240" w:lineRule="auto"/>
        <w:ind w:left="0" w:leftChars="0" w:firstLine="0" w:firstLineChars="0"/>
        <w:rPr>
          <w:rFonts w:hint="eastAsia" w:ascii="宋体" w:hAnsi="宋体" w:cs="宋体"/>
          <w:color w:val="000000"/>
          <w:spacing w:val="8"/>
          <w:kern w:val="0"/>
          <w:sz w:val="24"/>
          <w:szCs w:val="24"/>
        </w:rPr>
      </w:pPr>
    </w:p>
    <w:p w14:paraId="15D5BBB6">
      <w:pPr>
        <w:widowControl/>
        <w:spacing w:line="240" w:lineRule="auto"/>
        <w:ind w:left="0" w:leftChars="0" w:firstLine="0" w:firstLineChars="0"/>
        <w:rPr>
          <w:rFonts w:ascii="宋体" w:hAnsi="宋体" w:cs="宋体"/>
          <w:color w:val="000000"/>
          <w:spacing w:val="8"/>
          <w:kern w:val="0"/>
          <w:sz w:val="24"/>
          <w:szCs w:val="24"/>
        </w:rPr>
      </w:pPr>
      <w:r>
        <w:rPr>
          <w:rFonts w:hint="eastAsia" w:ascii="宋体" w:hAnsi="宋体" w:cs="宋体"/>
          <w:color w:val="000000"/>
          <w:spacing w:val="8"/>
          <w:kern w:val="0"/>
          <w:sz w:val="24"/>
          <w:szCs w:val="24"/>
        </w:rPr>
        <w:t>说明：</w:t>
      </w:r>
    </w:p>
    <w:p w14:paraId="0CFEA390">
      <w:pPr>
        <w:spacing w:line="540" w:lineRule="exact"/>
        <w:ind w:firstLine="512" w:firstLineChars="200"/>
        <w:rPr>
          <w:rFonts w:ascii="宋体" w:hAnsi="宋体" w:cs="宋体"/>
          <w:color w:val="000000"/>
          <w:spacing w:val="8"/>
          <w:kern w:val="0"/>
          <w:sz w:val="24"/>
          <w:szCs w:val="24"/>
        </w:rPr>
      </w:pPr>
      <w:r>
        <w:rPr>
          <w:rFonts w:ascii="宋体" w:hAnsi="宋体"/>
          <w:color w:val="000000"/>
          <w:spacing w:val="8"/>
          <w:kern w:val="0"/>
          <w:sz w:val="24"/>
          <w:szCs w:val="24"/>
        </w:rPr>
        <w:t>1.</w:t>
      </w:r>
      <w:r>
        <w:rPr>
          <w:rFonts w:hint="eastAsia" w:ascii="宋体" w:hAnsi="宋体" w:cs="宋体"/>
          <w:color w:val="000000"/>
          <w:spacing w:val="8"/>
          <w:kern w:val="0"/>
          <w:sz w:val="24"/>
          <w:szCs w:val="24"/>
        </w:rPr>
        <w:t>大型、中型和小型企业须同时满足所列指标的下限，否则下划一档；微型企业只须满足所列指标中的一项即可。</w:t>
      </w:r>
    </w:p>
    <w:p w14:paraId="37B9840C">
      <w:pPr>
        <w:spacing w:line="540" w:lineRule="exact"/>
        <w:rPr>
          <w:rFonts w:ascii="宋体" w:hAnsi="宋体" w:cs="宋体"/>
          <w:color w:val="000000"/>
          <w:spacing w:val="8"/>
          <w:kern w:val="0"/>
          <w:sz w:val="24"/>
          <w:szCs w:val="24"/>
        </w:rPr>
      </w:pPr>
      <w:r>
        <w:rPr>
          <w:rFonts w:ascii="宋体" w:hAnsi="宋体"/>
          <w:color w:val="000000"/>
          <w:spacing w:val="8"/>
          <w:kern w:val="0"/>
          <w:sz w:val="24"/>
          <w:szCs w:val="24"/>
        </w:rPr>
        <w:t>2.</w:t>
      </w:r>
      <w:r>
        <w:rPr>
          <w:rFonts w:hint="eastAsia" w:ascii="宋体" w:hAnsi="宋体" w:cs="宋体"/>
          <w:color w:val="000000"/>
          <w:spacing w:val="8"/>
          <w:kern w:val="0"/>
          <w:sz w:val="24"/>
          <w:szCs w:val="24"/>
        </w:rPr>
        <w:t>附表中各行业的范围以《国民经济行业分类》（</w:t>
      </w:r>
      <w:r>
        <w:rPr>
          <w:rFonts w:ascii="宋体" w:hAnsi="宋体"/>
          <w:color w:val="000000"/>
          <w:spacing w:val="8"/>
          <w:kern w:val="0"/>
          <w:sz w:val="24"/>
          <w:szCs w:val="24"/>
        </w:rPr>
        <w:t>GB/T4754-2017</w:t>
      </w:r>
      <w:r>
        <w:rPr>
          <w:rFonts w:hint="eastAsia" w:ascii="宋体" w:hAnsi="宋体" w:cs="宋体"/>
          <w:color w:val="000000"/>
          <w:spacing w:val="8"/>
          <w:kern w:val="0"/>
          <w:sz w:val="24"/>
          <w:szCs w:val="24"/>
        </w:rPr>
        <w:t>）为准。带</w:t>
      </w:r>
      <w:r>
        <w:rPr>
          <w:rFonts w:ascii="宋体" w:hAnsi="宋体"/>
          <w:color w:val="000000"/>
          <w:spacing w:val="8"/>
          <w:kern w:val="0"/>
          <w:sz w:val="24"/>
          <w:szCs w:val="24"/>
        </w:rPr>
        <w:t>*</w:t>
      </w:r>
      <w:r>
        <w:rPr>
          <w:rFonts w:hint="eastAsia" w:ascii="宋体" w:hAnsi="宋体" w:cs="宋体"/>
          <w:color w:val="000000"/>
          <w:spacing w:val="8"/>
          <w:kern w:val="0"/>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000000"/>
          <w:spacing w:val="8"/>
          <w:kern w:val="0"/>
          <w:sz w:val="24"/>
          <w:szCs w:val="24"/>
        </w:rPr>
        <w:t>;</w:t>
      </w:r>
      <w:r>
        <w:rPr>
          <w:rFonts w:hint="eastAsia" w:ascii="宋体" w:hAnsi="宋体" w:cs="宋体"/>
          <w:color w:val="000000"/>
          <w:spacing w:val="8"/>
          <w:kern w:val="0"/>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DDF415">
      <w:pPr>
        <w:spacing w:line="540" w:lineRule="exact"/>
        <w:ind w:firstLine="512"/>
        <w:rPr>
          <w:rFonts w:hint="eastAsia" w:ascii="宋体" w:hAnsi="宋体"/>
          <w:color w:val="000000"/>
          <w:spacing w:val="8"/>
          <w:kern w:val="0"/>
          <w:sz w:val="24"/>
          <w:szCs w:val="24"/>
        </w:rPr>
      </w:pPr>
      <w:r>
        <w:rPr>
          <w:rFonts w:ascii="宋体" w:hAnsi="宋体"/>
          <w:color w:val="000000"/>
          <w:spacing w:val="8"/>
          <w:kern w:val="0"/>
          <w:sz w:val="24"/>
          <w:szCs w:val="24"/>
        </w:rPr>
        <w:t>3.</w:t>
      </w:r>
      <w:r>
        <w:rPr>
          <w:rFonts w:hint="eastAsia" w:ascii="宋体" w:hAnsi="宋体"/>
          <w:color w:val="000000"/>
          <w:spacing w:val="8"/>
          <w:kern w:val="0"/>
          <w:sz w:val="24"/>
          <w:szCs w:val="24"/>
        </w:rPr>
        <w:t>企业划分指标以现行统计制度为准。（</w:t>
      </w:r>
      <w:r>
        <w:rPr>
          <w:rFonts w:ascii="宋体" w:hAnsi="宋体"/>
          <w:color w:val="000000"/>
          <w:spacing w:val="8"/>
          <w:kern w:val="0"/>
          <w:sz w:val="24"/>
          <w:szCs w:val="24"/>
        </w:rPr>
        <w:t>1</w:t>
      </w:r>
      <w:r>
        <w:rPr>
          <w:rFonts w:hint="eastAsia" w:ascii="宋体" w:hAnsi="宋体"/>
          <w:color w:val="000000"/>
          <w:spacing w:val="8"/>
          <w:kern w:val="0"/>
          <w:sz w:val="24"/>
          <w:szCs w:val="24"/>
        </w:rPr>
        <w:t>）从业人员，是指期末从业人员数，没有期末从业人员数的，采用全年平均人员数代替。（</w:t>
      </w:r>
      <w:r>
        <w:rPr>
          <w:rFonts w:ascii="宋体" w:hAnsi="宋体"/>
          <w:color w:val="000000"/>
          <w:spacing w:val="8"/>
          <w:kern w:val="0"/>
          <w:sz w:val="24"/>
          <w:szCs w:val="24"/>
        </w:rPr>
        <w:t>2</w:t>
      </w:r>
      <w:r>
        <w:rPr>
          <w:rFonts w:hint="eastAsia" w:ascii="宋体" w:hAnsi="宋体"/>
          <w:color w:val="000000"/>
          <w:spacing w:val="8"/>
          <w:kern w:val="0"/>
          <w:sz w:val="24"/>
          <w:szCs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olor w:val="000000"/>
          <w:spacing w:val="8"/>
          <w:kern w:val="0"/>
          <w:sz w:val="24"/>
          <w:szCs w:val="24"/>
        </w:rPr>
        <w:t>3</w:t>
      </w:r>
      <w:r>
        <w:rPr>
          <w:rFonts w:hint="eastAsia" w:ascii="宋体" w:hAnsi="宋体"/>
          <w:color w:val="000000"/>
          <w:spacing w:val="8"/>
          <w:kern w:val="0"/>
          <w:sz w:val="24"/>
          <w:szCs w:val="24"/>
        </w:rPr>
        <w:t>）资产总额，采用资产总计代替。</w:t>
      </w:r>
    </w:p>
    <w:p w14:paraId="3E46DA42">
      <w:pPr>
        <w:spacing w:line="540" w:lineRule="exact"/>
        <w:ind w:firstLine="512"/>
        <w:rPr>
          <w:rFonts w:hint="default" w:ascii="宋体" w:hAnsi="宋体"/>
          <w:b/>
          <w:bCs/>
          <w:color w:val="000000"/>
          <w:spacing w:val="8"/>
          <w:kern w:val="0"/>
          <w:sz w:val="24"/>
          <w:szCs w:val="24"/>
          <w:highlight w:val="none"/>
          <w:lang w:val="en-US" w:eastAsia="zh-CN"/>
        </w:rPr>
      </w:pPr>
      <w:r>
        <w:rPr>
          <w:rFonts w:hint="default" w:ascii="宋体" w:hAnsi="宋体"/>
          <w:b/>
          <w:bCs/>
          <w:color w:val="000000"/>
          <w:spacing w:val="8"/>
          <w:kern w:val="0"/>
          <w:sz w:val="24"/>
          <w:szCs w:val="24"/>
          <w:highlight w:val="none"/>
          <w:lang w:val="en-US" w:eastAsia="zh-CN"/>
        </w:rPr>
        <w:t>4.本项目采购标的对应的中小企业划分标准所属行业：</w:t>
      </w:r>
      <w:r>
        <w:rPr>
          <w:rFonts w:hint="eastAsia" w:ascii="宋体" w:hAnsi="宋体"/>
          <w:b/>
          <w:bCs/>
          <w:color w:val="000000"/>
          <w:spacing w:val="8"/>
          <w:kern w:val="0"/>
          <w:sz w:val="24"/>
          <w:szCs w:val="24"/>
          <w:highlight w:val="none"/>
          <w:lang w:val="en-US" w:eastAsia="zh-CN"/>
        </w:rPr>
        <w:t>工</w:t>
      </w:r>
      <w:r>
        <w:rPr>
          <w:rFonts w:hint="default" w:ascii="宋体" w:hAnsi="宋体"/>
          <w:b/>
          <w:bCs/>
          <w:color w:val="000000"/>
          <w:spacing w:val="8"/>
          <w:kern w:val="0"/>
          <w:sz w:val="24"/>
          <w:szCs w:val="24"/>
          <w:highlight w:val="none"/>
          <w:lang w:val="en-US" w:eastAsia="zh-CN"/>
        </w:rPr>
        <w:t xml:space="preserve">业； </w:t>
      </w:r>
    </w:p>
    <w:p w14:paraId="116531E6">
      <w:pPr>
        <w:wordWrap w:val="0"/>
        <w:jc w:val="both"/>
        <w:rPr>
          <w:rFonts w:ascii="宋体" w:hAnsi="宋体" w:cs="宋体"/>
          <w:b/>
          <w:bCs/>
          <w:sz w:val="28"/>
          <w:szCs w:val="28"/>
        </w:rPr>
      </w:pPr>
      <w:r>
        <w:rPr>
          <w:rFonts w:hint="eastAsia" w:ascii="宋体" w:hAnsi="宋体" w:cs="宋体"/>
          <w:b/>
          <w:bCs/>
          <w:sz w:val="28"/>
          <w:szCs w:val="28"/>
        </w:rPr>
        <w:br w:type="page"/>
      </w:r>
    </w:p>
    <w:p w14:paraId="7D136E8A">
      <w:pPr>
        <w:wordWrap w:val="0"/>
        <w:jc w:val="center"/>
        <w:outlineLvl w:val="1"/>
        <w:rPr>
          <w:rFonts w:ascii="宋体" w:hAnsi="宋体" w:cs="宋体"/>
        </w:rPr>
      </w:pPr>
      <w:bookmarkStart w:id="998" w:name="_Toc19860"/>
      <w:bookmarkStart w:id="999" w:name="_Toc9073"/>
      <w:r>
        <w:rPr>
          <w:rFonts w:hint="eastAsia" w:ascii="宋体" w:hAnsi="宋体" w:cs="宋体"/>
          <w:b/>
          <w:bCs/>
          <w:sz w:val="28"/>
          <w:szCs w:val="28"/>
          <w:lang w:val="en-US" w:eastAsia="zh-CN"/>
        </w:rPr>
        <w:t>（二）</w:t>
      </w:r>
      <w:r>
        <w:rPr>
          <w:rFonts w:hint="eastAsia" w:ascii="宋体" w:hAnsi="宋体" w:cs="宋体"/>
          <w:b/>
          <w:bCs/>
          <w:sz w:val="28"/>
          <w:szCs w:val="28"/>
        </w:rPr>
        <w:t>残疾人福利性单位声明函（如有）</w:t>
      </w:r>
      <w:bookmarkEnd w:id="998"/>
      <w:bookmarkEnd w:id="999"/>
    </w:p>
    <w:p w14:paraId="23DA0888">
      <w:pPr>
        <w:pStyle w:val="21"/>
        <w:wordWrap w:val="0"/>
        <w:spacing w:line="420" w:lineRule="exact"/>
        <w:ind w:firstLine="0" w:firstLineChars="0"/>
        <w:rPr>
          <w:rFonts w:ascii="宋体" w:hAnsi="宋体" w:cs="宋体"/>
          <w:sz w:val="24"/>
        </w:rPr>
      </w:pPr>
    </w:p>
    <w:p w14:paraId="18FBBD16">
      <w:pPr>
        <w:wordWrap w:val="0"/>
        <w:spacing w:line="420" w:lineRule="exact"/>
        <w:ind w:firstLine="48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63F27269">
      <w:pPr>
        <w:wordWrap w:val="0"/>
        <w:spacing w:line="420" w:lineRule="exact"/>
        <w:ind w:firstLine="48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23CBFC75">
      <w:pPr>
        <w:wordWrap w:val="0"/>
        <w:spacing w:line="420" w:lineRule="exact"/>
        <w:ind w:firstLine="480"/>
        <w:rPr>
          <w:rFonts w:ascii="宋体" w:hAnsi="宋体" w:cs="宋体"/>
          <w:sz w:val="24"/>
          <w:szCs w:val="24"/>
        </w:rPr>
      </w:pPr>
    </w:p>
    <w:p w14:paraId="0E0ADC3B">
      <w:pPr>
        <w:tabs>
          <w:tab w:val="left" w:pos="4860"/>
        </w:tabs>
        <w:wordWrap w:val="0"/>
        <w:spacing w:line="420" w:lineRule="exact"/>
        <w:ind w:right="1560" w:firstLine="480"/>
        <w:rPr>
          <w:rFonts w:ascii="宋体" w:hAnsi="宋体" w:cs="宋体"/>
          <w:sz w:val="24"/>
          <w:szCs w:val="24"/>
        </w:rPr>
      </w:pPr>
      <w:r>
        <w:rPr>
          <w:rFonts w:hint="eastAsia" w:ascii="宋体" w:hAnsi="宋体" w:cs="宋体"/>
          <w:sz w:val="24"/>
          <w:szCs w:val="24"/>
        </w:rPr>
        <w:t>单位名称（盖章）：</w:t>
      </w:r>
    </w:p>
    <w:p w14:paraId="2243BE70">
      <w:pPr>
        <w:tabs>
          <w:tab w:val="left" w:pos="4860"/>
        </w:tabs>
        <w:wordWrap w:val="0"/>
        <w:spacing w:line="420" w:lineRule="exact"/>
        <w:ind w:right="1560" w:firstLine="480"/>
        <w:rPr>
          <w:rFonts w:ascii="宋体" w:hAnsi="宋体" w:cs="宋体"/>
          <w:sz w:val="24"/>
          <w:szCs w:val="24"/>
        </w:rPr>
      </w:pPr>
      <w:r>
        <w:rPr>
          <w:rFonts w:hint="eastAsia" w:ascii="宋体" w:hAnsi="宋体" w:cs="宋体"/>
          <w:sz w:val="24"/>
          <w:szCs w:val="24"/>
        </w:rPr>
        <w:t>日  期：</w:t>
      </w:r>
    </w:p>
    <w:p w14:paraId="411DA12A">
      <w:pPr>
        <w:widowControl/>
        <w:wordWrap w:val="0"/>
        <w:spacing w:line="420" w:lineRule="exact"/>
        <w:ind w:firstLine="480"/>
        <w:rPr>
          <w:rFonts w:ascii="宋体" w:hAnsi="宋体" w:cs="宋体"/>
          <w:sz w:val="24"/>
          <w:szCs w:val="24"/>
        </w:rPr>
      </w:pPr>
    </w:p>
    <w:p w14:paraId="5C254BD5">
      <w:pPr>
        <w:widowControl/>
        <w:wordWrap w:val="0"/>
        <w:spacing w:line="420" w:lineRule="exact"/>
        <w:ind w:firstLine="480"/>
        <w:rPr>
          <w:rFonts w:ascii="宋体" w:hAnsi="宋体" w:cs="宋体"/>
          <w:sz w:val="24"/>
          <w:szCs w:val="24"/>
        </w:rPr>
      </w:pPr>
      <w:r>
        <w:rPr>
          <w:rFonts w:hint="eastAsia" w:ascii="宋体" w:hAnsi="宋体" w:cs="宋体"/>
          <w:sz w:val="24"/>
          <w:szCs w:val="24"/>
        </w:rPr>
        <w:t>（提醒：如果供应商不是残疾人福利性单位，则不需要提供《残疾人福利性单位声明函》。否则，因此导致虚假投标的后果由供应商自行承担。）</w:t>
      </w:r>
    </w:p>
    <w:p w14:paraId="189F5F4A">
      <w:pPr>
        <w:wordWrap w:val="0"/>
        <w:spacing w:line="420" w:lineRule="exact"/>
        <w:ind w:firstLine="48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A35D766">
      <w:pPr>
        <w:wordWrap w:val="0"/>
        <w:spacing w:line="420" w:lineRule="exact"/>
        <w:ind w:firstLine="480"/>
        <w:rPr>
          <w:rFonts w:ascii="宋体" w:hAnsi="宋体" w:cs="宋体"/>
          <w:sz w:val="24"/>
          <w:szCs w:val="24"/>
        </w:rPr>
      </w:pPr>
      <w:r>
        <w:rPr>
          <w:rFonts w:hint="eastAsia" w:ascii="宋体" w:hAnsi="宋体" w:cs="宋体"/>
          <w:sz w:val="24"/>
          <w:szCs w:val="24"/>
        </w:rPr>
        <w:t>1.享受政府采购支持政策的残疾人福利性单位应当同时满足以下条件：</w:t>
      </w:r>
    </w:p>
    <w:p w14:paraId="0ACBE6CD">
      <w:pPr>
        <w:wordWrap w:val="0"/>
        <w:spacing w:line="420" w:lineRule="exact"/>
        <w:ind w:firstLine="48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34793B9F">
      <w:pPr>
        <w:wordWrap w:val="0"/>
        <w:spacing w:line="420" w:lineRule="exact"/>
        <w:ind w:firstLine="48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2A0B0CAC">
      <w:pPr>
        <w:wordWrap w:val="0"/>
        <w:spacing w:line="420" w:lineRule="exact"/>
        <w:ind w:firstLine="48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7764A53">
      <w:pPr>
        <w:wordWrap w:val="0"/>
        <w:spacing w:line="420" w:lineRule="exact"/>
        <w:ind w:firstLine="48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55920069">
      <w:pPr>
        <w:wordWrap w:val="0"/>
        <w:spacing w:line="420" w:lineRule="exact"/>
        <w:ind w:firstLine="48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64A62866">
      <w:pPr>
        <w:wordWrap w:val="0"/>
        <w:autoSpaceDE w:val="0"/>
        <w:autoSpaceDN w:val="0"/>
        <w:adjustRightInd w:val="0"/>
        <w:spacing w:line="420" w:lineRule="exact"/>
        <w:ind w:firstLine="480"/>
        <w:rPr>
          <w:rFonts w:ascii="宋体" w:hAnsi="宋体" w:cs="宋体"/>
          <w:sz w:val="24"/>
          <w:szCs w:val="24"/>
        </w:rPr>
      </w:pPr>
      <w:r>
        <w:rPr>
          <w:rFonts w:hint="eastAsia" w:ascii="宋体" w:hAnsi="宋体" w:cs="宋体"/>
          <w:sz w:val="24"/>
          <w:szCs w:val="24"/>
        </w:rPr>
        <w:t>2.成交人为残疾人福利性单位的，采购人或者其委托的采购代理机构应当随成交、成交结果同时公告其《残疾人福利性单位声明函》，接受社会监督，一旦发现弄虚作假提供虚假信息的，承担相应的法律责任。</w:t>
      </w:r>
    </w:p>
    <w:p w14:paraId="463FD8E8">
      <w:pPr>
        <w:wordWrap w:val="0"/>
        <w:spacing w:line="420" w:lineRule="exact"/>
        <w:ind w:firstLine="420"/>
        <w:jc w:val="center"/>
        <w:rPr>
          <w:rFonts w:hint="eastAsia" w:ascii="宋体" w:hAnsi="宋体" w:cs="宋体"/>
        </w:rPr>
      </w:pPr>
    </w:p>
    <w:p w14:paraId="53850145">
      <w:pPr>
        <w:wordWrap w:val="0"/>
        <w:jc w:val="center"/>
        <w:outlineLvl w:val="1"/>
        <w:rPr>
          <w:rFonts w:hint="eastAsia" w:ascii="宋体" w:hAnsi="宋体" w:eastAsia="宋体" w:cs="宋体"/>
          <w:b/>
          <w:bCs/>
          <w:sz w:val="28"/>
          <w:szCs w:val="28"/>
          <w:lang w:val="en-US" w:eastAsia="zh-CN"/>
        </w:rPr>
      </w:pPr>
    </w:p>
    <w:p w14:paraId="755FAA21">
      <w:pPr>
        <w:wordWrap w:val="0"/>
        <w:jc w:val="center"/>
        <w:outlineLvl w:val="1"/>
        <w:rPr>
          <w:rFonts w:hint="eastAsia" w:ascii="宋体" w:hAnsi="宋体" w:eastAsia="宋体" w:cs="宋体"/>
          <w:b/>
          <w:bCs/>
          <w:sz w:val="28"/>
          <w:szCs w:val="28"/>
          <w:lang w:val="en-US" w:eastAsia="zh-CN"/>
        </w:rPr>
      </w:pPr>
    </w:p>
    <w:p w14:paraId="1EB81DAE">
      <w:pPr>
        <w:wordWrap w:val="0"/>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（三）监狱企业证明文件（如有）</w:t>
      </w:r>
    </w:p>
    <w:p w14:paraId="12A1FAD6">
      <w:pPr>
        <w:wordWrap w:val="0"/>
        <w:spacing w:line="420" w:lineRule="exact"/>
        <w:ind w:firstLine="480"/>
        <w:rPr>
          <w:rFonts w:hint="eastAsia" w:ascii="宋体" w:hAnsi="宋体" w:cs="宋体"/>
          <w:szCs w:val="21"/>
        </w:rPr>
      </w:pPr>
    </w:p>
    <w:p w14:paraId="196761FF">
      <w:pPr>
        <w:pStyle w:val="8"/>
        <w:rPr>
          <w:rFonts w:hint="eastAsia"/>
        </w:rPr>
      </w:pPr>
    </w:p>
    <w:p w14:paraId="020305D0">
      <w:pPr>
        <w:wordWrap w:val="0"/>
        <w:spacing w:line="420" w:lineRule="exact"/>
        <w:ind w:firstLine="480"/>
        <w:rPr>
          <w:rFonts w:ascii="宋体" w:hAnsi="宋体" w:cs="宋体"/>
          <w:sz w:val="24"/>
          <w:szCs w:val="24"/>
        </w:rPr>
      </w:pPr>
      <w:r>
        <w:rPr>
          <w:rFonts w:hint="eastAsia" w:ascii="宋体" w:hAnsi="宋体" w:cs="宋体"/>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14:paraId="746C75E6">
      <w:pPr>
        <w:wordWrap w:val="0"/>
        <w:spacing w:line="420" w:lineRule="exact"/>
        <w:rPr>
          <w:rFonts w:ascii="宋体" w:hAnsi="宋体" w:cs="宋体"/>
          <w:sz w:val="24"/>
          <w:szCs w:val="24"/>
        </w:rPr>
      </w:pPr>
    </w:p>
    <w:p w14:paraId="3C723DD0">
      <w:pPr>
        <w:wordWrap w:val="0"/>
        <w:spacing w:line="420" w:lineRule="exact"/>
        <w:ind w:firstLine="480"/>
        <w:rPr>
          <w:rFonts w:ascii="宋体" w:hAnsi="宋体" w:cs="宋体"/>
          <w:sz w:val="24"/>
          <w:szCs w:val="24"/>
        </w:rPr>
      </w:pPr>
      <w:r>
        <w:rPr>
          <w:rFonts w:hint="eastAsia" w:ascii="宋体" w:hAnsi="宋体" w:cs="宋体"/>
          <w:sz w:val="24"/>
          <w:szCs w:val="24"/>
        </w:rPr>
        <w:t>注：在响应文件中附扫描件。</w:t>
      </w:r>
    </w:p>
    <w:p w14:paraId="5298186C">
      <w:pPr>
        <w:pStyle w:val="21"/>
        <w:ind w:firstLine="240"/>
        <w:jc w:val="center"/>
        <w:rPr>
          <w:rFonts w:hint="eastAsia" w:ascii="宋体" w:hAnsi="宋体" w:cs="宋体"/>
        </w:rPr>
      </w:pPr>
    </w:p>
    <w:p w14:paraId="0FCD212C">
      <w:pPr>
        <w:pStyle w:val="21"/>
        <w:ind w:firstLine="240"/>
        <w:jc w:val="center"/>
        <w:rPr>
          <w:rFonts w:hint="eastAsia" w:ascii="宋体" w:hAnsi="宋体" w:cs="宋体"/>
        </w:rPr>
      </w:pPr>
    </w:p>
    <w:p w14:paraId="0667F2A2">
      <w:pPr>
        <w:pStyle w:val="21"/>
        <w:ind w:firstLine="240"/>
        <w:jc w:val="center"/>
        <w:rPr>
          <w:rFonts w:hint="eastAsia" w:ascii="宋体" w:hAnsi="宋体" w:cs="宋体"/>
        </w:rPr>
      </w:pPr>
    </w:p>
    <w:p w14:paraId="505C9BC6">
      <w:pPr>
        <w:pStyle w:val="21"/>
        <w:ind w:firstLine="240"/>
        <w:jc w:val="center"/>
        <w:rPr>
          <w:rFonts w:hint="eastAsia" w:ascii="宋体" w:hAnsi="宋体" w:cs="宋体"/>
        </w:rPr>
      </w:pPr>
    </w:p>
    <w:p w14:paraId="21FFA1D4">
      <w:pPr>
        <w:pStyle w:val="21"/>
        <w:ind w:firstLine="240"/>
        <w:jc w:val="center"/>
        <w:rPr>
          <w:rFonts w:hint="eastAsia" w:ascii="宋体" w:hAnsi="宋体" w:cs="宋体"/>
        </w:rPr>
      </w:pPr>
    </w:p>
    <w:p w14:paraId="0BB8007E">
      <w:pPr>
        <w:pStyle w:val="21"/>
        <w:ind w:firstLine="240"/>
        <w:jc w:val="center"/>
        <w:rPr>
          <w:rFonts w:hint="eastAsia" w:ascii="宋体" w:hAnsi="宋体" w:cs="宋体"/>
        </w:rPr>
      </w:pPr>
    </w:p>
    <w:p w14:paraId="3CD65A32">
      <w:pPr>
        <w:pStyle w:val="21"/>
        <w:ind w:firstLine="240"/>
        <w:jc w:val="center"/>
        <w:rPr>
          <w:rFonts w:hint="eastAsia" w:ascii="宋体" w:hAnsi="宋体" w:cs="宋体"/>
        </w:rPr>
      </w:pPr>
    </w:p>
    <w:p w14:paraId="6AB65272">
      <w:pPr>
        <w:pStyle w:val="21"/>
        <w:ind w:firstLine="240"/>
        <w:jc w:val="center"/>
        <w:rPr>
          <w:rFonts w:hint="eastAsia" w:ascii="宋体" w:hAnsi="宋体" w:cs="宋体"/>
        </w:rPr>
      </w:pPr>
    </w:p>
    <w:p w14:paraId="08EE04DB">
      <w:pPr>
        <w:pStyle w:val="21"/>
        <w:ind w:firstLine="240"/>
        <w:jc w:val="center"/>
        <w:rPr>
          <w:rFonts w:hint="eastAsia" w:ascii="宋体" w:hAnsi="宋体" w:cs="宋体"/>
        </w:rPr>
      </w:pPr>
    </w:p>
    <w:p w14:paraId="060D8CF8">
      <w:pPr>
        <w:pStyle w:val="21"/>
        <w:ind w:firstLine="240"/>
        <w:jc w:val="center"/>
        <w:rPr>
          <w:rFonts w:hint="eastAsia" w:ascii="宋体" w:hAnsi="宋体" w:cs="宋体"/>
        </w:rPr>
      </w:pPr>
    </w:p>
    <w:p w14:paraId="4CA2675B">
      <w:pPr>
        <w:pStyle w:val="21"/>
        <w:ind w:firstLine="240"/>
        <w:jc w:val="center"/>
        <w:rPr>
          <w:rFonts w:hint="eastAsia" w:ascii="宋体" w:hAnsi="宋体" w:cs="宋体"/>
        </w:rPr>
      </w:pPr>
    </w:p>
    <w:p w14:paraId="5883C5A3">
      <w:pPr>
        <w:pStyle w:val="21"/>
        <w:ind w:firstLine="240"/>
        <w:jc w:val="center"/>
        <w:rPr>
          <w:rFonts w:hint="eastAsia" w:ascii="宋体" w:hAnsi="宋体" w:cs="宋体"/>
        </w:rPr>
      </w:pPr>
    </w:p>
    <w:p w14:paraId="15E7D584">
      <w:pPr>
        <w:pStyle w:val="21"/>
        <w:ind w:firstLine="240"/>
        <w:jc w:val="center"/>
        <w:rPr>
          <w:rFonts w:hint="eastAsia" w:ascii="宋体" w:hAnsi="宋体" w:cs="宋体"/>
        </w:rPr>
      </w:pPr>
    </w:p>
    <w:p w14:paraId="366003CF">
      <w:pPr>
        <w:pStyle w:val="21"/>
        <w:ind w:firstLine="240"/>
        <w:jc w:val="center"/>
        <w:rPr>
          <w:rFonts w:hint="eastAsia" w:ascii="宋体" w:hAnsi="宋体" w:cs="宋体"/>
        </w:rPr>
      </w:pPr>
    </w:p>
    <w:p w14:paraId="1FBC768F">
      <w:pPr>
        <w:wordWrap w:val="0"/>
        <w:spacing w:line="420" w:lineRule="exact"/>
        <w:jc w:val="center"/>
        <w:rPr>
          <w:rFonts w:hint="eastAsia" w:ascii="宋体" w:hAnsi="宋体" w:eastAsia="宋体" w:cs="宋体"/>
          <w:b/>
          <w:bCs/>
          <w:sz w:val="28"/>
          <w:szCs w:val="28"/>
          <w:lang w:val="en-US" w:eastAsia="zh-CN"/>
        </w:rPr>
      </w:pPr>
    </w:p>
    <w:p w14:paraId="560EEB19">
      <w:pPr>
        <w:wordWrap w:val="0"/>
        <w:spacing w:line="420" w:lineRule="exact"/>
        <w:jc w:val="center"/>
        <w:rPr>
          <w:rFonts w:hint="eastAsia" w:ascii="宋体" w:hAnsi="宋体" w:eastAsia="宋体" w:cs="宋体"/>
          <w:b/>
          <w:bCs/>
          <w:sz w:val="28"/>
          <w:szCs w:val="28"/>
          <w:lang w:val="en-US" w:eastAsia="zh-CN"/>
        </w:rPr>
      </w:pPr>
    </w:p>
    <w:p w14:paraId="6E27FA8F">
      <w:pPr>
        <w:wordWrap w:val="0"/>
        <w:spacing w:line="420" w:lineRule="exact"/>
        <w:jc w:val="center"/>
        <w:rPr>
          <w:rFonts w:hint="eastAsia" w:ascii="宋体" w:hAnsi="宋体" w:eastAsia="宋体" w:cs="宋体"/>
          <w:b/>
          <w:bCs/>
          <w:sz w:val="28"/>
          <w:szCs w:val="28"/>
          <w:lang w:val="en-US" w:eastAsia="zh-CN"/>
        </w:rPr>
      </w:pPr>
    </w:p>
    <w:p w14:paraId="12B9ED71">
      <w:pPr>
        <w:wordWrap w:val="0"/>
        <w:spacing w:line="42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（四）关于符合本国产品标准的声明函</w:t>
      </w:r>
    </w:p>
    <w:p w14:paraId="07A2527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p>
    <w:p w14:paraId="03E34B7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3FEC13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1</w:t>
      </w:r>
      <w:r>
        <w:rPr>
          <w:rFonts w:hint="eastAsia" w:ascii="宋体" w:hAnsi="宋体" w:eastAsia="宋体" w:cs="宋体"/>
          <w:i w:val="0"/>
          <w:iCs w:val="0"/>
          <w:caps w:val="0"/>
          <w:color w:val="383838"/>
          <w:spacing w:val="0"/>
          <w:sz w:val="24"/>
          <w:szCs w:val="24"/>
          <w:shd w:val="clear" w:fill="FFFFFF"/>
          <w:vertAlign w:val="baseline"/>
          <w:lang w:eastAsia="zh-CN"/>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产品名称1</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8"/>
          <w:szCs w:val="28"/>
          <w:shd w:val="clear" w:fill="FFFFFF"/>
          <w:vertAlign w:val="superscript"/>
          <w:lang w:val="en-US" w:eastAsia="zh-CN"/>
        </w:rPr>
        <w:t>1</w:t>
      </w:r>
      <w:r>
        <w:rPr>
          <w:rStyle w:val="27"/>
          <w:rFonts w:hint="eastAsia" w:ascii="宋体" w:hAnsi="宋体" w:eastAsia="宋体" w:cs="宋体"/>
          <w:i w:val="0"/>
          <w:iCs w:val="0"/>
          <w:caps w:val="0"/>
          <w:color w:val="383838"/>
          <w:spacing w:val="0"/>
          <w:sz w:val="24"/>
          <w:szCs w:val="24"/>
          <w:shd w:val="clear" w:fill="FFFFFF"/>
          <w:vertAlign w:val="baseline"/>
          <w:lang w:eastAsia="zh-CN"/>
        </w:rPr>
        <w:t>，</w:t>
      </w:r>
      <w:r>
        <w:rPr>
          <w:rFonts w:hint="eastAsia" w:ascii="宋体" w:hAnsi="宋体" w:eastAsia="宋体" w:cs="宋体"/>
          <w:i w:val="0"/>
          <w:iCs w:val="0"/>
          <w:caps w:val="0"/>
          <w:color w:val="383838"/>
          <w:spacing w:val="0"/>
          <w:sz w:val="24"/>
          <w:szCs w:val="24"/>
          <w:shd w:val="clear" w:fill="FFFFFF"/>
          <w:vertAlign w:val="baseline"/>
        </w:rPr>
        <w:t>生产厂为</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厂名</w:t>
      </w:r>
      <w:r>
        <w:rPr>
          <w:rStyle w:val="27"/>
          <w:rFonts w:hint="eastAsia" w:ascii="宋体" w:hAnsi="宋体" w:eastAsia="宋体" w:cs="宋体"/>
          <w:i w:val="0"/>
          <w:iCs w:val="0"/>
          <w:caps w:val="0"/>
          <w:color w:val="383838"/>
          <w:spacing w:val="0"/>
          <w:sz w:val="28"/>
          <w:szCs w:val="28"/>
          <w:u w:val="single"/>
          <w:shd w:val="clear" w:fill="FFFFFF"/>
          <w:vertAlign w:val="superscript"/>
          <w:lang w:val="en-US" w:eastAsia="zh-CN"/>
        </w:rPr>
        <w:t>2</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lang w:eastAsia="zh-CN"/>
        </w:rPr>
        <w:t>，</w:t>
      </w:r>
      <w:r>
        <w:rPr>
          <w:rFonts w:hint="eastAsia" w:ascii="宋体" w:hAnsi="宋体" w:eastAsia="宋体" w:cs="宋体"/>
          <w:i w:val="0"/>
          <w:iCs w:val="0"/>
          <w:caps w:val="0"/>
          <w:color w:val="383838"/>
          <w:spacing w:val="0"/>
          <w:sz w:val="24"/>
          <w:szCs w:val="24"/>
          <w:shd w:val="clear" w:fill="FFFFFF"/>
          <w:vertAlign w:val="baseline"/>
        </w:rPr>
        <w:t>厂址为</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生产厂址</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产品名称1</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的中国境内生产的组件成本占比≥</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规定比例</w:t>
      </w:r>
      <w:r>
        <w:rPr>
          <w:rStyle w:val="27"/>
          <w:rFonts w:hint="eastAsia" w:ascii="宋体" w:hAnsi="宋体" w:eastAsia="宋体" w:cs="宋体"/>
          <w:i w:val="0"/>
          <w:iCs w:val="0"/>
          <w:caps w:val="0"/>
          <w:color w:val="383838"/>
          <w:spacing w:val="0"/>
          <w:sz w:val="28"/>
          <w:szCs w:val="28"/>
          <w:u w:val="single"/>
          <w:shd w:val="clear" w:fill="FFFFFF"/>
          <w:vertAlign w:val="superscript"/>
          <w:lang w:val="en-US" w:eastAsia="zh-CN"/>
        </w:rPr>
        <w:t>3</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产品名称1</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关键组件）</w:t>
      </w:r>
      <w:r>
        <w:rPr>
          <w:rStyle w:val="27"/>
          <w:rFonts w:hint="eastAsia" w:ascii="宋体" w:hAnsi="宋体" w:eastAsia="宋体" w:cs="宋体"/>
          <w:i w:val="0"/>
          <w:iCs w:val="0"/>
          <w:caps w:val="0"/>
          <w:color w:val="383838"/>
          <w:spacing w:val="0"/>
          <w:sz w:val="28"/>
          <w:szCs w:val="28"/>
          <w:u w:val="single"/>
          <w:shd w:val="clear" w:fill="FFFFFF"/>
          <w:vertAlign w:val="superscript"/>
        </w:rPr>
        <w:t>4</w:t>
      </w:r>
      <w:r>
        <w:rPr>
          <w:rFonts w:hint="eastAsia" w:ascii="宋体" w:hAnsi="宋体" w:eastAsia="宋体" w:cs="宋体"/>
          <w:i w:val="0"/>
          <w:iCs w:val="0"/>
          <w:caps w:val="0"/>
          <w:color w:val="383838"/>
          <w:spacing w:val="0"/>
          <w:sz w:val="24"/>
          <w:szCs w:val="24"/>
          <w:shd w:val="clear" w:fill="FFFFFF"/>
          <w:vertAlign w:val="baseline"/>
        </w:rPr>
        <w:t>在中国境内生产。</w:t>
      </w:r>
      <w:r>
        <w:rPr>
          <w:rStyle w:val="27"/>
          <w:rFonts w:hint="eastAsia" w:ascii="宋体" w:hAnsi="宋体" w:eastAsia="宋体" w:cs="宋体"/>
          <w:i w:val="0"/>
          <w:iCs w:val="0"/>
          <w:caps w:val="0"/>
          <w:color w:val="383838"/>
          <w:spacing w:val="0"/>
          <w:sz w:val="24"/>
          <w:szCs w:val="24"/>
          <w:u w:val="single"/>
          <w:shd w:val="clear" w:fill="FFFFFF"/>
          <w:vertAlign w:val="baseline"/>
        </w:rPr>
        <w:t>（产品名称1）</w:t>
      </w:r>
      <w:r>
        <w:rPr>
          <w:rFonts w:hint="eastAsia" w:ascii="宋体" w:hAnsi="宋体" w:eastAsia="宋体" w:cs="宋体"/>
          <w:i w:val="0"/>
          <w:iCs w:val="0"/>
          <w:caps w:val="0"/>
          <w:color w:val="383838"/>
          <w:spacing w:val="0"/>
          <w:sz w:val="24"/>
          <w:szCs w:val="24"/>
          <w:shd w:val="clear" w:fill="FFFFFF"/>
          <w:vertAlign w:val="baseline"/>
        </w:rPr>
        <w:t>的</w:t>
      </w:r>
      <w:r>
        <w:rPr>
          <w:rStyle w:val="27"/>
          <w:rFonts w:hint="eastAsia" w:ascii="宋体" w:hAnsi="宋体" w:eastAsia="宋体" w:cs="宋体"/>
          <w:i w:val="0"/>
          <w:iCs w:val="0"/>
          <w:caps w:val="0"/>
          <w:color w:val="383838"/>
          <w:spacing w:val="0"/>
          <w:sz w:val="24"/>
          <w:szCs w:val="24"/>
          <w:u w:val="single"/>
          <w:shd w:val="clear" w:fill="FFFFFF"/>
          <w:vertAlign w:val="baseline"/>
        </w:rPr>
        <w:t>（关键工序）</w:t>
      </w:r>
      <w:r>
        <w:rPr>
          <w:rStyle w:val="27"/>
          <w:rFonts w:hint="eastAsia" w:ascii="宋体" w:hAnsi="宋体" w:eastAsia="宋体" w:cs="宋体"/>
          <w:i w:val="0"/>
          <w:iCs w:val="0"/>
          <w:caps w:val="0"/>
          <w:color w:val="383838"/>
          <w:spacing w:val="0"/>
          <w:sz w:val="28"/>
          <w:szCs w:val="28"/>
          <w:u w:val="single"/>
          <w:shd w:val="clear" w:fill="FFFFFF"/>
          <w:vertAlign w:val="superscript"/>
        </w:rPr>
        <w:t>5</w:t>
      </w:r>
      <w:r>
        <w:rPr>
          <w:rFonts w:hint="eastAsia" w:ascii="宋体" w:hAnsi="宋体" w:eastAsia="宋体" w:cs="宋体"/>
          <w:i w:val="0"/>
          <w:iCs w:val="0"/>
          <w:caps w:val="0"/>
          <w:color w:val="383838"/>
          <w:spacing w:val="0"/>
          <w:sz w:val="24"/>
          <w:szCs w:val="24"/>
          <w:shd w:val="clear" w:fill="FFFFFF"/>
          <w:vertAlign w:val="baseline"/>
        </w:rPr>
        <w:t>在中国境内完成。</w:t>
      </w:r>
    </w:p>
    <w:p w14:paraId="4C645B3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2</w:t>
      </w:r>
      <w:r>
        <w:rPr>
          <w:rFonts w:hint="eastAsia" w:ascii="宋体" w:hAnsi="宋体" w:eastAsia="宋体" w:cs="宋体"/>
          <w:i w:val="0"/>
          <w:iCs w:val="0"/>
          <w:caps w:val="0"/>
          <w:color w:val="383838"/>
          <w:spacing w:val="0"/>
          <w:sz w:val="24"/>
          <w:szCs w:val="24"/>
          <w:shd w:val="clear" w:fill="FFFFFF"/>
          <w:vertAlign w:val="baseline"/>
          <w:lang w:eastAsia="zh-CN"/>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产品名称2</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，生产厂为</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厂名</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，厂址为</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生产厂址</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产品名称2</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的中国境内生产的组件成本占比≥</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规定比例</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产品名称2</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关键组件）</w:t>
      </w:r>
      <w:r>
        <w:rPr>
          <w:rFonts w:hint="eastAsia" w:ascii="宋体" w:hAnsi="宋体" w:eastAsia="宋体" w:cs="宋体"/>
          <w:i w:val="0"/>
          <w:iCs w:val="0"/>
          <w:caps w:val="0"/>
          <w:color w:val="383838"/>
          <w:spacing w:val="0"/>
          <w:sz w:val="24"/>
          <w:szCs w:val="24"/>
          <w:shd w:val="clear" w:fill="FFFFFF"/>
          <w:vertAlign w:val="baseline"/>
        </w:rPr>
        <w:t>在中国境内生产。</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w:t>
      </w:r>
      <w:r>
        <w:rPr>
          <w:rStyle w:val="27"/>
          <w:rFonts w:hint="eastAsia" w:ascii="宋体" w:hAnsi="宋体" w:eastAsia="宋体" w:cs="宋体"/>
          <w:i w:val="0"/>
          <w:iCs w:val="0"/>
          <w:caps w:val="0"/>
          <w:color w:val="383838"/>
          <w:spacing w:val="0"/>
          <w:sz w:val="24"/>
          <w:szCs w:val="24"/>
          <w:u w:val="single"/>
          <w:shd w:val="clear" w:fill="FFFFFF"/>
          <w:vertAlign w:val="baseline"/>
          <w:lang w:val="en-US" w:eastAsia="zh-CN"/>
        </w:rPr>
        <w:t>2</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关键工序</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在中国境内完成。</w:t>
      </w:r>
    </w:p>
    <w:p w14:paraId="039F738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w:t>
      </w:r>
    </w:p>
    <w:p w14:paraId="10BF0B7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本公司（单位）对上述声明内容的真实性负责。如有虚假，愿承担相应法律责任。</w:t>
      </w:r>
    </w:p>
    <w:p w14:paraId="16F7F34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u w:val="single"/>
        </w:rPr>
      </w:pPr>
      <w:r>
        <w:rPr>
          <w:rFonts w:hint="eastAsia" w:ascii="微软雅黑" w:hAnsi="微软雅黑" w:eastAsia="微软雅黑" w:cs="微软雅黑"/>
          <w:i w:val="0"/>
          <w:iCs w:val="0"/>
          <w:caps w:val="0"/>
          <w:color w:val="383838"/>
          <w:spacing w:val="0"/>
          <w:sz w:val="24"/>
          <w:szCs w:val="24"/>
          <w:shd w:val="clear" w:fill="FFFFFF"/>
          <w:vertAlign w:val="baseline"/>
        </w:rPr>
        <w:t> 公司（单位）名称（盖章）：</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p>
    <w:p w14:paraId="0107796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日期：　</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 年</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月</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日   </w:t>
      </w:r>
    </w:p>
    <w:p w14:paraId="00DEB80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1"/>
          <w:szCs w:val="21"/>
          <w:shd w:val="clear" w:fill="FFFFFF"/>
          <w:vertAlign w:val="baseline"/>
        </w:rPr>
      </w:pPr>
    </w:p>
    <w:p w14:paraId="70C1ED3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leftChars="0" w:right="0" w:firstLine="210" w:firstLineChars="100"/>
        <w:textAlignment w:val="baseline"/>
        <w:rPr>
          <w:rFonts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lang w:val="en-US" w:eastAsia="zh-CN"/>
        </w:rPr>
        <w:t>注：</w:t>
      </w:r>
      <w:r>
        <w:rPr>
          <w:rFonts w:hint="eastAsia" w:ascii="微软雅黑" w:hAnsi="微软雅黑" w:eastAsia="微软雅黑" w:cs="微软雅黑"/>
          <w:i w:val="0"/>
          <w:iCs w:val="0"/>
          <w:caps w:val="0"/>
          <w:color w:val="383838"/>
          <w:spacing w:val="0"/>
          <w:sz w:val="21"/>
          <w:szCs w:val="21"/>
          <w:shd w:val="clear" w:fill="FFFFFF"/>
          <w:vertAlign w:val="baseline"/>
        </w:rPr>
        <w:t>1.产品如有型号，请在“产品名称”栏一并填写。</w:t>
      </w:r>
    </w:p>
    <w:p w14:paraId="7296FBA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2.生产厂名与厂址应与生产厂营业执照载明的相关信息保持一致。</w:t>
      </w:r>
    </w:p>
    <w:p w14:paraId="706CFF1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3.该产品的中国境内生产的组件成本占比相关要求实施前，“规定比例”栏可不填，下同。</w:t>
      </w:r>
    </w:p>
    <w:p w14:paraId="09BB7F8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4.该产品的关键组件要求实施前，“关键组件”栏可不填，下同。</w:t>
      </w:r>
    </w:p>
    <w:p w14:paraId="4B384A3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5.该产品的关键工序要求实施前，“关键工序”栏可不填，下同。</w:t>
      </w:r>
    </w:p>
    <w:p w14:paraId="3CB4FFBC">
      <w:pPr>
        <w:pStyle w:val="21"/>
        <w:ind w:firstLine="240"/>
        <w:jc w:val="center"/>
        <w:rPr>
          <w:rFonts w:hint="eastAsia" w:ascii="宋体" w:hAnsi="宋体" w:eastAsia="宋体" w:cs="宋体"/>
          <w:b/>
          <w:bCs/>
          <w:sz w:val="36"/>
          <w:szCs w:val="36"/>
        </w:rPr>
      </w:pPr>
    </w:p>
    <w:p w14:paraId="219C8919">
      <w:pPr>
        <w:pStyle w:val="21"/>
        <w:ind w:firstLine="240"/>
        <w:jc w:val="center"/>
        <w:rPr>
          <w:rFonts w:hint="eastAsia" w:ascii="宋体" w:hAnsi="宋体" w:eastAsia="宋体" w:cs="宋体"/>
          <w:b/>
          <w:bCs/>
          <w:sz w:val="36"/>
          <w:szCs w:val="36"/>
        </w:rPr>
      </w:pPr>
    </w:p>
    <w:p w14:paraId="31F5C0B0">
      <w:pPr>
        <w:pStyle w:val="21"/>
        <w:ind w:firstLine="240"/>
        <w:jc w:val="center"/>
        <w:rPr>
          <w:rFonts w:hint="eastAsia" w:ascii="宋体" w:hAnsi="宋体" w:eastAsia="宋体" w:cs="宋体"/>
          <w:b/>
          <w:bCs/>
          <w:sz w:val="36"/>
          <w:szCs w:val="36"/>
        </w:rPr>
      </w:pPr>
    </w:p>
    <w:p w14:paraId="545F919B">
      <w:pPr>
        <w:pStyle w:val="21"/>
        <w:ind w:firstLine="240"/>
        <w:jc w:val="center"/>
        <w:rPr>
          <w:rFonts w:hint="eastAsia" w:ascii="宋体" w:hAnsi="宋体" w:eastAsia="宋体" w:cs="宋体"/>
          <w:b/>
          <w:bCs/>
          <w:sz w:val="36"/>
          <w:szCs w:val="36"/>
        </w:rPr>
      </w:pPr>
      <w:r>
        <w:rPr>
          <w:rFonts w:hint="eastAsia" w:ascii="宋体" w:hAnsi="宋体" w:eastAsia="宋体" w:cs="宋体"/>
          <w:b/>
          <w:bCs/>
          <w:sz w:val="36"/>
          <w:szCs w:val="36"/>
        </w:rPr>
        <w:t>河南省政府采购合同融资政策告知函</w:t>
      </w:r>
    </w:p>
    <w:p w14:paraId="092614BD">
      <w:pPr>
        <w:pStyle w:val="21"/>
        <w:ind w:firstLine="240"/>
        <w:rPr>
          <w:rFonts w:hint="eastAsia"/>
          <w:sz w:val="24"/>
          <w:szCs w:val="24"/>
        </w:rPr>
      </w:pPr>
    </w:p>
    <w:p w14:paraId="624DA057">
      <w:pPr>
        <w:pStyle w:val="21"/>
        <w:keepNext w:val="0"/>
        <w:keepLines w:val="0"/>
        <w:pageBreakBefore w:val="0"/>
        <w:widowControl w:val="0"/>
        <w:kinsoku/>
        <w:wordWrap/>
        <w:overflowPunct/>
        <w:topLinePunct w:val="0"/>
        <w:autoSpaceDE/>
        <w:autoSpaceDN/>
        <w:bidi w:val="0"/>
        <w:adjustRightInd/>
        <w:snapToGrid/>
        <w:spacing w:line="480" w:lineRule="auto"/>
        <w:ind w:firstLine="240"/>
        <w:textAlignment w:val="auto"/>
        <w:rPr>
          <w:rFonts w:hint="eastAsia" w:ascii="宋体" w:hAnsi="宋体" w:eastAsia="宋体" w:cs="宋体"/>
          <w:sz w:val="24"/>
          <w:szCs w:val="24"/>
        </w:rPr>
      </w:pPr>
      <w:r>
        <w:rPr>
          <w:rFonts w:hint="eastAsia" w:ascii="宋体" w:hAnsi="宋体" w:eastAsia="宋体" w:cs="宋体"/>
          <w:sz w:val="24"/>
          <w:szCs w:val="24"/>
        </w:rPr>
        <w:t>各供应商:</w:t>
      </w:r>
    </w:p>
    <w:p w14:paraId="1137CFE5">
      <w:pPr>
        <w:pStyle w:val="21"/>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欢迎贵公司参与河南省政府采购活动!</w:t>
      </w:r>
    </w:p>
    <w:p w14:paraId="170205E3">
      <w:pPr>
        <w:pStyle w:val="21"/>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A0937FA">
      <w:pPr>
        <w:pStyle w:val="21"/>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w:t>
      </w:r>
    </w:p>
    <w:p w14:paraId="3CB4872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6EAB6E3B">
      <w:pPr>
        <w:pStyle w:val="21"/>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固始县合作融资平台：</w:t>
      </w:r>
    </w:p>
    <w:p w14:paraId="2A7A1A1B">
      <w:pPr>
        <w:pStyle w:val="21"/>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1、中原银行固始支行，联系人：吴宵 联系方式：13526070966 ；</w:t>
      </w:r>
    </w:p>
    <w:p w14:paraId="28802921">
      <w:pPr>
        <w:pStyle w:val="21"/>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2、中国农业银行固始县支行，联系人：姚玉烛 联系方式：18037601233 ；</w:t>
      </w:r>
    </w:p>
    <w:p w14:paraId="6A08750F">
      <w:pPr>
        <w:pStyle w:val="53"/>
        <w:wordWrap w:val="0"/>
        <w:spacing w:after="580" w:line="607" w:lineRule="exact"/>
        <w:ind w:firstLine="620"/>
        <w:jc w:val="left"/>
      </w:pPr>
    </w:p>
    <w:p w14:paraId="6553C104">
      <w:pPr>
        <w:ind w:left="0" w:leftChars="0" w:firstLine="0" w:firstLineChars="0"/>
        <w:jc w:val="both"/>
        <w:rPr>
          <w:rFonts w:ascii="宋体" w:hAnsi="宋体" w:eastAsia="宋体" w:cs="宋体"/>
          <w:b/>
          <w:sz w:val="52"/>
          <w:szCs w:val="52"/>
        </w:rPr>
      </w:pPr>
    </w:p>
    <w:sectPr>
      <w:headerReference r:id="rId13" w:type="default"/>
      <w:footerReference r:id="rId14" w:type="default"/>
      <w:pgSz w:w="11906" w:h="16838"/>
      <w:pgMar w:top="1134" w:right="1134" w:bottom="1134" w:left="1417" w:header="851" w:footer="992" w:gutter="0"/>
      <w:pgNumType w:fmt="numberInDash"/>
      <w:cols w:space="425"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
    <w:altName w:val="Microsoft Sans Serif"/>
    <w:panose1 w:val="020B0604020202020204"/>
    <w:charset w:val="00"/>
    <w:family w:val="swiss"/>
    <w:pitch w:val="default"/>
    <w:sig w:usb0="00000000" w:usb1="00000000" w:usb2="0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BEF88">
    <w:pPr>
      <w:pStyle w:val="14"/>
      <w:pBdr>
        <w:top w:val="none" w:color="auto" w:sz="0" w:space="1"/>
      </w:pBdr>
      <w:tabs>
        <w:tab w:val="center" w:pos="4845"/>
        <w:tab w:val="clear" w:pos="4153"/>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8981">
    <w:pPr>
      <w:pStyle w:val="14"/>
      <w:pBdr>
        <w:top w:val="none" w:color="auto" w:sz="0" w:space="1"/>
      </w:pBdr>
      <w:tabs>
        <w:tab w:val="center" w:pos="4845"/>
        <w:tab w:val="clear" w:pos="4153"/>
      </w:tabs>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E0EB9">
                          <w:pPr>
                            <w:pStyle w:val="1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4EE0EB9">
                    <w:pPr>
                      <w:pStyle w:val="1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80AD">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E6042">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3E6042">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247A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F12DE9">
                          <w:pPr>
                            <w:pStyle w:val="14"/>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othXM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28pcdziwM9Pj+cfv84/v5Nl&#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othXMEBAACNAwAADgAAAAAAAAABACAAAAAeAQAAZHJzL2Uyb0RvYy54bWxQSwUG&#10;AAAAAAYABgBZAQAAUQUAAAAA&#10;">
              <v:fill on="f" focussize="0,0"/>
              <v:stroke on="f"/>
              <v:imagedata o:title=""/>
              <o:lock v:ext="edit" aspectratio="f"/>
              <v:textbox inset="0mm,0mm,0mm,0mm" style="mso-fit-shape-to-text:t;">
                <w:txbxContent>
                  <w:p w14:paraId="01F12DE9">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9CE1">
    <w:pPr>
      <w:pBdr>
        <w:top w:val="single" w:color="auto" w:sz="4" w:space="1"/>
        <w:left w:val="none" w:color="auto" w:sz="0" w:space="4"/>
        <w:bottom w:val="none" w:color="auto" w:sz="0" w:space="1"/>
        <w:right w:val="none" w:color="auto" w:sz="0" w:space="4"/>
      </w:pBdr>
      <w:snapToGrid w:val="0"/>
      <w:ind w:firstLine="0" w:firstLineChars="0"/>
      <w:jc w:val="left"/>
      <w:rPr>
        <w:rFonts w:hint="eastAsia" w:ascii="Times New Roman" w:hAnsi="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697522">
                          <w:pPr>
                            <w:pStyle w:val="14"/>
                            <w:ind w:firstLine="360"/>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SozMoBAACb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9k&#10;+TYL1AeoMe82YGYa3vsBk2c/oDPzHlS0+YuMCMZR3tNFXjkkIvKj1XK1qjAkMDZfEJ/dPw8R0gfp&#10;LclGQyPOr8jKj58gjalzSq7m/I02pszQuP8ciJk9LPc+9pitNOyGidDOtyfk0+PoG+pw0ykxHx0q&#10;m7dkNuJs7GbjEKLed2WNcj0I7w4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rSozMoBAACbAwAADgAAAAAAAAABACAAAAAeAQAAZHJzL2Uyb0Rv&#10;Yy54bWxQSwUGAAAAAAYABgBZAQAAWgUAAAAA&#10;">
              <v:fill on="f" focussize="0,0"/>
              <v:stroke on="f"/>
              <v:imagedata o:title=""/>
              <o:lock v:ext="edit" aspectratio="f"/>
              <v:textbox inset="0mm,0mm,0mm,0mm" style="mso-fit-shape-to-text:t;">
                <w:txbxContent>
                  <w:p w14:paraId="0D697522">
                    <w:pPr>
                      <w:pStyle w:val="14"/>
                      <w:ind w:firstLine="36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67EAC">
    <w:pPr>
      <w:pStyle w:val="14"/>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57E50">
                          <w:pPr>
                            <w:pStyle w:val="14"/>
                            <w:ind w:firstLine="36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6757E50">
                    <w:pPr>
                      <w:pStyle w:val="14"/>
                      <w:ind w:firstLine="36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0A53C">
    <w:pPr>
      <w:pStyle w:val="1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32D8">
    <w:pPr>
      <w:rPr>
        <w:rFonts w:hint="eastAsia"/>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A547">
    <w:pPr>
      <w:pBdr>
        <w:bottom w:val="none" w:color="auto" w:sz="0" w:space="1"/>
      </w:pBdr>
      <w:snapToGrid w:val="0"/>
      <w:ind w:firstLine="300"/>
      <w:jc w:val="center"/>
      <w:rPr>
        <w:rFonts w:ascii="Times New Roman" w:hAnsi="Times New Roman"/>
        <w:i/>
        <w:iCs/>
        <w:color w:val="0000FF"/>
        <w:sz w:val="18"/>
        <w:szCs w:val="18"/>
      </w:rPr>
    </w:pPr>
    <w:r>
      <w:rPr>
        <w:rFonts w:hint="eastAsia" w:ascii="宋体" w:hAnsi="宋体"/>
        <w:sz w:val="15"/>
        <w:szCs w:val="15"/>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51F68">
    <w:pPr>
      <w:pStyle w:val="15"/>
      <w:pBdr>
        <w:bottom w:val="none" w:color="auto" w:sz="0" w:space="1"/>
      </w:pBdr>
      <w:ind w:firstLine="360"/>
      <w:jc w:val="right"/>
      <w:rPr>
        <w:rFonts w:ascii="宋体" w:hAnsi="宋体" w:eastAsia="宋体"/>
        <w:sz w:val="15"/>
        <w:szCs w:val="15"/>
      </w:rPr>
    </w:pPr>
    <w:r>
      <w:rPr>
        <w:rFonts w:hint="eastAsia" w:ascii="宋体" w:hAnsi="宋体" w:eastAsia="宋体" w:cs="宋体"/>
        <w:i/>
        <w:iCs/>
        <w:color w:val="0000FF"/>
      </w:rPr>
      <w:t xml:space="preserve"> </w:t>
    </w:r>
  </w:p>
  <w:p w14:paraId="47FD8F06">
    <w:pPr>
      <w:pStyle w:val="15"/>
      <w:pBdr>
        <w:bottom w:val="none" w:color="auto" w:sz="0" w:space="1"/>
      </w:pBdr>
      <w:ind w:firstLine="300"/>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F3C7A"/>
    <w:multiLevelType w:val="singleLevel"/>
    <w:tmpl w:val="98EF3C7A"/>
    <w:lvl w:ilvl="0" w:tentative="0">
      <w:start w:val="2"/>
      <w:numFmt w:val="chineseCounting"/>
      <w:suff w:val="space"/>
      <w:lvlText w:val="第%1章"/>
      <w:lvlJc w:val="left"/>
      <w:rPr>
        <w:rFonts w:hint="eastAsia"/>
      </w:rPr>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3">
    <w:nsid w:val="4ADC87F1"/>
    <w:multiLevelType w:val="singleLevel"/>
    <w:tmpl w:val="4ADC87F1"/>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MTAxMWExNjdkYjEwNjU3ZTI0ZmJkYTA5YzVhNWUifQ=="/>
  </w:docVars>
  <w:rsids>
    <w:rsidRoot w:val="50D66C2C"/>
    <w:rsid w:val="008F0DF6"/>
    <w:rsid w:val="00900791"/>
    <w:rsid w:val="00DF7E4C"/>
    <w:rsid w:val="00EE49E4"/>
    <w:rsid w:val="017619EC"/>
    <w:rsid w:val="01DF087E"/>
    <w:rsid w:val="025D1E1F"/>
    <w:rsid w:val="02AB5C2A"/>
    <w:rsid w:val="02E7358A"/>
    <w:rsid w:val="0319342B"/>
    <w:rsid w:val="033D62EC"/>
    <w:rsid w:val="03F14C93"/>
    <w:rsid w:val="07571D11"/>
    <w:rsid w:val="075F3E4C"/>
    <w:rsid w:val="07792F24"/>
    <w:rsid w:val="07AD3B8F"/>
    <w:rsid w:val="091A6E51"/>
    <w:rsid w:val="0F2C6214"/>
    <w:rsid w:val="0F3A448D"/>
    <w:rsid w:val="0FAD03B9"/>
    <w:rsid w:val="10EF7E1B"/>
    <w:rsid w:val="111D43F7"/>
    <w:rsid w:val="11282F77"/>
    <w:rsid w:val="11B26453"/>
    <w:rsid w:val="12650A6D"/>
    <w:rsid w:val="14574206"/>
    <w:rsid w:val="14F1556F"/>
    <w:rsid w:val="14FF0F80"/>
    <w:rsid w:val="15CA2A88"/>
    <w:rsid w:val="165C00E9"/>
    <w:rsid w:val="16BF796D"/>
    <w:rsid w:val="18B828C6"/>
    <w:rsid w:val="1A305456"/>
    <w:rsid w:val="1C2A55C0"/>
    <w:rsid w:val="1D726AF2"/>
    <w:rsid w:val="2004691F"/>
    <w:rsid w:val="20FE17E0"/>
    <w:rsid w:val="225D609A"/>
    <w:rsid w:val="229F3574"/>
    <w:rsid w:val="22AF4D3A"/>
    <w:rsid w:val="22FD5FBB"/>
    <w:rsid w:val="23321EDF"/>
    <w:rsid w:val="23B05D8F"/>
    <w:rsid w:val="25C04367"/>
    <w:rsid w:val="27BD0741"/>
    <w:rsid w:val="288602EB"/>
    <w:rsid w:val="2BA2368E"/>
    <w:rsid w:val="2C2F5C6E"/>
    <w:rsid w:val="31765B9F"/>
    <w:rsid w:val="33205BA7"/>
    <w:rsid w:val="33B225FC"/>
    <w:rsid w:val="356F5FF0"/>
    <w:rsid w:val="35AF70D3"/>
    <w:rsid w:val="35E828C7"/>
    <w:rsid w:val="363E6BBB"/>
    <w:rsid w:val="364D41F6"/>
    <w:rsid w:val="37221959"/>
    <w:rsid w:val="37F21986"/>
    <w:rsid w:val="38CF22E0"/>
    <w:rsid w:val="39255FA8"/>
    <w:rsid w:val="3A501F38"/>
    <w:rsid w:val="3CF03696"/>
    <w:rsid w:val="3D175F35"/>
    <w:rsid w:val="40926433"/>
    <w:rsid w:val="40E907ED"/>
    <w:rsid w:val="433409E5"/>
    <w:rsid w:val="43435BE8"/>
    <w:rsid w:val="4491064D"/>
    <w:rsid w:val="44B82B7B"/>
    <w:rsid w:val="4511790F"/>
    <w:rsid w:val="451A6D87"/>
    <w:rsid w:val="4597409E"/>
    <w:rsid w:val="45F45C74"/>
    <w:rsid w:val="461F57EC"/>
    <w:rsid w:val="47D76015"/>
    <w:rsid w:val="492B486B"/>
    <w:rsid w:val="49D90544"/>
    <w:rsid w:val="4B2E7EB5"/>
    <w:rsid w:val="4BA32DDE"/>
    <w:rsid w:val="4C0508B6"/>
    <w:rsid w:val="4D36558C"/>
    <w:rsid w:val="4E597784"/>
    <w:rsid w:val="4EAC69A6"/>
    <w:rsid w:val="50041972"/>
    <w:rsid w:val="50D66C2C"/>
    <w:rsid w:val="52B06989"/>
    <w:rsid w:val="5334157A"/>
    <w:rsid w:val="543D7A93"/>
    <w:rsid w:val="55EF5854"/>
    <w:rsid w:val="57B7145F"/>
    <w:rsid w:val="596B551F"/>
    <w:rsid w:val="5A970938"/>
    <w:rsid w:val="5ABC0C5C"/>
    <w:rsid w:val="5C4E3E7C"/>
    <w:rsid w:val="5D3B13ED"/>
    <w:rsid w:val="5E3B2A02"/>
    <w:rsid w:val="5EC64EAF"/>
    <w:rsid w:val="5EFC79B7"/>
    <w:rsid w:val="5F5C7C79"/>
    <w:rsid w:val="618F3346"/>
    <w:rsid w:val="63FD391C"/>
    <w:rsid w:val="64DB16FC"/>
    <w:rsid w:val="65D83457"/>
    <w:rsid w:val="66E74CD2"/>
    <w:rsid w:val="68010F2F"/>
    <w:rsid w:val="68543221"/>
    <w:rsid w:val="68E73664"/>
    <w:rsid w:val="691B5344"/>
    <w:rsid w:val="6A203FAA"/>
    <w:rsid w:val="6A613FA0"/>
    <w:rsid w:val="6A676F72"/>
    <w:rsid w:val="6AA45889"/>
    <w:rsid w:val="6D0E07FE"/>
    <w:rsid w:val="6D6078E9"/>
    <w:rsid w:val="6FAD0600"/>
    <w:rsid w:val="6FC942EF"/>
    <w:rsid w:val="6FE60753"/>
    <w:rsid w:val="701B139D"/>
    <w:rsid w:val="70F27DEC"/>
    <w:rsid w:val="715840F0"/>
    <w:rsid w:val="716F06EF"/>
    <w:rsid w:val="717D40AB"/>
    <w:rsid w:val="73DB6824"/>
    <w:rsid w:val="745677F6"/>
    <w:rsid w:val="74661CD3"/>
    <w:rsid w:val="74771C78"/>
    <w:rsid w:val="749B4563"/>
    <w:rsid w:val="74AD5DDB"/>
    <w:rsid w:val="74B63922"/>
    <w:rsid w:val="757771DE"/>
    <w:rsid w:val="762275BF"/>
    <w:rsid w:val="76610E9C"/>
    <w:rsid w:val="76DA4B17"/>
    <w:rsid w:val="79552AE1"/>
    <w:rsid w:val="79EE5FFB"/>
    <w:rsid w:val="7A5F3595"/>
    <w:rsid w:val="7A855F8E"/>
    <w:rsid w:val="7B326DD5"/>
    <w:rsid w:val="7B33248E"/>
    <w:rsid w:val="7C850F2F"/>
    <w:rsid w:val="7CAB1522"/>
    <w:rsid w:val="7E4C7373"/>
    <w:rsid w:val="7F1E7D70"/>
    <w:rsid w:val="7FC46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0"/>
    <w:pPr>
      <w:keepNext/>
      <w:jc w:val="center"/>
      <w:outlineLvl w:val="0"/>
    </w:pPr>
    <w:rPr>
      <w:b/>
      <w:bCs/>
      <w:color w:val="000000"/>
      <w:sz w:val="32"/>
    </w:rPr>
  </w:style>
  <w:style w:type="paragraph" w:styleId="3">
    <w:name w:val="heading 2"/>
    <w:basedOn w:val="1"/>
    <w:next w:val="1"/>
    <w:link w:val="50"/>
    <w:qFormat/>
    <w:uiPriority w:val="0"/>
    <w:pPr>
      <w:keepNext/>
      <w:keepLines/>
      <w:spacing w:line="460" w:lineRule="exact"/>
      <w:outlineLvl w:val="1"/>
    </w:pPr>
    <w:rPr>
      <w:rFonts w:ascii="宋体" w:hAnsi="宋体"/>
      <w:b/>
      <w:sz w:val="30"/>
      <w:szCs w:val="30"/>
    </w:rPr>
  </w:style>
  <w:style w:type="paragraph" w:styleId="4">
    <w:name w:val="heading 3"/>
    <w:basedOn w:val="1"/>
    <w:next w:val="1"/>
    <w:qFormat/>
    <w:uiPriority w:val="0"/>
    <w:pPr>
      <w:keepNext/>
      <w:keepLines/>
      <w:spacing w:line="460" w:lineRule="exact"/>
      <w:jc w:val="left"/>
      <w:outlineLvl w:val="2"/>
    </w:pPr>
    <w:rPr>
      <w:b/>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99"/>
    <w:pPr>
      <w:jc w:val="left"/>
    </w:pPr>
  </w:style>
  <w:style w:type="paragraph" w:styleId="7">
    <w:name w:val="Body Text 3"/>
    <w:basedOn w:val="1"/>
    <w:qFormat/>
    <w:uiPriority w:val="0"/>
    <w:rPr>
      <w:rFonts w:hAnsi="Times New Roman"/>
      <w:kern w:val="0"/>
      <w:sz w:val="24"/>
      <w:szCs w:val="20"/>
    </w:rPr>
  </w:style>
  <w:style w:type="paragraph" w:styleId="8">
    <w:name w:val="Body Text"/>
    <w:basedOn w:val="1"/>
    <w:next w:val="9"/>
    <w:qFormat/>
    <w:uiPriority w:val="0"/>
  </w:style>
  <w:style w:type="paragraph" w:customStyle="1" w:styleId="9">
    <w:name w:val="Default"/>
    <w:basedOn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Plain Text"/>
    <w:basedOn w:val="1"/>
    <w:qFormat/>
    <w:uiPriority w:val="0"/>
    <w:rPr>
      <w:rFonts w:ascii="宋体" w:hAnsi="Courier New"/>
      <w:szCs w:val="20"/>
    </w:rPr>
  </w:style>
  <w:style w:type="paragraph" w:styleId="11">
    <w:name w:val="Body Text Indent"/>
    <w:basedOn w:val="1"/>
    <w:next w:val="12"/>
    <w:qFormat/>
    <w:uiPriority w:val="0"/>
    <w:pPr>
      <w:spacing w:line="312" w:lineRule="auto"/>
      <w:ind w:firstLine="735" w:firstLineChars="245"/>
    </w:pPr>
  </w:style>
  <w:style w:type="paragraph" w:styleId="12">
    <w:name w:val="envelope return"/>
    <w:basedOn w:val="1"/>
    <w:unhideWhenUsed/>
    <w:qFormat/>
    <w:uiPriority w:val="99"/>
    <w:pPr>
      <w:snapToGrid w:val="0"/>
    </w:pPr>
    <w:rPr>
      <w:rFonts w:ascii="Arial" w:hAnsi="Arial"/>
    </w:rPr>
  </w:style>
  <w:style w:type="paragraph" w:styleId="13">
    <w:name w:val="List 2"/>
    <w:basedOn w:val="1"/>
    <w:qFormat/>
    <w:uiPriority w:val="0"/>
    <w:pPr>
      <w:ind w:left="100" w:leftChars="200" w:hanging="200" w:hangingChars="200"/>
    </w:pPr>
    <w:rPr>
      <w:szCs w:val="24"/>
    </w:rPr>
  </w:style>
  <w:style w:type="paragraph" w:styleId="14">
    <w:name w:val="footer"/>
    <w:basedOn w:val="1"/>
    <w:next w:val="1"/>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qFormat/>
    <w:uiPriority w:val="39"/>
  </w:style>
  <w:style w:type="paragraph" w:styleId="17">
    <w:name w:val="footnote text"/>
    <w:basedOn w:val="1"/>
    <w:qFormat/>
    <w:uiPriority w:val="0"/>
    <w:pPr>
      <w:snapToGrid w:val="0"/>
      <w:jc w:val="left"/>
    </w:pPr>
    <w:rPr>
      <w:sz w:val="18"/>
      <w:szCs w:val="18"/>
    </w:rPr>
  </w:style>
  <w:style w:type="paragraph" w:styleId="18">
    <w:name w:val="toc 2"/>
    <w:basedOn w:val="1"/>
    <w:next w:val="1"/>
    <w:qFormat/>
    <w:uiPriority w:val="39"/>
    <w:pPr>
      <w:widowControl/>
      <w:spacing w:line="276" w:lineRule="auto"/>
      <w:ind w:left="220"/>
      <w:jc w:val="left"/>
    </w:pPr>
    <w:rPr>
      <w:rFonts w:ascii="Calibri" w:hAnsi="Calibri"/>
      <w:kern w:val="0"/>
      <w:sz w:val="22"/>
    </w:rPr>
  </w:style>
  <w:style w:type="paragraph" w:styleId="19">
    <w:name w:val="Body Text 2"/>
    <w:basedOn w:val="1"/>
    <w:next w:val="8"/>
    <w:qFormat/>
    <w:uiPriority w:val="0"/>
    <w:pPr>
      <w:spacing w:line="480" w:lineRule="auto"/>
    </w:pPr>
  </w:style>
  <w:style w:type="paragraph" w:styleId="20">
    <w:name w:val="Normal (Web)"/>
    <w:basedOn w:val="1"/>
    <w:qFormat/>
    <w:uiPriority w:val="0"/>
    <w:pPr>
      <w:widowControl/>
      <w:spacing w:beforeAutospacing="1" w:afterAutospacing="1"/>
      <w:jc w:val="left"/>
    </w:pPr>
    <w:rPr>
      <w:rFonts w:ascii="宋体" w:hAnsi="宋体" w:cs="宋体"/>
      <w:kern w:val="0"/>
      <w:sz w:val="24"/>
      <w:szCs w:val="24"/>
    </w:rPr>
  </w:style>
  <w:style w:type="paragraph" w:styleId="21">
    <w:name w:val="Body Text First Indent"/>
    <w:basedOn w:val="8"/>
    <w:next w:val="1"/>
    <w:qFormat/>
    <w:uiPriority w:val="0"/>
    <w:pPr>
      <w:ind w:firstLine="420" w:firstLineChars="100"/>
    </w:pPr>
  </w:style>
  <w:style w:type="paragraph" w:styleId="22">
    <w:name w:val="Body Text First Indent 2"/>
    <w:basedOn w:val="11"/>
    <w:next w:val="1"/>
    <w:qFormat/>
    <w:uiPriority w:val="0"/>
    <w:pPr>
      <w:spacing w:line="240" w:lineRule="auto"/>
      <w:ind w:left="420" w:leftChars="200" w:firstLine="420" w:firstLineChars="200"/>
    </w:pPr>
  </w:style>
  <w:style w:type="table" w:styleId="24">
    <w:name w:val="Table Grid"/>
    <w:basedOn w:val="2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Emphasis"/>
    <w:basedOn w:val="25"/>
    <w:qFormat/>
    <w:uiPriority w:val="0"/>
    <w:rPr>
      <w:i/>
    </w:rPr>
  </w:style>
  <w:style w:type="paragraph" w:customStyle="1" w:styleId="28">
    <w:name w:val="BodyText1I"/>
    <w:basedOn w:val="29"/>
    <w:qFormat/>
    <w:uiPriority w:val="99"/>
    <w:pPr>
      <w:ind w:firstLine="420" w:firstLineChars="100"/>
    </w:pPr>
  </w:style>
  <w:style w:type="paragraph" w:customStyle="1" w:styleId="29">
    <w:name w:val="BodyText"/>
    <w:basedOn w:val="1"/>
    <w:qFormat/>
    <w:uiPriority w:val="99"/>
    <w:pPr>
      <w:spacing w:after="120"/>
    </w:pPr>
  </w:style>
  <w:style w:type="paragraph" w:customStyle="1" w:styleId="30">
    <w:name w:val="无间隔1"/>
    <w:basedOn w:val="1"/>
    <w:qFormat/>
    <w:uiPriority w:val="1"/>
    <w:pPr>
      <w:spacing w:line="400" w:lineRule="exact"/>
    </w:p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style4"/>
    <w:basedOn w:val="33"/>
    <w:next w:val="34"/>
    <w:qFormat/>
    <w:uiPriority w:val="0"/>
    <w:pPr>
      <w:widowControl/>
      <w:spacing w:beforeAutospacing="1" w:afterAutospacing="1"/>
      <w:jc w:val="left"/>
    </w:pPr>
    <w:rPr>
      <w:rFonts w:ascii="宋体" w:hAnsi="宋体" w:cs="宋体"/>
      <w:kern w:val="0"/>
      <w:sz w:val="18"/>
      <w:szCs w:val="18"/>
    </w:rPr>
  </w:style>
  <w:style w:type="paragraph" w:customStyle="1" w:styleId="33">
    <w:name w:val="正文1"/>
    <w:next w:val="21"/>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34">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35">
    <w:name w:val="BodyText1I2"/>
    <w:basedOn w:val="36"/>
    <w:next w:val="37"/>
    <w:qFormat/>
    <w:uiPriority w:val="0"/>
    <w:pPr>
      <w:ind w:firstLine="420"/>
    </w:pPr>
    <w:rPr>
      <w:rFonts w:ascii="Calibri" w:hAnsi="Calibri" w:eastAsia="楷体_GB2312"/>
      <w:kern w:val="44"/>
      <w:sz w:val="44"/>
    </w:rPr>
  </w:style>
  <w:style w:type="paragraph" w:customStyle="1" w:styleId="36">
    <w:name w:val="BodyTextIndent"/>
    <w:basedOn w:val="1"/>
    <w:qFormat/>
    <w:uiPriority w:val="0"/>
    <w:pPr>
      <w:spacing w:after="120"/>
      <w:ind w:left="420" w:leftChars="200"/>
    </w:pPr>
    <w:rPr>
      <w:rFonts w:ascii="Times New Roman" w:hAnsi="Times New Roman"/>
      <w:kern w:val="0"/>
      <w:sz w:val="20"/>
    </w:rPr>
  </w:style>
  <w:style w:type="paragraph" w:customStyle="1" w:styleId="37">
    <w:name w:val="UserStyle_136"/>
    <w:basedOn w:val="1"/>
    <w:next w:val="1"/>
    <w:qFormat/>
    <w:uiPriority w:val="0"/>
    <w:pPr>
      <w:spacing w:after="120" w:line="320" w:lineRule="atLeast"/>
    </w:pPr>
    <w:rPr>
      <w:rFonts w:ascii="Arial" w:hAnsi="Arial"/>
      <w:kern w:val="0"/>
    </w:rPr>
  </w:style>
  <w:style w:type="paragraph" w:customStyle="1" w:styleId="38">
    <w:name w:val="样式 标题 2 + Times New Roman 四号 非加粗 段前: 5 磅 段后: 0 磅 行距: 固定值 20..."/>
    <w:basedOn w:val="3"/>
    <w:qFormat/>
    <w:uiPriority w:val="0"/>
    <w:pPr>
      <w:spacing w:line="400" w:lineRule="exact"/>
    </w:pPr>
    <w:rPr>
      <w:rFonts w:ascii="Times New Roman" w:hAnsi="Times New Roman" w:cs="宋体"/>
      <w:b w:val="0"/>
      <w:sz w:val="28"/>
      <w:szCs w:val="20"/>
    </w:rPr>
  </w:style>
  <w:style w:type="paragraph" w:styleId="39">
    <w:name w:val="List Paragraph"/>
    <w:basedOn w:val="1"/>
    <w:qFormat/>
    <w:uiPriority w:val="0"/>
    <w:pPr>
      <w:ind w:firstLine="420"/>
    </w:pPr>
    <w:rPr>
      <w:szCs w:val="24"/>
    </w:rPr>
  </w:style>
  <w:style w:type="paragraph" w:customStyle="1" w:styleId="40">
    <w:name w:val="样式 标题 3 + (中文) 黑体 小四 非加粗 段前: 7.8 磅 段后: 0 磅 行距: 固定值 20 磅"/>
    <w:basedOn w:val="4"/>
    <w:qFormat/>
    <w:uiPriority w:val="0"/>
    <w:pPr>
      <w:spacing w:line="400" w:lineRule="exact"/>
    </w:pPr>
    <w:rPr>
      <w:rFonts w:eastAsia="黑体" w:cs="宋体"/>
      <w:b w:val="0"/>
      <w:szCs w:val="20"/>
    </w:rPr>
  </w:style>
  <w:style w:type="paragraph" w:customStyle="1" w:styleId="41">
    <w:name w:val="正文_0"/>
    <w:next w:val="2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3">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5">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
    <w:name w:val="*正文"/>
    <w:basedOn w:val="1"/>
    <w:next w:val="1"/>
    <w:qFormat/>
    <w:uiPriority w:val="0"/>
    <w:pPr>
      <w:widowControl/>
      <w:ind w:firstLine="482"/>
    </w:pPr>
    <w:rPr>
      <w:rFonts w:ascii="微软雅黑" w:hAnsi="微软雅黑" w:eastAsia="微软雅黑"/>
      <w:szCs w:val="32"/>
    </w:rPr>
  </w:style>
  <w:style w:type="character" w:customStyle="1" w:styleId="47">
    <w:name w:val="标题 1 字符"/>
    <w:link w:val="2"/>
    <w:qFormat/>
    <w:uiPriority w:val="0"/>
    <w:rPr>
      <w:b/>
      <w:bCs/>
      <w:color w:val="000000"/>
      <w:sz w:val="32"/>
    </w:rPr>
  </w:style>
  <w:style w:type="table" w:customStyle="1" w:styleId="48">
    <w:name w:val="Table Normal"/>
    <w:unhideWhenUsed/>
    <w:qFormat/>
    <w:uiPriority w:val="0"/>
    <w:tblPr>
      <w:tblCellMar>
        <w:top w:w="0" w:type="dxa"/>
        <w:left w:w="0" w:type="dxa"/>
        <w:bottom w:w="0" w:type="dxa"/>
        <w:right w:w="0" w:type="dxa"/>
      </w:tblCellMar>
    </w:tblPr>
  </w:style>
  <w:style w:type="character" w:customStyle="1" w:styleId="49">
    <w:name w:val="标题 1 Char"/>
    <w:link w:val="2"/>
    <w:qFormat/>
    <w:uiPriority w:val="0"/>
    <w:rPr>
      <w:rFonts w:ascii="Ari" w:hAnsi="Ari" w:eastAsia="宋体"/>
      <w:b/>
      <w:kern w:val="44"/>
      <w:sz w:val="32"/>
    </w:rPr>
  </w:style>
  <w:style w:type="character" w:customStyle="1" w:styleId="50">
    <w:name w:val="标题 2 Char"/>
    <w:link w:val="3"/>
    <w:qFormat/>
    <w:uiPriority w:val="0"/>
    <w:rPr>
      <w:rFonts w:ascii="宋体" w:hAnsi="宋体"/>
      <w:b/>
      <w:sz w:val="30"/>
      <w:szCs w:val="30"/>
    </w:rPr>
  </w:style>
  <w:style w:type="character" w:customStyle="1" w:styleId="51">
    <w:name w:val="font61"/>
    <w:basedOn w:val="25"/>
    <w:qFormat/>
    <w:uiPriority w:val="0"/>
    <w:rPr>
      <w:rFonts w:ascii="宋体" w:hAnsi="宋体" w:eastAsia="宋体" w:cs="宋体"/>
      <w:color w:val="FF0000"/>
      <w:sz w:val="18"/>
      <w:szCs w:val="18"/>
      <w:u w:val="none"/>
    </w:rPr>
  </w:style>
  <w:style w:type="paragraph" w:customStyle="1" w:styleId="52">
    <w:name w:val="样式 正文首行缩进 2 + Arial"/>
    <w:basedOn w:val="1"/>
    <w:next w:val="1"/>
    <w:autoRedefine/>
    <w:qFormat/>
    <w:uiPriority w:val="0"/>
    <w:pPr>
      <w:spacing w:after="120" w:line="320" w:lineRule="atLeast"/>
    </w:pPr>
    <w:rPr>
      <w:rFonts w:ascii="Arial" w:hAnsi="Arial"/>
      <w:kern w:val="0"/>
    </w:rPr>
  </w:style>
  <w:style w:type="paragraph" w:customStyle="1" w:styleId="53">
    <w:name w:val="Body text|1"/>
    <w:basedOn w:val="1"/>
    <w:autoRedefine/>
    <w:qFormat/>
    <w:uiPriority w:val="0"/>
    <w:pPr>
      <w:spacing w:line="456" w:lineRule="auto"/>
      <w:ind w:firstLine="400"/>
    </w:pPr>
    <w:rPr>
      <w:rFonts w:ascii="宋体" w:hAnsi="宋体" w:cs="宋体"/>
      <w:sz w:val="28"/>
      <w:szCs w:val="28"/>
      <w:lang w:val="zh-TW" w:eastAsia="zh-TW" w:bidi="zh-TW"/>
    </w:rPr>
  </w:style>
  <w:style w:type="paragraph" w:customStyle="1" w:styleId="5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4405</Words>
  <Characters>4905</Characters>
  <Lines>229</Lines>
  <Paragraphs>64</Paragraphs>
  <TotalTime>21</TotalTime>
  <ScaleCrop>false</ScaleCrop>
  <LinksUpToDate>false</LinksUpToDate>
  <CharactersWithSpaces>5012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2023-05-16T04:00:00Z</dcterms:created>
  <dc:creator></dc:creator>
  <cp:lastModifiedBy>blackcat626</cp:lastModifiedBy>
  <cp:lastPrinted>2023-05-18T07:41:00Z</cp:lastPrinted>
  <dcterms:modified xsi:type="dcterms:W3CDTF">2026-06-12T01:15:40Z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8AE8CCF542234FDCB9BD00BD0859B0F5_11</vt:lpwstr>
  </property>
  <property fmtid="{D5CDD505-2E9C-101B-9397-08002B2CF9AE}" pid="4" name="KSOTemplateDocerSaveRecord">
    <vt:lpwstr>eyJoZGlkIjoiMTk5OGUzMjVmNzJlNGMzNmE0OTA2OWYxZTIxNjYxZjciLCJ1c2VySWQiOiI1MzkzMjI4MTAifQ==</vt:lpwstr>
  </property>
</Properties>
</file>